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B205BC4" w14:textId="5677ED9E" w:rsidR="00761B0B" w:rsidRDefault="008629A0" w:rsidP="008629A0">
      <w:pPr>
        <w:spacing w:line="240" w:lineRule="auto"/>
        <w:jc w:val="center"/>
        <w:rPr>
          <w:rFonts w:ascii="Palatino Linotype" w:hAnsi="Palatino Linotype" w:cs="Calibri"/>
          <w:sz w:val="28"/>
        </w:rPr>
      </w:pPr>
      <w:r>
        <w:rPr>
          <w:rFonts w:ascii="Palatino Linotype" w:hAnsi="Palatino Linotype" w:cs="Calibri"/>
          <w:sz w:val="28"/>
        </w:rPr>
        <w:t>UNIVERSITY OF OKLAHOMA</w:t>
      </w:r>
    </w:p>
    <w:p w14:paraId="51E3AB40" w14:textId="208818C9" w:rsidR="008629A0" w:rsidRPr="008E33B8" w:rsidRDefault="008629A0" w:rsidP="008629A0">
      <w:pPr>
        <w:spacing w:line="240" w:lineRule="auto"/>
        <w:jc w:val="center"/>
        <w:rPr>
          <w:rFonts w:ascii="Palatino Linotype" w:hAnsi="Palatino Linotype" w:cs="Calibri"/>
          <w:sz w:val="28"/>
        </w:rPr>
      </w:pPr>
      <w:r>
        <w:rPr>
          <w:rFonts w:ascii="Palatino Linotype" w:hAnsi="Palatino Linotype" w:cs="Calibri"/>
          <w:sz w:val="28"/>
        </w:rPr>
        <w:t>GRADUATE COLLEGE</w:t>
      </w:r>
    </w:p>
    <w:p w14:paraId="136D3FA7" w14:textId="77777777" w:rsidR="00761B0B" w:rsidRPr="008E33B8" w:rsidRDefault="00761B0B" w:rsidP="00761B0B">
      <w:pPr>
        <w:spacing w:line="240" w:lineRule="auto"/>
        <w:jc w:val="center"/>
        <w:rPr>
          <w:rFonts w:ascii="Palatino Linotype" w:hAnsi="Palatino Linotype" w:cs="Times New Roman"/>
          <w:sz w:val="28"/>
        </w:rPr>
      </w:pPr>
    </w:p>
    <w:p w14:paraId="0B46251C" w14:textId="77777777" w:rsidR="00761B0B" w:rsidRPr="008E33B8" w:rsidRDefault="00761B0B" w:rsidP="00535553">
      <w:pPr>
        <w:spacing w:line="240" w:lineRule="auto"/>
        <w:rPr>
          <w:rFonts w:ascii="Palatino Linotype" w:hAnsi="Palatino Linotype" w:cs="Times New Roman"/>
          <w:sz w:val="28"/>
        </w:rPr>
      </w:pPr>
    </w:p>
    <w:p w14:paraId="1D0A535A" w14:textId="77777777" w:rsidR="00761B0B" w:rsidRDefault="00761B0B" w:rsidP="00761B0B">
      <w:pPr>
        <w:spacing w:line="240" w:lineRule="auto"/>
        <w:jc w:val="center"/>
        <w:rPr>
          <w:rFonts w:ascii="Palatino Linotype" w:hAnsi="Palatino Linotype" w:cs="Times New Roman"/>
          <w:sz w:val="28"/>
        </w:rPr>
      </w:pPr>
    </w:p>
    <w:p w14:paraId="302C75AB" w14:textId="5BDD8E01" w:rsidR="00761B0B" w:rsidRPr="008E33B8" w:rsidRDefault="00761B0B" w:rsidP="00761B0B">
      <w:pPr>
        <w:spacing w:line="240" w:lineRule="auto"/>
        <w:jc w:val="center"/>
        <w:rPr>
          <w:rFonts w:ascii="Palatino Linotype" w:hAnsi="Palatino Linotype" w:cs="Times New Roman"/>
          <w:sz w:val="28"/>
        </w:rPr>
      </w:pPr>
      <w:r>
        <w:rPr>
          <w:rFonts w:ascii="Palatino Linotype" w:hAnsi="Palatino Linotype" w:cs="Times New Roman"/>
          <w:sz w:val="28"/>
        </w:rPr>
        <w:t xml:space="preserve">Free College for Whom? </w:t>
      </w:r>
      <w:r w:rsidR="00125406">
        <w:rPr>
          <w:rFonts w:ascii="Palatino Linotype" w:hAnsi="Palatino Linotype" w:cs="Times New Roman"/>
          <w:sz w:val="28"/>
        </w:rPr>
        <w:t xml:space="preserve">How </w:t>
      </w:r>
      <w:r>
        <w:rPr>
          <w:rFonts w:ascii="Palatino Linotype" w:hAnsi="Palatino Linotype" w:cs="Times New Roman"/>
          <w:sz w:val="28"/>
        </w:rPr>
        <w:t xml:space="preserve">Policy Design and </w:t>
      </w:r>
      <w:r w:rsidR="00DD176B">
        <w:rPr>
          <w:rFonts w:ascii="Palatino Linotype" w:hAnsi="Palatino Linotype" w:cs="Times New Roman"/>
          <w:sz w:val="28"/>
        </w:rPr>
        <w:t xml:space="preserve">Public </w:t>
      </w:r>
      <w:r w:rsidR="00125406">
        <w:rPr>
          <w:rFonts w:ascii="Palatino Linotype" w:hAnsi="Palatino Linotype" w:cs="Times New Roman"/>
          <w:sz w:val="28"/>
        </w:rPr>
        <w:t>Management</w:t>
      </w:r>
      <w:r w:rsidR="0046458A">
        <w:rPr>
          <w:rFonts w:ascii="Palatino Linotype" w:hAnsi="Palatino Linotype" w:cs="Times New Roman"/>
          <w:sz w:val="28"/>
        </w:rPr>
        <w:t xml:space="preserve"> </w:t>
      </w:r>
      <w:r w:rsidR="00125406">
        <w:rPr>
          <w:rFonts w:ascii="Palatino Linotype" w:hAnsi="Palatino Linotype" w:cs="Times New Roman"/>
          <w:sz w:val="28"/>
        </w:rPr>
        <w:t>Shape</w:t>
      </w:r>
      <w:r>
        <w:rPr>
          <w:rFonts w:ascii="Palatino Linotype" w:hAnsi="Palatino Linotype" w:cs="Times New Roman"/>
          <w:sz w:val="28"/>
        </w:rPr>
        <w:t xml:space="preserve"> Program Access and Success</w:t>
      </w:r>
    </w:p>
    <w:p w14:paraId="34AAF006" w14:textId="202BA5EC" w:rsidR="00761B0B" w:rsidRDefault="00761B0B" w:rsidP="00761B0B">
      <w:pPr>
        <w:jc w:val="center"/>
        <w:rPr>
          <w:rFonts w:ascii="Palatino Linotype" w:hAnsi="Palatino Linotype" w:cs="Times New Roman"/>
          <w:sz w:val="28"/>
        </w:rPr>
      </w:pPr>
    </w:p>
    <w:p w14:paraId="45890C7A" w14:textId="35B07193" w:rsidR="008629A0" w:rsidRDefault="008629A0" w:rsidP="00761B0B">
      <w:pPr>
        <w:jc w:val="center"/>
        <w:rPr>
          <w:rFonts w:ascii="Palatino Linotype" w:hAnsi="Palatino Linotype" w:cs="Times New Roman"/>
          <w:sz w:val="28"/>
        </w:rPr>
      </w:pPr>
    </w:p>
    <w:p w14:paraId="4D01D24B" w14:textId="574AA37D" w:rsidR="008629A0" w:rsidRDefault="008629A0" w:rsidP="00761B0B">
      <w:pPr>
        <w:jc w:val="center"/>
        <w:rPr>
          <w:rFonts w:ascii="Palatino Linotype" w:hAnsi="Palatino Linotype" w:cs="Times New Roman"/>
          <w:sz w:val="28"/>
        </w:rPr>
      </w:pPr>
      <w:r>
        <w:rPr>
          <w:rFonts w:ascii="Palatino Linotype" w:hAnsi="Palatino Linotype" w:cs="Times New Roman"/>
          <w:sz w:val="28"/>
        </w:rPr>
        <w:t>A DISSERTATION</w:t>
      </w:r>
    </w:p>
    <w:p w14:paraId="656ECDBF" w14:textId="0B069640" w:rsidR="008629A0" w:rsidRDefault="008629A0" w:rsidP="00761B0B">
      <w:pPr>
        <w:jc w:val="center"/>
        <w:rPr>
          <w:rFonts w:ascii="Palatino Linotype" w:hAnsi="Palatino Linotype" w:cs="Times New Roman"/>
          <w:sz w:val="28"/>
        </w:rPr>
      </w:pPr>
      <w:r>
        <w:rPr>
          <w:rFonts w:ascii="Palatino Linotype" w:hAnsi="Palatino Linotype" w:cs="Times New Roman"/>
          <w:sz w:val="28"/>
        </w:rPr>
        <w:t>SUBMITTED TO THE GRADUATE FACULTY</w:t>
      </w:r>
    </w:p>
    <w:p w14:paraId="16BEBC71" w14:textId="39B99957" w:rsidR="008629A0" w:rsidRDefault="008629A0" w:rsidP="00761B0B">
      <w:pPr>
        <w:jc w:val="center"/>
        <w:rPr>
          <w:rFonts w:ascii="Palatino Linotype" w:hAnsi="Palatino Linotype" w:cs="Times New Roman"/>
          <w:sz w:val="28"/>
        </w:rPr>
      </w:pPr>
      <w:r>
        <w:rPr>
          <w:rFonts w:ascii="Palatino Linotype" w:hAnsi="Palatino Linotype" w:cs="Times New Roman"/>
          <w:sz w:val="28"/>
        </w:rPr>
        <w:t>in partial fulfillment of the requirement for the</w:t>
      </w:r>
    </w:p>
    <w:p w14:paraId="203C5E99" w14:textId="75248641" w:rsidR="008629A0" w:rsidRDefault="008629A0" w:rsidP="00761B0B">
      <w:pPr>
        <w:jc w:val="center"/>
        <w:rPr>
          <w:rFonts w:ascii="Palatino Linotype" w:hAnsi="Palatino Linotype" w:cs="Times New Roman"/>
          <w:sz w:val="28"/>
        </w:rPr>
      </w:pPr>
      <w:r>
        <w:rPr>
          <w:rFonts w:ascii="Palatino Linotype" w:hAnsi="Palatino Linotype" w:cs="Times New Roman"/>
          <w:sz w:val="28"/>
        </w:rPr>
        <w:t>Degree of</w:t>
      </w:r>
    </w:p>
    <w:p w14:paraId="153F6453" w14:textId="53F53AFB" w:rsidR="008629A0" w:rsidRDefault="008629A0" w:rsidP="00761B0B">
      <w:pPr>
        <w:jc w:val="center"/>
        <w:rPr>
          <w:rFonts w:ascii="Palatino Linotype" w:hAnsi="Palatino Linotype" w:cs="Times New Roman"/>
          <w:sz w:val="28"/>
        </w:rPr>
      </w:pPr>
      <w:r>
        <w:rPr>
          <w:rFonts w:ascii="Palatino Linotype" w:hAnsi="Palatino Linotype" w:cs="Times New Roman"/>
          <w:sz w:val="28"/>
        </w:rPr>
        <w:t>DOCTOR OF PHILOSOPHY</w:t>
      </w:r>
      <w:bookmarkStart w:id="0" w:name="_GoBack"/>
      <w:bookmarkEnd w:id="0"/>
    </w:p>
    <w:p w14:paraId="02E61857" w14:textId="5040772E" w:rsidR="008629A0" w:rsidRDefault="008629A0" w:rsidP="00761B0B">
      <w:pPr>
        <w:jc w:val="center"/>
        <w:rPr>
          <w:rFonts w:ascii="Palatino Linotype" w:hAnsi="Palatino Linotype" w:cs="Times New Roman"/>
          <w:sz w:val="28"/>
        </w:rPr>
      </w:pPr>
    </w:p>
    <w:p w14:paraId="47FD4513" w14:textId="5A4FD1E7" w:rsidR="008629A0" w:rsidRDefault="008629A0" w:rsidP="00761B0B">
      <w:pPr>
        <w:rPr>
          <w:rFonts w:ascii="Palatino Linotype" w:hAnsi="Palatino Linotype" w:cs="Times New Roman"/>
          <w:sz w:val="28"/>
        </w:rPr>
      </w:pPr>
    </w:p>
    <w:p w14:paraId="43346941" w14:textId="5893C71A" w:rsidR="008629A0" w:rsidRDefault="008629A0" w:rsidP="00761B0B">
      <w:pPr>
        <w:rPr>
          <w:rFonts w:ascii="Palatino Linotype" w:hAnsi="Palatino Linotype" w:cs="Times New Roman"/>
          <w:sz w:val="28"/>
        </w:rPr>
      </w:pPr>
    </w:p>
    <w:p w14:paraId="384A0EA2" w14:textId="77777777" w:rsidR="008629A0" w:rsidRDefault="008629A0" w:rsidP="00761B0B">
      <w:pPr>
        <w:rPr>
          <w:rFonts w:ascii="Palatino Linotype" w:hAnsi="Palatino Linotype" w:cs="Times New Roman"/>
          <w:sz w:val="28"/>
        </w:rPr>
      </w:pPr>
    </w:p>
    <w:p w14:paraId="1799B4A3" w14:textId="168323D4" w:rsidR="008629A0" w:rsidRPr="008E33B8" w:rsidRDefault="008629A0" w:rsidP="008629A0">
      <w:pPr>
        <w:jc w:val="center"/>
        <w:rPr>
          <w:rFonts w:ascii="Palatino Linotype" w:hAnsi="Palatino Linotype" w:cs="Times New Roman"/>
          <w:sz w:val="28"/>
        </w:rPr>
      </w:pPr>
      <w:r>
        <w:rPr>
          <w:rFonts w:ascii="Palatino Linotype" w:hAnsi="Palatino Linotype" w:cs="Times New Roman"/>
          <w:sz w:val="28"/>
        </w:rPr>
        <w:t>By</w:t>
      </w:r>
    </w:p>
    <w:p w14:paraId="12BCD1FD" w14:textId="77777777" w:rsidR="00761B0B" w:rsidRPr="008E33B8" w:rsidRDefault="00761B0B" w:rsidP="00761B0B">
      <w:pPr>
        <w:jc w:val="center"/>
        <w:rPr>
          <w:rFonts w:ascii="Palatino Linotype" w:hAnsi="Palatino Linotype" w:cs="Times New Roman"/>
          <w:sz w:val="24"/>
        </w:rPr>
      </w:pPr>
      <w:r w:rsidRPr="008E33B8">
        <w:rPr>
          <w:rFonts w:ascii="Palatino Linotype" w:hAnsi="Palatino Linotype" w:cs="Times New Roman"/>
          <w:sz w:val="24"/>
        </w:rPr>
        <w:t>Elizabeth Bell</w:t>
      </w:r>
    </w:p>
    <w:p w14:paraId="0CE957AA" w14:textId="6B092315" w:rsidR="00761B0B" w:rsidRPr="008E33B8" w:rsidRDefault="008629A0" w:rsidP="00761B0B">
      <w:pPr>
        <w:jc w:val="center"/>
        <w:rPr>
          <w:rFonts w:ascii="Palatino Linotype" w:hAnsi="Palatino Linotype" w:cs="Times New Roman"/>
          <w:sz w:val="24"/>
        </w:rPr>
      </w:pPr>
      <w:r>
        <w:rPr>
          <w:rFonts w:ascii="Palatino Linotype" w:hAnsi="Palatino Linotype" w:cs="Times New Roman"/>
          <w:sz w:val="24"/>
        </w:rPr>
        <w:t>Norman, Oklahoma</w:t>
      </w:r>
    </w:p>
    <w:p w14:paraId="6ED4CA7B" w14:textId="13D183FC" w:rsidR="00761B0B" w:rsidRDefault="008629A0" w:rsidP="00761B0B">
      <w:pPr>
        <w:jc w:val="center"/>
        <w:rPr>
          <w:rFonts w:ascii="Palatino Linotype" w:hAnsi="Palatino Linotype" w:cs="Times New Roman"/>
          <w:sz w:val="24"/>
        </w:rPr>
      </w:pPr>
      <w:r>
        <w:rPr>
          <w:rFonts w:ascii="Palatino Linotype" w:hAnsi="Palatino Linotype" w:cs="Times New Roman"/>
          <w:sz w:val="24"/>
        </w:rPr>
        <w:t>2019</w:t>
      </w:r>
    </w:p>
    <w:p w14:paraId="67C117D6" w14:textId="77777777" w:rsidR="00535553" w:rsidRDefault="00535553" w:rsidP="00761B0B">
      <w:pPr>
        <w:jc w:val="center"/>
        <w:rPr>
          <w:rFonts w:ascii="Palatino Linotype" w:hAnsi="Palatino Linotype" w:cs="Times New Roman"/>
          <w:sz w:val="24"/>
        </w:rPr>
      </w:pPr>
    </w:p>
    <w:p w14:paraId="5AEAAFFE" w14:textId="77777777" w:rsidR="001E4F19" w:rsidRPr="008E33B8" w:rsidRDefault="001E4F19" w:rsidP="001E4F19">
      <w:pPr>
        <w:spacing w:line="240" w:lineRule="auto"/>
        <w:jc w:val="center"/>
        <w:rPr>
          <w:rFonts w:ascii="Palatino Linotype" w:hAnsi="Palatino Linotype" w:cs="Times New Roman"/>
          <w:sz w:val="28"/>
        </w:rPr>
      </w:pPr>
      <w:r>
        <w:rPr>
          <w:rFonts w:ascii="Palatino Linotype" w:hAnsi="Palatino Linotype" w:cs="Times New Roman"/>
          <w:sz w:val="28"/>
        </w:rPr>
        <w:lastRenderedPageBreak/>
        <w:t>Free College for Whom? How Politics, Policy Design, and Public Management Shapes Program Access and Success</w:t>
      </w:r>
    </w:p>
    <w:p w14:paraId="7468B396" w14:textId="36AD3E7F" w:rsidR="00761B0B" w:rsidRDefault="00761B0B" w:rsidP="00761B0B">
      <w:pPr>
        <w:jc w:val="center"/>
        <w:rPr>
          <w:rFonts w:ascii="Palatino Linotype" w:hAnsi="Palatino Linotype" w:cs="Times New Roman"/>
          <w:sz w:val="24"/>
        </w:rPr>
      </w:pPr>
    </w:p>
    <w:p w14:paraId="2F435B64" w14:textId="080DC880" w:rsidR="007A760E" w:rsidRDefault="007A760E" w:rsidP="00761B0B">
      <w:pPr>
        <w:jc w:val="center"/>
        <w:rPr>
          <w:rFonts w:ascii="Palatino Linotype" w:hAnsi="Palatino Linotype" w:cs="Times New Roman"/>
          <w:sz w:val="24"/>
        </w:rPr>
      </w:pPr>
      <w:r>
        <w:rPr>
          <w:rFonts w:ascii="Palatino Linotype" w:hAnsi="Palatino Linotype" w:cs="Times New Roman"/>
          <w:sz w:val="24"/>
        </w:rPr>
        <w:t>A DISSERTATION APPROVED FOR THE DEPARTMENT OF POLITICAL SCIENCE</w:t>
      </w:r>
    </w:p>
    <w:p w14:paraId="44ED7396" w14:textId="64782C57" w:rsidR="007A760E" w:rsidRDefault="007A760E" w:rsidP="00761B0B">
      <w:pPr>
        <w:jc w:val="center"/>
        <w:rPr>
          <w:rFonts w:ascii="Palatino Linotype" w:hAnsi="Palatino Linotype" w:cs="Times New Roman"/>
          <w:sz w:val="24"/>
        </w:rPr>
      </w:pPr>
    </w:p>
    <w:p w14:paraId="7149E031" w14:textId="3A2AA8CB" w:rsidR="007A760E" w:rsidRDefault="007A760E" w:rsidP="00761B0B">
      <w:pPr>
        <w:jc w:val="center"/>
        <w:rPr>
          <w:rFonts w:ascii="Palatino Linotype" w:hAnsi="Palatino Linotype" w:cs="Times New Roman"/>
          <w:sz w:val="24"/>
        </w:rPr>
      </w:pPr>
    </w:p>
    <w:p w14:paraId="119A4A4B" w14:textId="2452269C" w:rsidR="007A760E" w:rsidRDefault="007A760E" w:rsidP="00761B0B">
      <w:pPr>
        <w:jc w:val="center"/>
        <w:rPr>
          <w:rFonts w:ascii="Palatino Linotype" w:hAnsi="Palatino Linotype" w:cs="Times New Roman"/>
          <w:sz w:val="24"/>
        </w:rPr>
      </w:pPr>
      <w:r>
        <w:rPr>
          <w:rFonts w:ascii="Palatino Linotype" w:hAnsi="Palatino Linotype" w:cs="Times New Roman"/>
          <w:sz w:val="24"/>
        </w:rPr>
        <w:t>BY</w:t>
      </w:r>
    </w:p>
    <w:p w14:paraId="6FBE78B3" w14:textId="67FABBEA" w:rsidR="00761B0B" w:rsidRDefault="00761B0B" w:rsidP="00761B0B">
      <w:pPr>
        <w:rPr>
          <w:rFonts w:ascii="Palatino Linotype" w:hAnsi="Palatino Linotype" w:cs="Times New Roman"/>
          <w:sz w:val="24"/>
        </w:rPr>
      </w:pPr>
    </w:p>
    <w:p w14:paraId="1907DD4C" w14:textId="77777777" w:rsidR="007A760E" w:rsidRDefault="007A760E" w:rsidP="00761B0B">
      <w:pPr>
        <w:rPr>
          <w:rFonts w:ascii="Palatino Linotype" w:hAnsi="Palatino Linotype" w:cs="Times New Roman"/>
          <w:sz w:val="24"/>
        </w:rPr>
      </w:pPr>
    </w:p>
    <w:p w14:paraId="79296AED" w14:textId="4154BF19" w:rsidR="00761B0B" w:rsidRDefault="007A760E" w:rsidP="00761B0B">
      <w:pPr>
        <w:rPr>
          <w:rFonts w:ascii="Palatino Linotype" w:hAnsi="Palatino Linotype" w:cs="Times New Roman"/>
          <w:sz w:val="24"/>
        </w:rPr>
      </w:pPr>
      <w:r>
        <w:rPr>
          <w:rFonts w:ascii="Palatino Linotype" w:hAnsi="Palatino Linotype" w:cs="Times New Roman"/>
          <w:sz w:val="24"/>
        </w:rPr>
        <w:t xml:space="preserve">Dr. </w:t>
      </w:r>
      <w:r w:rsidR="00761B0B">
        <w:rPr>
          <w:rFonts w:ascii="Palatino Linotype" w:hAnsi="Palatino Linotype" w:cs="Times New Roman"/>
          <w:sz w:val="24"/>
        </w:rPr>
        <w:t xml:space="preserve">Alisa Hicklin-Fryar      </w:t>
      </w:r>
      <w:r w:rsidR="00761B0B" w:rsidRPr="0006384F">
        <w:rPr>
          <w:rFonts w:ascii="Palatino Linotype" w:hAnsi="Palatino Linotype" w:cs="Times New Roman"/>
          <w:sz w:val="24"/>
        </w:rPr>
        <w:t xml:space="preserve">                        </w:t>
      </w:r>
      <w:r w:rsidR="00761B0B">
        <w:rPr>
          <w:rFonts w:ascii="Palatino Linotype" w:hAnsi="Palatino Linotype" w:cs="Times New Roman"/>
          <w:sz w:val="24"/>
        </w:rPr>
        <w:t xml:space="preserve">                           </w:t>
      </w:r>
    </w:p>
    <w:p w14:paraId="44F808B3" w14:textId="77777777" w:rsidR="00761B0B" w:rsidRDefault="00761B0B" w:rsidP="00761B0B">
      <w:pPr>
        <w:rPr>
          <w:rFonts w:ascii="Palatino Linotype" w:hAnsi="Palatino Linotype" w:cs="Times New Roman"/>
          <w:sz w:val="24"/>
        </w:rPr>
      </w:pPr>
    </w:p>
    <w:p w14:paraId="7A728594" w14:textId="6B3409C8" w:rsidR="00761B0B" w:rsidRDefault="007A760E" w:rsidP="00761B0B">
      <w:pPr>
        <w:rPr>
          <w:rFonts w:ascii="Palatino Linotype" w:hAnsi="Palatino Linotype" w:cs="Times New Roman"/>
          <w:sz w:val="24"/>
        </w:rPr>
      </w:pPr>
      <w:r>
        <w:rPr>
          <w:rFonts w:ascii="Palatino Linotype" w:hAnsi="Palatino Linotype" w:cs="Times New Roman"/>
          <w:sz w:val="24"/>
        </w:rPr>
        <w:t xml:space="preserve">Dr. </w:t>
      </w:r>
      <w:r w:rsidR="00761B0B">
        <w:rPr>
          <w:rFonts w:ascii="Palatino Linotype" w:hAnsi="Palatino Linotype" w:cs="Times New Roman"/>
          <w:sz w:val="24"/>
        </w:rPr>
        <w:t xml:space="preserve">Deven Carlson                                                                                                                            </w:t>
      </w:r>
    </w:p>
    <w:p w14:paraId="167B74B5" w14:textId="77777777" w:rsidR="00761B0B" w:rsidRDefault="00761B0B" w:rsidP="00761B0B">
      <w:pPr>
        <w:rPr>
          <w:rFonts w:ascii="Palatino Linotype" w:hAnsi="Palatino Linotype" w:cs="Times New Roman"/>
          <w:sz w:val="24"/>
        </w:rPr>
      </w:pPr>
    </w:p>
    <w:p w14:paraId="1938F3A3" w14:textId="4668267B" w:rsidR="00761B0B" w:rsidRDefault="007A760E" w:rsidP="00761B0B">
      <w:pPr>
        <w:rPr>
          <w:rFonts w:ascii="Palatino Linotype" w:hAnsi="Palatino Linotype" w:cs="Times New Roman"/>
          <w:sz w:val="24"/>
        </w:rPr>
      </w:pPr>
      <w:r>
        <w:rPr>
          <w:rFonts w:ascii="Palatino Linotype" w:hAnsi="Palatino Linotype" w:cs="Times New Roman"/>
          <w:sz w:val="24"/>
        </w:rPr>
        <w:t xml:space="preserve">Dr. </w:t>
      </w:r>
      <w:r w:rsidR="00761B0B">
        <w:rPr>
          <w:rFonts w:ascii="Palatino Linotype" w:hAnsi="Palatino Linotype" w:cs="Times New Roman"/>
          <w:sz w:val="24"/>
        </w:rPr>
        <w:t xml:space="preserve">Samuel Workman                                                                                                                    </w:t>
      </w:r>
    </w:p>
    <w:p w14:paraId="38E76A50" w14:textId="77777777" w:rsidR="00761B0B" w:rsidRDefault="00761B0B" w:rsidP="00761B0B">
      <w:pPr>
        <w:rPr>
          <w:rFonts w:ascii="Palatino Linotype" w:hAnsi="Palatino Linotype" w:cs="Times New Roman"/>
          <w:sz w:val="24"/>
        </w:rPr>
      </w:pPr>
    </w:p>
    <w:p w14:paraId="20E65E73" w14:textId="24991B05" w:rsidR="00761B0B" w:rsidRDefault="007A760E" w:rsidP="00761B0B">
      <w:pPr>
        <w:rPr>
          <w:rFonts w:ascii="Palatino Linotype" w:hAnsi="Palatino Linotype" w:cs="Times New Roman"/>
          <w:sz w:val="24"/>
        </w:rPr>
      </w:pPr>
      <w:r>
        <w:rPr>
          <w:rFonts w:ascii="Palatino Linotype" w:hAnsi="Palatino Linotype" w:cs="Times New Roman"/>
          <w:sz w:val="24"/>
        </w:rPr>
        <w:t xml:space="preserve">Dr. </w:t>
      </w:r>
      <w:r w:rsidR="00761B0B">
        <w:rPr>
          <w:rFonts w:ascii="Palatino Linotype" w:hAnsi="Palatino Linotype" w:cs="Times New Roman"/>
          <w:sz w:val="24"/>
        </w:rPr>
        <w:t xml:space="preserve">Abhisekh Ghosh Moulick                                                                                                                          </w:t>
      </w:r>
    </w:p>
    <w:p w14:paraId="40C21E05" w14:textId="77777777" w:rsidR="00761B0B" w:rsidRDefault="00761B0B" w:rsidP="00761B0B">
      <w:pPr>
        <w:rPr>
          <w:rFonts w:ascii="Palatino Linotype" w:hAnsi="Palatino Linotype" w:cs="Times New Roman"/>
          <w:sz w:val="24"/>
        </w:rPr>
      </w:pPr>
    </w:p>
    <w:p w14:paraId="72068127" w14:textId="20AE5C98" w:rsidR="00761B0B" w:rsidRPr="00C64B27" w:rsidRDefault="007A760E" w:rsidP="00761B0B">
      <w:pPr>
        <w:rPr>
          <w:rFonts w:ascii="Palatino Linotype" w:hAnsi="Palatino Linotype" w:cs="Times New Roman"/>
          <w:sz w:val="24"/>
        </w:rPr>
      </w:pPr>
      <w:r>
        <w:rPr>
          <w:rFonts w:ascii="Palatino Linotype" w:hAnsi="Palatino Linotype" w:cs="Times New Roman"/>
          <w:sz w:val="24"/>
        </w:rPr>
        <w:t xml:space="preserve">Dr. </w:t>
      </w:r>
      <w:r w:rsidR="00761B0B">
        <w:rPr>
          <w:rFonts w:ascii="Palatino Linotype" w:hAnsi="Palatino Linotype" w:cs="Times New Roman"/>
          <w:sz w:val="24"/>
        </w:rPr>
        <w:t xml:space="preserve">Gregg Garn                                                                                                                                             </w:t>
      </w:r>
    </w:p>
    <w:p w14:paraId="3412AC2C" w14:textId="5835DC63" w:rsidR="008629A0" w:rsidRDefault="008629A0">
      <w:pPr>
        <w:rPr>
          <w:rFonts w:ascii="Palatino Linotype" w:hAnsi="Palatino Linotype" w:cs="Times New Roman"/>
        </w:rPr>
      </w:pPr>
      <w:r>
        <w:rPr>
          <w:rFonts w:ascii="Palatino Linotype" w:hAnsi="Palatino Linotype" w:cs="Times New Roman"/>
        </w:rPr>
        <w:br w:type="page"/>
      </w:r>
    </w:p>
    <w:p w14:paraId="25549DC1" w14:textId="3A34BC25" w:rsidR="007A760E" w:rsidRDefault="007A760E">
      <w:pPr>
        <w:rPr>
          <w:rFonts w:ascii="Palatino Linotype" w:hAnsi="Palatino Linotype" w:cs="Times New Roman"/>
        </w:rPr>
      </w:pPr>
    </w:p>
    <w:p w14:paraId="29CF2362" w14:textId="77777777" w:rsidR="007A760E" w:rsidRDefault="007A760E">
      <w:pPr>
        <w:rPr>
          <w:rFonts w:ascii="Palatino Linotype" w:hAnsi="Palatino Linotype" w:cs="Times New Roman"/>
        </w:rPr>
      </w:pPr>
    </w:p>
    <w:p w14:paraId="65366004" w14:textId="77777777" w:rsidR="007A760E" w:rsidRDefault="007A760E">
      <w:pPr>
        <w:rPr>
          <w:rFonts w:ascii="Palatino Linotype" w:hAnsi="Palatino Linotype" w:cs="Times New Roman"/>
        </w:rPr>
      </w:pPr>
    </w:p>
    <w:p w14:paraId="3046F4BD" w14:textId="77777777" w:rsidR="007A760E" w:rsidRDefault="007A760E">
      <w:pPr>
        <w:rPr>
          <w:rFonts w:ascii="Palatino Linotype" w:hAnsi="Palatino Linotype" w:cs="Times New Roman"/>
        </w:rPr>
      </w:pPr>
    </w:p>
    <w:p w14:paraId="6A9C1A00" w14:textId="77777777" w:rsidR="007A760E" w:rsidRDefault="007A760E">
      <w:pPr>
        <w:rPr>
          <w:rFonts w:ascii="Palatino Linotype" w:hAnsi="Palatino Linotype" w:cs="Times New Roman"/>
        </w:rPr>
      </w:pPr>
    </w:p>
    <w:p w14:paraId="31B07EB1" w14:textId="77777777" w:rsidR="007A760E" w:rsidRDefault="007A760E">
      <w:pPr>
        <w:rPr>
          <w:rFonts w:ascii="Palatino Linotype" w:hAnsi="Palatino Linotype" w:cs="Times New Roman"/>
        </w:rPr>
      </w:pPr>
    </w:p>
    <w:p w14:paraId="20FA2A1E" w14:textId="77777777" w:rsidR="007A760E" w:rsidRDefault="007A760E">
      <w:pPr>
        <w:rPr>
          <w:rFonts w:ascii="Palatino Linotype" w:hAnsi="Palatino Linotype" w:cs="Times New Roman"/>
        </w:rPr>
      </w:pPr>
    </w:p>
    <w:p w14:paraId="6E1B8007" w14:textId="77777777" w:rsidR="007A760E" w:rsidRDefault="007A760E">
      <w:pPr>
        <w:rPr>
          <w:rFonts w:ascii="Palatino Linotype" w:hAnsi="Palatino Linotype" w:cs="Times New Roman"/>
        </w:rPr>
      </w:pPr>
    </w:p>
    <w:p w14:paraId="46656A3C" w14:textId="77777777" w:rsidR="007A760E" w:rsidRDefault="007A760E">
      <w:pPr>
        <w:rPr>
          <w:rFonts w:ascii="Palatino Linotype" w:hAnsi="Palatino Linotype" w:cs="Times New Roman"/>
        </w:rPr>
      </w:pPr>
    </w:p>
    <w:p w14:paraId="6A313BC6" w14:textId="77777777" w:rsidR="007A760E" w:rsidRDefault="007A760E">
      <w:pPr>
        <w:rPr>
          <w:rFonts w:ascii="Palatino Linotype" w:hAnsi="Palatino Linotype" w:cs="Times New Roman"/>
        </w:rPr>
      </w:pPr>
    </w:p>
    <w:p w14:paraId="0AAD376B" w14:textId="77777777" w:rsidR="007A760E" w:rsidRDefault="007A760E">
      <w:pPr>
        <w:rPr>
          <w:rFonts w:ascii="Palatino Linotype" w:hAnsi="Palatino Linotype" w:cs="Times New Roman"/>
        </w:rPr>
      </w:pPr>
    </w:p>
    <w:p w14:paraId="0666937D" w14:textId="77777777" w:rsidR="007A760E" w:rsidRDefault="007A760E">
      <w:pPr>
        <w:rPr>
          <w:rFonts w:ascii="Palatino Linotype" w:hAnsi="Palatino Linotype" w:cs="Times New Roman"/>
        </w:rPr>
      </w:pPr>
    </w:p>
    <w:p w14:paraId="0E8DF0AC" w14:textId="77777777" w:rsidR="007A760E" w:rsidRDefault="007A760E">
      <w:pPr>
        <w:rPr>
          <w:rFonts w:ascii="Palatino Linotype" w:hAnsi="Palatino Linotype" w:cs="Times New Roman"/>
        </w:rPr>
      </w:pPr>
    </w:p>
    <w:p w14:paraId="794F6B2B" w14:textId="77777777" w:rsidR="007A760E" w:rsidRDefault="007A760E">
      <w:pPr>
        <w:rPr>
          <w:rFonts w:ascii="Palatino Linotype" w:hAnsi="Palatino Linotype" w:cs="Times New Roman"/>
        </w:rPr>
      </w:pPr>
    </w:p>
    <w:p w14:paraId="0AA17D4D" w14:textId="77777777" w:rsidR="007A760E" w:rsidRDefault="007A760E">
      <w:pPr>
        <w:rPr>
          <w:rFonts w:ascii="Palatino Linotype" w:hAnsi="Palatino Linotype" w:cs="Times New Roman"/>
        </w:rPr>
      </w:pPr>
    </w:p>
    <w:p w14:paraId="5EB87659" w14:textId="77777777" w:rsidR="007A760E" w:rsidRDefault="007A760E">
      <w:pPr>
        <w:rPr>
          <w:rFonts w:ascii="Palatino Linotype" w:hAnsi="Palatino Linotype" w:cs="Times New Roman"/>
        </w:rPr>
      </w:pPr>
    </w:p>
    <w:p w14:paraId="7097E969" w14:textId="77777777" w:rsidR="007A760E" w:rsidRDefault="007A760E">
      <w:pPr>
        <w:rPr>
          <w:rFonts w:ascii="Palatino Linotype" w:hAnsi="Palatino Linotype" w:cs="Times New Roman"/>
        </w:rPr>
      </w:pPr>
    </w:p>
    <w:p w14:paraId="1AEEC56A" w14:textId="77777777" w:rsidR="007A760E" w:rsidRDefault="007A760E">
      <w:pPr>
        <w:rPr>
          <w:rFonts w:ascii="Palatino Linotype" w:hAnsi="Palatino Linotype" w:cs="Times New Roman"/>
        </w:rPr>
      </w:pPr>
    </w:p>
    <w:p w14:paraId="1AC1C18A" w14:textId="77777777" w:rsidR="007A760E" w:rsidRDefault="007A760E">
      <w:pPr>
        <w:rPr>
          <w:rFonts w:ascii="Palatino Linotype" w:hAnsi="Palatino Linotype" w:cs="Times New Roman"/>
        </w:rPr>
      </w:pPr>
    </w:p>
    <w:p w14:paraId="7AAEF128" w14:textId="77777777" w:rsidR="007A760E" w:rsidRDefault="007A760E">
      <w:pPr>
        <w:rPr>
          <w:rFonts w:ascii="Palatino Linotype" w:hAnsi="Palatino Linotype" w:cs="Times New Roman"/>
        </w:rPr>
      </w:pPr>
    </w:p>
    <w:p w14:paraId="09D28217" w14:textId="77777777" w:rsidR="007A760E" w:rsidRDefault="007A760E">
      <w:pPr>
        <w:rPr>
          <w:rFonts w:ascii="Palatino Linotype" w:hAnsi="Palatino Linotype" w:cs="Times New Roman"/>
        </w:rPr>
      </w:pPr>
    </w:p>
    <w:p w14:paraId="72BEEC13" w14:textId="77777777" w:rsidR="007A760E" w:rsidRDefault="007A760E">
      <w:pPr>
        <w:rPr>
          <w:rFonts w:ascii="Palatino Linotype" w:hAnsi="Palatino Linotype" w:cs="Times New Roman"/>
        </w:rPr>
      </w:pPr>
    </w:p>
    <w:p w14:paraId="6A0F3FD9" w14:textId="77777777" w:rsidR="007A760E" w:rsidRDefault="007A760E">
      <w:pPr>
        <w:rPr>
          <w:rFonts w:ascii="Palatino Linotype" w:hAnsi="Palatino Linotype" w:cs="Times New Roman"/>
        </w:rPr>
      </w:pPr>
    </w:p>
    <w:p w14:paraId="407884FE" w14:textId="77777777" w:rsidR="007A760E" w:rsidRDefault="007A760E">
      <w:pPr>
        <w:rPr>
          <w:rFonts w:ascii="Palatino Linotype" w:hAnsi="Palatino Linotype" w:cs="Times New Roman"/>
        </w:rPr>
      </w:pPr>
    </w:p>
    <w:p w14:paraId="3066BC8C" w14:textId="77777777" w:rsidR="007A760E" w:rsidRDefault="007A760E">
      <w:pPr>
        <w:rPr>
          <w:rFonts w:ascii="Palatino Linotype" w:hAnsi="Palatino Linotype" w:cs="Times New Roman"/>
        </w:rPr>
      </w:pPr>
    </w:p>
    <w:p w14:paraId="6DC0A7FF" w14:textId="77777777" w:rsidR="007A760E" w:rsidRDefault="007A760E" w:rsidP="007A760E">
      <w:pPr>
        <w:jc w:val="center"/>
        <w:rPr>
          <w:rFonts w:ascii="Palatino Linotype" w:hAnsi="Palatino Linotype" w:cs="Times New Roman"/>
        </w:rPr>
      </w:pPr>
      <w:r>
        <w:rPr>
          <w:rFonts w:ascii="Palatino Linotype" w:hAnsi="Palatino Linotype" w:cs="Times New Roman"/>
        </w:rPr>
        <w:t>© Copyright by Elizabeth Bell 2019</w:t>
      </w:r>
    </w:p>
    <w:p w14:paraId="2AB03A19" w14:textId="77777777" w:rsidR="004A260C" w:rsidRDefault="007A760E" w:rsidP="007A760E">
      <w:pPr>
        <w:jc w:val="center"/>
        <w:rPr>
          <w:rFonts w:ascii="Palatino Linotype" w:hAnsi="Palatino Linotype" w:cs="Times New Roman"/>
        </w:rPr>
        <w:sectPr w:rsidR="004A260C" w:rsidSect="00210F52">
          <w:headerReference w:type="default" r:id="rId8"/>
          <w:pgSz w:w="12240" w:h="15840"/>
          <w:pgMar w:top="1440" w:right="1440" w:bottom="1440" w:left="1440" w:header="720" w:footer="720" w:gutter="0"/>
          <w:cols w:space="720"/>
          <w:docGrid w:linePitch="360"/>
        </w:sectPr>
      </w:pPr>
      <w:r>
        <w:rPr>
          <w:rFonts w:ascii="Palatino Linotype" w:hAnsi="Palatino Linotype" w:cs="Times New Roman"/>
        </w:rPr>
        <w:t>All Rights Reserved</w:t>
      </w:r>
    </w:p>
    <w:p w14:paraId="5FA8FEFE" w14:textId="3032DF60" w:rsidR="00D33EF5" w:rsidRDefault="00D33EF5" w:rsidP="007A760E">
      <w:pPr>
        <w:jc w:val="center"/>
        <w:rPr>
          <w:rFonts w:ascii="Palatino Linotype" w:hAnsi="Palatino Linotype" w:cs="Times New Roman"/>
        </w:rPr>
      </w:pPr>
    </w:p>
    <w:p w14:paraId="5957A074" w14:textId="77777777" w:rsidR="00D33EF5" w:rsidRPr="00D33EF5" w:rsidRDefault="00D33EF5" w:rsidP="007A760E">
      <w:pPr>
        <w:jc w:val="center"/>
        <w:rPr>
          <w:rFonts w:ascii="Palatino Linotype" w:hAnsi="Palatino Linotype" w:cs="Times New Roman"/>
          <w:b/>
        </w:rPr>
      </w:pPr>
      <w:r w:rsidRPr="00D33EF5">
        <w:rPr>
          <w:rFonts w:ascii="Palatino Linotype" w:hAnsi="Palatino Linotype" w:cs="Times New Roman"/>
          <w:b/>
        </w:rPr>
        <w:t>Acknowledgements</w:t>
      </w:r>
    </w:p>
    <w:p w14:paraId="0F1D5B6A" w14:textId="3B86BCF7" w:rsidR="001D114D" w:rsidRDefault="00B84562" w:rsidP="00B84562">
      <w:pPr>
        <w:rPr>
          <w:rFonts w:ascii="Palatino Linotype" w:hAnsi="Palatino Linotype" w:cs="Times New Roman"/>
        </w:rPr>
      </w:pPr>
      <w:r>
        <w:rPr>
          <w:rFonts w:ascii="Palatino Linotype" w:hAnsi="Palatino Linotype" w:cs="Times New Roman"/>
        </w:rPr>
        <w:t>This project would not have been possible without all of the support</w:t>
      </w:r>
      <w:r w:rsidR="000E0244">
        <w:rPr>
          <w:rFonts w:ascii="Palatino Linotype" w:hAnsi="Palatino Linotype" w:cs="Times New Roman"/>
        </w:rPr>
        <w:t xml:space="preserve"> and </w:t>
      </w:r>
      <w:r>
        <w:rPr>
          <w:rFonts w:ascii="Palatino Linotype" w:hAnsi="Palatino Linotype" w:cs="Times New Roman"/>
        </w:rPr>
        <w:t xml:space="preserve">encouragement </w:t>
      </w:r>
      <w:r w:rsidR="000E0244">
        <w:rPr>
          <w:rFonts w:ascii="Palatino Linotype" w:hAnsi="Palatino Linotype" w:cs="Times New Roman"/>
        </w:rPr>
        <w:t xml:space="preserve">from </w:t>
      </w:r>
      <w:r>
        <w:rPr>
          <w:rFonts w:ascii="Palatino Linotype" w:hAnsi="Palatino Linotype" w:cs="Times New Roman"/>
        </w:rPr>
        <w:t xml:space="preserve">so many people. </w:t>
      </w:r>
      <w:r w:rsidR="00D93D24">
        <w:rPr>
          <w:rFonts w:ascii="Palatino Linotype" w:hAnsi="Palatino Linotype" w:cs="Times New Roman"/>
        </w:rPr>
        <w:t>Without</w:t>
      </w:r>
      <w:r>
        <w:rPr>
          <w:rFonts w:ascii="Palatino Linotype" w:hAnsi="Palatino Linotype" w:cs="Times New Roman"/>
        </w:rPr>
        <w:t xml:space="preserve"> my advisers</w:t>
      </w:r>
      <w:r w:rsidR="00D93D24">
        <w:rPr>
          <w:rFonts w:ascii="Palatino Linotype" w:hAnsi="Palatino Linotype" w:cs="Times New Roman"/>
        </w:rPr>
        <w:t>, Deven Carlson and Alisa Fryar,</w:t>
      </w:r>
      <w:r>
        <w:rPr>
          <w:rFonts w:ascii="Palatino Linotype" w:hAnsi="Palatino Linotype" w:cs="Times New Roman"/>
        </w:rPr>
        <w:t xml:space="preserve"> </w:t>
      </w:r>
      <w:r w:rsidR="00D93D24">
        <w:rPr>
          <w:rFonts w:ascii="Palatino Linotype" w:hAnsi="Palatino Linotype" w:cs="Times New Roman"/>
        </w:rPr>
        <w:t>I would have not even gone to graduate school and certainly wouldn’t have been able to produce this dissertation project. Deven</w:t>
      </w:r>
      <w:r w:rsidR="000E0244">
        <w:rPr>
          <w:rFonts w:ascii="Palatino Linotype" w:hAnsi="Palatino Linotype" w:cs="Times New Roman"/>
        </w:rPr>
        <w:t xml:space="preserve"> demonstrated</w:t>
      </w:r>
      <w:r w:rsidR="00D93D24">
        <w:rPr>
          <w:rFonts w:ascii="Palatino Linotype" w:hAnsi="Palatino Linotype" w:cs="Times New Roman"/>
        </w:rPr>
        <w:t xml:space="preserve"> what it means to do rigorous research that has a real impact on policy </w:t>
      </w:r>
      <w:r w:rsidR="000E0244">
        <w:rPr>
          <w:rFonts w:ascii="Palatino Linotype" w:hAnsi="Palatino Linotype" w:cs="Times New Roman"/>
        </w:rPr>
        <w:t>and dedicated</w:t>
      </w:r>
      <w:r w:rsidR="00D93D24">
        <w:rPr>
          <w:rFonts w:ascii="Palatino Linotype" w:hAnsi="Palatino Linotype" w:cs="Times New Roman"/>
        </w:rPr>
        <w:t xml:space="preserve"> countless hours </w:t>
      </w:r>
      <w:r w:rsidR="000E0244">
        <w:rPr>
          <w:rFonts w:ascii="Palatino Linotype" w:hAnsi="Palatino Linotype" w:cs="Times New Roman"/>
        </w:rPr>
        <w:t>to patiently and expertly guiding me as I</w:t>
      </w:r>
      <w:r w:rsidR="00D93D24">
        <w:rPr>
          <w:rFonts w:ascii="Palatino Linotype" w:hAnsi="Palatino Linotype" w:cs="Times New Roman"/>
        </w:rPr>
        <w:t xml:space="preserve"> struggled with concepts, methods, </w:t>
      </w:r>
      <w:r w:rsidR="00587451">
        <w:rPr>
          <w:rFonts w:ascii="Palatino Linotype" w:hAnsi="Palatino Linotype" w:cs="Times New Roman"/>
        </w:rPr>
        <w:t xml:space="preserve">and mastering the art of writing well. </w:t>
      </w:r>
      <w:r w:rsidR="00E05851">
        <w:rPr>
          <w:rFonts w:ascii="Palatino Linotype" w:hAnsi="Palatino Linotype" w:cs="Times New Roman"/>
        </w:rPr>
        <w:t xml:space="preserve">When others </w:t>
      </w:r>
      <w:r w:rsidR="00A13767">
        <w:rPr>
          <w:rFonts w:ascii="Palatino Linotype" w:hAnsi="Palatino Linotype" w:cs="Times New Roman"/>
        </w:rPr>
        <w:t xml:space="preserve">looked down on my work for being too “applied”, </w:t>
      </w:r>
      <w:r w:rsidR="000E0244">
        <w:rPr>
          <w:rFonts w:ascii="Palatino Linotype" w:hAnsi="Palatino Linotype" w:cs="Times New Roman"/>
        </w:rPr>
        <w:t>Deven</w:t>
      </w:r>
      <w:r w:rsidR="00A13767">
        <w:rPr>
          <w:rFonts w:ascii="Palatino Linotype" w:hAnsi="Palatino Linotype" w:cs="Times New Roman"/>
        </w:rPr>
        <w:t xml:space="preserve"> encouraged me to </w:t>
      </w:r>
      <w:r w:rsidR="007166D1">
        <w:rPr>
          <w:rFonts w:ascii="Palatino Linotype" w:hAnsi="Palatino Linotype" w:cs="Times New Roman"/>
        </w:rPr>
        <w:t>use my</w:t>
      </w:r>
      <w:r w:rsidR="00A13767">
        <w:rPr>
          <w:rFonts w:ascii="Palatino Linotype" w:hAnsi="Palatino Linotype" w:cs="Times New Roman"/>
        </w:rPr>
        <w:t xml:space="preserve"> passion and skill </w:t>
      </w:r>
      <w:r w:rsidR="007166D1">
        <w:rPr>
          <w:rFonts w:ascii="Palatino Linotype" w:hAnsi="Palatino Linotype" w:cs="Times New Roman"/>
        </w:rPr>
        <w:t>to strike the</w:t>
      </w:r>
      <w:r w:rsidR="00A13767">
        <w:rPr>
          <w:rFonts w:ascii="Palatino Linotype" w:hAnsi="Palatino Linotype" w:cs="Times New Roman"/>
        </w:rPr>
        <w:t xml:space="preserve"> balance</w:t>
      </w:r>
      <w:r w:rsidR="007166D1">
        <w:rPr>
          <w:rFonts w:ascii="Palatino Linotype" w:hAnsi="Palatino Linotype" w:cs="Times New Roman"/>
        </w:rPr>
        <w:t xml:space="preserve"> between</w:t>
      </w:r>
      <w:r w:rsidR="00A13767">
        <w:rPr>
          <w:rFonts w:ascii="Palatino Linotype" w:hAnsi="Palatino Linotype" w:cs="Times New Roman"/>
        </w:rPr>
        <w:t xml:space="preserve"> theoretical rigor with policy relevance—something that shines through in this dissertation project. </w:t>
      </w:r>
      <w:r w:rsidR="00587451">
        <w:rPr>
          <w:rFonts w:ascii="Palatino Linotype" w:hAnsi="Palatino Linotype" w:cs="Times New Roman"/>
        </w:rPr>
        <w:t xml:space="preserve">If I can become a scholar akin to </w:t>
      </w:r>
      <w:r w:rsidR="000E0244">
        <w:rPr>
          <w:rFonts w:ascii="Palatino Linotype" w:hAnsi="Palatino Linotype" w:cs="Times New Roman"/>
        </w:rPr>
        <w:t>him</w:t>
      </w:r>
      <w:r w:rsidR="00587451">
        <w:rPr>
          <w:rFonts w:ascii="Palatino Linotype" w:hAnsi="Palatino Linotype" w:cs="Times New Roman"/>
        </w:rPr>
        <w:t xml:space="preserve">, it would be one of my greatest accomplishments. </w:t>
      </w:r>
      <w:r w:rsidR="00E05851">
        <w:rPr>
          <w:rFonts w:ascii="Palatino Linotype" w:hAnsi="Palatino Linotype" w:cs="Times New Roman"/>
        </w:rPr>
        <w:t xml:space="preserve">More than anything, though, I will never forget </w:t>
      </w:r>
      <w:r w:rsidR="000E0244">
        <w:rPr>
          <w:rFonts w:ascii="Palatino Linotype" w:hAnsi="Palatino Linotype" w:cs="Times New Roman"/>
        </w:rPr>
        <w:t>the</w:t>
      </w:r>
      <w:r w:rsidR="00E05851">
        <w:rPr>
          <w:rFonts w:ascii="Palatino Linotype" w:hAnsi="Palatino Linotype" w:cs="Times New Roman"/>
        </w:rPr>
        <w:t xml:space="preserve"> lessons about the delicate balance between the love of family and </w:t>
      </w:r>
      <w:r w:rsidR="00A13767">
        <w:rPr>
          <w:rFonts w:ascii="Palatino Linotype" w:hAnsi="Palatino Linotype" w:cs="Times New Roman"/>
        </w:rPr>
        <w:t>hard</w:t>
      </w:r>
      <w:r w:rsidR="00E05851">
        <w:rPr>
          <w:rFonts w:ascii="Palatino Linotype" w:hAnsi="Palatino Linotype" w:cs="Times New Roman"/>
        </w:rPr>
        <w:t xml:space="preserve"> work. </w:t>
      </w:r>
      <w:r w:rsidR="000E0244">
        <w:rPr>
          <w:rFonts w:ascii="Palatino Linotype" w:hAnsi="Palatino Linotype" w:cs="Times New Roman"/>
        </w:rPr>
        <w:t>Deven’s</w:t>
      </w:r>
      <w:r w:rsidR="00E05851">
        <w:rPr>
          <w:rFonts w:ascii="Palatino Linotype" w:hAnsi="Palatino Linotype" w:cs="Times New Roman"/>
        </w:rPr>
        <w:t xml:space="preserve"> family will </w:t>
      </w:r>
      <w:r w:rsidR="001F19D3">
        <w:rPr>
          <w:rFonts w:ascii="Palatino Linotype" w:hAnsi="Palatino Linotype" w:cs="Times New Roman"/>
        </w:rPr>
        <w:t>always</w:t>
      </w:r>
      <w:r w:rsidR="00E05851">
        <w:rPr>
          <w:rFonts w:ascii="Palatino Linotype" w:hAnsi="Palatino Linotype" w:cs="Times New Roman"/>
        </w:rPr>
        <w:t xml:space="preserve"> be very special to me—</w:t>
      </w:r>
      <w:r w:rsidR="00A13767">
        <w:rPr>
          <w:rFonts w:ascii="Palatino Linotype" w:hAnsi="Palatino Linotype" w:cs="Times New Roman"/>
        </w:rPr>
        <w:t xml:space="preserve">I will never forget </w:t>
      </w:r>
      <w:r w:rsidR="007166D1">
        <w:rPr>
          <w:rFonts w:ascii="Palatino Linotype" w:hAnsi="Palatino Linotype" w:cs="Times New Roman"/>
        </w:rPr>
        <w:t>all of the fun Lila, Natalie and I had at the Center and I will never forget the kindness and generosity of Nina.</w:t>
      </w:r>
      <w:r w:rsidR="000F357D">
        <w:rPr>
          <w:rFonts w:ascii="Palatino Linotype" w:hAnsi="Palatino Linotype" w:cs="Times New Roman"/>
        </w:rPr>
        <w:t xml:space="preserve"> Much of the same goes for </w:t>
      </w:r>
      <w:r w:rsidR="00587451">
        <w:rPr>
          <w:rFonts w:ascii="Palatino Linotype" w:hAnsi="Palatino Linotype" w:cs="Times New Roman"/>
        </w:rPr>
        <w:t>Alisa,</w:t>
      </w:r>
      <w:r w:rsidR="000F357D">
        <w:rPr>
          <w:rFonts w:ascii="Palatino Linotype" w:hAnsi="Palatino Linotype" w:cs="Times New Roman"/>
        </w:rPr>
        <w:t xml:space="preserve"> who has been my own personal mascot </w:t>
      </w:r>
      <w:r w:rsidR="000E0244">
        <w:rPr>
          <w:rFonts w:ascii="Palatino Linotype" w:hAnsi="Palatino Linotype" w:cs="Times New Roman"/>
        </w:rPr>
        <w:t>and</w:t>
      </w:r>
      <w:r w:rsidR="000F357D">
        <w:rPr>
          <w:rFonts w:ascii="Palatino Linotype" w:hAnsi="Palatino Linotype" w:cs="Times New Roman"/>
        </w:rPr>
        <w:t xml:space="preserve"> cheerleader throughout graduate school.</w:t>
      </w:r>
      <w:r w:rsidR="007F65BC">
        <w:rPr>
          <w:rFonts w:ascii="Palatino Linotype" w:hAnsi="Palatino Linotype" w:cs="Times New Roman"/>
        </w:rPr>
        <w:t xml:space="preserve"> </w:t>
      </w:r>
      <w:r w:rsidR="000F357D">
        <w:rPr>
          <w:rFonts w:ascii="Palatino Linotype" w:hAnsi="Palatino Linotype" w:cs="Times New Roman"/>
        </w:rPr>
        <w:t>Alisa</w:t>
      </w:r>
      <w:r w:rsidR="000E0244">
        <w:rPr>
          <w:rFonts w:ascii="Palatino Linotype" w:hAnsi="Palatino Linotype" w:cs="Times New Roman"/>
        </w:rPr>
        <w:t xml:space="preserve"> constantly reminded</w:t>
      </w:r>
      <w:r w:rsidR="00587451">
        <w:rPr>
          <w:rFonts w:ascii="Palatino Linotype" w:hAnsi="Palatino Linotype" w:cs="Times New Roman"/>
        </w:rPr>
        <w:t xml:space="preserve"> me that I am not an imposter in this profession and that what I have to say matters. </w:t>
      </w:r>
      <w:r w:rsidR="0098014E">
        <w:rPr>
          <w:rFonts w:ascii="Palatino Linotype" w:hAnsi="Palatino Linotype" w:cs="Times New Roman"/>
        </w:rPr>
        <w:t xml:space="preserve">I am so thankful that I met </w:t>
      </w:r>
      <w:r w:rsidR="000E0244">
        <w:rPr>
          <w:rFonts w:ascii="Palatino Linotype" w:hAnsi="Palatino Linotype" w:cs="Times New Roman"/>
        </w:rPr>
        <w:t>Alisa</w:t>
      </w:r>
      <w:r w:rsidR="0098014E">
        <w:rPr>
          <w:rFonts w:ascii="Palatino Linotype" w:hAnsi="Palatino Linotype" w:cs="Times New Roman"/>
        </w:rPr>
        <w:t xml:space="preserve"> </w:t>
      </w:r>
      <w:r w:rsidR="00ED13F9">
        <w:rPr>
          <w:rFonts w:ascii="Palatino Linotype" w:hAnsi="Palatino Linotype" w:cs="Times New Roman"/>
        </w:rPr>
        <w:t xml:space="preserve">serendipitously </w:t>
      </w:r>
      <w:r w:rsidR="0098014E">
        <w:rPr>
          <w:rFonts w:ascii="Palatino Linotype" w:hAnsi="Palatino Linotype" w:cs="Times New Roman"/>
        </w:rPr>
        <w:t xml:space="preserve">in D.C. </w:t>
      </w:r>
      <w:r w:rsidR="000E0244">
        <w:rPr>
          <w:rFonts w:ascii="Palatino Linotype" w:hAnsi="Palatino Linotype" w:cs="Times New Roman"/>
        </w:rPr>
        <w:t>and got the opportunity to work with her</w:t>
      </w:r>
      <w:r w:rsidR="0098014E">
        <w:rPr>
          <w:rFonts w:ascii="Palatino Linotype" w:hAnsi="Palatino Linotype" w:cs="Times New Roman"/>
        </w:rPr>
        <w:t xml:space="preserve">. </w:t>
      </w:r>
      <w:r w:rsidR="00FB3121">
        <w:rPr>
          <w:rFonts w:ascii="Palatino Linotype" w:hAnsi="Palatino Linotype" w:cs="Times New Roman"/>
        </w:rPr>
        <w:t>I can never thank</w:t>
      </w:r>
      <w:r w:rsidR="0098014E">
        <w:rPr>
          <w:rFonts w:ascii="Palatino Linotype" w:hAnsi="Palatino Linotype" w:cs="Times New Roman"/>
        </w:rPr>
        <w:t xml:space="preserve"> Alisa and Deven </w:t>
      </w:r>
      <w:r w:rsidR="00FB3121">
        <w:rPr>
          <w:rFonts w:ascii="Palatino Linotype" w:hAnsi="Palatino Linotype" w:cs="Times New Roman"/>
        </w:rPr>
        <w:t>enough for</w:t>
      </w:r>
      <w:r w:rsidR="0098014E">
        <w:rPr>
          <w:rFonts w:ascii="Palatino Linotype" w:hAnsi="Palatino Linotype" w:cs="Times New Roman"/>
        </w:rPr>
        <w:t xml:space="preserve"> </w:t>
      </w:r>
      <w:r w:rsidR="002A1F7D">
        <w:rPr>
          <w:rFonts w:ascii="Palatino Linotype" w:hAnsi="Palatino Linotype" w:cs="Times New Roman"/>
        </w:rPr>
        <w:t>generously open</w:t>
      </w:r>
      <w:r w:rsidR="00FB3121">
        <w:rPr>
          <w:rFonts w:ascii="Palatino Linotype" w:hAnsi="Palatino Linotype" w:cs="Times New Roman"/>
        </w:rPr>
        <w:t>ing</w:t>
      </w:r>
      <w:r w:rsidR="002A1F7D">
        <w:rPr>
          <w:rFonts w:ascii="Palatino Linotype" w:hAnsi="Palatino Linotype" w:cs="Times New Roman"/>
        </w:rPr>
        <w:t xml:space="preserve"> </w:t>
      </w:r>
      <w:r w:rsidR="00FB3121">
        <w:rPr>
          <w:rFonts w:ascii="Palatino Linotype" w:hAnsi="Palatino Linotype" w:cs="Times New Roman"/>
        </w:rPr>
        <w:t>their</w:t>
      </w:r>
      <w:r w:rsidR="002A1F7D">
        <w:rPr>
          <w:rFonts w:ascii="Palatino Linotype" w:hAnsi="Palatino Linotype" w:cs="Times New Roman"/>
        </w:rPr>
        <w:t xml:space="preserve"> doors for me anytime I needed it</w:t>
      </w:r>
      <w:r w:rsidR="00FB3121">
        <w:rPr>
          <w:rFonts w:ascii="Palatino Linotype" w:hAnsi="Palatino Linotype" w:cs="Times New Roman"/>
        </w:rPr>
        <w:t>.</w:t>
      </w:r>
    </w:p>
    <w:p w14:paraId="6C0519DF" w14:textId="197E1292" w:rsidR="00ED7DE1" w:rsidRDefault="00A70FE4" w:rsidP="00B84562">
      <w:pPr>
        <w:rPr>
          <w:rFonts w:ascii="Palatino Linotype" w:hAnsi="Palatino Linotype" w:cs="Times New Roman"/>
        </w:rPr>
      </w:pPr>
      <w:r>
        <w:rPr>
          <w:rFonts w:ascii="Palatino Linotype" w:hAnsi="Palatino Linotype" w:cs="Times New Roman"/>
        </w:rPr>
        <w:t>I will also never forget what gave me the passion to write this dissertation in the first place.</w:t>
      </w:r>
      <w:r w:rsidR="00501597">
        <w:rPr>
          <w:rFonts w:ascii="Palatino Linotype" w:hAnsi="Palatino Linotype" w:cs="Times New Roman"/>
        </w:rPr>
        <w:t xml:space="preserve"> As a child I witnessed the transformative power of higher education </w:t>
      </w:r>
      <w:r w:rsidR="00265E37">
        <w:rPr>
          <w:rFonts w:ascii="Palatino Linotype" w:hAnsi="Palatino Linotype" w:cs="Times New Roman"/>
        </w:rPr>
        <w:t>in my family and I also saw so many families that were unable to access college</w:t>
      </w:r>
      <w:r w:rsidR="00F763D5">
        <w:rPr>
          <w:rFonts w:ascii="Palatino Linotype" w:hAnsi="Palatino Linotype" w:cs="Times New Roman"/>
        </w:rPr>
        <w:t>,</w:t>
      </w:r>
      <w:r w:rsidR="00265E37">
        <w:rPr>
          <w:rFonts w:ascii="Palatino Linotype" w:hAnsi="Palatino Linotype" w:cs="Times New Roman"/>
        </w:rPr>
        <w:t xml:space="preserve"> not </w:t>
      </w:r>
      <w:r w:rsidR="00F763D5">
        <w:rPr>
          <w:rFonts w:ascii="Palatino Linotype" w:hAnsi="Palatino Linotype" w:cs="Times New Roman"/>
        </w:rPr>
        <w:t>because of a</w:t>
      </w:r>
      <w:r w:rsidR="00265E37">
        <w:rPr>
          <w:rFonts w:ascii="Palatino Linotype" w:hAnsi="Palatino Linotype" w:cs="Times New Roman"/>
        </w:rPr>
        <w:t xml:space="preserve"> lack of ability or desire but</w:t>
      </w:r>
      <w:r w:rsidR="00F763D5">
        <w:rPr>
          <w:rFonts w:ascii="Palatino Linotype" w:hAnsi="Palatino Linotype" w:cs="Times New Roman"/>
        </w:rPr>
        <w:t xml:space="preserve"> because it was simply too expensive</w:t>
      </w:r>
      <w:r w:rsidR="00265E37">
        <w:rPr>
          <w:rFonts w:ascii="Palatino Linotype" w:hAnsi="Palatino Linotype" w:cs="Times New Roman"/>
        </w:rPr>
        <w:t>.</w:t>
      </w:r>
      <w:r w:rsidR="009E1990">
        <w:rPr>
          <w:rFonts w:ascii="Palatino Linotype" w:hAnsi="Palatino Linotype" w:cs="Times New Roman"/>
        </w:rPr>
        <w:t xml:space="preserve"> </w:t>
      </w:r>
      <w:r w:rsidR="001D114D">
        <w:rPr>
          <w:rFonts w:ascii="Palatino Linotype" w:hAnsi="Palatino Linotype" w:cs="Times New Roman"/>
        </w:rPr>
        <w:t>I</w:t>
      </w:r>
      <w:r w:rsidR="00265E37">
        <w:rPr>
          <w:rFonts w:ascii="Palatino Linotype" w:hAnsi="Palatino Linotype" w:cs="Times New Roman"/>
        </w:rPr>
        <w:t xml:space="preserve"> was only able to attend college thanks to the many sacrifices of my parents</w:t>
      </w:r>
      <w:r w:rsidR="001D114D">
        <w:rPr>
          <w:rFonts w:ascii="Palatino Linotype" w:hAnsi="Palatino Linotype" w:cs="Times New Roman"/>
        </w:rPr>
        <w:t xml:space="preserve">, Mary and Jeffery Bell, </w:t>
      </w:r>
      <w:r w:rsidR="00F763D5">
        <w:rPr>
          <w:rFonts w:ascii="Palatino Linotype" w:hAnsi="Palatino Linotype" w:cs="Times New Roman"/>
        </w:rPr>
        <w:t>who</w:t>
      </w:r>
      <w:r w:rsidR="00885636">
        <w:rPr>
          <w:rFonts w:ascii="Palatino Linotype" w:hAnsi="Palatino Linotype" w:cs="Times New Roman"/>
        </w:rPr>
        <w:t xml:space="preserve"> took on debt for me without a second glance</w:t>
      </w:r>
      <w:r w:rsidR="00EA41C7">
        <w:rPr>
          <w:rFonts w:ascii="Palatino Linotype" w:hAnsi="Palatino Linotype" w:cs="Times New Roman"/>
        </w:rPr>
        <w:t xml:space="preserve"> and</w:t>
      </w:r>
      <w:r w:rsidR="00F763D5">
        <w:rPr>
          <w:rFonts w:ascii="Palatino Linotype" w:hAnsi="Palatino Linotype" w:cs="Times New Roman"/>
        </w:rPr>
        <w:t xml:space="preserve"> </w:t>
      </w:r>
      <w:r w:rsidR="004E352A">
        <w:rPr>
          <w:rFonts w:ascii="Palatino Linotype" w:hAnsi="Palatino Linotype" w:cs="Times New Roman"/>
        </w:rPr>
        <w:t>have</w:t>
      </w:r>
      <w:r w:rsidR="00F763D5">
        <w:rPr>
          <w:rFonts w:ascii="Palatino Linotype" w:hAnsi="Palatino Linotype" w:cs="Times New Roman"/>
        </w:rPr>
        <w:t xml:space="preserve"> empowered me in everything I do</w:t>
      </w:r>
      <w:r w:rsidR="00501597">
        <w:rPr>
          <w:rFonts w:ascii="Palatino Linotype" w:hAnsi="Palatino Linotype" w:cs="Times New Roman"/>
        </w:rPr>
        <w:t>.</w:t>
      </w:r>
      <w:r w:rsidR="001D114D">
        <w:rPr>
          <w:rFonts w:ascii="Palatino Linotype" w:hAnsi="Palatino Linotype" w:cs="Times New Roman"/>
        </w:rPr>
        <w:t xml:space="preserve"> </w:t>
      </w:r>
      <w:r w:rsidR="00F763D5">
        <w:rPr>
          <w:rFonts w:ascii="Palatino Linotype" w:hAnsi="Palatino Linotype" w:cs="Times New Roman"/>
        </w:rPr>
        <w:t>Every day I carry</w:t>
      </w:r>
      <w:r w:rsidR="00ED7DE1">
        <w:rPr>
          <w:rFonts w:ascii="Palatino Linotype" w:hAnsi="Palatino Linotype" w:cs="Times New Roman"/>
        </w:rPr>
        <w:t xml:space="preserve"> </w:t>
      </w:r>
      <w:r w:rsidR="008E5694">
        <w:rPr>
          <w:rFonts w:ascii="Palatino Linotype" w:hAnsi="Palatino Linotype" w:cs="Times New Roman"/>
        </w:rPr>
        <w:t>thei</w:t>
      </w:r>
      <w:r w:rsidR="00ED7DE1">
        <w:rPr>
          <w:rFonts w:ascii="Palatino Linotype" w:hAnsi="Palatino Linotype" w:cs="Times New Roman"/>
        </w:rPr>
        <w:t>r</w:t>
      </w:r>
      <w:r w:rsidR="00F763D5">
        <w:rPr>
          <w:rFonts w:ascii="Palatino Linotype" w:hAnsi="Palatino Linotype" w:cs="Times New Roman"/>
        </w:rPr>
        <w:t xml:space="preserve"> unconditional love and support with me as I fight for a world in which </w:t>
      </w:r>
      <w:r w:rsidR="00ED7DE1">
        <w:rPr>
          <w:rFonts w:ascii="Palatino Linotype" w:hAnsi="Palatino Linotype" w:cs="Times New Roman"/>
        </w:rPr>
        <w:t xml:space="preserve">every child, no matter their socioeconomic status or racial/ethnic identity can access quality educational opportunities. </w:t>
      </w:r>
    </w:p>
    <w:p w14:paraId="234A461F" w14:textId="3B0C2F90" w:rsidR="00E05851" w:rsidRDefault="00E05851" w:rsidP="00B84562">
      <w:pPr>
        <w:rPr>
          <w:rFonts w:ascii="Palatino Linotype" w:hAnsi="Palatino Linotype" w:cs="Times New Roman"/>
        </w:rPr>
      </w:pPr>
      <w:r>
        <w:rPr>
          <w:rFonts w:ascii="Palatino Linotype" w:hAnsi="Palatino Linotype" w:cs="Times New Roman"/>
        </w:rPr>
        <w:t xml:space="preserve">I </w:t>
      </w:r>
      <w:r w:rsidR="000F357D">
        <w:rPr>
          <w:rFonts w:ascii="Palatino Linotype" w:hAnsi="Palatino Linotype" w:cs="Times New Roman"/>
        </w:rPr>
        <w:t xml:space="preserve">also </w:t>
      </w:r>
      <w:r>
        <w:rPr>
          <w:rFonts w:ascii="Palatino Linotype" w:hAnsi="Palatino Linotype" w:cs="Times New Roman"/>
        </w:rPr>
        <w:t>am grateful to my partner, Matthew Jacobson, who probably deserves an honorary degree in political science for how many times he has intently listened to my preliminary ideas, edited my works in progress, and listened to my final presentations</w:t>
      </w:r>
      <w:r w:rsidR="00EA41C7">
        <w:rPr>
          <w:rFonts w:ascii="Palatino Linotype" w:hAnsi="Palatino Linotype" w:cs="Times New Roman"/>
        </w:rPr>
        <w:t xml:space="preserve">. Thanks also goes to </w:t>
      </w:r>
      <w:r w:rsidR="000F357D">
        <w:rPr>
          <w:rFonts w:ascii="Palatino Linotype" w:hAnsi="Palatino Linotype" w:cs="Times New Roman"/>
        </w:rPr>
        <w:t xml:space="preserve">Breena Robinson, </w:t>
      </w:r>
      <w:r w:rsidR="00290303">
        <w:rPr>
          <w:rFonts w:ascii="Palatino Linotype" w:hAnsi="Palatino Linotype" w:cs="Times New Roman"/>
        </w:rPr>
        <w:t>my soul</w:t>
      </w:r>
      <w:r w:rsidR="000F357D">
        <w:rPr>
          <w:rFonts w:ascii="Palatino Linotype" w:hAnsi="Palatino Linotype" w:cs="Times New Roman"/>
        </w:rPr>
        <w:t xml:space="preserve"> sister, best friend, and partner in crime. Thank you for reminding me to keep my head up</w:t>
      </w:r>
      <w:r w:rsidR="00290303">
        <w:rPr>
          <w:rFonts w:ascii="Palatino Linotype" w:hAnsi="Palatino Linotype" w:cs="Times New Roman"/>
        </w:rPr>
        <w:t xml:space="preserve"> and balance self-care with the pursuit of my dreams.</w:t>
      </w:r>
      <w:r w:rsidR="00EA41C7">
        <w:rPr>
          <w:rFonts w:ascii="Palatino Linotype" w:hAnsi="Palatino Linotype" w:cs="Times New Roman"/>
        </w:rPr>
        <w:t xml:space="preserve"> </w:t>
      </w:r>
      <w:r w:rsidR="00ED7DE1">
        <w:rPr>
          <w:rFonts w:ascii="Palatino Linotype" w:hAnsi="Palatino Linotype" w:cs="Times New Roman"/>
        </w:rPr>
        <w:t xml:space="preserve">I also want to thank </w:t>
      </w:r>
      <w:r w:rsidR="007945A2">
        <w:rPr>
          <w:rFonts w:ascii="Palatino Linotype" w:hAnsi="Palatino Linotype" w:cs="Times New Roman"/>
        </w:rPr>
        <w:t>my loving family, including my brother</w:t>
      </w:r>
      <w:r w:rsidR="000E0244">
        <w:rPr>
          <w:rFonts w:ascii="Palatino Linotype" w:hAnsi="Palatino Linotype" w:cs="Times New Roman"/>
        </w:rPr>
        <w:t>s</w:t>
      </w:r>
      <w:r w:rsidR="007945A2">
        <w:rPr>
          <w:rFonts w:ascii="Palatino Linotype" w:hAnsi="Palatino Linotype" w:cs="Times New Roman"/>
        </w:rPr>
        <w:t xml:space="preserve"> James and Charles, and my many aunts, uncles and cousins who have always been my biggest fans</w:t>
      </w:r>
      <w:r w:rsidR="00EA41C7">
        <w:rPr>
          <w:rFonts w:ascii="Palatino Linotype" w:hAnsi="Palatino Linotype" w:cs="Times New Roman"/>
        </w:rPr>
        <w:t xml:space="preserve"> and supporters</w:t>
      </w:r>
      <w:r w:rsidR="007945A2">
        <w:rPr>
          <w:rFonts w:ascii="Palatino Linotype" w:hAnsi="Palatino Linotype" w:cs="Times New Roman"/>
        </w:rPr>
        <w:t xml:space="preserve">! </w:t>
      </w:r>
      <w:r w:rsidR="00885636">
        <w:rPr>
          <w:rFonts w:ascii="Palatino Linotype" w:hAnsi="Palatino Linotype" w:cs="Times New Roman"/>
        </w:rPr>
        <w:t xml:space="preserve">Thanks also to </w:t>
      </w:r>
      <w:r w:rsidR="00ED7DE1">
        <w:rPr>
          <w:rFonts w:ascii="Palatino Linotype" w:hAnsi="Palatino Linotype" w:cs="Times New Roman"/>
        </w:rPr>
        <w:t xml:space="preserve">my grad school comrades Tracey Bark, Wesley Wehde, Lauren Reinke, </w:t>
      </w:r>
      <w:r w:rsidR="00E1614E">
        <w:rPr>
          <w:rFonts w:ascii="Palatino Linotype" w:hAnsi="Palatino Linotype" w:cs="Times New Roman"/>
        </w:rPr>
        <w:t xml:space="preserve">Gloria Noble, </w:t>
      </w:r>
      <w:r w:rsidR="00ED7DE1">
        <w:rPr>
          <w:rFonts w:ascii="Palatino Linotype" w:hAnsi="Palatino Linotype" w:cs="Times New Roman"/>
        </w:rPr>
        <w:t>Ani Ter-Mkrtchyan,</w:t>
      </w:r>
      <w:r w:rsidR="00E1614E">
        <w:rPr>
          <w:rFonts w:ascii="Palatino Linotype" w:hAnsi="Palatino Linotype" w:cs="Times New Roman"/>
        </w:rPr>
        <w:t xml:space="preserve"> Tyler and Krystal Camarrilo, and </w:t>
      </w:r>
      <w:r w:rsidR="00ED7DE1">
        <w:rPr>
          <w:rFonts w:ascii="Palatino Linotype" w:hAnsi="Palatino Linotype" w:cs="Times New Roman"/>
        </w:rPr>
        <w:t xml:space="preserve">Jungwha Choi, </w:t>
      </w:r>
      <w:r w:rsidR="00E1614E">
        <w:rPr>
          <w:rFonts w:ascii="Palatino Linotype" w:hAnsi="Palatino Linotype" w:cs="Times New Roman"/>
        </w:rPr>
        <w:t xml:space="preserve">who have been constant companions throughout my time at OU. </w:t>
      </w:r>
      <w:r>
        <w:rPr>
          <w:rFonts w:ascii="Palatino Linotype" w:hAnsi="Palatino Linotype" w:cs="Times New Roman"/>
        </w:rPr>
        <w:t xml:space="preserve">Writing a dissertation was much sweeter thanks to </w:t>
      </w:r>
      <w:r w:rsidR="000F357D">
        <w:rPr>
          <w:rFonts w:ascii="Palatino Linotype" w:hAnsi="Palatino Linotype" w:cs="Times New Roman"/>
        </w:rPr>
        <w:t xml:space="preserve">all of </w:t>
      </w:r>
      <w:r>
        <w:rPr>
          <w:rFonts w:ascii="Palatino Linotype" w:hAnsi="Palatino Linotype" w:cs="Times New Roman"/>
        </w:rPr>
        <w:t xml:space="preserve">your love and support. </w:t>
      </w:r>
    </w:p>
    <w:p w14:paraId="49A1E953" w14:textId="63E150FA" w:rsidR="00ED13F9" w:rsidRDefault="00ED7DE1" w:rsidP="00B84562">
      <w:pPr>
        <w:rPr>
          <w:rFonts w:ascii="Palatino Linotype" w:hAnsi="Palatino Linotype" w:cs="Times New Roman"/>
        </w:rPr>
      </w:pPr>
      <w:r>
        <w:rPr>
          <w:rFonts w:ascii="Palatino Linotype" w:hAnsi="Palatino Linotype" w:cs="Times New Roman"/>
        </w:rPr>
        <w:lastRenderedPageBreak/>
        <w:t>Finally, t</w:t>
      </w:r>
      <w:r w:rsidR="00FB3121">
        <w:rPr>
          <w:rFonts w:ascii="Palatino Linotype" w:hAnsi="Palatino Linotype" w:cs="Times New Roman"/>
        </w:rPr>
        <w:t xml:space="preserve">his project also wouldn’t have been possible without the </w:t>
      </w:r>
      <w:r w:rsidR="00A54DA3">
        <w:rPr>
          <w:rFonts w:ascii="Palatino Linotype" w:hAnsi="Palatino Linotype" w:cs="Times New Roman"/>
        </w:rPr>
        <w:t xml:space="preserve">hard work and dedication of </w:t>
      </w:r>
      <w:r>
        <w:rPr>
          <w:rFonts w:ascii="Palatino Linotype" w:hAnsi="Palatino Linotype" w:cs="Times New Roman"/>
        </w:rPr>
        <w:t xml:space="preserve">my research partner and friend </w:t>
      </w:r>
      <w:r w:rsidR="00A54DA3">
        <w:rPr>
          <w:rFonts w:ascii="Palatino Linotype" w:hAnsi="Palatino Linotype" w:cs="Times New Roman"/>
        </w:rPr>
        <w:t>Kylie Smith. Kylie is a coauthor on Chapter 4 in which she conducted the qualitative analysis and weaved the narratives of high school counselors into the paper. She also facilitated access to the data, with the help of Bryce and his Oklahoma’s Promise team at OSRHE and Gayle in the data division</w:t>
      </w:r>
      <w:r w:rsidR="00535B52">
        <w:rPr>
          <w:rFonts w:ascii="Palatino Linotype" w:hAnsi="Palatino Linotype" w:cs="Times New Roman"/>
        </w:rPr>
        <w:t xml:space="preserve"> at OSRHE</w:t>
      </w:r>
      <w:r w:rsidR="00A54DA3">
        <w:rPr>
          <w:rFonts w:ascii="Palatino Linotype" w:hAnsi="Palatino Linotype" w:cs="Times New Roman"/>
        </w:rPr>
        <w:t>.</w:t>
      </w:r>
      <w:r w:rsidR="00535B52">
        <w:rPr>
          <w:rFonts w:ascii="Palatino Linotype" w:hAnsi="Palatino Linotype" w:cs="Times New Roman"/>
        </w:rPr>
        <w:t xml:space="preserve"> I am so grateful to have worked with passionate practitioners who work every day to make college more affordable and accessible to the students in Oklahoma. </w:t>
      </w:r>
    </w:p>
    <w:p w14:paraId="6C1FF86A" w14:textId="77777777" w:rsidR="00C53908" w:rsidRDefault="00C53908" w:rsidP="00B84562">
      <w:pPr>
        <w:rPr>
          <w:rFonts w:ascii="Palatino Linotype" w:hAnsi="Palatino Linotype" w:cs="Times New Roman"/>
        </w:rPr>
      </w:pPr>
    </w:p>
    <w:p w14:paraId="4313C481" w14:textId="77777777" w:rsidR="00C53908" w:rsidRDefault="00C53908" w:rsidP="00B84562">
      <w:pPr>
        <w:rPr>
          <w:rFonts w:ascii="Palatino Linotype" w:hAnsi="Palatino Linotype" w:cs="Times New Roman"/>
        </w:rPr>
      </w:pPr>
    </w:p>
    <w:p w14:paraId="3C9D3147" w14:textId="77777777" w:rsidR="00C53908" w:rsidRDefault="00C53908" w:rsidP="00B84562">
      <w:pPr>
        <w:rPr>
          <w:rFonts w:ascii="Palatino Linotype" w:hAnsi="Palatino Linotype" w:cs="Times New Roman"/>
        </w:rPr>
      </w:pPr>
    </w:p>
    <w:p w14:paraId="2041B824" w14:textId="77777777" w:rsidR="00C53908" w:rsidRDefault="00C53908" w:rsidP="00B84562">
      <w:pPr>
        <w:rPr>
          <w:rFonts w:ascii="Palatino Linotype" w:hAnsi="Palatino Linotype" w:cs="Times New Roman"/>
        </w:rPr>
      </w:pPr>
    </w:p>
    <w:p w14:paraId="441A6234" w14:textId="77777777" w:rsidR="00C53908" w:rsidRDefault="00C53908" w:rsidP="00B84562">
      <w:pPr>
        <w:rPr>
          <w:rFonts w:ascii="Palatino Linotype" w:hAnsi="Palatino Linotype" w:cs="Times New Roman"/>
        </w:rPr>
      </w:pPr>
    </w:p>
    <w:p w14:paraId="10767B9D" w14:textId="77777777" w:rsidR="00C53908" w:rsidRDefault="00C53908" w:rsidP="00B84562">
      <w:pPr>
        <w:rPr>
          <w:rFonts w:ascii="Palatino Linotype" w:hAnsi="Palatino Linotype" w:cs="Times New Roman"/>
        </w:rPr>
      </w:pPr>
    </w:p>
    <w:p w14:paraId="0236DE37" w14:textId="77777777" w:rsidR="00C53908" w:rsidRDefault="00C53908" w:rsidP="00B84562">
      <w:pPr>
        <w:rPr>
          <w:rFonts w:ascii="Palatino Linotype" w:hAnsi="Palatino Linotype" w:cs="Times New Roman"/>
        </w:rPr>
      </w:pPr>
    </w:p>
    <w:p w14:paraId="6E12B9D5" w14:textId="77777777" w:rsidR="00C53908" w:rsidRDefault="00C53908" w:rsidP="00B84562">
      <w:pPr>
        <w:rPr>
          <w:rFonts w:ascii="Palatino Linotype" w:hAnsi="Palatino Linotype" w:cs="Times New Roman"/>
        </w:rPr>
      </w:pPr>
    </w:p>
    <w:p w14:paraId="687CC9E1" w14:textId="77777777" w:rsidR="00C53908" w:rsidRDefault="00C53908" w:rsidP="00B84562">
      <w:pPr>
        <w:rPr>
          <w:rFonts w:ascii="Palatino Linotype" w:hAnsi="Palatino Linotype" w:cs="Times New Roman"/>
        </w:rPr>
      </w:pPr>
    </w:p>
    <w:p w14:paraId="1422B8C7" w14:textId="1659BB5F" w:rsidR="007A760E" w:rsidRDefault="007A760E" w:rsidP="00B84562">
      <w:pPr>
        <w:rPr>
          <w:rFonts w:ascii="Palatino Linotype" w:hAnsi="Palatino Linotype" w:cs="Times New Roman"/>
        </w:rPr>
      </w:pPr>
      <w:r>
        <w:rPr>
          <w:rFonts w:ascii="Palatino Linotype" w:hAnsi="Palatino Linotype" w:cs="Times New Roman"/>
        </w:rPr>
        <w:br w:type="page"/>
      </w:r>
    </w:p>
    <w:sdt>
      <w:sdtPr>
        <w:rPr>
          <w:rFonts w:ascii="Times New Roman" w:eastAsiaTheme="minorEastAsia" w:hAnsi="Times New Roman" w:cs="Times New Roman"/>
          <w:color w:val="auto"/>
          <w:sz w:val="24"/>
          <w:szCs w:val="24"/>
        </w:rPr>
        <w:id w:val="-419331040"/>
        <w:docPartObj>
          <w:docPartGallery w:val="Table of Contents"/>
          <w:docPartUnique/>
        </w:docPartObj>
      </w:sdtPr>
      <w:sdtEndPr>
        <w:rPr>
          <w:sz w:val="22"/>
          <w:szCs w:val="22"/>
        </w:rPr>
      </w:sdtEndPr>
      <w:sdtContent>
        <w:p w14:paraId="59FBE73D" w14:textId="46603295" w:rsidR="00873F13" w:rsidRPr="004A260C" w:rsidRDefault="00873F13" w:rsidP="00873F13">
          <w:pPr>
            <w:pStyle w:val="TOCHeading"/>
            <w:jc w:val="center"/>
            <w:rPr>
              <w:rFonts w:ascii="Times New Roman" w:hAnsi="Times New Roman" w:cs="Times New Roman"/>
              <w:color w:val="auto"/>
              <w:sz w:val="28"/>
              <w:szCs w:val="28"/>
            </w:rPr>
          </w:pPr>
          <w:r w:rsidRPr="004A260C">
            <w:rPr>
              <w:rFonts w:ascii="Times New Roman" w:hAnsi="Times New Roman" w:cs="Times New Roman"/>
              <w:color w:val="auto"/>
              <w:sz w:val="28"/>
              <w:szCs w:val="28"/>
            </w:rPr>
            <w:t>Table of Contents</w:t>
          </w:r>
        </w:p>
        <w:p w14:paraId="1B58C626" w14:textId="77777777" w:rsidR="00C53908" w:rsidRPr="004A260C" w:rsidRDefault="00C53908" w:rsidP="00C53908">
          <w:pPr>
            <w:pStyle w:val="TOC1"/>
            <w:outlineLvl w:val="0"/>
            <w:rPr>
              <w:rFonts w:ascii="Times New Roman" w:hAnsi="Times New Roman"/>
              <w:b/>
              <w:bCs/>
              <w:sz w:val="24"/>
              <w:szCs w:val="24"/>
            </w:rPr>
          </w:pPr>
        </w:p>
        <w:p w14:paraId="5CB4B504" w14:textId="1B5891B7" w:rsidR="00273C3E" w:rsidRPr="004A260C" w:rsidRDefault="00273C3E" w:rsidP="00273C3E">
          <w:pPr>
            <w:pStyle w:val="TOC1"/>
            <w:outlineLvl w:val="0"/>
            <w:rPr>
              <w:rFonts w:ascii="Times New Roman" w:hAnsi="Times New Roman"/>
              <w:bCs/>
              <w:sz w:val="24"/>
              <w:szCs w:val="24"/>
            </w:rPr>
          </w:pPr>
          <w:r w:rsidRPr="004A260C">
            <w:rPr>
              <w:rFonts w:ascii="Times New Roman" w:hAnsi="Times New Roman"/>
              <w:bCs/>
              <w:sz w:val="24"/>
              <w:szCs w:val="24"/>
            </w:rPr>
            <w:t>List of Figures</w:t>
          </w:r>
          <w:r w:rsidRPr="004A260C">
            <w:rPr>
              <w:rFonts w:ascii="Times New Roman" w:hAnsi="Times New Roman"/>
              <w:sz w:val="24"/>
              <w:szCs w:val="24"/>
            </w:rPr>
            <w:ptab w:relativeTo="margin" w:alignment="right" w:leader="dot"/>
          </w:r>
          <w:r w:rsidR="00210F52">
            <w:rPr>
              <w:rFonts w:ascii="Times New Roman" w:hAnsi="Times New Roman"/>
              <w:bCs/>
              <w:sz w:val="24"/>
              <w:szCs w:val="24"/>
            </w:rPr>
            <w:t>vii</w:t>
          </w:r>
        </w:p>
        <w:p w14:paraId="6E903764" w14:textId="096749DA" w:rsidR="00273C3E" w:rsidRPr="004A260C" w:rsidRDefault="00273C3E" w:rsidP="00273C3E">
          <w:pPr>
            <w:pStyle w:val="TOC1"/>
            <w:outlineLvl w:val="0"/>
            <w:rPr>
              <w:rFonts w:ascii="Times New Roman" w:hAnsi="Times New Roman"/>
              <w:bCs/>
              <w:sz w:val="24"/>
              <w:szCs w:val="24"/>
            </w:rPr>
          </w:pPr>
          <w:r w:rsidRPr="004A260C">
            <w:rPr>
              <w:rFonts w:ascii="Times New Roman" w:hAnsi="Times New Roman"/>
              <w:bCs/>
              <w:sz w:val="24"/>
              <w:szCs w:val="24"/>
            </w:rPr>
            <w:t>List of Tables</w:t>
          </w:r>
          <w:r w:rsidRPr="004A260C">
            <w:rPr>
              <w:rFonts w:ascii="Times New Roman" w:hAnsi="Times New Roman"/>
              <w:sz w:val="24"/>
              <w:szCs w:val="24"/>
            </w:rPr>
            <w:ptab w:relativeTo="margin" w:alignment="right" w:leader="dot"/>
          </w:r>
          <w:r w:rsidR="00210F52">
            <w:rPr>
              <w:rFonts w:ascii="Times New Roman" w:hAnsi="Times New Roman"/>
              <w:bCs/>
              <w:sz w:val="24"/>
              <w:szCs w:val="24"/>
            </w:rPr>
            <w:t>ix</w:t>
          </w:r>
        </w:p>
        <w:p w14:paraId="75FBC3A9" w14:textId="5A88D6C8" w:rsidR="00273C3E" w:rsidRPr="004A260C" w:rsidRDefault="00E7794C" w:rsidP="00273C3E">
          <w:pPr>
            <w:pStyle w:val="TOC1"/>
            <w:outlineLvl w:val="0"/>
            <w:rPr>
              <w:rFonts w:ascii="Times New Roman" w:hAnsi="Times New Roman"/>
              <w:bCs/>
              <w:sz w:val="24"/>
              <w:szCs w:val="24"/>
            </w:rPr>
          </w:pPr>
          <w:r w:rsidRPr="004A260C">
            <w:rPr>
              <w:rFonts w:ascii="Times New Roman" w:hAnsi="Times New Roman"/>
              <w:bCs/>
              <w:sz w:val="24"/>
              <w:szCs w:val="24"/>
            </w:rPr>
            <w:t>Abstract</w:t>
          </w:r>
          <w:r w:rsidRPr="004A260C">
            <w:rPr>
              <w:rFonts w:ascii="Times New Roman" w:hAnsi="Times New Roman"/>
              <w:sz w:val="24"/>
              <w:szCs w:val="24"/>
            </w:rPr>
            <w:ptab w:relativeTo="margin" w:alignment="right" w:leader="dot"/>
          </w:r>
          <w:r w:rsidR="00D27EEE" w:rsidRPr="004A260C">
            <w:rPr>
              <w:rFonts w:ascii="Times New Roman" w:hAnsi="Times New Roman"/>
              <w:bCs/>
              <w:sz w:val="24"/>
              <w:szCs w:val="24"/>
            </w:rPr>
            <w:t>1</w:t>
          </w:r>
        </w:p>
        <w:p w14:paraId="76B3E306" w14:textId="151FAEA8" w:rsidR="00873F13" w:rsidRPr="004A260C" w:rsidRDefault="00873F13" w:rsidP="00D27EEE">
          <w:pPr>
            <w:pStyle w:val="TOC1"/>
            <w:rPr>
              <w:rFonts w:ascii="Times New Roman" w:hAnsi="Times New Roman"/>
              <w:bCs/>
              <w:sz w:val="24"/>
              <w:szCs w:val="24"/>
            </w:rPr>
          </w:pPr>
          <w:r w:rsidRPr="004A260C">
            <w:rPr>
              <w:rFonts w:ascii="Times New Roman" w:hAnsi="Times New Roman"/>
              <w:bCs/>
              <w:sz w:val="24"/>
              <w:szCs w:val="24"/>
            </w:rPr>
            <w:t>Chapter 1: A Holistic Policy Design Framework</w:t>
          </w:r>
          <w:r w:rsidRPr="004A260C">
            <w:rPr>
              <w:rFonts w:ascii="Times New Roman" w:hAnsi="Times New Roman"/>
              <w:sz w:val="24"/>
              <w:szCs w:val="24"/>
            </w:rPr>
            <w:ptab w:relativeTo="margin" w:alignment="right" w:leader="dot"/>
          </w:r>
          <w:r w:rsidR="00210F52">
            <w:rPr>
              <w:rFonts w:ascii="Times New Roman" w:hAnsi="Times New Roman"/>
              <w:sz w:val="24"/>
              <w:szCs w:val="24"/>
            </w:rPr>
            <w:t>2</w:t>
          </w:r>
        </w:p>
        <w:p w14:paraId="467F7FC7" w14:textId="3DD1739B" w:rsidR="00F71F5C" w:rsidRPr="004A260C" w:rsidRDefault="00873F13" w:rsidP="00D27EEE">
          <w:pPr>
            <w:pStyle w:val="TOC1"/>
            <w:outlineLvl w:val="0"/>
            <w:rPr>
              <w:rFonts w:ascii="Times New Roman" w:hAnsi="Times New Roman"/>
              <w:sz w:val="24"/>
              <w:szCs w:val="24"/>
            </w:rPr>
          </w:pPr>
          <w:r w:rsidRPr="004A260C">
            <w:rPr>
              <w:rFonts w:ascii="Times New Roman" w:hAnsi="Times New Roman"/>
              <w:bCs/>
              <w:sz w:val="24"/>
              <w:szCs w:val="24"/>
            </w:rPr>
            <w:t xml:space="preserve">Chapter 2: Applying </w:t>
          </w:r>
          <w:r w:rsidR="00991704" w:rsidRPr="004A260C">
            <w:rPr>
              <w:rFonts w:ascii="Times New Roman" w:hAnsi="Times New Roman"/>
              <w:bCs/>
              <w:sz w:val="24"/>
              <w:szCs w:val="24"/>
            </w:rPr>
            <w:t>the Holistic Policy Design Framework to the Study of College Affordability and College Promise Policies</w:t>
          </w:r>
          <w:r w:rsidRPr="004A260C">
            <w:rPr>
              <w:rFonts w:ascii="Times New Roman" w:hAnsi="Times New Roman"/>
              <w:sz w:val="24"/>
              <w:szCs w:val="24"/>
            </w:rPr>
            <w:ptab w:relativeTo="margin" w:alignment="right" w:leader="dot"/>
          </w:r>
          <w:r w:rsidR="00210F52">
            <w:rPr>
              <w:rFonts w:ascii="Times New Roman" w:hAnsi="Times New Roman"/>
              <w:bCs/>
              <w:sz w:val="24"/>
              <w:szCs w:val="24"/>
            </w:rPr>
            <w:t>34</w:t>
          </w:r>
        </w:p>
        <w:p w14:paraId="4A62D356" w14:textId="4E4ACFAC" w:rsidR="00522C45" w:rsidRPr="004A260C" w:rsidRDefault="00522C45" w:rsidP="00522C45">
          <w:pPr>
            <w:pStyle w:val="TOC1"/>
            <w:outlineLvl w:val="0"/>
            <w:rPr>
              <w:rFonts w:ascii="Times New Roman" w:hAnsi="Times New Roman"/>
              <w:sz w:val="24"/>
              <w:szCs w:val="24"/>
            </w:rPr>
          </w:pPr>
          <w:r w:rsidRPr="004A260C">
            <w:rPr>
              <w:rFonts w:ascii="Times New Roman" w:hAnsi="Times New Roman"/>
              <w:bCs/>
              <w:sz w:val="24"/>
              <w:szCs w:val="24"/>
            </w:rPr>
            <w:t>Chapter 3: The Politics of Designing Tuition-Free College: How Socially Constructed Target Populations Impact Policy Support</w:t>
          </w:r>
          <w:r w:rsidRPr="004A260C">
            <w:rPr>
              <w:rFonts w:ascii="Times New Roman" w:hAnsi="Times New Roman"/>
              <w:sz w:val="24"/>
              <w:szCs w:val="24"/>
            </w:rPr>
            <w:ptab w:relativeTo="margin" w:alignment="right" w:leader="dot"/>
          </w:r>
          <w:r w:rsidR="00210F52">
            <w:rPr>
              <w:rFonts w:ascii="Times New Roman" w:hAnsi="Times New Roman"/>
              <w:bCs/>
              <w:sz w:val="24"/>
              <w:szCs w:val="24"/>
            </w:rPr>
            <w:t>54</w:t>
          </w:r>
        </w:p>
        <w:p w14:paraId="3C5AD11C" w14:textId="0D4B9503" w:rsidR="00522C45" w:rsidRPr="004A260C" w:rsidRDefault="00522C45" w:rsidP="00522C45">
          <w:pPr>
            <w:pStyle w:val="TOC1"/>
            <w:outlineLvl w:val="0"/>
            <w:rPr>
              <w:rFonts w:ascii="Times New Roman" w:hAnsi="Times New Roman"/>
              <w:sz w:val="24"/>
              <w:szCs w:val="24"/>
            </w:rPr>
          </w:pPr>
          <w:r w:rsidRPr="004A260C">
            <w:rPr>
              <w:rFonts w:ascii="Times New Roman" w:hAnsi="Times New Roman"/>
              <w:bCs/>
              <w:sz w:val="24"/>
              <w:szCs w:val="24"/>
            </w:rPr>
            <w:t>Chapter 4: Perspectives from the Front-line: Street-Level Bureaucrats, Administrative Burden, and Access to Oklahoma’s Promise</w:t>
          </w:r>
          <w:r w:rsidRPr="004A260C">
            <w:rPr>
              <w:rFonts w:ascii="Times New Roman" w:hAnsi="Times New Roman"/>
              <w:sz w:val="24"/>
              <w:szCs w:val="24"/>
            </w:rPr>
            <w:ptab w:relativeTo="margin" w:alignment="right" w:leader="dot"/>
          </w:r>
          <w:r w:rsidR="00210F52">
            <w:rPr>
              <w:rFonts w:ascii="Times New Roman" w:hAnsi="Times New Roman"/>
              <w:bCs/>
              <w:sz w:val="24"/>
              <w:szCs w:val="24"/>
            </w:rPr>
            <w:t>90</w:t>
          </w:r>
        </w:p>
        <w:p w14:paraId="711E14D3" w14:textId="4B9006B6" w:rsidR="00BC4BCD" w:rsidRPr="004A260C" w:rsidRDefault="00F71F5C" w:rsidP="00BC4BCD">
          <w:pPr>
            <w:pStyle w:val="TOC1"/>
            <w:rPr>
              <w:rFonts w:ascii="Times New Roman" w:hAnsi="Times New Roman"/>
              <w:sz w:val="24"/>
              <w:szCs w:val="24"/>
            </w:rPr>
          </w:pPr>
          <w:r w:rsidRPr="004A260C">
            <w:rPr>
              <w:rFonts w:ascii="Times New Roman" w:hAnsi="Times New Roman"/>
              <w:bCs/>
              <w:sz w:val="24"/>
              <w:szCs w:val="24"/>
            </w:rPr>
            <w:t xml:space="preserve">Chapter </w:t>
          </w:r>
          <w:r w:rsidR="00522C45" w:rsidRPr="004A260C">
            <w:rPr>
              <w:rFonts w:ascii="Times New Roman" w:hAnsi="Times New Roman"/>
              <w:bCs/>
              <w:sz w:val="24"/>
              <w:szCs w:val="24"/>
            </w:rPr>
            <w:t>5</w:t>
          </w:r>
          <w:r w:rsidRPr="004A260C">
            <w:rPr>
              <w:rFonts w:ascii="Times New Roman" w:hAnsi="Times New Roman"/>
              <w:bCs/>
              <w:sz w:val="24"/>
              <w:szCs w:val="24"/>
            </w:rPr>
            <w:t xml:space="preserve">: </w:t>
          </w:r>
          <w:r w:rsidR="00BD7A3E" w:rsidRPr="004A260C">
            <w:rPr>
              <w:rFonts w:ascii="Times New Roman" w:hAnsi="Times New Roman"/>
              <w:sz w:val="24"/>
              <w:szCs w:val="24"/>
            </w:rPr>
            <w:t>How Policy Design Shapes Beneficiary Populations and Student Outcomes: An Examination of Tuition-free College Programs in Oklahoma</w:t>
          </w:r>
          <w:r w:rsidRPr="004A260C">
            <w:rPr>
              <w:rFonts w:ascii="Times New Roman" w:hAnsi="Times New Roman"/>
              <w:sz w:val="24"/>
              <w:szCs w:val="24"/>
            </w:rPr>
            <w:ptab w:relativeTo="margin" w:alignment="right" w:leader="dot"/>
          </w:r>
          <w:r w:rsidR="004E352A" w:rsidRPr="004A260C">
            <w:rPr>
              <w:rFonts w:ascii="Times New Roman" w:hAnsi="Times New Roman"/>
              <w:bCs/>
              <w:sz w:val="24"/>
              <w:szCs w:val="24"/>
            </w:rPr>
            <w:t>1</w:t>
          </w:r>
          <w:r w:rsidR="00210F52">
            <w:rPr>
              <w:rFonts w:ascii="Times New Roman" w:hAnsi="Times New Roman"/>
              <w:bCs/>
              <w:sz w:val="24"/>
              <w:szCs w:val="24"/>
            </w:rPr>
            <w:t>3</w:t>
          </w:r>
          <w:r w:rsidR="004E352A" w:rsidRPr="004A260C">
            <w:rPr>
              <w:rFonts w:ascii="Times New Roman" w:hAnsi="Times New Roman"/>
              <w:bCs/>
              <w:sz w:val="24"/>
              <w:szCs w:val="24"/>
            </w:rPr>
            <w:t>5</w:t>
          </w:r>
        </w:p>
        <w:p w14:paraId="3191CE89" w14:textId="4F4AA569" w:rsidR="004E352A" w:rsidRPr="004A260C" w:rsidRDefault="00210F52" w:rsidP="004E352A">
          <w:pPr>
            <w:pStyle w:val="TOC1"/>
            <w:outlineLvl w:val="0"/>
            <w:rPr>
              <w:rFonts w:ascii="Times New Roman" w:hAnsi="Times New Roman"/>
            </w:rPr>
          </w:pPr>
          <w:r>
            <w:rPr>
              <w:rFonts w:ascii="Times New Roman" w:hAnsi="Times New Roman"/>
              <w:bCs/>
              <w:sz w:val="24"/>
              <w:szCs w:val="24"/>
            </w:rPr>
            <w:t xml:space="preserve">Chapter 6: </w:t>
          </w:r>
          <w:r w:rsidR="004E352A" w:rsidRPr="004A260C">
            <w:rPr>
              <w:rFonts w:ascii="Times New Roman" w:hAnsi="Times New Roman"/>
              <w:bCs/>
              <w:sz w:val="24"/>
              <w:szCs w:val="24"/>
            </w:rPr>
            <w:t>Conclusion</w:t>
          </w:r>
          <w:r w:rsidR="004E352A" w:rsidRPr="004A260C">
            <w:rPr>
              <w:rFonts w:ascii="Times New Roman" w:hAnsi="Times New Roman"/>
              <w:sz w:val="24"/>
              <w:szCs w:val="24"/>
            </w:rPr>
            <w:ptab w:relativeTo="margin" w:alignment="right" w:leader="dot"/>
          </w:r>
          <w:r>
            <w:rPr>
              <w:rFonts w:ascii="Times New Roman" w:hAnsi="Times New Roman"/>
              <w:bCs/>
              <w:sz w:val="24"/>
              <w:szCs w:val="24"/>
            </w:rPr>
            <w:t>195</w:t>
          </w:r>
        </w:p>
        <w:p w14:paraId="022A9D6D" w14:textId="5D8353DE" w:rsidR="00873F13" w:rsidRPr="004A260C" w:rsidRDefault="00BC4BCD" w:rsidP="00BC4BCD">
          <w:pPr>
            <w:pStyle w:val="TOC1"/>
            <w:outlineLvl w:val="0"/>
            <w:rPr>
              <w:rFonts w:ascii="Times New Roman" w:hAnsi="Times New Roman"/>
            </w:rPr>
          </w:pPr>
          <w:r w:rsidRPr="004A260C">
            <w:rPr>
              <w:rFonts w:ascii="Times New Roman" w:hAnsi="Times New Roman"/>
              <w:bCs/>
              <w:sz w:val="24"/>
              <w:szCs w:val="24"/>
            </w:rPr>
            <w:t>References</w:t>
          </w:r>
          <w:r w:rsidRPr="004A260C">
            <w:rPr>
              <w:rFonts w:ascii="Times New Roman" w:hAnsi="Times New Roman"/>
              <w:sz w:val="24"/>
              <w:szCs w:val="24"/>
            </w:rPr>
            <w:ptab w:relativeTo="margin" w:alignment="right" w:leader="dot"/>
          </w:r>
          <w:r w:rsidR="008E00FA">
            <w:rPr>
              <w:rFonts w:ascii="Times New Roman" w:hAnsi="Times New Roman"/>
              <w:bCs/>
              <w:sz w:val="24"/>
              <w:szCs w:val="24"/>
            </w:rPr>
            <w:t>19</w:t>
          </w:r>
          <w:r w:rsidR="004E352A" w:rsidRPr="004A260C">
            <w:rPr>
              <w:rFonts w:ascii="Times New Roman" w:hAnsi="Times New Roman"/>
              <w:bCs/>
              <w:sz w:val="24"/>
              <w:szCs w:val="24"/>
            </w:rPr>
            <w:t>9</w:t>
          </w:r>
        </w:p>
      </w:sdtContent>
    </w:sdt>
    <w:p w14:paraId="022D437A" w14:textId="77777777" w:rsidR="007A760E" w:rsidRPr="004A260C" w:rsidRDefault="007A760E">
      <w:pPr>
        <w:rPr>
          <w:rFonts w:ascii="Times New Roman" w:hAnsi="Times New Roman" w:cs="Times New Roman"/>
        </w:rPr>
      </w:pPr>
    </w:p>
    <w:p w14:paraId="49971938" w14:textId="77777777" w:rsidR="0044098E" w:rsidRPr="004A260C" w:rsidRDefault="0044098E" w:rsidP="0044098E">
      <w:pPr>
        <w:rPr>
          <w:rFonts w:ascii="Times New Roman" w:hAnsi="Times New Roman" w:cs="Times New Roman"/>
        </w:rPr>
      </w:pPr>
    </w:p>
    <w:p w14:paraId="1AA11237" w14:textId="2BC2BB6A" w:rsidR="005F4AEC" w:rsidRDefault="0044098E" w:rsidP="00D5664F">
      <w:pPr>
        <w:rPr>
          <w:rFonts w:ascii="Times New Roman" w:hAnsi="Times New Roman" w:cs="Times New Roman"/>
          <w:sz w:val="24"/>
          <w:szCs w:val="24"/>
        </w:rPr>
      </w:pPr>
      <w:r>
        <w:rPr>
          <w:rFonts w:ascii="Times New Roman" w:hAnsi="Times New Roman" w:cs="Times New Roman"/>
          <w:sz w:val="24"/>
          <w:szCs w:val="24"/>
        </w:rPr>
        <w:br w:type="page"/>
      </w:r>
    </w:p>
    <w:p w14:paraId="68D4D57D" w14:textId="77777777" w:rsidR="003B19EF" w:rsidRPr="00CA3496" w:rsidRDefault="003B19EF" w:rsidP="003B19EF">
      <w:pPr>
        <w:spacing w:line="480" w:lineRule="auto"/>
        <w:rPr>
          <w:rFonts w:ascii="Times New Roman" w:hAnsi="Times New Roman" w:cs="Times New Roman"/>
          <w:b/>
          <w:sz w:val="32"/>
          <w:szCs w:val="24"/>
        </w:rPr>
      </w:pPr>
      <w:bookmarkStart w:id="1" w:name="_Hlk6223464"/>
      <w:r w:rsidRPr="00CA3496">
        <w:rPr>
          <w:rFonts w:ascii="Times New Roman" w:hAnsi="Times New Roman" w:cs="Times New Roman"/>
          <w:b/>
          <w:sz w:val="32"/>
          <w:szCs w:val="24"/>
        </w:rPr>
        <w:lastRenderedPageBreak/>
        <w:t>List of Figures</w:t>
      </w:r>
    </w:p>
    <w:p w14:paraId="480F09A8" w14:textId="68526CA9" w:rsidR="003B19EF" w:rsidRPr="00CA3496" w:rsidRDefault="003B19EF" w:rsidP="003B19EF">
      <w:pPr>
        <w:spacing w:line="480" w:lineRule="auto"/>
        <w:rPr>
          <w:rFonts w:ascii="Times New Roman" w:hAnsi="Times New Roman" w:cs="Times New Roman"/>
          <w:sz w:val="24"/>
          <w:szCs w:val="24"/>
        </w:rPr>
      </w:pPr>
      <w:r w:rsidRPr="00CA3496">
        <w:rPr>
          <w:rFonts w:ascii="Times New Roman" w:hAnsi="Times New Roman" w:cs="Times New Roman"/>
          <w:sz w:val="24"/>
          <w:szCs w:val="24"/>
        </w:rPr>
        <w:t>Figure 1-1</w:t>
      </w:r>
      <w:r>
        <w:rPr>
          <w:rFonts w:ascii="Times New Roman" w:hAnsi="Times New Roman" w:cs="Times New Roman"/>
          <w:sz w:val="24"/>
          <w:szCs w:val="24"/>
        </w:rPr>
        <w:t>. Policy Design Framework</w:t>
      </w:r>
      <w:r w:rsidRPr="00CA3496">
        <w:rPr>
          <w:rFonts w:ascii="Times New Roman" w:hAnsi="Times New Roman" w:cs="Times New Roman"/>
          <w:sz w:val="24"/>
          <w:szCs w:val="24"/>
        </w:rPr>
        <w:ptab w:relativeTo="margin" w:alignment="right" w:leader="dot"/>
      </w:r>
      <w:r w:rsidR="00786752">
        <w:rPr>
          <w:rFonts w:ascii="Times New Roman" w:hAnsi="Times New Roman" w:cs="Times New Roman"/>
          <w:bCs/>
          <w:sz w:val="24"/>
          <w:szCs w:val="24"/>
        </w:rPr>
        <w:t>4</w:t>
      </w:r>
    </w:p>
    <w:p w14:paraId="03F2456E" w14:textId="277577C6" w:rsidR="003B19EF" w:rsidRPr="00CA3496" w:rsidRDefault="003B19EF" w:rsidP="003B19EF">
      <w:pPr>
        <w:spacing w:line="480" w:lineRule="auto"/>
        <w:rPr>
          <w:rFonts w:ascii="Times New Roman" w:hAnsi="Times New Roman" w:cs="Times New Roman"/>
          <w:sz w:val="24"/>
          <w:szCs w:val="24"/>
        </w:rPr>
      </w:pPr>
      <w:r w:rsidRPr="00CA3496">
        <w:rPr>
          <w:rFonts w:ascii="Times New Roman" w:hAnsi="Times New Roman" w:cs="Times New Roman"/>
          <w:sz w:val="24"/>
          <w:szCs w:val="24"/>
        </w:rPr>
        <w:t>Figure 1-2</w:t>
      </w:r>
      <w:r>
        <w:rPr>
          <w:rFonts w:ascii="Times New Roman" w:hAnsi="Times New Roman" w:cs="Times New Roman"/>
          <w:sz w:val="24"/>
          <w:szCs w:val="24"/>
        </w:rPr>
        <w:t>. Policy Design in Policy Evaluation Studies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9</w:t>
      </w:r>
    </w:p>
    <w:p w14:paraId="005E46CF" w14:textId="358CA0BF" w:rsidR="003B19EF" w:rsidRPr="00CA3496" w:rsidRDefault="003B19EF" w:rsidP="003B19EF">
      <w:pPr>
        <w:spacing w:line="480" w:lineRule="auto"/>
        <w:rPr>
          <w:rFonts w:ascii="Times New Roman" w:hAnsi="Times New Roman" w:cs="Times New Roman"/>
          <w:sz w:val="24"/>
          <w:szCs w:val="24"/>
        </w:rPr>
      </w:pPr>
      <w:r w:rsidRPr="00CA3496">
        <w:rPr>
          <w:rFonts w:ascii="Times New Roman" w:hAnsi="Times New Roman" w:cs="Times New Roman"/>
          <w:sz w:val="24"/>
          <w:szCs w:val="24"/>
        </w:rPr>
        <w:t>Figure 1-3</w:t>
      </w:r>
      <w:r>
        <w:rPr>
          <w:rFonts w:ascii="Times New Roman" w:hAnsi="Times New Roman" w:cs="Times New Roman"/>
          <w:sz w:val="24"/>
          <w:szCs w:val="24"/>
        </w:rPr>
        <w:t>. Policy Design in Policy Process Scholarship</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17</w:t>
      </w:r>
    </w:p>
    <w:p w14:paraId="3BCF2F5E" w14:textId="17773750" w:rsidR="003B19EF" w:rsidRPr="00CA3496" w:rsidRDefault="003B19EF" w:rsidP="003B19EF">
      <w:pPr>
        <w:spacing w:line="480" w:lineRule="auto"/>
        <w:rPr>
          <w:rFonts w:ascii="Times New Roman" w:hAnsi="Times New Roman" w:cs="Times New Roman"/>
          <w:sz w:val="24"/>
          <w:szCs w:val="24"/>
        </w:rPr>
      </w:pPr>
      <w:r w:rsidRPr="00CA3496">
        <w:rPr>
          <w:rFonts w:ascii="Times New Roman" w:hAnsi="Times New Roman" w:cs="Times New Roman"/>
          <w:sz w:val="24"/>
          <w:szCs w:val="24"/>
        </w:rPr>
        <w:t>Figure 1-4</w:t>
      </w:r>
      <w:r>
        <w:rPr>
          <w:rFonts w:ascii="Times New Roman" w:hAnsi="Times New Roman" w:cs="Times New Roman"/>
          <w:sz w:val="24"/>
          <w:szCs w:val="24"/>
        </w:rPr>
        <w:t>. Policy Design in Public Administration</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25</w:t>
      </w:r>
    </w:p>
    <w:p w14:paraId="1658FD86" w14:textId="5340B547"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2-1. Policy Design Framework Applied to College Promise Policies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51</w:t>
      </w:r>
    </w:p>
    <w:p w14:paraId="6F02AD68" w14:textId="630B6241" w:rsidR="003B19EF" w:rsidRPr="003338D7"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3-1. The Political Pathway: How Politics Shapes Statutory Designs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54</w:t>
      </w:r>
    </w:p>
    <w:p w14:paraId="54C363AB" w14:textId="38398D4D"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3-2. Multiple Streams Model of Merit-Based Scholarship Criteria Determination</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61</w:t>
      </w:r>
    </w:p>
    <w:bookmarkEnd w:id="1"/>
    <w:p w14:paraId="66D37EBF" w14:textId="15AF4BA1"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3-3. Tuition-free Community College Policy Support Distributions, by Randomly Assigned Target Population</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75</w:t>
      </w:r>
    </w:p>
    <w:p w14:paraId="5AB2473E" w14:textId="571CDB64"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4-1. The Administrative Pathway: How Statutory Designs are Translated in the Implementation Process to Impact Outcomes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90</w:t>
      </w:r>
    </w:p>
    <w:p w14:paraId="0463F7E9" w14:textId="5B05BC9F"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4-2. Variation Across High Schools in the Proportion of Students Receiving the Oklahoma’s Promise Scholarship</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06</w:t>
      </w:r>
    </w:p>
    <w:p w14:paraId="0A2A45B8" w14:textId="33907700"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Figure 5-1. </w:t>
      </w:r>
      <w:bookmarkStart w:id="2" w:name="_Hlk6227802"/>
      <w:r>
        <w:rPr>
          <w:rFonts w:ascii="Times New Roman" w:hAnsi="Times New Roman" w:cs="Times New Roman"/>
          <w:sz w:val="24"/>
          <w:szCs w:val="24"/>
        </w:rPr>
        <w:t>The Instrumental Pathway: How Statutory Designs Impact Outcomes</w:t>
      </w:r>
      <w:bookmarkEnd w:id="2"/>
      <w:r w:rsidRPr="00CA3496">
        <w:rPr>
          <w:rFonts w:ascii="Times New Roman" w:hAnsi="Times New Roman" w:cs="Times New Roman"/>
          <w:sz w:val="24"/>
          <w:szCs w:val="24"/>
        </w:rPr>
        <w:ptab w:relativeTo="margin" w:alignment="right" w:leader="dot"/>
      </w:r>
      <w:r w:rsidR="000A3DE2">
        <w:rPr>
          <w:rFonts w:ascii="Times New Roman" w:hAnsi="Times New Roman" w:cs="Times New Roman"/>
          <w:sz w:val="24"/>
          <w:szCs w:val="24"/>
        </w:rPr>
        <w:t>1</w:t>
      </w:r>
      <w:r w:rsidR="00212138">
        <w:rPr>
          <w:rFonts w:ascii="Times New Roman" w:hAnsi="Times New Roman" w:cs="Times New Roman"/>
          <w:bCs/>
          <w:sz w:val="24"/>
          <w:szCs w:val="24"/>
        </w:rPr>
        <w:t>34</w:t>
      </w:r>
    </w:p>
    <w:p w14:paraId="12C14D6F" w14:textId="0CDABA96"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5-2. Change in Enrollment Before and After Implementation of Tuition-free College</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40</w:t>
      </w:r>
    </w:p>
    <w:p w14:paraId="1CC44789" w14:textId="529C2E81"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5-3. Changes in Student Population at Tulsa Community College</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42</w:t>
      </w:r>
    </w:p>
    <w:p w14:paraId="30F90CB1" w14:textId="7F42F385"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5-4. Changes in Student Population at Oklahoma City Community College</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44</w:t>
      </w:r>
    </w:p>
    <w:p w14:paraId="5D68A56F" w14:textId="6D6C3FE8"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5-5. Changes in Student Population at Rose State College</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45</w:t>
      </w:r>
    </w:p>
    <w:p w14:paraId="129F89F0" w14:textId="76499379"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lastRenderedPageBreak/>
        <w:t>Figure 5-6. Theoretical Model of Mechanisms by which Promise Programs impact K-12 and Postsecondary Outcomes</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60</w:t>
      </w:r>
    </w:p>
    <w:p w14:paraId="0D7B8446" w14:textId="302651F3"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5-7. Major Demographic Changes, by Cohort</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sz w:val="24"/>
          <w:szCs w:val="24"/>
        </w:rPr>
        <w:t>1</w:t>
      </w:r>
      <w:r w:rsidR="00212138">
        <w:rPr>
          <w:rFonts w:ascii="Times New Roman" w:hAnsi="Times New Roman" w:cs="Times New Roman"/>
          <w:sz w:val="24"/>
          <w:szCs w:val="24"/>
        </w:rPr>
        <w:t>6</w:t>
      </w:r>
      <w:r w:rsidRPr="00CA3496">
        <w:rPr>
          <w:rFonts w:ascii="Times New Roman" w:hAnsi="Times New Roman" w:cs="Times New Roman"/>
          <w:bCs/>
          <w:sz w:val="24"/>
          <w:szCs w:val="24"/>
        </w:rPr>
        <w:t>4</w:t>
      </w:r>
    </w:p>
    <w:p w14:paraId="568E1ADD" w14:textId="4FB2E2F2"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5-8. Proportion of Students Receiving Tulsa Achieves, by Distance from High School GPA Threshold</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6</w:t>
      </w:r>
      <w:r w:rsidR="000A3DE2">
        <w:rPr>
          <w:rFonts w:ascii="Times New Roman" w:hAnsi="Times New Roman" w:cs="Times New Roman"/>
          <w:bCs/>
          <w:sz w:val="24"/>
          <w:szCs w:val="24"/>
        </w:rPr>
        <w:t>8</w:t>
      </w:r>
    </w:p>
    <w:p w14:paraId="24A97B49" w14:textId="08CD9697"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5-9. Distribution of Students by Distance from High School GPA Eligibility Threshold</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6</w:t>
      </w:r>
      <w:r w:rsidR="000A3DE2">
        <w:rPr>
          <w:rFonts w:ascii="Times New Roman" w:hAnsi="Times New Roman" w:cs="Times New Roman"/>
          <w:bCs/>
          <w:sz w:val="24"/>
          <w:szCs w:val="24"/>
        </w:rPr>
        <w:t>9</w:t>
      </w:r>
    </w:p>
    <w:p w14:paraId="14EB61AF" w14:textId="517E6DD1"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5-10. Mean of Significant Outcomes of Interest, by Distance from Threshold</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7</w:t>
      </w:r>
      <w:r w:rsidR="000A3DE2">
        <w:rPr>
          <w:rFonts w:ascii="Times New Roman" w:hAnsi="Times New Roman" w:cs="Times New Roman"/>
          <w:bCs/>
          <w:sz w:val="24"/>
          <w:szCs w:val="24"/>
        </w:rPr>
        <w:t>7</w:t>
      </w:r>
    </w:p>
    <w:p w14:paraId="250F38F6" w14:textId="22E3AACE"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5-11. Event-Study Figures for the Effect of Tulsa Achieves Eligibility on Student Outcomes (ITT)</w:t>
      </w:r>
      <w:r w:rsidRPr="00CA3496">
        <w:rPr>
          <w:rFonts w:ascii="Times New Roman" w:hAnsi="Times New Roman" w:cs="Times New Roman"/>
          <w:sz w:val="24"/>
          <w:szCs w:val="24"/>
        </w:rPr>
        <w:ptab w:relativeTo="margin" w:alignment="right" w:leader="dot"/>
      </w:r>
      <w:r w:rsidR="000A3DE2">
        <w:rPr>
          <w:rFonts w:ascii="Times New Roman" w:hAnsi="Times New Roman" w:cs="Times New Roman"/>
          <w:bCs/>
          <w:sz w:val="24"/>
          <w:szCs w:val="24"/>
        </w:rPr>
        <w:t>1</w:t>
      </w:r>
      <w:r w:rsidR="00212138">
        <w:rPr>
          <w:rFonts w:ascii="Times New Roman" w:hAnsi="Times New Roman" w:cs="Times New Roman"/>
          <w:bCs/>
          <w:sz w:val="24"/>
          <w:szCs w:val="24"/>
        </w:rPr>
        <w:t>8</w:t>
      </w:r>
      <w:r w:rsidR="000A3DE2">
        <w:rPr>
          <w:rFonts w:ascii="Times New Roman" w:hAnsi="Times New Roman" w:cs="Times New Roman"/>
          <w:bCs/>
          <w:sz w:val="24"/>
          <w:szCs w:val="24"/>
        </w:rPr>
        <w:t>3-1</w:t>
      </w:r>
      <w:r w:rsidR="00212138">
        <w:rPr>
          <w:rFonts w:ascii="Times New Roman" w:hAnsi="Times New Roman" w:cs="Times New Roman"/>
          <w:bCs/>
          <w:sz w:val="24"/>
          <w:szCs w:val="24"/>
        </w:rPr>
        <w:t>8</w:t>
      </w:r>
      <w:r w:rsidR="000A3DE2">
        <w:rPr>
          <w:rFonts w:ascii="Times New Roman" w:hAnsi="Times New Roman" w:cs="Times New Roman"/>
          <w:bCs/>
          <w:sz w:val="24"/>
          <w:szCs w:val="24"/>
        </w:rPr>
        <w:t>4</w:t>
      </w:r>
    </w:p>
    <w:p w14:paraId="54090CA8" w14:textId="253E02F8" w:rsidR="003B19EF" w:rsidRDefault="003B19EF"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5-A1. Observable Characteristics near the Threshold</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190</w:t>
      </w:r>
    </w:p>
    <w:p w14:paraId="7A377A52" w14:textId="41907210" w:rsidR="003B19EF" w:rsidRDefault="00212138" w:rsidP="003B19EF">
      <w:pPr>
        <w:spacing w:line="480" w:lineRule="auto"/>
        <w:rPr>
          <w:rFonts w:ascii="Times New Roman" w:hAnsi="Times New Roman" w:cs="Times New Roman"/>
          <w:bCs/>
          <w:sz w:val="24"/>
          <w:szCs w:val="24"/>
        </w:rPr>
      </w:pPr>
      <w:r>
        <w:rPr>
          <w:rFonts w:ascii="Times New Roman" w:hAnsi="Times New Roman" w:cs="Times New Roman"/>
          <w:sz w:val="24"/>
          <w:szCs w:val="24"/>
        </w:rPr>
        <w:t>Figure 6-1</w:t>
      </w:r>
      <w:r w:rsidR="003B19EF">
        <w:rPr>
          <w:rFonts w:ascii="Times New Roman" w:hAnsi="Times New Roman" w:cs="Times New Roman"/>
          <w:sz w:val="24"/>
          <w:szCs w:val="24"/>
        </w:rPr>
        <w:t>. Policy Design Framework Applied to College Promise Policies</w:t>
      </w:r>
      <w:r w:rsidR="003B19EF" w:rsidRPr="00CA3496">
        <w:rPr>
          <w:rFonts w:ascii="Times New Roman" w:hAnsi="Times New Roman" w:cs="Times New Roman"/>
          <w:sz w:val="24"/>
          <w:szCs w:val="24"/>
        </w:rPr>
        <w:ptab w:relativeTo="margin" w:alignment="right" w:leader="dot"/>
      </w:r>
      <w:r>
        <w:rPr>
          <w:rFonts w:ascii="Times New Roman" w:hAnsi="Times New Roman" w:cs="Times New Roman"/>
          <w:bCs/>
          <w:sz w:val="24"/>
          <w:szCs w:val="24"/>
        </w:rPr>
        <w:t>195</w:t>
      </w:r>
    </w:p>
    <w:p w14:paraId="6CA17C24" w14:textId="77777777" w:rsidR="003B19EF" w:rsidRDefault="003B19EF">
      <w:pPr>
        <w:rPr>
          <w:rFonts w:ascii="Times New Roman" w:hAnsi="Times New Roman" w:cs="Times New Roman"/>
          <w:b/>
          <w:sz w:val="24"/>
          <w:szCs w:val="24"/>
        </w:rPr>
      </w:pPr>
    </w:p>
    <w:p w14:paraId="19171184" w14:textId="77777777" w:rsidR="00765AB4" w:rsidRDefault="00765AB4">
      <w:pPr>
        <w:rPr>
          <w:rFonts w:ascii="Times New Roman" w:hAnsi="Times New Roman" w:cs="Times New Roman"/>
          <w:b/>
          <w:sz w:val="24"/>
          <w:szCs w:val="24"/>
        </w:rPr>
      </w:pPr>
      <w:r>
        <w:rPr>
          <w:rFonts w:ascii="Times New Roman" w:hAnsi="Times New Roman" w:cs="Times New Roman"/>
          <w:b/>
          <w:sz w:val="24"/>
          <w:szCs w:val="24"/>
        </w:rPr>
        <w:br w:type="page"/>
      </w:r>
    </w:p>
    <w:p w14:paraId="5E3D6059" w14:textId="77777777" w:rsidR="00765AB4" w:rsidRPr="00CA3496" w:rsidRDefault="00765AB4" w:rsidP="00765AB4">
      <w:pPr>
        <w:spacing w:line="480" w:lineRule="auto"/>
        <w:rPr>
          <w:rFonts w:ascii="Times New Roman" w:hAnsi="Times New Roman" w:cs="Times New Roman"/>
          <w:b/>
          <w:sz w:val="32"/>
          <w:szCs w:val="24"/>
        </w:rPr>
      </w:pPr>
      <w:r w:rsidRPr="00CA3496">
        <w:rPr>
          <w:rFonts w:ascii="Times New Roman" w:hAnsi="Times New Roman" w:cs="Times New Roman"/>
          <w:b/>
          <w:sz w:val="32"/>
          <w:szCs w:val="24"/>
        </w:rPr>
        <w:lastRenderedPageBreak/>
        <w:t xml:space="preserve">List of </w:t>
      </w:r>
      <w:r>
        <w:rPr>
          <w:rFonts w:ascii="Times New Roman" w:hAnsi="Times New Roman" w:cs="Times New Roman"/>
          <w:b/>
          <w:sz w:val="32"/>
          <w:szCs w:val="24"/>
        </w:rPr>
        <w:t>Tables</w:t>
      </w:r>
    </w:p>
    <w:p w14:paraId="73A60C1F" w14:textId="6D01A26B" w:rsidR="00765AB4" w:rsidRPr="00CA3496" w:rsidRDefault="00765AB4" w:rsidP="00765AB4">
      <w:pPr>
        <w:spacing w:line="480" w:lineRule="auto"/>
        <w:rPr>
          <w:rFonts w:ascii="Times New Roman" w:hAnsi="Times New Roman" w:cs="Times New Roman"/>
          <w:sz w:val="24"/>
          <w:szCs w:val="24"/>
        </w:rPr>
      </w:pPr>
      <w:r>
        <w:rPr>
          <w:rFonts w:ascii="Times New Roman" w:hAnsi="Times New Roman" w:cs="Times New Roman"/>
          <w:sz w:val="24"/>
          <w:szCs w:val="24"/>
        </w:rPr>
        <w:t>Table</w:t>
      </w:r>
      <w:r w:rsidRPr="00CA3496">
        <w:rPr>
          <w:rFonts w:ascii="Times New Roman" w:hAnsi="Times New Roman" w:cs="Times New Roman"/>
          <w:sz w:val="24"/>
          <w:szCs w:val="24"/>
        </w:rPr>
        <w:t xml:space="preserve"> </w:t>
      </w:r>
      <w:r>
        <w:rPr>
          <w:rFonts w:ascii="Times New Roman" w:hAnsi="Times New Roman" w:cs="Times New Roman"/>
          <w:sz w:val="24"/>
          <w:szCs w:val="24"/>
        </w:rPr>
        <w:t>3</w:t>
      </w:r>
      <w:r w:rsidRPr="00CA3496">
        <w:rPr>
          <w:rFonts w:ascii="Times New Roman" w:hAnsi="Times New Roman" w:cs="Times New Roman"/>
          <w:sz w:val="24"/>
          <w:szCs w:val="24"/>
        </w:rPr>
        <w:t>-1</w:t>
      </w:r>
      <w:r>
        <w:rPr>
          <w:rFonts w:ascii="Times New Roman" w:hAnsi="Times New Roman" w:cs="Times New Roman"/>
          <w:sz w:val="24"/>
          <w:szCs w:val="24"/>
        </w:rPr>
        <w:t>. Typology of Target Populations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sz w:val="24"/>
          <w:szCs w:val="24"/>
        </w:rPr>
        <w:t>63</w:t>
      </w:r>
    </w:p>
    <w:p w14:paraId="442C00A4" w14:textId="22002DCC" w:rsidR="00765AB4" w:rsidRPr="00CA3496" w:rsidRDefault="00765AB4" w:rsidP="00765AB4">
      <w:pPr>
        <w:spacing w:line="480" w:lineRule="auto"/>
        <w:rPr>
          <w:rFonts w:ascii="Times New Roman" w:hAnsi="Times New Roman" w:cs="Times New Roman"/>
          <w:sz w:val="24"/>
          <w:szCs w:val="24"/>
        </w:rPr>
      </w:pPr>
      <w:r>
        <w:rPr>
          <w:rFonts w:ascii="Times New Roman" w:hAnsi="Times New Roman" w:cs="Times New Roman"/>
          <w:sz w:val="24"/>
          <w:szCs w:val="24"/>
        </w:rPr>
        <w:t>Table 3-2. Randomly Assigned Policy Design Treatments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70</w:t>
      </w:r>
    </w:p>
    <w:p w14:paraId="67216553" w14:textId="66ADC9BA" w:rsidR="00765AB4" w:rsidRPr="00CA3496" w:rsidRDefault="00765AB4" w:rsidP="00765AB4">
      <w:pPr>
        <w:spacing w:line="480" w:lineRule="auto"/>
        <w:rPr>
          <w:rFonts w:ascii="Times New Roman" w:hAnsi="Times New Roman" w:cs="Times New Roman"/>
          <w:sz w:val="24"/>
          <w:szCs w:val="24"/>
        </w:rPr>
      </w:pPr>
      <w:r>
        <w:rPr>
          <w:rFonts w:ascii="Times New Roman" w:hAnsi="Times New Roman" w:cs="Times New Roman"/>
          <w:sz w:val="24"/>
          <w:szCs w:val="24"/>
        </w:rPr>
        <w:t>Table 3</w:t>
      </w:r>
      <w:r w:rsidRPr="00CA3496">
        <w:rPr>
          <w:rFonts w:ascii="Times New Roman" w:hAnsi="Times New Roman" w:cs="Times New Roman"/>
          <w:sz w:val="24"/>
          <w:szCs w:val="24"/>
        </w:rPr>
        <w:t>-3</w:t>
      </w:r>
      <w:r>
        <w:rPr>
          <w:rFonts w:ascii="Times New Roman" w:hAnsi="Times New Roman" w:cs="Times New Roman"/>
          <w:sz w:val="24"/>
          <w:szCs w:val="24"/>
        </w:rPr>
        <w:t>. Measurement and Wording of Non-Binary Measures</w:t>
      </w:r>
      <w:r w:rsidRPr="00CA3496">
        <w:rPr>
          <w:rFonts w:ascii="Times New Roman" w:hAnsi="Times New Roman" w:cs="Times New Roman"/>
          <w:sz w:val="24"/>
          <w:szCs w:val="24"/>
        </w:rPr>
        <w:ptab w:relativeTo="margin" w:alignment="right" w:leader="dot"/>
      </w:r>
      <w:r w:rsidR="00212138">
        <w:rPr>
          <w:rFonts w:ascii="Times New Roman" w:hAnsi="Times New Roman" w:cs="Times New Roman"/>
          <w:bCs/>
          <w:sz w:val="24"/>
          <w:szCs w:val="24"/>
        </w:rPr>
        <w:t>72</w:t>
      </w:r>
    </w:p>
    <w:p w14:paraId="07390184" w14:textId="38E297F3" w:rsidR="00765AB4" w:rsidRPr="00CA3496" w:rsidRDefault="00765AB4" w:rsidP="00765AB4">
      <w:pPr>
        <w:spacing w:line="480" w:lineRule="auto"/>
        <w:rPr>
          <w:rFonts w:ascii="Times New Roman" w:hAnsi="Times New Roman" w:cs="Times New Roman"/>
          <w:sz w:val="24"/>
          <w:szCs w:val="24"/>
        </w:rPr>
      </w:pPr>
      <w:r>
        <w:rPr>
          <w:rFonts w:ascii="Times New Roman" w:hAnsi="Times New Roman" w:cs="Times New Roman"/>
          <w:sz w:val="24"/>
          <w:szCs w:val="24"/>
        </w:rPr>
        <w:t>Table 3-4. Descriptive Statistics with Post-stratification Weights</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sz w:val="24"/>
          <w:szCs w:val="24"/>
        </w:rPr>
        <w:t>73</w:t>
      </w:r>
    </w:p>
    <w:p w14:paraId="30FBC8B2" w14:textId="3F16D5B6"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3-5. Sample Means, by Randomly Assigned Target Group</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74</w:t>
      </w:r>
    </w:p>
    <w:p w14:paraId="464F20CB" w14:textId="0FF82BA2"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3-6. Regression Results</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77</w:t>
      </w:r>
    </w:p>
    <w:p w14:paraId="64A9D433" w14:textId="6A3F8BE9"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3-7. Regression Results: Ideological Subgroup Analysis</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80</w:t>
      </w:r>
    </w:p>
    <w:p w14:paraId="623E9B2A" w14:textId="08BCCB09"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3-A1. Demographic Attributes of Survey Respondents Compared to 2016 US Census Estimation</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86</w:t>
      </w:r>
    </w:p>
    <w:p w14:paraId="16D39704" w14:textId="3303017B"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3-B1. Ordinal Logistic Regression Results</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87</w:t>
      </w:r>
    </w:p>
    <w:p w14:paraId="4E55387D" w14:textId="6DC0217B"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3-B2. Ordinal Logistic Regression Results: Restricted Sample with Comprehension</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88</w:t>
      </w:r>
    </w:p>
    <w:p w14:paraId="3664EA8D" w14:textId="58461899"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3-B3. Ordinal Logistic Regression Results: Ideological Subgroup Analysis</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89</w:t>
      </w:r>
    </w:p>
    <w:p w14:paraId="58870694" w14:textId="29EEC218"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4-1. Descriptive Statistics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10</w:t>
      </w:r>
    </w:p>
    <w:p w14:paraId="4F14300F" w14:textId="7D2896D2"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4-2. Measurement and Operationalization of Role Perception Variables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11</w:t>
      </w:r>
    </w:p>
    <w:p w14:paraId="5484968D" w14:textId="48580B26"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4-3. Regression Results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14</w:t>
      </w:r>
    </w:p>
    <w:p w14:paraId="7D9076A9" w14:textId="49310411"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4-4. Regression Results with Role Perception Interaction</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16</w:t>
      </w:r>
    </w:p>
    <w:p w14:paraId="2A2530A0" w14:textId="6B96589D"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4-A1. Changes to Eligibility Requirements for Oklahoma’s Promise Over Time</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30</w:t>
      </w:r>
    </w:p>
    <w:p w14:paraId="6FC72E15" w14:textId="018AEE61"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lastRenderedPageBreak/>
        <w:t>Table 4-B1. Comparison of Sample of High School with Population Across State</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1</w:t>
      </w:r>
    </w:p>
    <w:p w14:paraId="473FD22A" w14:textId="58C2DF05"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4-C1. Comparison of Results with Alternative Measurement</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2</w:t>
      </w:r>
    </w:p>
    <w:p w14:paraId="766E7CE1" w14:textId="65484100"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4-D1. N for Each Combination of Roles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3</w:t>
      </w:r>
    </w:p>
    <w:p w14:paraId="07B9CBF6" w14:textId="39210A17"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4-E1. Measurement of Control Variables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4</w:t>
      </w:r>
    </w:p>
    <w:p w14:paraId="7DD25888" w14:textId="0F27F686"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5-1. Comparison of Policy Design in Oklahoma Tuition-free College Policies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7</w:t>
      </w:r>
    </w:p>
    <w:p w14:paraId="099B5424" w14:textId="43C6886C"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5-2. Comparing the School Districts Impacted by Tuition-free College Policy</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8</w:t>
      </w:r>
    </w:p>
    <w:p w14:paraId="26F7B0F0" w14:textId="02357A5E"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5-3. Comparing Who Benefits from Oklahoma Tuition-free College Programs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3</w:t>
      </w:r>
      <w:r w:rsidR="006A4673">
        <w:rPr>
          <w:rFonts w:ascii="Times New Roman" w:hAnsi="Times New Roman" w:cs="Times New Roman"/>
          <w:bCs/>
          <w:sz w:val="24"/>
          <w:szCs w:val="24"/>
        </w:rPr>
        <w:t>9</w:t>
      </w:r>
    </w:p>
    <w:p w14:paraId="074BA216" w14:textId="2A1B026E"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5-4. Policy Designs and Findings from Promise Research on Postsecondary Outcomes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5</w:t>
      </w:r>
      <w:r w:rsidR="006A4673">
        <w:rPr>
          <w:rFonts w:ascii="Times New Roman" w:hAnsi="Times New Roman" w:cs="Times New Roman"/>
          <w:bCs/>
          <w:sz w:val="24"/>
          <w:szCs w:val="24"/>
        </w:rPr>
        <w:t>4</w:t>
      </w:r>
    </w:p>
    <w:p w14:paraId="7B95D0A0" w14:textId="4CB2C20F"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5-5. Descriptive Statistics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6</w:t>
      </w:r>
      <w:r w:rsidR="006A4673">
        <w:rPr>
          <w:rFonts w:ascii="Times New Roman" w:hAnsi="Times New Roman" w:cs="Times New Roman"/>
          <w:bCs/>
          <w:sz w:val="24"/>
          <w:szCs w:val="24"/>
        </w:rPr>
        <w:t>2</w:t>
      </w:r>
    </w:p>
    <w:p w14:paraId="3D717187" w14:textId="1D45CAE7"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5-6. Coefficients and Standard Errors on Scoring Above GPA Threshold from Reduced-Form Model Predicting Student Observable Characteristics</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7</w:t>
      </w:r>
      <w:r w:rsidR="006A4673">
        <w:rPr>
          <w:rFonts w:ascii="Times New Roman" w:hAnsi="Times New Roman" w:cs="Times New Roman"/>
          <w:bCs/>
          <w:sz w:val="24"/>
          <w:szCs w:val="24"/>
        </w:rPr>
        <w:t>1</w:t>
      </w:r>
    </w:p>
    <w:p w14:paraId="441D14FF" w14:textId="4DE38F66"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5-7. RD Estimates of the Effect of Tulsa Achieves with Eligibility as Instrument for Receipt</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7</w:t>
      </w:r>
      <w:r w:rsidR="006A4673">
        <w:rPr>
          <w:rFonts w:ascii="Times New Roman" w:hAnsi="Times New Roman" w:cs="Times New Roman"/>
          <w:bCs/>
          <w:sz w:val="24"/>
          <w:szCs w:val="24"/>
        </w:rPr>
        <w:t>4-1</w:t>
      </w:r>
      <w:r w:rsidR="005C528A">
        <w:rPr>
          <w:rFonts w:ascii="Times New Roman" w:hAnsi="Times New Roman" w:cs="Times New Roman"/>
          <w:bCs/>
          <w:sz w:val="24"/>
          <w:szCs w:val="24"/>
        </w:rPr>
        <w:t>7</w:t>
      </w:r>
      <w:r w:rsidR="006A4673">
        <w:rPr>
          <w:rFonts w:ascii="Times New Roman" w:hAnsi="Times New Roman" w:cs="Times New Roman"/>
          <w:bCs/>
          <w:sz w:val="24"/>
          <w:szCs w:val="24"/>
        </w:rPr>
        <w:t>5</w:t>
      </w:r>
    </w:p>
    <w:p w14:paraId="2ABB4305" w14:textId="7ADFC1CA"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5-8. Difference-in-Difference Results for the Effect of Tulsa Achieves Eligibility on Student Outcomes (ITT)</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8</w:t>
      </w:r>
      <w:r w:rsidR="006A4673">
        <w:rPr>
          <w:rFonts w:ascii="Times New Roman" w:hAnsi="Times New Roman" w:cs="Times New Roman"/>
          <w:bCs/>
          <w:sz w:val="24"/>
          <w:szCs w:val="24"/>
        </w:rPr>
        <w:t>1</w:t>
      </w:r>
    </w:p>
    <w:p w14:paraId="6D06DC1F" w14:textId="11D19465"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5-9. Event-Study Results for the Effect of Tulsa Achieves Eligibility on Student Outcomes (ITT)</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8</w:t>
      </w:r>
      <w:r w:rsidR="006A4673">
        <w:rPr>
          <w:rFonts w:ascii="Times New Roman" w:hAnsi="Times New Roman" w:cs="Times New Roman"/>
          <w:bCs/>
          <w:sz w:val="24"/>
          <w:szCs w:val="24"/>
        </w:rPr>
        <w:t>2</w:t>
      </w:r>
    </w:p>
    <w:p w14:paraId="3B379224" w14:textId="3BC4DE46"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5-10. Two-Stage Least Squares Regression Results for the Effect of Tulsa Achieves Receipt on Student Outcomes (2005-2012)</w:t>
      </w:r>
      <w:r w:rsidRPr="00CA3496">
        <w:rPr>
          <w:rFonts w:ascii="Times New Roman" w:hAnsi="Times New Roman" w:cs="Times New Roman"/>
          <w:sz w:val="24"/>
          <w:szCs w:val="24"/>
        </w:rPr>
        <w:ptab w:relativeTo="margin" w:alignment="right" w:leader="dot"/>
      </w:r>
      <w:r w:rsidR="006A4673">
        <w:rPr>
          <w:rFonts w:ascii="Times New Roman" w:hAnsi="Times New Roman" w:cs="Times New Roman"/>
          <w:bCs/>
          <w:sz w:val="24"/>
          <w:szCs w:val="24"/>
        </w:rPr>
        <w:t>1</w:t>
      </w:r>
      <w:r w:rsidR="005C528A">
        <w:rPr>
          <w:rFonts w:ascii="Times New Roman" w:hAnsi="Times New Roman" w:cs="Times New Roman"/>
          <w:bCs/>
          <w:sz w:val="24"/>
          <w:szCs w:val="24"/>
        </w:rPr>
        <w:t>8</w:t>
      </w:r>
      <w:r w:rsidR="006A4673">
        <w:rPr>
          <w:rFonts w:ascii="Times New Roman" w:hAnsi="Times New Roman" w:cs="Times New Roman"/>
          <w:bCs/>
          <w:sz w:val="24"/>
          <w:szCs w:val="24"/>
        </w:rPr>
        <w:t>6</w:t>
      </w:r>
    </w:p>
    <w:p w14:paraId="5DEE32BD" w14:textId="2474C829"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lastRenderedPageBreak/>
        <w:t>Table 5-B1. Robustness Check with Out-of-State Students as Comparison Group: Difference-in-Difference Results for the Effect of Tulsa Achieves Eligibility on Student Outcomes (ITT)</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19</w:t>
      </w:r>
      <w:r w:rsidR="006A4673">
        <w:rPr>
          <w:rFonts w:ascii="Times New Roman" w:hAnsi="Times New Roman" w:cs="Times New Roman"/>
          <w:bCs/>
          <w:sz w:val="24"/>
          <w:szCs w:val="24"/>
        </w:rPr>
        <w:t>1</w:t>
      </w:r>
    </w:p>
    <w:p w14:paraId="161D5754" w14:textId="663E504B"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5-B2. Robustness Check with Out-of-State Students as Comparison Group: The Effect of Tulsa Achieves Eligibility on Student Outcomes (ITT)</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19</w:t>
      </w:r>
      <w:r w:rsidR="006A4673">
        <w:rPr>
          <w:rFonts w:ascii="Times New Roman" w:hAnsi="Times New Roman" w:cs="Times New Roman"/>
          <w:bCs/>
          <w:sz w:val="24"/>
          <w:szCs w:val="24"/>
        </w:rPr>
        <w:t>2</w:t>
      </w:r>
    </w:p>
    <w:p w14:paraId="7EABDCBF" w14:textId="2367637E"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Table 5-B3. Robustness Check with High School Fixed Effects: Difference-in-Difference Results for the Effect of Tulsa Achieves Eligibility on Student Outcomes (ITT)</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19</w:t>
      </w:r>
      <w:r w:rsidR="006A4673">
        <w:rPr>
          <w:rFonts w:ascii="Times New Roman" w:hAnsi="Times New Roman" w:cs="Times New Roman"/>
          <w:bCs/>
          <w:sz w:val="24"/>
          <w:szCs w:val="24"/>
        </w:rPr>
        <w:t>3</w:t>
      </w:r>
    </w:p>
    <w:p w14:paraId="2240842C" w14:textId="4AB2F938" w:rsidR="00765AB4" w:rsidRDefault="00765AB4" w:rsidP="00765AB4">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Table 5-B4. </w:t>
      </w:r>
      <w:bookmarkStart w:id="3" w:name="_Hlk6231559"/>
      <w:r>
        <w:rPr>
          <w:rFonts w:ascii="Times New Roman" w:hAnsi="Times New Roman" w:cs="Times New Roman"/>
          <w:sz w:val="24"/>
          <w:szCs w:val="24"/>
        </w:rPr>
        <w:t>Robustness Check with High School Fixed Effects</w:t>
      </w:r>
      <w:bookmarkEnd w:id="3"/>
      <w:r>
        <w:rPr>
          <w:rFonts w:ascii="Times New Roman" w:hAnsi="Times New Roman" w:cs="Times New Roman"/>
          <w:sz w:val="24"/>
          <w:szCs w:val="24"/>
        </w:rPr>
        <w:t>: Event-Study Results for the Effect of Tulsa Achieves Eligibility on Student Outcomes (ITT)</w:t>
      </w:r>
      <w:r w:rsidRPr="00CA3496">
        <w:rPr>
          <w:rFonts w:ascii="Times New Roman" w:hAnsi="Times New Roman" w:cs="Times New Roman"/>
          <w:sz w:val="24"/>
          <w:szCs w:val="24"/>
        </w:rPr>
        <w:ptab w:relativeTo="margin" w:alignment="right" w:leader="dot"/>
      </w:r>
      <w:r w:rsidR="005C528A">
        <w:rPr>
          <w:rFonts w:ascii="Times New Roman" w:hAnsi="Times New Roman" w:cs="Times New Roman"/>
          <w:bCs/>
          <w:sz w:val="24"/>
          <w:szCs w:val="24"/>
        </w:rPr>
        <w:t>19</w:t>
      </w:r>
      <w:r w:rsidR="006A4673">
        <w:rPr>
          <w:rFonts w:ascii="Times New Roman" w:hAnsi="Times New Roman" w:cs="Times New Roman"/>
          <w:bCs/>
          <w:sz w:val="24"/>
          <w:szCs w:val="24"/>
        </w:rPr>
        <w:t>4</w:t>
      </w:r>
    </w:p>
    <w:p w14:paraId="4728A8C2" w14:textId="77777777" w:rsidR="004A260C" w:rsidRDefault="004A260C">
      <w:pPr>
        <w:rPr>
          <w:rFonts w:ascii="Times New Roman" w:hAnsi="Times New Roman" w:cs="Times New Roman"/>
          <w:b/>
          <w:sz w:val="24"/>
          <w:szCs w:val="24"/>
        </w:rPr>
        <w:sectPr w:rsidR="004A260C" w:rsidSect="004A260C">
          <w:headerReference w:type="default" r:id="rId9"/>
          <w:headerReference w:type="first" r:id="rId10"/>
          <w:pgSz w:w="12240" w:h="15840"/>
          <w:pgMar w:top="1440" w:right="1440" w:bottom="1440" w:left="1440" w:header="720" w:footer="720" w:gutter="0"/>
          <w:pgNumType w:fmt="lowerRoman" w:start="4"/>
          <w:cols w:space="720"/>
          <w:docGrid w:linePitch="360"/>
        </w:sectPr>
      </w:pPr>
    </w:p>
    <w:p w14:paraId="65CE1683" w14:textId="5E5F4ACB" w:rsidR="0044098E" w:rsidRPr="009B7860" w:rsidRDefault="0044098E" w:rsidP="00A0080A">
      <w:pPr>
        <w:spacing w:line="480" w:lineRule="auto"/>
        <w:rPr>
          <w:rFonts w:ascii="Times New Roman" w:hAnsi="Times New Roman" w:cs="Times New Roman"/>
          <w:b/>
          <w:sz w:val="24"/>
          <w:szCs w:val="24"/>
        </w:rPr>
      </w:pPr>
      <w:r w:rsidRPr="009B7860">
        <w:rPr>
          <w:rFonts w:ascii="Times New Roman" w:hAnsi="Times New Roman" w:cs="Times New Roman"/>
          <w:b/>
          <w:sz w:val="24"/>
          <w:szCs w:val="24"/>
        </w:rPr>
        <w:lastRenderedPageBreak/>
        <w:t>I. Abstract</w:t>
      </w:r>
    </w:p>
    <w:p w14:paraId="2A444F94" w14:textId="77777777" w:rsidR="008500FD" w:rsidRPr="009B7860" w:rsidRDefault="0044098E" w:rsidP="002F5B0C">
      <w:pPr>
        <w:spacing w:line="480" w:lineRule="auto"/>
        <w:ind w:firstLine="720"/>
        <w:rPr>
          <w:rFonts w:ascii="Times New Roman" w:hAnsi="Times New Roman" w:cs="Times New Roman"/>
          <w:sz w:val="24"/>
          <w:szCs w:val="24"/>
        </w:rPr>
      </w:pPr>
      <w:r w:rsidRPr="009B7860">
        <w:rPr>
          <w:rFonts w:ascii="Times New Roman" w:hAnsi="Times New Roman" w:cs="Times New Roman"/>
          <w:sz w:val="24"/>
          <w:szCs w:val="24"/>
        </w:rPr>
        <w:t xml:space="preserve">Drawing on theory from political science, policy process, and policy analysis/evaluation, this project </w:t>
      </w:r>
      <w:r w:rsidR="002F5B0C" w:rsidRPr="009B7860">
        <w:rPr>
          <w:rFonts w:ascii="Times New Roman" w:hAnsi="Times New Roman" w:cs="Times New Roman"/>
          <w:sz w:val="24"/>
          <w:szCs w:val="24"/>
        </w:rPr>
        <w:t xml:space="preserve">investigates the different streams by which policy design influences the effectiveness of tuition-free college initiatives. My dissertation takes a different approach than previous literature by drawing connections across literature in policy process theory and public administration—including the social construction of target populations, administrative burden, and street-level bureaucracy—to formulate a holistic policy design framework. The central contention of my dissertation is that there are three main pathways through which policy design influences the success or failure of policy: political, administrative, and operational. </w:t>
      </w:r>
    </w:p>
    <w:p w14:paraId="457AA247" w14:textId="10CDB5EF" w:rsidR="005259A5" w:rsidRPr="004E13CD" w:rsidRDefault="002F5B0C" w:rsidP="009A744F">
      <w:pPr>
        <w:spacing w:line="480" w:lineRule="auto"/>
        <w:ind w:firstLine="720"/>
        <w:rPr>
          <w:rFonts w:ascii="Times New Roman" w:hAnsi="Times New Roman" w:cs="Times New Roman"/>
          <w:sz w:val="24"/>
          <w:szCs w:val="24"/>
        </w:rPr>
      </w:pPr>
      <w:r w:rsidRPr="009B7860">
        <w:rPr>
          <w:rFonts w:ascii="Times New Roman" w:hAnsi="Times New Roman" w:cs="Times New Roman"/>
          <w:sz w:val="24"/>
          <w:szCs w:val="24"/>
        </w:rPr>
        <w:t xml:space="preserve">First, I argue that there is a fundamental tension between the most politically advantageous and the most effective policy design, with risk averse policymakers often choosing the former to remain in line with perceptions of fairness among the public. Second, I find that politically motivated policy designs are translated through administrative agencies by bureaucrats that exercise uneven uses of discretionary power, which translates to inequities in access to free college programs. </w:t>
      </w:r>
      <w:bookmarkStart w:id="4" w:name="_Hlk527047679"/>
      <w:r w:rsidRPr="009B7860">
        <w:rPr>
          <w:rFonts w:ascii="Times New Roman" w:hAnsi="Times New Roman" w:cs="Times New Roman"/>
          <w:sz w:val="24"/>
          <w:szCs w:val="24"/>
        </w:rPr>
        <w:t xml:space="preserve">Third, </w:t>
      </w:r>
      <w:r w:rsidRPr="007D5D29">
        <w:rPr>
          <w:rFonts w:ascii="Times New Roman" w:hAnsi="Times New Roman" w:cs="Times New Roman"/>
          <w:sz w:val="24"/>
          <w:szCs w:val="24"/>
        </w:rPr>
        <w:t xml:space="preserve">I </w:t>
      </w:r>
      <w:r w:rsidR="004A053E">
        <w:rPr>
          <w:rFonts w:ascii="Times New Roman" w:hAnsi="Times New Roman" w:cs="Times New Roman"/>
          <w:sz w:val="24"/>
          <w:szCs w:val="24"/>
        </w:rPr>
        <w:t>find</w:t>
      </w:r>
      <w:r w:rsidRPr="007D5D29">
        <w:rPr>
          <w:rFonts w:ascii="Times New Roman" w:hAnsi="Times New Roman" w:cs="Times New Roman"/>
          <w:sz w:val="24"/>
          <w:szCs w:val="24"/>
        </w:rPr>
        <w:t xml:space="preserve"> that the alignment of policy tools and eligibility requirements with client needs structure who benefits and who loses, which meaningfully impacts whether policy outcomes are aligned with policy goals</w:t>
      </w:r>
      <w:bookmarkEnd w:id="4"/>
      <w:r w:rsidRPr="007D5D29">
        <w:rPr>
          <w:rFonts w:ascii="Times New Roman" w:hAnsi="Times New Roman" w:cs="Times New Roman"/>
          <w:sz w:val="24"/>
          <w:szCs w:val="24"/>
        </w:rPr>
        <w:t xml:space="preserve">. </w:t>
      </w:r>
      <w:r w:rsidR="0044098E" w:rsidRPr="007D5D29">
        <w:rPr>
          <w:rFonts w:ascii="Times New Roman" w:hAnsi="Times New Roman" w:cs="Times New Roman"/>
          <w:sz w:val="24"/>
          <w:szCs w:val="24"/>
        </w:rPr>
        <w:t xml:space="preserve">Together, </w:t>
      </w:r>
      <w:r w:rsidR="00A0080A" w:rsidRPr="007D5D29">
        <w:rPr>
          <w:rFonts w:ascii="Times New Roman" w:hAnsi="Times New Roman" w:cs="Times New Roman"/>
          <w:sz w:val="24"/>
          <w:szCs w:val="24"/>
        </w:rPr>
        <w:t xml:space="preserve">this project </w:t>
      </w:r>
      <w:r w:rsidR="004E13CD" w:rsidRPr="007D5D29">
        <w:rPr>
          <w:rFonts w:ascii="Times New Roman" w:hAnsi="Times New Roman" w:cs="Times New Roman"/>
          <w:sz w:val="24"/>
          <w:szCs w:val="24"/>
        </w:rPr>
        <w:t>leverages public policy and public administration theories on the social construction of target populations, administrative burden and street-level bureaucracy to better understand the conditions under which politically shaped governmental policies aimed at extending the ladder of opportunity will meaningfully reduce inequality in college access and success.</w:t>
      </w:r>
    </w:p>
    <w:p w14:paraId="632DD0F5" w14:textId="4B830972" w:rsidR="0044098E" w:rsidRPr="005B2DFB" w:rsidRDefault="0044098E" w:rsidP="00146DE5">
      <w:pPr>
        <w:rPr>
          <w:rFonts w:ascii="Times New Roman" w:hAnsi="Times New Roman" w:cs="Times New Roman"/>
          <w:sz w:val="24"/>
          <w:szCs w:val="24"/>
        </w:rPr>
      </w:pPr>
      <w:r>
        <w:rPr>
          <w:rFonts w:ascii="Times New Roman" w:hAnsi="Times New Roman" w:cs="Times New Roman"/>
          <w:sz w:val="24"/>
          <w:szCs w:val="24"/>
        </w:rPr>
        <w:br w:type="page"/>
      </w:r>
    </w:p>
    <w:p w14:paraId="17379E08" w14:textId="0928673D" w:rsidR="00DA69F5" w:rsidRPr="00A0080A" w:rsidRDefault="00DA69F5" w:rsidP="00A0080A">
      <w:pPr>
        <w:spacing w:after="0" w:line="480" w:lineRule="auto"/>
        <w:textAlignment w:val="center"/>
        <w:rPr>
          <w:rFonts w:ascii="Times New Roman" w:eastAsia="Times New Roman" w:hAnsi="Times New Roman" w:cs="Times New Roman"/>
          <w:b/>
          <w:sz w:val="32"/>
          <w:szCs w:val="32"/>
        </w:rPr>
      </w:pPr>
      <w:r w:rsidRPr="00A0080A">
        <w:rPr>
          <w:rFonts w:ascii="Times New Roman" w:eastAsia="Times New Roman" w:hAnsi="Times New Roman" w:cs="Times New Roman"/>
          <w:b/>
          <w:sz w:val="32"/>
          <w:szCs w:val="32"/>
        </w:rPr>
        <w:lastRenderedPageBreak/>
        <w:t xml:space="preserve">Chapter </w:t>
      </w:r>
      <w:r w:rsidR="00A531A5" w:rsidRPr="00A0080A">
        <w:rPr>
          <w:rFonts w:ascii="Times New Roman" w:eastAsia="Times New Roman" w:hAnsi="Times New Roman" w:cs="Times New Roman"/>
          <w:b/>
          <w:sz w:val="32"/>
          <w:szCs w:val="32"/>
        </w:rPr>
        <w:t>1</w:t>
      </w:r>
      <w:r w:rsidRPr="00A0080A">
        <w:rPr>
          <w:rFonts w:ascii="Times New Roman" w:eastAsia="Times New Roman" w:hAnsi="Times New Roman" w:cs="Times New Roman"/>
          <w:b/>
          <w:sz w:val="32"/>
          <w:szCs w:val="32"/>
        </w:rPr>
        <w:t xml:space="preserve">: A Holistic Policy Design Framework </w:t>
      </w:r>
    </w:p>
    <w:p w14:paraId="4BB64F61"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In theory, the foundation of a healthy democracy is built through the adoption and maintenance of public policies that solve the problems faced by citizens. In this way, democratic governments serve as the embodiment of the public, echoing and responding to the voices and needs of its constituency. Public policy, as the foundation of the democratic way of life, holds the potential to fulfill its duty and carry out the will of the people, effectively addressing the concerns of constituents and working for the betterment of society. However, in many cases, policy reforms in and of themselves may not accomplish intended policy goals and may, in fact, exacerbate inequality and contribute to degenerative politics that degrades the healthy functioning of democratic government. </w:t>
      </w:r>
    </w:p>
    <w:p w14:paraId="2C10181A" w14:textId="7A970D64"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A key factor determining whether policy reforms alleviate or exacerbate societal problems, I argue, is policy design—and not policy design in the narrow sense that it is normally considered by siloed academic literatures within political science, but policy design as it is defined in the holistic framework developed by this dissertation. Current conceptualizations of policy design within the subfields of policy evaluation, policy process and public administration studies, put forth incomplete explanations of how policy design translates into an effective or ineffective policy reform. For instance, as a result of the a-theoretical, econometric approach, policy evaluation scholars would argue that ineffective policy tools or flawed eligibility criteria are to blame for the failure of a policy reform. On the other hand, policy process scholars often argue that politically charged bureaucratic implementation processes are to blame for ineffective policy reform. </w:t>
      </w:r>
      <w:r w:rsidR="00A257D4">
        <w:rPr>
          <w:rFonts w:ascii="Times New Roman" w:eastAsia="Times New Roman" w:hAnsi="Times New Roman" w:cs="Times New Roman"/>
          <w:sz w:val="24"/>
          <w:szCs w:val="24"/>
        </w:rPr>
        <w:t>In contrast</w:t>
      </w:r>
      <w:r w:rsidRPr="005B2DFB">
        <w:rPr>
          <w:rFonts w:ascii="Times New Roman" w:eastAsia="Times New Roman" w:hAnsi="Times New Roman" w:cs="Times New Roman"/>
          <w:sz w:val="24"/>
          <w:szCs w:val="24"/>
        </w:rPr>
        <w:t xml:space="preserve">, public administration scholars would argue that bureaucrats are constrained by politically charged policy designs enacted by politicians interested in re-election and not necessarily the effectiveness of a program. In reality, none of these explanations fully </w:t>
      </w:r>
      <w:r w:rsidRPr="005B2DFB">
        <w:rPr>
          <w:rFonts w:ascii="Times New Roman" w:eastAsia="Times New Roman" w:hAnsi="Times New Roman" w:cs="Times New Roman"/>
          <w:sz w:val="24"/>
          <w:szCs w:val="24"/>
        </w:rPr>
        <w:lastRenderedPageBreak/>
        <w:t xml:space="preserve">capture all of the moving parts of policy design—it could be any of these explanations, or all of them, that explain the relationship between design and outcomes, depending on the context of the policy reform. </w:t>
      </w:r>
    </w:p>
    <w:p w14:paraId="4D1BD1A0" w14:textId="27795A8D" w:rsidR="00DA69F5"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In an effort to bridge the gap between academic literatures in public policy and public administration on the role of policy design in shaping outcomes, this dissertation takes a different approach to the study of policy design—one in which the insights of each academic literature mentioned above are incorporated into the holistic conceptualization of policy design. As such, this dissertation considers policy design as being composed of multiple interconnected components that work together to determine the effectiveness of policy reform. Policy design, as it is defined in this dissertation, is composed of political, symbolic and operational components including the choice of socially constructed target population, causal stories, rationales, policy tools, eligibility criteria, funding structures, implementation structures and allocations of policy benefits and burdens. Together, these components of policy design work to either undermine or facilitate the effectiveness of public policies in translating public problems into policy solutions. The process by which policy designs are developed and translate into outcomes is described in the holistic framework developed by this dissertation in Figure 1</w:t>
      </w:r>
      <w:r w:rsidR="00211457">
        <w:rPr>
          <w:rFonts w:ascii="Times New Roman" w:eastAsia="Times New Roman" w:hAnsi="Times New Roman" w:cs="Times New Roman"/>
          <w:sz w:val="24"/>
          <w:szCs w:val="24"/>
        </w:rPr>
        <w:t>-1</w:t>
      </w:r>
      <w:r w:rsidR="00902E62">
        <w:rPr>
          <w:rFonts w:ascii="Times New Roman" w:eastAsia="Times New Roman" w:hAnsi="Times New Roman" w:cs="Times New Roman"/>
          <w:sz w:val="24"/>
          <w:szCs w:val="24"/>
        </w:rPr>
        <w:t>.</w:t>
      </w:r>
    </w:p>
    <w:p w14:paraId="4113B61E" w14:textId="3880A8BE" w:rsidR="00146DE5" w:rsidRPr="00902E62" w:rsidRDefault="00A0080A" w:rsidP="00A0080A">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As shown in Figure </w:t>
      </w:r>
      <w:r>
        <w:rPr>
          <w:rFonts w:ascii="Times New Roman" w:eastAsia="Times New Roman" w:hAnsi="Times New Roman" w:cs="Times New Roman"/>
          <w:sz w:val="24"/>
          <w:szCs w:val="24"/>
        </w:rPr>
        <w:t>1</w:t>
      </w:r>
      <w:r w:rsidR="00211457">
        <w:rPr>
          <w:rFonts w:ascii="Times New Roman" w:eastAsia="Times New Roman" w:hAnsi="Times New Roman" w:cs="Times New Roman"/>
          <w:sz w:val="24"/>
          <w:szCs w:val="24"/>
        </w:rPr>
        <w:t>-1</w:t>
      </w:r>
      <w:r w:rsidRPr="005B2DFB">
        <w:rPr>
          <w:rFonts w:ascii="Times New Roman" w:eastAsia="Times New Roman" w:hAnsi="Times New Roman" w:cs="Times New Roman"/>
          <w:sz w:val="24"/>
          <w:szCs w:val="24"/>
        </w:rPr>
        <w:t>, policy design processes begin with political officials wielding policy design as a political tool, in which the flexibility in the choice of policy tool is exploited to maximize political gain for the coalition in power. Part of this process is the gauging of likely public support for a policy reform, in which political officials select the framing, target population, causal story and rationale that will be most likely to draw support from a broad base of their constituencies</w:t>
      </w:r>
      <w:r w:rsidR="00A257D4">
        <w:rPr>
          <w:rFonts w:ascii="Times New Roman" w:eastAsia="Times New Roman" w:hAnsi="Times New Roman" w:cs="Times New Roman"/>
          <w:sz w:val="24"/>
          <w:szCs w:val="24"/>
        </w:rPr>
        <w:t xml:space="preserve"> (Stone 2001)</w:t>
      </w:r>
      <w:r w:rsidRPr="005B2DFB">
        <w:rPr>
          <w:rFonts w:ascii="Times New Roman" w:eastAsia="Times New Roman" w:hAnsi="Times New Roman" w:cs="Times New Roman"/>
          <w:sz w:val="24"/>
          <w:szCs w:val="24"/>
        </w:rPr>
        <w:t>.</w:t>
      </w:r>
    </w:p>
    <w:p w14:paraId="3F45BF78" w14:textId="362FF973" w:rsidR="00DA69F5" w:rsidRPr="005B2DFB" w:rsidRDefault="00DA69F5" w:rsidP="00DA69F5">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lastRenderedPageBreak/>
        <w:t>Figure 1</w:t>
      </w:r>
      <w:r w:rsidR="00211457">
        <w:rPr>
          <w:rFonts w:ascii="Times New Roman" w:hAnsi="Times New Roman" w:cs="Times New Roman"/>
          <w:sz w:val="24"/>
          <w:szCs w:val="24"/>
        </w:rPr>
        <w:t>-1</w:t>
      </w:r>
      <w:r w:rsidRPr="005B2DFB">
        <w:rPr>
          <w:rFonts w:ascii="Times New Roman" w:hAnsi="Times New Roman" w:cs="Times New Roman"/>
          <w:sz w:val="24"/>
          <w:szCs w:val="24"/>
        </w:rPr>
        <w:t>. Policy Design Framework</w:t>
      </w:r>
      <w:r w:rsidRPr="00E3535F">
        <w:rPr>
          <w:rStyle w:val="FootnoteReference"/>
        </w:rPr>
        <w:footnoteReference w:id="1"/>
      </w:r>
    </w:p>
    <w:p w14:paraId="71CF2373" w14:textId="77777777" w:rsidR="00DA69F5" w:rsidRPr="005B2DFB" w:rsidRDefault="00DA69F5" w:rsidP="00DA69F5">
      <w:pPr>
        <w:spacing w:after="0" w:line="240" w:lineRule="auto"/>
        <w:textAlignment w:val="center"/>
        <w:rPr>
          <w:rFonts w:ascii="Times New Roman" w:eastAsia="Times New Roman" w:hAnsi="Times New Roman" w:cs="Times New Roman"/>
          <w:sz w:val="24"/>
          <w:szCs w:val="24"/>
        </w:rPr>
      </w:pPr>
    </w:p>
    <w:p w14:paraId="328FF035" w14:textId="77777777" w:rsidR="00DA69F5" w:rsidRPr="005B2DFB" w:rsidRDefault="00DA69F5" w:rsidP="00DA69F5">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8979D29" wp14:editId="4B7505B6">
                <wp:simplePos x="0" y="0"/>
                <wp:positionH relativeFrom="column">
                  <wp:posOffset>4678680</wp:posOffset>
                </wp:positionH>
                <wp:positionV relativeFrom="paragraph">
                  <wp:posOffset>1383030</wp:posOffset>
                </wp:positionV>
                <wp:extent cx="281940" cy="419100"/>
                <wp:effectExtent l="0" t="38100" r="41910" b="57150"/>
                <wp:wrapNone/>
                <wp:docPr id="16" name="Arrow: Right 16"/>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8EBA1B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368.4pt;margin-top:108.9pt;width:22.2pt;height:3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368EC75" wp14:editId="4B44406F">
                <wp:simplePos x="0" y="0"/>
                <wp:positionH relativeFrom="column">
                  <wp:posOffset>3048000</wp:posOffset>
                </wp:positionH>
                <wp:positionV relativeFrom="paragraph">
                  <wp:posOffset>1390650</wp:posOffset>
                </wp:positionV>
                <wp:extent cx="281940" cy="419100"/>
                <wp:effectExtent l="0" t="38100" r="41910" b="57150"/>
                <wp:wrapNone/>
                <wp:docPr id="15" name="Arrow: Right 15"/>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B11157" id="Arrow: Right 15" o:spid="_x0000_s1026" type="#_x0000_t13" style="position:absolute;margin-left:240pt;margin-top:109.5pt;width:22.2pt;height:3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468CCCD" wp14:editId="13858C39">
                <wp:simplePos x="0" y="0"/>
                <wp:positionH relativeFrom="column">
                  <wp:posOffset>1417320</wp:posOffset>
                </wp:positionH>
                <wp:positionV relativeFrom="paragraph">
                  <wp:posOffset>1436370</wp:posOffset>
                </wp:positionV>
                <wp:extent cx="281940" cy="419100"/>
                <wp:effectExtent l="0" t="38100" r="41910" b="57150"/>
                <wp:wrapNone/>
                <wp:docPr id="14" name="Arrow: Right 14"/>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1B82DA" id="Arrow: Right 14" o:spid="_x0000_s1026" type="#_x0000_t13" style="position:absolute;margin-left:111.6pt;margin-top:113.1pt;width:22.2pt;height:3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" adj="10800" fillcolor="black [3213]" strokecolor="black [3213]" strokeweight="1pt"/>
            </w:pict>
          </mc:Fallback>
        </mc:AlternateContent>
      </w:r>
      <w:r w:rsidRPr="005B2DFB">
        <w:rPr>
          <w:rFonts w:ascii="Times New Roman" w:hAnsi="Times New Roman" w:cs="Times New Roman"/>
          <w:noProof/>
          <w:sz w:val="24"/>
          <w:szCs w:val="24"/>
        </w:rPr>
        <w:drawing>
          <wp:inline distT="0" distB="0" distL="0" distR="0" wp14:anchorId="05611F95" wp14:editId="7A05456E">
            <wp:extent cx="6339840" cy="3200400"/>
            <wp:effectExtent l="0" t="0" r="381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6FEFDCA" w14:textId="77777777" w:rsidR="00DA69F5" w:rsidRPr="005B2DFB" w:rsidRDefault="00DA69F5" w:rsidP="00DA69F5">
      <w:pPr>
        <w:spacing w:after="0" w:line="240" w:lineRule="auto"/>
        <w:textAlignment w:val="center"/>
        <w:rPr>
          <w:rFonts w:ascii="Times New Roman" w:eastAsia="Times New Roman" w:hAnsi="Times New Roman" w:cs="Times New Roman"/>
          <w:sz w:val="24"/>
          <w:szCs w:val="24"/>
        </w:rPr>
      </w:pPr>
    </w:p>
    <w:p w14:paraId="0F5B14BD" w14:textId="3FD35A02"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As a function of this process, statutory design incorporates bargaining and coalition building and the strategic choices of eligibility requirements and policy tools that ensure that target populations with positive social constructions are allocated benefits and those with negative social constructions are allocated burdens in order to align with citizen perceptions of fairness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{"citationID":"F6OrkpMA","properties":{"formattedCitation":"(Boushey, 2016; Anne L. Schneider &amp; Ingram, 2012)","plainCitation":"(Boushey, 2016; Anne L. Schneider &amp; Ingram, 2012)","dontUpdate":true,"noteIndex":0},"citationItems":[{"id":4340,"uris":["http://zotero.org/users/2595715/items/G77HW9RF"],"uri":["http://zotero.org/users/2595715/items/G77HW9RF"],"itemData":{"id":4340,"type":"article-journal","title":"Targeted for Diffusion? How the Use and Acceptance of Stereotypes Shape the Diffusion of Criminal Justice Policy Innovations in the American States","container-title":"American Political Science Review","page":"198-214","volume":"110","issue":"1","source":"Cambridge Core","abstract":"This article explores the diffusion of criminal justice policy in the American states. Drawing on policy design theory, I code newspaper coverage of 44 criminal justice policies adopted across state governments from 1960–2008, identifying the image and power of target populations—the group singled out for special treatment under law. I test whether electoral pressure leads governments to disproportionally emulate innovations that reinforce popular stereotypes regarding who is entitled to policy benefits or deserving of policy burdens. I find strong support for this theory: State governments are more likely to adopt innovations that extend benefits to strong, popular, and powerful target populations or that impose burdens on weak and politically marginalized groups. This bias can be explained by pressures for responsive policy making, as my findings indicate that it is the national salience of the crime problem—but not the competitiveness or timing of state elections—that influences state adoption of popular “law and order” policy innovations.","DOI":"10.1017/S0003055415000532","ISSN":"0003-0554, 1537-5943","shortTitle":"Targeted for Diffusion?","author":[{"family":"Boushey","given":"Graeme"}],"issued":{"date-parts":[["2016",2]]}}},{"id":66,"uris":["http://zotero.org/users/2595715/items/AED4AXRZ"],"uri":["http://zotero.org/users/2595715/items/AED4AXRZ"],"itemData":{"id":66,"type":"book","title":"Deserving and Entitled: Social Constructions and Public Policy","publisher":"SUNY Press","number-of-pages":"387","source":"Google Books","abstract":"Public policy in the United States is marked by a contradiction between the American ideal of equality and the reality of an underclass of marginalized and disadvantaged people who are widely viewed as undeserving and incapable. Deserving and Entitled provides a close inspection of many different policy arenas, showing how the use of power and the manipulation of images have made it appear both natural and appropriate that some target populations benefit from policy, while others do not. These social constructions of deservedness and entitlement, unless challenged, become amplified over time and institutionalized into permanent lines of social, economic, and political cleavage. The contributors here express concern that too often public policy sends messages harmful to democracy and contributes significantly to the pattern of uneven political participation in the United States.","ISBN":"978-0-7914-8383-1","note":"Google-Books-ID: E7UcOIbFo_sC","shortTitle":"Deserving and Entitled","language":"en","author":[{"family":"Schneider","given":"Anne L."},{"family":"Ingram","given":"Helen M."}],"issued":{"date-parts":[["2012",2]]}}}],"schema":"https://github.com/citation-style-language/schema/raw/master/csl-citation.json"}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(Boushey, 2016; Schneider &amp; Ingram, 2012)</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In this way, policy designs are politically constrained by the strategic actions of officials concerned with the political feasibility of policy reforms and the consequences of policy reforms for their re-election. Thus, policy design in the politics phase involves the consideration of social constructions of target populations, rationales, assumptions, causal theories and deliberation regarding the various designs, tools and implementation structures that will be most likely to achieve political goals. In this way, the </w:t>
      </w:r>
      <w:r w:rsidRPr="005B2DFB">
        <w:rPr>
          <w:rFonts w:ascii="Times New Roman" w:eastAsia="Times New Roman" w:hAnsi="Times New Roman" w:cs="Times New Roman"/>
          <w:sz w:val="24"/>
          <w:szCs w:val="24"/>
        </w:rPr>
        <w:lastRenderedPageBreak/>
        <w:t>political component of policy design is made up of p</w:t>
      </w:r>
      <w:r w:rsidRPr="005B2DFB">
        <w:rPr>
          <w:rFonts w:ascii="Times New Roman" w:hAnsi="Times New Roman" w:cs="Times New Roman"/>
          <w:sz w:val="24"/>
          <w:szCs w:val="24"/>
        </w:rPr>
        <w:t xml:space="preserve">olicymakers who are able to exploit the range of possible policy designs to maximize re-election chances and cultivate positive perceptions of the policy among the public. </w:t>
      </w:r>
    </w:p>
    <w:p w14:paraId="34374EC8"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Next, the decisions made at the politically determined statutory design phase impacts the translation of policy designs into outcomes through the political process of implementation. Often, in this phase bureaucrats wield substantial discretionary authority due to the ambiguity in the statutory design passed by strategic public officials looking to avoid controversial, high-profile decisions regarding the distribution of resources. In fact, many public administration scholars posit that discretion is not only sometimes baked into policy designs, but is inevitable in almost every public program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{"citationID":"1LIcJEUp","properties":{"formattedCitation":"(Tummers &amp; Bekkers, 2014)","plainCitation":"(Tummers &amp; Bekkers, 2014)","noteIndex":0},"citationItems":[{"id":6340,"uris":["http://zotero.org/users/2595715/items/HTL3VK59"],"uri":["http://zotero.org/users/2595715/items/HTL3VK59"],"itemData":{"id":6340,"type":"article-journal","title":"Policy Implementation, Street-level Bureaucracy, and the Importance of Discretion","container-title":"Public Management Review","page":"527-547","volume":"16","issue":"4","source":"Taylor and Francis+NEJM","abstract":"Street-level bureaucrats implementing public policies have a certain degree of autonomy – or discretion – in their work. Following Lipsky, discretion has received wide attention in the policy implementation literature. However, scholars have not developed theoretical frameworks regarding the effects of discretion, which were then tested using large samples. This study therefore develops a theoretical framework regarding two main effects of discretion: client meaningfulness and willingness to implement. The relationships are tested using a survey among 1,300 health care professionals implementing a new policy. The results underscore the importance of discretion. Implications of the findings and a future research agenda is shown.","DOI":"10.1080/14719037.2013.841978","ISSN":"1471-9037","author":[{"family":"Tummers","given":"Lars"},{"family":"Bekkers","given":"Victor"}],"issued":{"date-parts":[["2014",5,19]]}}}],"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(Tummers &amp; Bekkers, 2014)</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This leaves the decisions on how to allocate limited resources in the hands of unelected bureaucrats, who are charged with interpreting policy designs implemented by politicians amidst the constraints of the statutory boundaries in their strategic use of discretion. For instance, the statutory design decisions made by political officials, in some cases, impose red tape on application or administrative processes of public agencies in an effort to restrict program access. This can be politically advantageous for officials looking to restrict citizen access to programs that do not align with their ideology or for officials looking to redirect limited public resources away from programs without having to make high-profile and controversial decisions in which the programs are eliminated, or funding is cut. In these cases, bureaucrats charged with implementing the policy changes can utilize discretion in ways that align or do not align with the priorities of political officials. This means that while some bureaucrats might utilize discretion in ways that empower clientele to overcome red tape, others may make matters worse for clientele, serving as a source of bureaucratic </w:t>
      </w:r>
      <w:r w:rsidRPr="005B2DFB">
        <w:rPr>
          <w:rFonts w:ascii="Times New Roman" w:eastAsia="Times New Roman" w:hAnsi="Times New Roman" w:cs="Times New Roman"/>
          <w:sz w:val="24"/>
          <w:szCs w:val="24"/>
        </w:rPr>
        <w:lastRenderedPageBreak/>
        <w:t xml:space="preserve">disentitlement. The strategic use of bureaucratic discretion, then, is another key element of policy design and the translation of policy designs into policy outcomes. </w:t>
      </w:r>
    </w:p>
    <w:p w14:paraId="48D62A5E"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Together, these policy design mechanisms—politically constrained statutory design and political implementation processes—determine whether policy reforms will solve or exacerbate societal problems in a democratic system of government. As a result of the system of majority rule, politicians are incentivized to appeal to broad bases on the constituency that are politically active, which can create a system in which policy reforms aimed at reducing inequality and uplifting the poor may be designed in ways that are politically feasible instead of in line with the needs of citizens. Moreover, policy designs that put the success or failure of a policy reform in the hands of constrained bureaucrats, who have the discretionary power and the limitations of public resource constraints, lead to systematic variation in the effectiveness of local agencies’ provision of public services in ways that can further contribute to systemic inequality. Therefore, the interaction of these policy design mechanisms can contribute to degenerative politics and leave societal problems unsolved and the will of citizens unheard. </w:t>
      </w:r>
    </w:p>
    <w:p w14:paraId="5B243E93"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In this dissertation, this holistic conceptualization of policy design is applied to my examination of college promise policies in order to more effectively portray the entire process of policy design, from the political bargaining stage all the way to the realization of policy outcomes. In this way, this dissertation leverages the insights of public administration and public policy theories to provide an empirically and theoretically rigorous investigation into the role of policy design in translating policy goals into policy outcomes in the context of college promise policies. In doing so, this project combines the methodological strengths of substantive policy evaluation with the theoretical rigor of public administration and public policy process studies to </w:t>
      </w:r>
      <w:r w:rsidRPr="005B2DFB">
        <w:rPr>
          <w:rFonts w:ascii="Times New Roman" w:eastAsia="Times New Roman" w:hAnsi="Times New Roman" w:cs="Times New Roman"/>
          <w:sz w:val="24"/>
          <w:szCs w:val="24"/>
        </w:rPr>
        <w:lastRenderedPageBreak/>
        <w:t xml:space="preserve">provide the first step toward the development and application of a holistic policy design framework. </w:t>
      </w:r>
    </w:p>
    <w:p w14:paraId="188172DC" w14:textId="77777777" w:rsidR="00DA69F5" w:rsidRPr="005B2DFB" w:rsidRDefault="00DA69F5" w:rsidP="00146DE5">
      <w:pPr>
        <w:spacing w:after="0" w:line="480" w:lineRule="auto"/>
        <w:ind w:firstLine="720"/>
        <w:textAlignment w:val="center"/>
        <w:rPr>
          <w:rFonts w:ascii="Times New Roman" w:hAnsi="Times New Roman" w:cs="Times New Roman"/>
          <w:sz w:val="24"/>
          <w:szCs w:val="24"/>
        </w:rPr>
      </w:pPr>
      <w:r w:rsidRPr="005B2DFB">
        <w:rPr>
          <w:rFonts w:ascii="Times New Roman" w:hAnsi="Times New Roman" w:cs="Times New Roman"/>
          <w:sz w:val="24"/>
          <w:szCs w:val="24"/>
        </w:rPr>
        <w:t>In my analysis of college promise policies, policy design is center stage as the determinant predicting whether college promise policies will accomplish policy goals of increasing access and success in college. Specifically, this dissertation leverages public policy and public administration theories on the social construction of target populations, administrative burden and street-level bureaucracy to better understand the conditions under which politically shaped governmental policies aimed at extending the ladder of opportunity will meaningfully reduce inequality in college access and success.</w:t>
      </w:r>
    </w:p>
    <w:p w14:paraId="2D562515" w14:textId="4C919099" w:rsidR="00DA69F5" w:rsidRPr="005B2DFB" w:rsidRDefault="00DA69F5" w:rsidP="00146DE5">
      <w:pPr>
        <w:spacing w:after="0" w:line="480" w:lineRule="auto"/>
        <w:textAlignment w:val="center"/>
        <w:rPr>
          <w:rFonts w:ascii="Times New Roman" w:hAnsi="Times New Roman" w:cs="Times New Roman"/>
          <w:sz w:val="24"/>
          <w:szCs w:val="24"/>
        </w:rPr>
      </w:pPr>
      <w:r w:rsidRPr="005B2DFB">
        <w:rPr>
          <w:rFonts w:ascii="Times New Roman" w:hAnsi="Times New Roman" w:cs="Times New Roman"/>
          <w:sz w:val="24"/>
          <w:szCs w:val="24"/>
        </w:rPr>
        <w:tab/>
        <w:t xml:space="preserve">The following sections review the related literatures in public policy, substantive policy evaluation and public administration that investigate the implications of policy design for political, social, economic and educational outcomes. Then, the chapter concludes with a preview of the dissertation. </w:t>
      </w:r>
    </w:p>
    <w:p w14:paraId="5CD95BA3" w14:textId="77777777" w:rsidR="00DA69F5" w:rsidRPr="005B2DFB" w:rsidRDefault="00DA69F5" w:rsidP="00146DE5">
      <w:pPr>
        <w:spacing w:after="0" w:line="480" w:lineRule="auto"/>
        <w:textAlignment w:val="center"/>
        <w:rPr>
          <w:rFonts w:ascii="Times New Roman" w:hAnsi="Times New Roman" w:cs="Times New Roman"/>
          <w:b/>
          <w:sz w:val="24"/>
          <w:szCs w:val="24"/>
        </w:rPr>
      </w:pPr>
      <w:r w:rsidRPr="005B2DFB">
        <w:rPr>
          <w:rFonts w:ascii="Times New Roman" w:hAnsi="Times New Roman" w:cs="Times New Roman"/>
          <w:b/>
          <w:sz w:val="24"/>
          <w:szCs w:val="24"/>
        </w:rPr>
        <w:t>1.1 Bringing the Strands Together: How do the Subfields Conceptualize Policy Design?</w:t>
      </w:r>
    </w:p>
    <w:p w14:paraId="199D6139" w14:textId="77777777" w:rsidR="00DA69F5" w:rsidRPr="005B2DFB" w:rsidRDefault="00DA69F5" w:rsidP="00146DE5">
      <w:pPr>
        <w:spacing w:after="0" w:line="480" w:lineRule="auto"/>
        <w:ind w:firstLine="720"/>
        <w:textAlignment w:val="center"/>
        <w:rPr>
          <w:rFonts w:ascii="Times New Roman" w:hAnsi="Times New Roman" w:cs="Times New Roman"/>
          <w:sz w:val="24"/>
          <w:szCs w:val="24"/>
        </w:rPr>
      </w:pPr>
      <w:r w:rsidRPr="005B2DFB">
        <w:rPr>
          <w:rFonts w:ascii="Times New Roman" w:eastAsia="Times New Roman" w:hAnsi="Times New Roman" w:cs="Times New Roman"/>
          <w:sz w:val="24"/>
          <w:szCs w:val="24"/>
        </w:rPr>
        <w:t xml:space="preserve">The subfields within political science have previously dealt with policy design in a piecemeal fashion, which has led to a fragmented literature that rarely crosses subfield boundaries. Indeed, while subfields such as policy process theory, policy evaluation and public administration have separately attempted to understand the influence of policy design on democratic outcomes, the fragmentary approach with which these investigations have been conducted leaves blind spots that are problematic for a holistic understanding of policy design. Before demonstrating the insights to be gained from a holistic understanding of policy design, </w:t>
      </w:r>
      <w:r w:rsidRPr="005B2DFB">
        <w:rPr>
          <w:rFonts w:ascii="Times New Roman" w:hAnsi="Times New Roman" w:cs="Times New Roman"/>
          <w:sz w:val="24"/>
          <w:szCs w:val="24"/>
        </w:rPr>
        <w:t xml:space="preserve">the next sections review the treatment of policy design in each of the subfields in this study—substantive policy evaluation, policy process theory, and public administration. Then, I establish </w:t>
      </w:r>
      <w:r w:rsidRPr="005B2DFB">
        <w:rPr>
          <w:rFonts w:ascii="Times New Roman" w:hAnsi="Times New Roman" w:cs="Times New Roman"/>
          <w:sz w:val="24"/>
          <w:szCs w:val="24"/>
        </w:rPr>
        <w:lastRenderedPageBreak/>
        <w:t xml:space="preserve">the drawbacks of such a fragmented approach and highlight the insights that can be gained through an integrated policy design framework. </w:t>
      </w:r>
    </w:p>
    <w:p w14:paraId="45A7757D" w14:textId="77777777" w:rsidR="00DA69F5" w:rsidRPr="005B2DFB" w:rsidRDefault="00DA69F5" w:rsidP="00146DE5">
      <w:pPr>
        <w:spacing w:after="0" w:line="480" w:lineRule="auto"/>
        <w:rPr>
          <w:rFonts w:ascii="Times New Roman" w:hAnsi="Times New Roman" w:cs="Times New Roman"/>
          <w:b/>
          <w:sz w:val="24"/>
          <w:szCs w:val="24"/>
        </w:rPr>
      </w:pPr>
      <w:r w:rsidRPr="005B2DFB">
        <w:rPr>
          <w:rFonts w:ascii="Times New Roman" w:hAnsi="Times New Roman" w:cs="Times New Roman"/>
          <w:b/>
          <w:sz w:val="24"/>
          <w:szCs w:val="24"/>
        </w:rPr>
        <w:t>1.1.1 Policy Design in Policy Evaluation</w:t>
      </w:r>
    </w:p>
    <w:p w14:paraId="44531593" w14:textId="77777777" w:rsidR="00DA69F5" w:rsidRPr="005B2DFB" w:rsidRDefault="00DA69F5" w:rsidP="00146DE5">
      <w:pPr>
        <w:spacing w:after="0"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In</w:t>
      </w:r>
      <w:r w:rsidRPr="005B2DFB">
        <w:rPr>
          <w:rFonts w:ascii="Times New Roman" w:eastAsia="Times New Roman" w:hAnsi="Times New Roman" w:cs="Times New Roman"/>
          <w:sz w:val="24"/>
          <w:szCs w:val="24"/>
        </w:rPr>
        <w:t xml:space="preserve"> the policy evaluation literature, scholars with expertise in a substantive policy area such as education or health care policy are interested in how public policy designs (the independent variable of interest) impact societal outcomes such as educational attainment, political engagement or economic prosperity. In this way, the conceptualization of public policy in this literature speaks directly to questions of importance for policy effectiveness and observed citizen outcomes. This approach to studying policy design has multiple benefits including practical relevance to policy debates, advanced methodological tools for causal inference, and a degree of localized contextual knowledge that leads to rich descriptions and elevated levels of internal validity. Each of these strengths is a product of the unique epistemology of policy evaluation studies, which emphasizes the ability to identify causal effects more than the development of grand theories that apply across policy domains. </w:t>
      </w:r>
    </w:p>
    <w:p w14:paraId="4BC48C1C" w14:textId="58938CB8"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eastAsia="Times New Roman" w:hAnsi="Times New Roman" w:cs="Times New Roman"/>
          <w:sz w:val="24"/>
          <w:szCs w:val="24"/>
        </w:rPr>
        <w:t>As shown in Figure 1</w:t>
      </w:r>
      <w:r w:rsidR="00211457">
        <w:rPr>
          <w:rFonts w:ascii="Times New Roman" w:eastAsia="Times New Roman" w:hAnsi="Times New Roman" w:cs="Times New Roman"/>
          <w:sz w:val="24"/>
          <w:szCs w:val="24"/>
        </w:rPr>
        <w:t>-2</w:t>
      </w:r>
      <w:r w:rsidRPr="005B2DFB">
        <w:rPr>
          <w:rFonts w:ascii="Times New Roman" w:eastAsia="Times New Roman" w:hAnsi="Times New Roman" w:cs="Times New Roman"/>
          <w:sz w:val="24"/>
          <w:szCs w:val="24"/>
        </w:rPr>
        <w:t xml:space="preserve">, due to the epistemology of policy evaluation work, policy design is conceptualized narrowly in economic terms as being composed of </w:t>
      </w:r>
      <w:r w:rsidRPr="005B2DFB">
        <w:rPr>
          <w:rFonts w:ascii="Times New Roman" w:hAnsi="Times New Roman" w:cs="Times New Roman"/>
          <w:sz w:val="24"/>
          <w:szCs w:val="24"/>
        </w:rPr>
        <w:t xml:space="preserve">eligibility criteria and practical policy tools that influence a </w:t>
      </w:r>
      <w:r w:rsidRPr="005B2DFB">
        <w:rPr>
          <w:rFonts w:ascii="Times New Roman" w:eastAsia="Times New Roman" w:hAnsi="Times New Roman" w:cs="Times New Roman"/>
          <w:sz w:val="24"/>
          <w:szCs w:val="24"/>
        </w:rPr>
        <w:t xml:space="preserve">public policies’ ability to solve the problems of market failure and affect citizen outcomes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{"citationID":"6HzAyMbV","properties":{"formattedCitation":"(Weimer &amp; Vining, 2017)","plainCitation":"(Weimer &amp; Vining, 2017)","noteIndex":0},"citationItems":[{"id":96,"uris":["http://zotero.org/users/2595715/items/P98R6KAF"],"uri":["http://zotero.org/users/2595715/items/P98R6KAF"],"itemData":{"id":96,"type":"book","title":"Policy Analysis: Concepts and Practice","publisher":"Taylor &amp; Francis","number-of-pages":"503","source":"Google Books","abstract":"Often described as a public policy “bible,” Weimer and Vining remains the essential primer it ever was. Now in its sixth edition, Policy Analysis provides a strong conceptual foundation of the rationales for and the limitations to public policy. It offers practical advice about how to do policy analysis, but goes a bit deeper to demonstrate the application of advanced analytical techniques through the use of case studies. Updates to this edition include:   A chapter dedicated to distinguishing between policy analysis, policy research, stakeholder analysis, and research about the policy process. An extensively updated chapter on policy problems as market and governmental failure that explores the popularity of Uber and its consequences. The presentation of a property rights perspective in the chapter on government supply to help show the goal tensions that arise from mixed ownership. An entirely new chapter on performing analysis from the perspective of a public agency and a particular program within the agency’s portfolio: public agency strategic analysis (PASA). A substantially rewritten chapter on cost–benefit analysis, to better prepare students to become producers and consumers of the types of cost–benefit analyses they will encounter in regulatory analysis and social policy careers. A new introductory case with a debriefing that provides advice to help students immediately begin work on their own projects.  Policy Analysis: Concepts and Practices remains a comprehensive, serious, and rich introduction to policy analysis for students in public policy, public administration, and business programs.","ISBN":"978-1-315-44211-2","note":"Google-Books-ID: xT4lDwAAQBAJ","shortTitle":"Policy Analysis","language":"en","author":[{"family":"Weimer","given":"David L."},{"family":"Vining","given":"Aidan R."}],"issued":{"date-parts":[["2017",3,31]]}}}],"schema":"https://github.com/citation-style-language/schema/raw/master/csl-citation.json"}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(Weimer &amp; Vining,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instance, policy evaluation scholars are keen to highlight the impacts of differences in structure between supply side versus demand side subsidies and taxes. In this repertoire, scholars categorize the ways in which government can create rules (price regulation, quantity regulation) and the role of policy in freeing, facilitating and simulating markets (Wiemer and Vining 2017). These scholars, often publishing in substantive policy field journals such as </w:t>
      </w:r>
      <w:r w:rsidRPr="005B2DFB">
        <w:rPr>
          <w:rFonts w:ascii="Times New Roman" w:hAnsi="Times New Roman" w:cs="Times New Roman"/>
          <w:i/>
          <w:sz w:val="24"/>
          <w:szCs w:val="24"/>
        </w:rPr>
        <w:t>Education Evaluation and Policy Analysis</w:t>
      </w:r>
      <w:r w:rsidRPr="005B2DFB">
        <w:rPr>
          <w:rFonts w:ascii="Times New Roman" w:hAnsi="Times New Roman" w:cs="Times New Roman"/>
          <w:sz w:val="24"/>
          <w:szCs w:val="24"/>
        </w:rPr>
        <w:t xml:space="preserve"> </w:t>
      </w:r>
      <w:r w:rsidRPr="005B2DFB">
        <w:rPr>
          <w:rFonts w:ascii="Times New Roman" w:hAnsi="Times New Roman" w:cs="Times New Roman"/>
          <w:sz w:val="24"/>
          <w:szCs w:val="24"/>
        </w:rPr>
        <w:lastRenderedPageBreak/>
        <w:t xml:space="preserve">(EEPA) or the </w:t>
      </w:r>
      <w:r w:rsidRPr="005B2DFB">
        <w:rPr>
          <w:rFonts w:ascii="Times New Roman" w:hAnsi="Times New Roman" w:cs="Times New Roman"/>
          <w:i/>
          <w:sz w:val="24"/>
          <w:szCs w:val="24"/>
        </w:rPr>
        <w:t>Journal of Policy Analysis and Management</w:t>
      </w:r>
      <w:r w:rsidRPr="005B2DFB">
        <w:rPr>
          <w:rFonts w:ascii="Times New Roman" w:hAnsi="Times New Roman" w:cs="Times New Roman"/>
          <w:sz w:val="24"/>
          <w:szCs w:val="24"/>
        </w:rPr>
        <w:t xml:space="preserve"> (JPAM), play an integral role in improving public and scholarly knowledge of the effectiveness of policies. Insights from JPAM range in policy issue areas, including anything from education and welfare to labor and workforce development, all focusing on the impacts of policies, once enacted, on societal outcomes of interest. This perspective of policy design from an economic perspective lends itself well to the utilization of advanced econometric estimation techniques that uncover the causal effects of specific policies on societal outcomes of interest in substantive areas such as health care, education, tax policy etc. </w:t>
      </w:r>
    </w:p>
    <w:p w14:paraId="4E3FD906" w14:textId="77777777" w:rsidR="00DA69F5" w:rsidRPr="005B2DFB" w:rsidRDefault="00DA69F5" w:rsidP="00DA69F5">
      <w:pPr>
        <w:spacing w:after="0" w:line="240" w:lineRule="auto"/>
        <w:ind w:left="1440" w:firstLine="720"/>
        <w:rPr>
          <w:rFonts w:ascii="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74596E8" wp14:editId="03BB0532">
                <wp:simplePos x="0" y="0"/>
                <wp:positionH relativeFrom="column">
                  <wp:posOffset>2895600</wp:posOffset>
                </wp:positionH>
                <wp:positionV relativeFrom="paragraph">
                  <wp:posOffset>346075</wp:posOffset>
                </wp:positionV>
                <wp:extent cx="548640" cy="9144"/>
                <wp:effectExtent l="0" t="76200" r="22860" b="86360"/>
                <wp:wrapNone/>
                <wp:docPr id="3" name="Straight Arrow Connector 3"/>
                <wp:cNvGraphicFramePr/>
                <a:graphic xmlns:a="http://schemas.openxmlformats.org/drawingml/2006/main">
                  <a:graphicData uri="http://schemas.microsoft.com/office/word/2010/wordprocessingShape">
                    <wps:wsp>
                      <wps:cNvCnPr/>
                      <wps:spPr>
                        <a:xfrm flipV="1">
                          <a:off x="0" y="0"/>
                          <a:ext cx="548640" cy="914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5714F9" id="Straight Arrow Connector 3" o:spid="_x0000_s1026" type="#_x0000_t32" style="position:absolute;margin-left:228pt;margin-top:27.25pt;width:43.2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" strokecolor="black [3213]" strokeweight="1pt">
                <v:stroke endarrow="block" joinstyle="miter"/>
              </v:shape>
            </w:pict>
          </mc:Fallback>
        </mc:AlternateContent>
      </w:r>
      <w:r w:rsidRPr="005B2DFB">
        <w:rPr>
          <w:rFonts w:ascii="Times New Roman" w:hAnsi="Times New Roman" w:cs="Times New Roman"/>
          <w:noProof/>
          <w:sz w:val="24"/>
          <w:szCs w:val="24"/>
        </w:rPr>
        <w:drawing>
          <wp:inline distT="0" distB="0" distL="0" distR="0" wp14:anchorId="38C30A82" wp14:editId="2D76F1AC">
            <wp:extent cx="3535680" cy="609600"/>
            <wp:effectExtent l="0" t="38100" r="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275A6A2" w14:textId="2410672A" w:rsidR="00DA69F5" w:rsidRPr="005B2DFB" w:rsidRDefault="00DA69F5" w:rsidP="00DA69F5">
      <w:pPr>
        <w:spacing w:after="0" w:line="240" w:lineRule="auto"/>
        <w:ind w:left="1440" w:firstLine="720"/>
        <w:rPr>
          <w:rFonts w:ascii="Times New Roman" w:hAnsi="Times New Roman" w:cs="Times New Roman"/>
          <w:sz w:val="24"/>
          <w:szCs w:val="24"/>
        </w:rPr>
      </w:pPr>
      <w:r w:rsidRPr="005B2DFB">
        <w:rPr>
          <w:rFonts w:ascii="Times New Roman" w:hAnsi="Times New Roman" w:cs="Times New Roman"/>
          <w:sz w:val="24"/>
          <w:szCs w:val="24"/>
        </w:rPr>
        <w:t>Figure 1</w:t>
      </w:r>
      <w:r w:rsidR="00211457">
        <w:rPr>
          <w:rFonts w:ascii="Times New Roman" w:hAnsi="Times New Roman" w:cs="Times New Roman"/>
          <w:sz w:val="24"/>
          <w:szCs w:val="24"/>
        </w:rPr>
        <w:t>-2</w:t>
      </w:r>
      <w:r w:rsidRPr="005B2DFB">
        <w:rPr>
          <w:rFonts w:ascii="Times New Roman" w:hAnsi="Times New Roman" w:cs="Times New Roman"/>
          <w:sz w:val="24"/>
          <w:szCs w:val="24"/>
        </w:rPr>
        <w:t>. Policy Design in Policy Evaluation Studies</w:t>
      </w:r>
    </w:p>
    <w:p w14:paraId="76863418" w14:textId="77777777" w:rsidR="00DA69F5" w:rsidRPr="005B2DFB" w:rsidRDefault="00DA69F5" w:rsidP="00DA69F5">
      <w:pPr>
        <w:spacing w:after="0" w:line="240" w:lineRule="auto"/>
        <w:ind w:left="1440" w:firstLine="720"/>
        <w:rPr>
          <w:rFonts w:ascii="Times New Roman" w:hAnsi="Times New Roman" w:cs="Times New Roman"/>
          <w:sz w:val="24"/>
          <w:szCs w:val="24"/>
        </w:rPr>
      </w:pPr>
    </w:p>
    <w:p w14:paraId="5511C36D" w14:textId="1C1FB582"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fact, perhaps one of the most important strengths of the policy evaluation literature is the advanced econometric and experimental methodological techniques utilized to isolate the causal impact of public policy tools on citizen outcomes. Indeed, the singular focus on the impact of policies on societal outcomes makes policy evaluation scholars particularly effective at utilizing rigorous econometrics to measure causal effects, efficiency trade-offs and implications of particular tools for distributional outcomes and policy effectiveness. </w:t>
      </w:r>
    </w:p>
    <w:p w14:paraId="258306AA" w14:textId="77777777" w:rsidR="00DA69F5" w:rsidRPr="005B2DFB" w:rsidRDefault="00DA69F5" w:rsidP="00146DE5">
      <w:pPr>
        <w:spacing w:after="0" w:line="480" w:lineRule="auto"/>
        <w:rPr>
          <w:rFonts w:ascii="Times New Roman" w:hAnsi="Times New Roman" w:cs="Times New Roman"/>
          <w:b/>
          <w:sz w:val="24"/>
          <w:szCs w:val="24"/>
        </w:rPr>
      </w:pPr>
      <w:r w:rsidRPr="005B2DFB">
        <w:rPr>
          <w:rFonts w:ascii="Times New Roman" w:hAnsi="Times New Roman" w:cs="Times New Roman"/>
          <w:b/>
          <w:sz w:val="24"/>
          <w:szCs w:val="24"/>
        </w:rPr>
        <w:t>1.1.2 Policy Design in Policy Process Studies</w:t>
      </w:r>
    </w:p>
    <w:p w14:paraId="2EA367F9"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direct contrast to the policy evaluation literature, throughout much of the development of public policy process literature, the majority of scholars have conceptualized policy design as the outcome to be explained by a whole host of political phenomena. The policy process literature on policy design is substantial and illuminating for better understanding the politics of </w:t>
      </w:r>
      <w:r w:rsidRPr="005B2DFB">
        <w:rPr>
          <w:rFonts w:ascii="Times New Roman" w:hAnsi="Times New Roman" w:cs="Times New Roman"/>
          <w:sz w:val="24"/>
          <w:szCs w:val="24"/>
        </w:rPr>
        <w:lastRenderedPageBreak/>
        <w:t xml:space="preserve">policy design choices by legislatures and the consequences of those design choices for political outcomes such as civic engagement and trust in government. </w:t>
      </w:r>
    </w:p>
    <w:p w14:paraId="06F8CC66" w14:textId="5DB8F86F"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In particular, scholars have made theoretical developments in two main bodies of literature that enable a better understanding of policy design and democratic outcomes. First, scholars have developed the social construction of target populations framework, which explains why policies are designed in ways that contribute to inequality and degenerative politics through developing theory around the impact of socially constructed target populations within policy designs. Second, scholars in political science have developed a better understanding of the processes of policy feedback, which details the influence of policy design on future policies and citizen outcomes such as civic engagement, trust in government and political efficacy. Combined with the insights from policy evaluation and public administration, the insights from these two literatures help establish a more holistic understanding of the implications of policy design.</w:t>
      </w:r>
    </w:p>
    <w:p w14:paraId="79B5F369" w14:textId="297DE4A3" w:rsidR="00DA69F5" w:rsidRPr="005B2DFB" w:rsidRDefault="00DA69F5" w:rsidP="00146DE5">
      <w:pPr>
        <w:spacing w:after="0" w:line="480" w:lineRule="auto"/>
        <w:rPr>
          <w:rFonts w:ascii="Times New Roman" w:hAnsi="Times New Roman" w:cs="Times New Roman"/>
          <w:i/>
          <w:sz w:val="24"/>
          <w:szCs w:val="24"/>
        </w:rPr>
      </w:pPr>
      <w:r w:rsidRPr="005B2DFB">
        <w:rPr>
          <w:rFonts w:ascii="Times New Roman" w:hAnsi="Times New Roman" w:cs="Times New Roman"/>
          <w:i/>
          <w:sz w:val="24"/>
          <w:szCs w:val="24"/>
        </w:rPr>
        <w:t>Policy Design in the Social Construction of Target Populations Framework</w:t>
      </w:r>
    </w:p>
    <w:p w14:paraId="5447E9A5" w14:textId="48285B7C"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Drawing from the social construction of target populations, or more recently termed policy design theory, policy design is conceptualized as a politically relevant factor composed of goals/problems, rules, rationales, assumptions, target populations, social constructions, benefits, burdens, tools, and implementation structures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{"citationID":"Zv5oOgzE","properties":{"formattedCitation":"(A. Schneider &amp; Sidney, 2009)","plainCitation":"(A. Schneider &amp; Sidney, 2009)","noteIndex":0},"citationItems":[{"id":98,"uris":["http://zotero.org/users/2595715/items/Z9CZHE4U"],"uri":["http://zotero.org/users/2595715/items/Z9CZHE4U"],"itemData":{"id":98,"type":"article-journal","title":"What Is Next for Policy Design and Social Construction Theory?1","container-title":"Policy Studies Journal","page":"103-119","volume":"37","issue":"1","source":"Wiley Online Library","abstract":"The study of policy design has made great progress over the past decade in leading scholars to understand why the American political system produces certain kinds of designs rather than others, and the consequences that policy designs have for democracy. This article outlines the distinctive and important elements of policy design theory—the centrality of policy design, the attention to social constructions, the attention to policy consequences (or feed-forward effects), and the integration of normative and empirical research and theory. It then suggests how policy design theory can complement other policy theories in guiding research and evaluating the conditions of U.S. democracy, and how in its own right it can be further developed and used to guide important inquiry about public policy's politics and social impacts.","DOI":"10.1111/j.1541-0072.2008.00298.x","ISSN":"1541-0072","shortTitle":"What Is Next for Policy Design and Social Construction Theory?","language":"en","author":[{"family":"Schneider","given":"Anne"},{"family":"Sidney","given":"Mara"}],"issued":{"date-parts":[["2009",2,1]]}}}],"schema":"https://github.com/citation-style-language/schema/raw/master/csl-citation.json"}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(Schneider &amp; Sidney, 2009)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opposition to the policy evaluation literature, which considers eligibility criteria and the economic classification of public policy to be the central aspect of policy tools and designs, the social construction of target populations framework highlights the importance of "the cultural characterization or popular images of the persons or groups whose behavior and well-being are affected by public policy"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{"citationID":"APAMrhB9","properties":{"formattedCitation":"(A. Schneider &amp; Ingram, 1993)","plainCitation":"(A. Schneider &amp; Ingram, 1993)","dontUpdate":true,"noteIndex":0},"citationItems":[{"id":294,"uris":["http://zotero.org/users/2595715/items/KGBVA2VP"],"uri":["http://zotero.org/users/2595715/items/KGBVA2VP"],"itemData":{"id":294,"type":"article-journal","title":"Social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(Schneider &amp; Ingram, 1993, 334)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addition, this literature recognizes that discussions of policy tools cannot just be considered in classic economic theory terms but must also incorporate </w:t>
      </w:r>
      <w:r w:rsidRPr="005B2DFB">
        <w:rPr>
          <w:rFonts w:ascii="Times New Roman" w:hAnsi="Times New Roman" w:cs="Times New Roman"/>
          <w:sz w:val="24"/>
          <w:szCs w:val="24"/>
        </w:rPr>
        <w:lastRenderedPageBreak/>
        <w:t>investigations into how the uses of authority, coercion, or stigma shape the experience of policy for different target populations. Moreover, in opposition to the relatively simplistic treatment of policy design in policy evaluation, social construction theorists also take seriously the role of socially constructed realities, rationales/causal logics and underlying assumptions about the capacity of people and organizations that are embedded in policy designs. As such, the treatment of policy design in this literature moves beyond the rational and instrumental treatment of policy design in public policy evaluation and analysis to more effectively characterize the value-laden and socially constructed political phenomena that shape the politics of policy design.</w:t>
      </w:r>
    </w:p>
    <w:p w14:paraId="65DB4B5C"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foundation of this literature relies upon three major assumptions: first, that elites and the public rely upon mental heuristics that lead to confirmation bias and use of stereotypes when making policy decisions about target groups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{"citationID":"fsp1VIKD","properties":{"formattedCitation":"(Jones, 1994; Munro et al., 2002; Simon, 1985)","plainCitation":"(Jones, 1994; Munro et al., 2002; Simon, 1985)","noteIndex":0},"citationItems":[{"id":5628,"uris":["http://zotero.org/users/2595715/items/IEVJP89J"],"uri":["http://zotero.org/users/2595715/items/IEVJP89J"],"itemData":{"id":5628,"type":"article-journal","title":"Biased Assimilation of Sociopolitical Arguments: Evaluating the 1996 U.S. Presidential Debate","container-title":"Basic and Applied Social Psychology","page":"15-26","volume":"24","issue":"1","source":"Taylor and Francis+NEJM","abstract":"The tendency for people to rate attitude-confirming information more positively than attitude-disconfirming information (biased assimilation) was studied in a naturalistic context. Participants watched and evaluated the first 1996 Presidential Debate between Bill Clinton and Bob Dole. Regression analyses revealed that predebate attitudes but not expectations predicted postdebate argument evaluations and perceived attitude change. Participants evaluated the arguments that confirmed their predebate attitudes as being stronger than the arguments that disconfirmed their predebate attitudes, and they perceived their postdebate attitudes to have become more extreme than their predebate attitudes. Self-reported affective responses mediated the association between predebate attitudes and postdebate argument evaluations. The role of affect in information-processing theories and the significance of the findings for sociopolitical debates are discussed.","DOI":"10.1207/S15324834BASP2401_2","ISSN":"0197-3533","shortTitle":"Biased Assimilation of Sociopolitical Arguments","author":[{"family":"Munro","given":"Geoffrey D."},{"family":"Ditto","given":"Peter H."},{"family":"Lockhart","given":"Lisa K."},{"family":"Fagerlin","given":"Angela"},{"family":"Gready","given":"Mitchell"},{"family":"Peterson","given":"Elizabeth"}],"issued":{"date-parts":[["2002",3,1]]}}},{"id":1163,"uris":["http://zotero.org/groups/243880/items/9QRRMVXC"],"uri":["http://zotero.org/groups/243880/items/9QRRMVXC"],"itemData":{"id":1163,"type":"article-journal","title":"Human Nature in Politics: The Dialogue of Psychology with Political Science","container-title":"The American Political Science Review","page":"293-304","volume":"79","issue":"2","source":"JSTOR","abstract":"This article compares two theories of human rationality that have found application in political science: procedural, bounded rationality from contemporary cognitive psychology, and global, substantive rationality from economics. Using examples drawn from the recent literature of political science, it examines the relative roles played by the rationality principle and by auxiliary assumptions (e.g. assumptions about the content of actors' goals) in explaining human behavior in political contexts, and concludes that the model predictions rest primarily on the auxiliary assumptions rather than deriving from the rationality principle. The analysis implies that the principle of rationality, unless accompanied by extensive empirical research to identify the correct auxiliary assumptions, has little power to make valid predictions about political phenomena.","DOI":"10.2307/1956650","ISSN":"0003-0554","note":"ArticleType: research-article / Full publication date: Jun., 1985 / Copyright © 1985 American Political Science Association","shortTitle":"Human Nature in Politics","journalAbbreviation":"The American Political Science Review","author":[{"family":"Simon","given":"Herbert A."}],"issued":{"date-parts":[["1985",6,1]]}}},{"id":4610,"uris":["http://zotero.org/users/2595715/items/CBY57NXB"],"uri":["http://zotero.org/users/2595715/items/CBY57NXB"],"itemData":{"id":4610,"type":"book","title":"Reconceiving Decision-Making in Democratic Politics","source":"books-google-com.ezproxy.lib.ou.edu","abstract":"Most models of political decision-making maintain that individual preferences remain relatively constant. Why, then, are there often sudden abrupt changes in public opinion on political issues? Or total reversals by politicians on specific issues? Bryan D. Jones answers these questions by innovatively connecting insights from cognitive science and rational choice theory to political life. Individuals and political systems alike, Jones argues, tend to be attentive to only one issue at a time. Using numerous examples from elections, public opinion polls, congressional deliberations, and of bureaucratic decision-making, he shows how shifting attentiveness can and does alter choices and political outcomes—even when underlying preferences remain relatively fixed. An individual, for example, may initially decide to vote for a candidate because of her stand on spending but change his vote when he learns of her position on abortion, never really balancing the two options.","URL":"https://books.google.com/books/about/Reconceiving_Decision_Making_in_Democrat.html?id=PuLskkB8MScC","author":[{"family":"Jones","given":"Bryan D."}],"issued":{"date-parts":[["1994"]]},"accessed":{"date-parts":[["2017",9,14]]}}}],"schema":"https://github.com/citation-style-language/schema/raw/master/csl-citation.json"}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(Jones, 1994; Munro et al., 2002; Simon, 1985)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second, that power is unequally distributed in political environments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{"citationID":"U6hBG8Ya","properties":{"formattedCitation":"(Bachrach &amp; Baratz, 1962)","plainCitation":"(Bachrach &amp; Baratz, 1962)","noteIndex":0},"citationItems":[{"id":1154,"uris":["http://zotero.org/groups/243880/items/NT44ZZBJ"],"uri":["http://zotero.org/groups/243880/items/NT44ZZBJ"],"itemData":{"id":1154,"type":"article-journal","title":"Two Faces of Power","container-title":"American Political Science Review","page":"947-952","volume":"56","issue":"04","source":"Cambridge Journals Online","DOI":"10.2307/1952796","author":[{"family":"Bachrach","given":"Peter"},{"family":"Baratz","given":"Morton S."}],"issued":{"date-parts":[["1962"]]}}}],"schema":"https://github.com/citation-style-language/schema/raw/master/csl-citation.json"}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(Bachrach &amp; Baratz, 1962)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and third, that policies create politics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{"citationID":"SboejjlP","properties":{"formattedCitation":"(Lowi, 1964; Schattschneider, 1960)","plainCitation":"(Lowi, 1964; Schattschneider, 1960)","noteIndex":0},"citationItems":[{"id":2150,"uris":["http://zotero.org/groups/385054/items/4WUXRJUQ"],"uri":["http://zotero.org/groups/385054/items/4WUXRJUQ"],"itemData":{"id":2150,"type":"article-journal","title":"Review: American Business, Public Policy, Case-Studies, and Political Theory","container-title":"World Politics","page":"677-715","volume":"16","issue":"4","source":"JSTOR","abstract":"ArticleType: book-review / Full publication date: Jul., 1964 / Copyright © 1964 Trustees of Princeton University","DOI":"10.2307/2009452","ISSN":"0043-8871","shortTitle":"Review","author":[{"family":"Lowi","given":"Theodore J."}],"issued":{"date-parts":[["1964",7,1]]}}},{"id":3667,"uris":["http://zotero.org/users/2595715/items/JZ9S7F5G"],"uri":["http://zotero.org/users/2595715/items/JZ9S7F5G"],"itemData":{"id":3667,"type":"book","title":"The Semisovereign People","publisher":"Holt, Rinehart and Winston","source":"Amazon","author":[{"family":"Schattschneider","given":"E. E."}],"issued":{"date-parts":[["1960"]]}}}],"schema":"https://github.com/citation-style-language/schema/raw/master/csl-citation.json"}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(Lowi, 1964; Schattschneider, 1960)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Based on these assumptions, this framework explains the allocation of benefits and burdens as a function of the target populations’ perceived level of political power and deservingness by political elites and the public. In other words, policy designs are primarily explained by variation in the social construction of target populations. These social constructions, or powerful images and stereotypes conveying deservingness and political power of certain groups, serve as the underlying mechanism that predicts whether a policy will allocate benefits and burdens. </w:t>
      </w:r>
      <w:bookmarkStart w:id="5" w:name="_Hlk517255063"/>
      <w:r w:rsidRPr="005B2DFB">
        <w:rPr>
          <w:rFonts w:ascii="Times New Roman" w:hAnsi="Times New Roman" w:cs="Times New Roman"/>
          <w:sz w:val="24"/>
          <w:szCs w:val="24"/>
        </w:rPr>
        <w:t xml:space="preserve">More specifically, </w:t>
      </w:r>
      <w:bookmarkStart w:id="6" w:name="_Hlk511493075"/>
      <w:r w:rsidRPr="005B2DFB">
        <w:rPr>
          <w:rFonts w:ascii="Times New Roman" w:hAnsi="Times New Roman" w:cs="Times New Roman"/>
          <w:sz w:val="24"/>
          <w:szCs w:val="24"/>
        </w:rPr>
        <w:t xml:space="preserve">because elected officials focus on re-election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{"citationID":"sh90wiOR","properties":{"formattedCitation":"(Arnold, 1990)","plainCitation":"(Arnold, 1990)","noteIndex":0},"citationItems":[{"id":4266,"uris":["http://zotero.org/users/2595715/items/QCCE9ZS8"],"uri":["http://zotero.org/users/2595715/items/QCCE9ZS8"],"itemData":{"id":4266,"type":"book","title":"The Logic of Congressional Action","publisher":"Yale University Press","number-of-pages":"293","edition":"Reprint edition","source":"Amazon","abstract":"Congress regularly enacts laws that benefit particular groups or localities while imposing costs on everyone else. Sometimes, however, Congress breaks free of such parochial concerns and enacts bills that serve the general public, not just special interest groups. In this important and original book, R. Douglas Arnold offers a theory that explains not only why special interests frequently triumph but also why the general public sometimes wins. By showing how legislative leaders build coalitions for both types of programs, he illuminates recent legislative decisions in such areas as economic, tax, and energy policy. Arnold's theory of policy making rests on a reinterpretation of the relationship between legislators' actions and their constituents' policy preferences. Most scholars explore the impact that citizens' existing policy preferences have on legislators' decisions. They ignore citizens who have no opinions because they assume that uninformed citizens cannot possibly affect legislators' choices. Arnold examines the influence of citizens' potential preferences, however, and argues that legislators also respond to these preferences in order to avoid future electoral problems. He shows how legislators estimate the political consequences of their voting decisions, taking into account both the existing preferences of attentive citizens and the potential preferences of inattentive citizens. He then analyzes how coalition leaders manipulate the legislative situation in order to make it attractive for legislators to support a general interest bill.","ISBN":"978-0-300-05659-4","language":"English","author":[{"family":"Arnold","given":"R. Douglas"}],"issued":{"date-parts":[["1990"]]}}}],"schema":"https://github.com/citation-style-language/schema/raw/master/csl-citation.json"}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(Arnold, 1990)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they incorporate social constructions in re-election calculus by anticipating the reaction of certain designs by both target groups and the broader public regarding whether the allocation of benefits and burdens is going to a group that deserves benefits or burdens. Therefore, when policymakers are designing </w:t>
      </w:r>
      <w:r w:rsidRPr="005B2DFB">
        <w:rPr>
          <w:rFonts w:ascii="Times New Roman" w:hAnsi="Times New Roman" w:cs="Times New Roman"/>
          <w:sz w:val="24"/>
          <w:szCs w:val="24"/>
        </w:rPr>
        <w:lastRenderedPageBreak/>
        <w:t xml:space="preserve">policies, they will exploit the range of possible policy designs for achieving goals to select those most likely to be viewed by the public as fair, which ultimately exacerbates existing structural inequality for minority groups that have less voting block power. </w:t>
      </w:r>
    </w:p>
    <w:bookmarkEnd w:id="5"/>
    <w:bookmarkEnd w:id="6"/>
    <w:p w14:paraId="28E70242"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For instance, </w:t>
      </w:r>
      <w:bookmarkStart w:id="7" w:name="_Hlk517255111"/>
      <w:r w:rsidRPr="005B2DFB">
        <w:rPr>
          <w:rFonts w:ascii="Times New Roman" w:hAnsi="Times New Roman" w:cs="Times New Roman"/>
          <w:sz w:val="24"/>
          <w:szCs w:val="24"/>
        </w:rPr>
        <w:t xml:space="preserve">policymakers faced with the college affordability crisis could implement a financial aid policy that provides support for students with the most financial need (need-based financial aid) or leave the policy open to all students in the state that meet certain academic merit standards (merit-based aid). In designing the policy as only benefitting the poor, the policymaker could face opposition by many in the middle class who also want financial support. On the other hand, by designing the policy universally and only allowing students deemed as “college-ready” or “worthy” of the financial aid, policymakers can more easily justify spending tax payer money on this policy to the public. </w:t>
      </w:r>
      <w:bookmarkEnd w:id="7"/>
      <w:r w:rsidRPr="005B2DFB">
        <w:rPr>
          <w:rFonts w:ascii="Times New Roman" w:hAnsi="Times New Roman" w:cs="Times New Roman"/>
          <w:sz w:val="24"/>
          <w:szCs w:val="24"/>
        </w:rPr>
        <w:t xml:space="preserve">While this may seem like a hypothetical situation, higher education scholars have observed a massive and spreading shift in state financial aid policy from need-based designs to merit-based designs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{"citationID":"1ejPlSoj","properties":{"formattedCitation":"(Toutkoushian &amp; Shafiq, 2010)","plainCitation":"(Toutkoushian &amp; Shafiq, 2010)","noteIndex":0},"citationItems":[{"id":6029,"uris":["http://zotero.org/users/2595715/items/XGJ47EJA"],"uri":["http://zotero.org/users/2595715/items/XGJ47EJA"],"itemData":{"id":6029,"type":"article-journal","title":"A Conceptual Analysis of State Support for Higher Education: Appropriations versus Need-Based Financial Aid","container-title":"Research in Higher Education","page":"40-64","volume":"51","issue":"1","source":"JSTOR","abstract":"In this paper, we use economic concepts to examine the choice that states make between giving appropriations to public colleges or need-based financial aid to students. We begin by reviewing the economic justification for state support for higher education. Next, we introduce a simple economic model for comparing and contrasting appropriations and need-based aid for supporting higher education. We then provide a graphical depiction of the model and simulate the effects of each policy on access to higher education. We show that it is in the best interest of states to provide need-based aid and not appropriations. Finally, we conclude with a discussion of the factors that complicate the reallocation of state funding away from appropriations and towards need-based aid.","ISSN":"0361-0365","shortTitle":"A Conceptual Analysis of State Support for Higher Education","author":[{"family":"Toutkoushian","given":"Robert K."},{"family":"Shafiq","given":"M. Najeeb"}],"issued":{"date-parts":[["2010"]]}}}],"schema":"https://github.com/citation-style-language/schema/raw/master/csl-citation.json"}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(Toutkoushian &amp; Shafiq,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despite the consensus among scholars that merit-based aid serves to reinforce existing educational inequalities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{"citationID":"hGy7ta6S","properties":{"formattedCitation":"(Dynarski, 2000)","plainCitation":"(Dynarski, 2000)","noteIndex":0},"citationItems":[{"id":5853,"uris":["http://zotero.org/users/2595715/items/9QL6RSCD"],"uri":["http://zotero.org/users/2595715/items/9QL6RSCD"],"itemData":{"id":5853,"type":"report","title":"Hope for Whom? Financial Aid for the Middle Class and Its Impact on College Attendance","publisher":"National Bureau of Economic Research","genre":"Working Paper","source":"National Bureau of Economic Research","abstract":"The federal government and the states have recently enacted a slew of aid policies aimed at college students from middle- and high-income families. I estimate the impact of aid on the college attendance of middle- and upper-income youth by evaluating Georgia's HOPE Scholarship, the inspiration of the new federal Hope Scholarship. The results suggest that Georgia's program has had a surprisingly large impact on the college attendance rate of middle- and high-income youth. Using a set of nearby states as a control group, I find that Georgia's program has likely increased the college attendance rate of all 18- to 19-year-olds by 7.0 to 7.9 percentage points. The results suggest that each $1,000 in aid ($1998) increased the college attendance rate in Georgia by 3.7 to 4.2 percentage points. Due to key differences between the federal and Georgia programs, these estimates should be treated as a generous upper bound on the predicted effect of the federal Hope Scholarship. Further, the evidence suggests that Georgia's program has widened the gap in college attendance between blacks and whites and between those from low- and high-income families. The federal Hope Scholarship, should it have its intended effect on middle- and upper-income attendance, will also widen already large racial and income gaps in college attendance in the US.","URL":"http://www.nber.org/papers/w7756","note":"DOI: 10.3386/w7756","number":"7756","shortTitle":"Hope for Whom?","author":[{"family":"Dynarski","given":"Susan"}],"issued":{"date-parts":[["2000",6]]},"accessed":{"date-parts":[["2017",10,27]]}}}],"schema":"https://github.com/citation-style-language/schema/raw/master/csl-citation.json"}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(Dynarski, 2000)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This current movement in higher education policy exemplifies the potential for policy design to have serious consequences for a democratic system, often contributing to structural inequality and degenerative politics.</w:t>
      </w:r>
    </w:p>
    <w:p w14:paraId="769749CA" w14:textId="675D9A60"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Moving beyond just higher education policy, this framework has significant support at the elite level across a variety of policy areas. In fact, scholars have found that political elites make decisions regarding the allocation of benefits and burdens according to perceived deservingness and political power of target groups in the context of health care, k-12 education, welfare, and criminal justice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{"citationID":"brejmbKe","properties":{"formattedCitation":"(Boushey 2016; Chanley 2005; Donovan 1993; Hogan 1997; Reich and Barth 2010; A. Schneider and Ingram 1993; Anne L. Schneider and Ingram 2012; Anne Larason Schneider 2006; Schroedel and Jordan 1998; Stein 2001)","plainCitation":"(Boushey 2016; Chanley 2005; Donovan 1993; Hogan 1997; Reich and Barth 2010; A. Schneider and Ingram 1993; Anne L. Schneider and Ingram 2012; Anne Larason Schneider 2006; Schroedel and Jordan 1998; Stein 2001)","dontUpdate":true,"noteIndex":0},"citationItems":[{"id":4340,"uris":["http://zotero.org/users/2595715/items/G77HW9RF"],"uri":["http://zotero.org/users/2595715/items/G77HW9RF"],"itemData":{"id":4340,"type":"article-journal","title":"Targeted for Diffusion? How the Use and Acceptance of Stereotypes Shape the Diffusion of Criminal Justice Policy Innovations in the American States","container-title":"American Political Science Review","page":"198-214","volume":"110","issue":"1","source":"Cambridge Core","abstract":"This article explores the diffusion of criminal justice policy in the American states. Drawing on policy design theory, I code newspaper coverage of 44 criminal justice policies adopted across state governments from 1960–2008, identifying the image and power of target populations—the group singled out for special treatment under law. I test whether electoral pressure leads governments to disproportionally emulate innovations that reinforce popular stereotypes regarding who is entitled to policy benefits or deserving of policy burdens. I find strong support for this theory: State governments are more likely to adopt innovations that extend benefits to strong, popular, and powerful target populations or that impose burdens on weak and politically marginalized groups. This bias can be explained by pressures for responsive policy making, as my findings indicate that it is the national salience of the crime problem—but not the competitiveness or timing of state elections—that influences state adoption of popular “law and order” policy innovations.","DOI":"10.1017/S0003055415000532","ISSN":"0003-0554, 1537-5943","shortTitle":"Targeted for Diffusion?","author":[{"family":"Boushey","given":"Graeme"}],"issued":{"date-parts":[["2016",2]]}}},{"id":61,"uris":["http://zotero.org/users/2595715/items/RRSX6QUM"],"uri":["http://zotero.org/users/2595715/items/RRSX6QUM"],"itemData":{"id":61,"type":"article-journal","title":"An analysis of civic education policy-making in Arizona using the advocacy coalition framework and policy design theory.","source":"eLibrary.ru","language":"английский","author":[{"family":"Chanley","given":"J. J. J."}],"issued":{"date-parts":[["2005"]]}}},{"id":5613,"uris":["http://zotero.org/users/2595715/items/8E6IZ67H"],"uri":["http://zotero.org/users/2595715/items/8E6IZ67H"],"itemData":{"id":5613,"type":"article-journal","title":"Social Constructions of People with AIDS: Target Populations and United States Policy, 1981–1990","container-title":"Review of Policy Research","page":"3-29","volume":"12","issue":"3-4","source":"Wiley Online Library","abstract":"This paper examines the United States policy toward people with AIDS (PWAs) using a theory of the social construction of target populations (Schneider and Ingram, 1993). A policy narrative is developed which focuses on the ways PWAs have been categorized throughout the epidemic and how the characterization of these constructed target populations has influenced the design of policies aimed at these groups. The Ryan White Act of 1990 and the debate surrounding its passage is examined and found to be consistent with the expectations of the theory. Propositions which extend the framework are offered as a guide for future research.","DOI":"10.1111/j.1541-1338.1993.tb00548.x","ISSN":"1541-1338","shortTitle":"Social Constructions of People with AIDS","language":"en","author":[{"family":"Donovan","given":"Mark C."}],"issued":{"date-parts":[["1993",9,1]]}}},{"id":5615,"uris":["http://zotero.org/users/2595715/items/56KXGMR6"],"uri":["http://zotero.org/users/2595715/items/56KXGMR6"],"itemData":{"id":5615,"type":"article-journal","title":"The Social Construction of Target Populations and the Transformation of Prison-Based AIDS Policy","container-title":"Journal of Homosexuality","page":"77-114","volume":"32","issue":"3-4","source":"Taylor and Francis+NEJM","abstract":"When interpreting policy changes, it is important to understand the social constructions of those whom the policy affects. Policy Design Perspective by Schneider and Ingram (1993) concentrates on the construction of “agents” and “targets” in an attempt to comprehend policy formation and transformation. The following descriptive case study uses this design to assess the evolution of one prison's AIDS policy. This institution's HIV/AIDS policy originally was quite restrictive in nature, but the changing perceptions of the agents and targets allowed a more humanistic approach to emerge in the handling of HIV-positive inmates.","DOI":"10.1300/J082v32n03_04","ISSN":"0091-8369","note":"PMID: 9147263","author":[{"family":"Hogan","given":"Nancy"}],"issued":{"date-parts":[["1997",4,22]]}}},{"id":87,"uris":["http://zotero.org/users/2595715/items/9TSACFIC"],"uri":["http://zotero.org/users/2595715/items/9TSACFIC"],"itemData":{"id":87,"type":"article-journal","title":"Educating Citizens or Defying Federal Authority? A Comparative Study of In-State Tuition for Undocumented Students","container-title":"Policy Studies Journal","page":"419-445","volume":"38","issue":"3","source":"Wiley Online Library","abstract":"Recent years have witnessed a proliferation of state government policies addressing immigration-related issues. This article addresses an example of state policy regarding immigration: since 2001, 11 state legislatures have granted undocumented high school graduates in-state tuition status should they wish to attend public post-secondary schools, while 18 others have considered, and rejected, the same policy. We argue that these outcomes are largely explicable by the manner in which the policy is presented and debated within state legislatures, especially the terms in which policy targets are socially constructed and state jurisdictional authority is framed. We apply this framework to two states (Kansas and Arkansas) that, in spite of demographic institutional similarities, reached different outcomes on in-state tuition bills. The different outcomes can be traced to the manner in which policy deliberations in Kansas focused on positive evaluations of undocumented high school students, portraying them as “proto-citizens,” while in Arkansas debate became centered on the state's jurisdictional authority to enact such a policy, an issue frame that effectively killed the legislation. This article suggests the importance of both social constructions and issue framing when state legislatures become the lead actors in crafting immigration policies.","DOI":"10.1111/j.1541-0072.2010.00368.x","ISSN":"1541-0072","shortTitle":"Educating Citizens or Defying Federal Authority?","language":"en","author":[{"family":"Reich","given":"Gary"},{"family":"Barth","given":"Jay"}],"issued":{"date-parts":[["2010",8,1]]}}},{"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id":66,"uris":["http://zotero.org/users/2595715/items/AED4AXRZ"],"uri":["http://zotero.org/users/2595715/items/AED4AXRZ"],"itemData":{"id":66,"type":"book","title":"Deserving and Entitled: Social Constructions and Public Policy","publisher":"SUNY Press","number-of-pages":"387","source":"Google Books","abstract":"Public policy in the United States is marked by a contradiction between the American ideal of equality and the reality of an underclass of marginalized and disadvantaged people who are widely viewed as undeserving and incapable. Deserving and Entitled provides a close inspection of many different policy arenas, showing how the use of power and the manipulation of images have made it appear both natural and appropriate that some target populations benefit from policy, while others do not. These social constructions of deservedness and entitlement, unless challenged, become amplified over time and institutionalized into permanent lines of social, economic, and political cleavage. The contributors here express concern that too often public policy sends messages harmful to democracy and contributes significantly to the pattern of uneven political participation in the United States.","ISBN":"978-0-7914-8383-1","note":"Google-Books-ID: E7UcOIbFo_sC","shortTitle":"Deserving and Entitled","language":"en","author":[{"family":"Schneider","given":"Anne L."},{"family":"Ingram","given":"Helen M."}],"issued":{"date-parts":[["2012",2]]}}},{"id":89,"uris":["http://zotero.org/users/2595715/items/DGKIEU3Z"],"uri":["http://zotero.org/users/2595715/items/DGKIEU3Z"],"itemData":{"id":89,"type":"article-journal","title":"Patterns of Change in the Use of Imprisonment in the American States: An Integration of Path Dependence, Punctuated Equilibrium and Policy Design Approaches","container-title":"Political Research Quarterly","page":"457-470","volume":"59","issue":"3","source":"SAGE Journals","abstract":"This study analyzes changes from 1927 through 2003 in the use of incarceration by the American States, testing propositions derived from path dependency/punctuated equilibrium theory and from an extension of the social construction theory of policy design. The results suggest that incarceration changes often were path dependent, but that periods of equilibrium-type change with up and down adjustments also were relatively common until a critical juncture occurred in the late 1960s and early 1970s. The results also show that the states tended to change in the same direction, at the same time, as if some kind of national policy mood was important, even though incarceration rates are produced by state-level decisionmakers working in many different types of state and local institutional settings. The results confirm the proposition from the social construction theory of policy design that upward paths will be more common, last longer, more extreme, and harder to break than downward ones. Analysis of the public opinion variables most closely related to the social construction of law breakers indicates that small year-to-year changes were not very useful in explaining annual rates of incarceration change. On the other hand, a very rapid movement toward a more negative social construction may have been one of the factors important in triggering the critical juncture that occurred in all states. And, an exceptionally high and “sticky” negative construction of criminals extending for more than 30 years may be important in understanding the “stickiness” of institutions that produce incarceration rates.","DOI":"10.1177/106591290605900313","ISSN":"1065-9129","shortTitle":"Patterns of Change in the Use of Imprisonment in the American States","journalAbbreviation":"Political Research Quarterly","language":"en","author":[{"family":"Schneider","given":"Anne Larason"}],"issued":{"date-parts":[["2006",9,1]]}}},{"id":189,"uris":["http://zotero.org/users/2595715/items/ZGUMID2S"],"uri":["http://zotero.org/users/2595715/items/ZGUMID2S"],"itemData":{"id":189,"type":"article-journal","title":"Senate Voting and Social Construction of Target Populations: A Study of AIDS Policy Making, 1987–1992","container-title":"Journal of Health Politics, Policy and Law","page":"107-132","volume":"23","issue":"1","source":"jhppl.dukejournals.org","abstract":"Scholars have devoted considerable attention to analyzing the social construction of AIDS. To explore the politics of AIDS policymaking, this research uses Schneider and Ingram’s (1993) theory of the social construction of target populations to evaluate the U.S. Senate’s response to AIDS between 1987 and 1992. Our study found that Schneider and Ingram’s model provides important insights into how political processes affect AIDS policy design. While our data did not strictly conform to all of the model’s theoretical expectations, the data provided evidence confirming its predictions about broad patterns in the allocation of both substantive and symbolic policy benefits and burdens to different target populations.","DOI":"10.1215/03616878-23-1-107","ISSN":"0361-6878, 1527-1927","note":"PMID: 9522283","shortTitle":"Senate Voting and Social Construction of Target Populations","journalAbbreviation":"Journal of Health Politics, Policy and Law","language":"en","author":[{"family":"Schroedel","given":"Jean Reith"},{"family":"Jordan","given":"Daniel R."}],"issued":{"date-parts":[["1998",2,1]]}}},{"id":62,"uris":["http://zotero.org/users/2595715/items/6GDZG4HB"],"uri":["http://zotero.org/users/2595715/items/6GDZG4HB"],"itemData":{"id":62,"type":"article-journal","title":"‘These are your Title I students’: Policy language in educational practice","container-title":"Policy Sciences","page":"135-156","volume":"34","issue":"2","source":"link.springer.com","abstract":"Based on a qualitative study of the United States federal compensatory education policy, Title I of the Elementary and Secondary Education Act, this article uses interpretive policy analysis to investigate the ways in which policy language influences practitioners' understanding of students who are eligible for policy-funded services. Focusing on the situated interpretations of practitioners in nine urban elementary schools, the study shows how policy-generated categories shape practitioners' conceptualizations of students as they determine how to provide services. The aricle considers possible consequences of policy labels on teacher expectations and ends with an appeal for the collective, reflective interrogation of policy language in educational practice.","DOI":"10.1023/A:1010323227348","ISSN":"0032-2687, 1573-0891","shortTitle":"‘These are your Title I students’","journalAbbreviation":"Policy Sciences","language":"en","author":[{"family":"Stein","given":"Sandra J."}],"issued":{"date-parts":[["2001",6,1]]}}}],"schema":"https://github.com/citation-style-language/schema/raw/master/csl-citation.json"}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 xml:space="preserve">(Boushey 2016; Chanley 2005; Donovan 1993; Hogan 1997; Reich and Barth 2010; Schneider and Ingram 1993; Schneider and Ingram 2012; Schneider 2006; </w:t>
      </w:r>
      <w:r w:rsidRPr="005B2DFB">
        <w:rPr>
          <w:rFonts w:ascii="Times New Roman" w:hAnsi="Times New Roman" w:cs="Times New Roman"/>
          <w:sz w:val="24"/>
          <w:szCs w:val="24"/>
        </w:rPr>
        <w:lastRenderedPageBreak/>
        <w:t>Schroedel and Jordan 1998; Stein 2001)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particular, studies have found that political elites design policies so that they allocate benefits to advantaged populations with higher levels of power and perceived deservingness (Schneider and Ingram 1993). On the other hand, political elites allocate burdens to deviant populations that suffer from low levels of political power and perceived deservingness (Boushey 2016; Schneider and Ingram 1993). Moreover, political elites are more likely to design policies that provide hidden benefits, such as submerged tax breaks that are less salient to the public, to populations that have high levels of power but low levels of deservingness. Finally, this body of literature has revealed that political elites will design policies in ways that stigmatize populations that have low levels of power but positive social constructions (Schneider and Ingram 2012). </w:t>
      </w:r>
    </w:p>
    <w:p w14:paraId="2A033709" w14:textId="0CF837B5" w:rsidR="00DA69F5" w:rsidRPr="00146DE5" w:rsidRDefault="00DA69F5" w:rsidP="00146DE5">
      <w:pPr>
        <w:spacing w:after="0" w:line="480" w:lineRule="auto"/>
        <w:rPr>
          <w:rFonts w:ascii="Times New Roman" w:hAnsi="Times New Roman" w:cs="Times New Roman"/>
          <w:i/>
          <w:sz w:val="24"/>
          <w:szCs w:val="24"/>
        </w:rPr>
      </w:pPr>
      <w:r w:rsidRPr="005B2DFB">
        <w:rPr>
          <w:rFonts w:ascii="Times New Roman" w:hAnsi="Times New Roman" w:cs="Times New Roman"/>
          <w:i/>
          <w:sz w:val="24"/>
          <w:szCs w:val="24"/>
        </w:rPr>
        <w:t>Policy Design in the Policy Feedback Literature</w:t>
      </w:r>
    </w:p>
    <w:p w14:paraId="586319F4"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implications of policy design are also explored in the investigations of policy feedback. This literature focuses on highlighting the impact of policies, through the design structures, on subsequent policymaking processes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{"citationID":"a1nnehsp4uk","properties":{"formattedCitation":"(Pierson, 1993; Skocpol, 1992)","plainCitation":"(Pierson, 1993; Skocpol, 1992)","noteIndex":0},"citationItems":[{"id":74,"uris":["http://zotero.org/users/2595715/items/U57I8D46"],"uri":["http://zotero.org/users/2595715/items/U57I8D46"],"itemData":{"id":74,"type":"webpage","title":"When Effect Becomes Cause: Policy Feedback and Political Change","container-title":"World Politics","abstract":"&lt;div class=\"title\"&gt;When Effect Becomes Cause: Policy Feedback and Political Change&lt;/div&gt; - Volume 45 Issue 4 - Paul Pierson","URL":"/core/journals/world-politics/article/when-effect-becomes-cause-policy-feedback-and-political-change/EB310F82411B3E31406E03C1381E6740","note":"DOI: 10.2307/2950710","shortTitle":"When Effect Becomes Cause","author":[{"family":"Pierson","given":"Paul"}],"issued":{"date-parts":[["1993",7]]},"accessed":{"date-parts":[["2017",6,25]]}}},{"id":4214,"uris":["http://zotero.org/users/2595715/items/FS66HZRN"],"uri":["http://zotero.org/users/2595715/items/FS66HZRN"],"itemData":{"id":4214,"type":"book","title":"Protecting Soldiers and Mothers","source":"books-google-com.ezproxy.lib.ou.edu","abstract":"It is a commonplace that the United States lagged behind the countries of Western Europe in developing modern social policies. But, as Theda Skocpol shows in this startlingly new historical analysis, the United States actually pioneered generous social spending for many of its elderly, disabled, and dependent citizens. During the late nineteenth century, competitive party politics in American democracy led to the rapid expansion of benefits for Union Civil War veterans and their families. Some Americans hoped to expand veterans' benefits into pensions for all of the needy elderly and social insurance for workingmen and their families. But such hopes went against the logic of political reform in the Progressive Era. Generous social spending faded along with the Civil War generation. Instead, the nation nearly became a unique maternalist welfare state as the federal government and more than forty states enacted social spending, labor regulations, and health education programs to assist American mothers and children. Remarkably, as Skocpol shows, many of these policies were enacted even before American women were granted the right to vote. Banned from electoral politics, they turned their energies to creating huge, nation-spanning federations of local women's clubs, which collaborated with reform-minded professional women to spur legislative action across the country. Blending original historical research with political analysis, Skocpol shows how governmental institutions, electoral rules, political parties, and earlier public policies combined to determine both the opportunities and the limits within which social policies were devised and changed by reformers and politically active social groups over the course of the late nineteenth and early twentieth centuries. By examining afresh the institutional, cultural, and organizational forces that have shaped U.S. social policies in the past, Protecting Soldiers and Mothers challenges us to think in new ways about what might be possible in the American future.","URL":"https://books.google.com/books/about/Protecting_Soldiers_and_Mothers.html?id=BWZ0g8A7NBwC","author":[{"family":"Skocpol","given":"Theda"}],"issued":{"date-parts":[["1992"]]},"accessed":{"date-parts":[["2017",9,8]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(Pierson, 1993; Skocpol, 1992)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Specifically, public policies shape democratic outcomes through bestowing resources, imposing rules and conveying norms and messages. The streams of literature within the policy feedback body of work investigate the influences of public policies on: 1) the capacity and learning of public officials, 2) the emergence and influence of interest groups and 3) the meaning of citizenship and political behavior among the public.</w:t>
      </w:r>
    </w:p>
    <w:p w14:paraId="6CE77CA1"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To the first point, policy feedback literature has established the related, although distinct role of policy designs in shaping governance through the capacity and learning of public officials. Specifically, policies can create positive feedback, in which positively constructed policy designs can influence future policymaking decisions, or negative feedback, in which </w:t>
      </w:r>
      <w:r w:rsidRPr="005B2DFB">
        <w:rPr>
          <w:rFonts w:ascii="Times New Roman" w:hAnsi="Times New Roman" w:cs="Times New Roman"/>
          <w:sz w:val="24"/>
          <w:szCs w:val="24"/>
        </w:rPr>
        <w:lastRenderedPageBreak/>
        <w:t xml:space="preserve">policy designs become negatively constructed, preventing reforms and the expansion of the expansion of benefits in future policymaking (Skocpol 1992). Take, for instance, the positive construction of the social security administration (SSA) among the public, which led to positive feedback, where the implementation of Medicare was delegated to SSA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{"citationID":"PSMt2FBP","properties":{"formattedCitation":"(Derthick, 1979)","plainCitation":"(Derthick, 1979)","noteIndex":0},"citationItems":[{"id":3930,"uris":["http://zotero.org/users/2595715/items/SJBC9CME"],"uri":["http://zotero.org/users/2595715/items/SJBC9CME"],"itemData":{"id":3930,"type":"book","title":"Policymaking for Social Security","publisher":"Brookings Institution Press","publisher-place":"Washington","number-of-pages":"446","source":"Amazon","event-place":"Washington","abstract":"Americans are becoming more aware of their social security program and less contented with it. They see their taxes rising and are not sure that they will get their money's worth in future benefits. In the mid-1970s costs unexpectedly outran revenues, and in 1977 Congress reluctantly took action; but it had no sooner enacted new taxes than members began submitting bills to revise them. A social security taxpayers' revolt seemed to be brewing.No longer a \"sacred cow,\" as Milton Friedman once remarked of it, the program has come increasingly under fire. Martha Derthick, in this comprehensive analysis of policy-making for social security, concludes that such criticism is healthy and that reexamination of long-established doctrines and policies is very much to be desired. In the past, she writes, \"the nature of policymaking did little to correct, but instead reinforced, a complacent, poorly informed acceptance of the program—participation was so narrowly confined; expert proprietary dominance was so complete; debate was so limited; the technicality was so appealing; and the forward steps each seemed so small.\"With detailed documentation from primary sources, Derthick shows how policymaking has been dominated until recently by a small group of specialists. But now, with difficult times ahead, the pattern is changing, and more people inside and outside the government seek to influence decisions. Derthick argues that this trend should be encouraged. In her view, social security ought to be treated like any other government program and be subject to the same competitive pressures. Reduction of benefits, hitherto considered a forbidden topic, ought to be open to political debate.Derthick has divided the book into four parts, dealing first with the small group of men and women who molded the program; next with the basic policies that have governed it; and third with the politics of expansion in three areas—disability coverage, medicare, and cash benefits. In the final part she examines the current deficit and looks to the future of social security.","ISBN":"978-0-8157-1815-4","language":"English","author":[{"family":"Derthick","given":"Martha"}],"issued":{"date-parts":[["1979",7,1]]}}}],"schema":"https://github.com/citation-style-language/schema/raw/master/csl-citation.json"}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(Derthick, 1979)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On the other hand, consider the impact of the skepticism and negative constructions of corruption that became associated with the patronage system in civil war pensions. This negative association made it less likely for the government to administer benefits in this structure in the future (Skocpol 1992). </w:t>
      </w:r>
    </w:p>
    <w:p w14:paraId="07A52846"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Second, policy feedback literature has highlighted the role of policy designs in shaping the mobilization of mass publics through two main mechanisms: interpretive and resource effects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{"citationID":"eP14HkId","properties":{"formattedCitation":"(Pierson, 1993)","plainCitation":"(Pierson, 1993)","noteIndex":0},"citationItems":[{"id":74,"uris":["http://zotero.org/users/2595715/items/U57I8D46"],"uri":["http://zotero.org/users/2595715/items/U57I8D46"],"itemData":{"id":74,"type":"webpage","title":"When Effect Becomes Cause: Policy Feedback and Political Change","container-title":"World Politics","abstract":"&lt;div class=\"title\"&gt;When Effect Becomes Cause: Policy Feedback and Political Change&lt;/div&gt; - Volume 45 Issue 4 - Paul Pierson","URL":"/core/journals/world-politics/article/when-effect-becomes-cause-policy-feedback-and-political-change/EB310F82411B3E31406E03C1381E6740","note":"DOI: 10.2307/2950710","shortTitle":"When Effect Becomes Cause","author":[{"family":"Pierson","given":"Paul"}],"issued":{"date-parts":[["1993",7]]},"accessed":{"date-parts":[["2017",6,25]]}}}],"schema":"https://github.com/citation-style-language/schema/raw/master/csl-citation.json"}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(Pierson, 1993)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 first mechanism, interpretive effects, describes the provision of information and meaning which affects citizen attitudes. The second mechanism, resource effects, describes the process by which the expansion of benefits through public policy impacts the ability and incentives for political activity among the populace. For instance, social security is designed as a universal benefit for all citizens and structured in a way that conveys the subliminal message and assumption that citizen recipients are capable of effectively managing their subsidy without the intervention of bureaucrats. As a result, the interpretive effects are positive with no stigma associated with the acquisition of these benefits and the resource effects enable significant improvements in the income level and political participation of the elderly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{"citationID":"FaVjGrSf","properties":{"formattedCitation":"(Campbell, 2003)","plainCitation":"(Campbell, 2003)","noteIndex":0},"citationItems":[{"id":3286,"uris":["http://zotero.org/users/2595715/items/YUCT9PT8"],"uri":["http://zotero.org/users/2595715/items/YUCT9PT8"],"itemData":{"id":3286,"type":"article-journal","title":"Self-Interest, Social Security, and the Distinctive Participation Patterns of Senior Citizens","container-title":"American Political Science Review","volume":"96","issue":"3","abstract":"&lt;div class=\"title\"&gt;Self-Interest, Social Security, and the Distinctive Participation Patterns of Senior Citizens&lt;/div&gt; - Volume 96 Issue 3 - ANDREA LOUISE CAMPBELL","URL":"/core/journals/american-political-science-review/article/self-interest-social-security-and-the-distinctive-participation-patterns-of-senior-citizens/AF817D0A75DAE0FA536693CCA6AF48F9","author":[{"family":"Campbell","given":"Andrea Louise"}],"issued":{"date-parts":[["2003"]]},"accessed":{"date-parts":[["2017",6,25]]}}}],"schema":"https://github.com/citation-style-language/schema/raw/master/csl-citation.json"}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(Campbell, 2003)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particularly among lower-income elderly populations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{"citationID":"dFDDz4Mo","properties":{"formattedCitation":"(Campbell, 2002)","plainCitation":"(Campbell, 2002)","noteIndex":0},"citationItems":[{"id":67,"uris":["http://zotero.org/users/2595715/items/NMMHQKTK"],"uri":["http://zotero.org/users/2595715/items/NMMHQKTK"],"itemData":{"id":67,"type":"webpage","title":"Self-Interest, Social Security, and the Distinctive Participation Patterns of Senior Citizens","container-title":"American Political Science Review","abstract":"&lt;div class=\"title\"&gt;Self-Interest, Social Security, and the Distinctive Participation Patterns of Senior Citizens&lt;/div&gt; - Volume 96 Issue 3 - ANDREA LOUISE CAMPBELL","URL":"/core/journals/american-political-science-review/article/self-interest-social-security-and-the-distinctive-participation-patterns-of-senior-citizens/AF817D0A75DAE0FA536693CCA6AF48F9","note":"DOI: 10.1017/S0003055402000333","author":[{"family":"Campbell","given":"Andrea Louise"}],"issued":{"date-parts":[["2002",9]]},"accessed":{"date-parts":[["2017",6,25]]}}}],"schema":"https://github.com/citation-style-language/schema/raw/master/csl-citation.json"}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(Campbell, 2002)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p>
    <w:p w14:paraId="6606BB9A"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More generally, through these two mechanisms, policy designs impact political participation and the meaning of citizenship through establishing rules that influence the membership, citizen status, and identity of the public. First, public policy designs shape </w:t>
      </w:r>
      <w:r w:rsidRPr="005B2DFB">
        <w:rPr>
          <w:rFonts w:ascii="Times New Roman" w:hAnsi="Times New Roman" w:cs="Times New Roman"/>
          <w:sz w:val="24"/>
          <w:szCs w:val="24"/>
        </w:rPr>
        <w:lastRenderedPageBreak/>
        <w:t xml:space="preserve">membership in the political community. Take, for instance, immigration policy. The requirements and level of integration and support for immigrant communities shapes the likelihood of civic participation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{"citationID":"a1ij9hrmdud","properties":{"formattedCitation":"(Bloemraad, 2006; Zolberg, 2008)","plainCitation":"(Bloemraad, 2006; Zolberg, 2008)","noteIndex":0},"citationItems":[{"id":4591,"uris":["http://zotero.org/users/2595715/items/EU5P3FT5"],"uri":["http://zotero.org/users/2595715/items/EU5P3FT5"],"itemData":{"id":4591,"type":"book","title":"Becoming a Citizen: Incorporating Immigrants and Refugees in the United States and Canada","publisher":"University of California Press","publisher-place":"Berkeley","number-of-pages":"382","edition":"1 edition","source":"Amazon","event-place":"Berkeley","abstract":"How can societies that welcome immigrants from around the world create civic cohesion and political community out of ethnic and racial diversity? This thought-provoking book is the first to provide a comparative perspective on how the United States and Canada encourage foreigners to become citizens. Based on vivid in-depth interviews with Portuguese immigrants and Vietnamese refugees in Boston and Toronto and on statistical analysis and documentary data, Becoming a Citizen shows that greater state support for settlement and an official government policy of multiculturalism in Canada increase citizenship acquisition and political participation among the foreign born. The United States, long a successful example of immigrant integration, today has greater problems incorporating newcomers into the polity. While many previous accounts suggest that differences in naturalization and political involvement stem from differences in immigrants’ political skills and interests, Irene Bloemraad argues that foreigners' political incorporation is not just a question of the type of people countries receive, but also fundamentally of the reception given to them. She discusses the implications of her findings for other countries, including Australia and immigrant nations in Europe.","ISBN":"978-0-520-24899-1","shortTitle":"Becoming a Citizen","language":"English","author":[{"family":"Bloemraad","given":"Irene"}],"issued":{"date-parts":[["2006",10,3]]}}},{"id":4816,"uris":["http://zotero.org/users/2595715/items/EXPHFSU3"],"uri":["http://zotero.org/users/2595715/items/EXPHFSU3"],"itemData":{"id":4816,"type":"book","title":"A Nation by Design: Immigration Policy in the Fashioning of America","publisher":"Harvard University Press","publisher-place":"New York, NY","number-of-pages":"672","source":"Amazon","event-place":"New York, NY","abstract":"According to the national mythology, the United States has long opened its doors to people from across the globe, providing a port in a storm and opportunity for any who seek it. Yet the history of immigration to the United States is far different. Even before the xenophobic reaction against European and Asian immigrants in the late nineteenth century, social and economic interest groups worked to manipulate immigration policy to serve their needs. In A Nation by Design, Aristide Zolberg explores American immigration policy from the colonial period to the present, discussing how it has been used as a tool of nation building.A Nation by Design argues that the engineering of immigration policy has been prevalent since early American history. However, it has gone largely unnoticed since it took place primarily on the local and state levels, owing to constitutional limits on federal power during the slavery era. Zolberg profiles the vacillating currents of opinion on immigration throughout American history, examining separately the roles played by business interests, labor unions, ethnic lobbies, and nativist ideologues in shaping policy. He then examines how three different types of migration--legal migration, illegal migration to fill low-wage jobs, and asylum-seeking--are shaping contemporary arguments over immigration to the United States.A Nation by Design is a thorough, authoritative account of American immigration history and the political and social factors that brought it about. With rich detail and impeccable scholarship, Zolberg's book shows how America has struggled to shape the immigration process to construct the kind of population it desires.","ISBN":"978-0-674-03074-9","shortTitle":"A Nation by Design","language":"English","author":[{"family":"Zolberg","given":"Aristide R."}],"issued":{"date-parts":[["2008",12,15]]}}}],"schema":"https://github.com/citation-style-language/schema/raw/master/csl-citation.json"}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(Bloemraad, 2006; Zolberg, 2008)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addition, public policy designs shape citizenship status. Policies determine whether citizens are considered legal members of society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{"citationID":"a2c70jl3d5g","properties":{"formattedCitation":"(Shklar, 1998)","plainCitation":"(Shklar, 1998)","noteIndex":0},"citationItems":[{"id":5329,"uris":["http://zotero.org/users/2595715/items/NDEHYSA7"],"uri":["http://zotero.org/users/2595715/items/NDEHYSA7"],"itemData":{"id":5329,"type":"book","title":"American Citizenship: The Quest for Inclusion","publisher":"Harvard University Press","publisher-place":"Cambridge, Mass.","number-of-pages":"134","edition":"Fourth Printing edition","source":"Amazon","event-place":"Cambridge, Mass.","abstract":"In this illuminating look at what constitutes American citizenship, Judith Shklar identifies the right to vote and the right to work as the defining social rights and primary sources of public respect. She demonstrates that in recent years, although all profess their devotion to the work ethic, earning remains unavailable to many who feel and are consequently treated as less than full citizens.","ISBN":"978-0-674-02216-4","shortTitle":"American Citizenship","language":"English","author":[{"family":"Shklar","given":"Judith N."}],"issued":{"date-parts":[["1998",8,11]]}}}],"schema":"https://github.com/citation-style-language/schema/raw/master/csl-citation.json"}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(Shklar, 1998)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and whether they enjoy the right to vote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{"citationID":"a2brmo7nn8o","properties":{"formattedCitation":"(Keyssar, 2009; Uggen &amp; Manza, 2002)","plainCitation":"(Keyssar, 2009; Uggen &amp; Manza, 2002)","noteIndex":0},"citationItems":[{"id":5402,"uris":["http://zotero.org/users/2595715/items/NCWLPT4S"],"uri":["http://zotero.org/users/2595715/items/NCWLPT4S"],"itemData":{"id":5402,"type":"book","title":"The Right to Vote: The Contested History of Democracy in the United States","publisher":"Basic Books","publisher-place":"New York","number-of-pages":"494","edition":"Revised ed. edition","source":"Amazon","event-place":"New York","abstract":"Originally published in 2000, The Right to Vote was widely hailed as a magisterial account of the evolution of suffrage from the American Revolution to the end of the twentieth century. In this revised and updated edition, Keyssar carries the story forward, from the disputed presidential contest of 2000 through the 2008 campaign and the election of Barack Obama. The Right to Vote is a sweeping reinterpretation of American political history as well as a meditation on the meaning of democracy in contemporary American life.","ISBN":"978-0-465-00502-4","shortTitle":"The Right to Vote","language":"English","author":[{"family":"Keyssar","given":"Alexander"}],"issued":{"date-parts":[["2009",6,30]]}}},{"id":4235,"uris":["http://zotero.org/users/2595715/items/DJ6XY2LX"],"uri":["http://zotero.org/users/2595715/items/DJ6XY2LX"],"itemData":{"id":4235,"type":"article-journal","title":"Democratic Contraction? Political Consequences of Felon Disenfranchisement in the United States","container-title":"American Sociological Review","page":"777-803","volume":"67","issue":"6","source":"JSTOR","abstract":"Universal suffrage is a cornerstone of democratic governance. As levels of criminal punishment have risen in the United States, however, an ever-larger number of citizens have lost the right to vote. The authors ask whether felon disenfranchisement constitutes a meaningful reversal of the extension of voting rights by considering its political impact. Data from legal sources, election studies, and inmate surveys are examined to consider two counterfactual conditions: (1) whether removing disenfranchisement restrictions alters the outcomes of past U.S. Senate and presidential elections, and (2) whether applying contemporary rates of disenfranchisement to prior elections affects their outcomes. Because felons are drawn disproportionately from the ranks of racial minorities and the poor, disenfranchisement laws tend to take more votes from Democratic than from Republican candidates. Analysis shows that felon disenfranchisement played a decisive role in U.S. Senate elections in recent years. Moreover, at least one Republican presidential victory would have been reversed if former felons had been allowed to vote, and at least one Democratic presidential victory would have been jeopardized had contemporary rates of disenfranchisement prevailed during that time.","DOI":"10.2307/3088970","ISSN":"0003-1224","shortTitle":"Democratic Contraction?","author":[{"family":"Uggen","given":"Christopher"},{"family":"Manza","given":"Jeff"}],"issued":{"date-parts":[["2002"]]}}}],"schema":"https://github.com/citation-style-language/schema/raw/master/csl-citation.json"}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(Keyssar, 2009; Uggen &amp; Manza, 2002)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policies can guarantee social rights and labor laws that directly affect the development of interest groups and voting participation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{"citationID":"a27lag03aa5","properties":{"formattedCitation":"(Dahl, 2003; Fox, 2012; Mettler, 1998; Orloff, 1993; Skocpol, 1992)","plainCitation":"(Dahl, 2003; Fox, 2012; Mettler, 1998; Orloff, 1993; Skocpol, 1992)","noteIndex":0},"citationItems":[{"id":3903,"uris":["http://zotero.org/users/2595715/items/WH7U9QE4"],"uri":["http://zotero.org/users/2595715/items/WH7U9QE4"],"itemData":{"id":3903,"type":"book","title":"How Democratic is the American Constitution? Second Edition","publisher":"Yale University Press","publisher-place":"New Haven, Conn.","number-of-pages":"240","edition":"2nd ed. edition","source":"Amazon","event-place":"New Haven, Conn.","abstract":"In this provocative book, one of our most eminent political scientists poses the question, “Why should Americans uphold their constitution?” The vast majority of Americans venerate the Constitution and the democratic principles it embodies, but many also worry that the United States has fallen behind other nations on crucial issues, including economic equality, racial integration, and women’s rights. Robert Dahl explores this vital tension between the Americans’ belief in the legitimacy of their constitution and their belief in the principles of democracy.Dahl starts with the assumption that the legitimacy of the American Constitution derives solely from its utility as an instrument of democratic governance. Dahl demonstrates that, due to the context in which it was conceived, our constitution came to incorporate significant antidemocratic elements. Because the Framers of the Constitution had no relevant example of a democratic political system on which to model the American government, many defining aspects of our political system were implemented as a result of short-sightedness or last-minute compromise. Dahl highlights those elements of the American system that are most unusual and potentially antidemocratic: the federal system, the bicameral legislature, judicial review, presidentialism, and the electoral college system.The political system that emerged from the world’s first great democratic experiment is unique—no other well-established democracy has copied it. How does the American constitutional system function in comparison to other democratic systems? How could our political system be altered to achieve more democratic ends? To what extent did the Framers of the Constitution build features into our political system that militate against significant democratic reform?Refusing to accept the status of the American Constitution as a sacred text, Dahl challenges us all to think critically about the origins of our political system and to consider the opportunities for creating a more democratic society.","ISBN":"978-0-300-09524-1","shortTitle":"How Democratic is the American Constitution?","language":"English","author":[{"family":"Dahl","given":"Robert A."}],"issued":{"date-parts":[["2003",12,1]]}}},{"id":5462,"uris":["http://zotero.org/users/2595715/items/3CWCZS9J"],"uri":["http://zotero.org/users/2595715/items/3CWCZS9J"],"itemData":{"id":5462,"type":"book","title":"Three Worlds of Relief: Race, Immigration, and the American Welfare State from the Progressive Era to the New Deal","publisher":"Princeton University Press","publisher-place":"Princeton N.J.","number-of-pages":"416","source":"Amazon","event-place":"Princeton N.J.","abstract":"Three Worlds of Relief examines the role of race and immigration in the development of the American social welfare system by comparing how blacks, Mexicans, and European immigrants were treated by welfare policies during the Progressive Era and the New Deal. Taking readers from the turn of the twentieth century to the dark days of the Depression, Cybelle Fox finds that, despite rampant nativism, European immigrants received generous access to social welfare programs. The communities in which they lived invested heavily in relief. Social workers protected them from snooping immigration agents, and ensured that noncitizenship and illegal status did not prevent them from receiving the assistance they needed. But that same helping hand was not extended to Mexicans and blacks. Fox reveals, for example, how blacks were relegated to racist and degrading public assistance programs, while Mexicans who asked for assistance were deported with the help of the very social workers they turned to for aid. Drawing on a wealth of archival evidence, Fox paints a riveting portrait of how race, labor, and politics combined to create three starkly different worlds of relief. She debunks the myth that white America's immigrant ancestors pulled themselves up by their bootstraps, unlike immigrants and minorities today. Three Worlds of Relief challenges us to reconsider not only the historical record but also the implications of our past on contemporary debates about race, immigration, and the American welfare state.","ISBN":"978-0-691-15224-0","shortTitle":"Three Worlds of Relief","language":"English","author":[{"family":"Fox","given":"Cybelle"}],"issued":{"date-parts":[["2012",4,29]]}}},{"id":4827,"uris":["http://zotero.org/users/2595715/items/Q2WVB4R6"],"uri":["http://zotero.org/users/2595715/items/Q2WVB4R6"],"itemData":{"id":4827,"type":"book","title":"Dividing Citizens: Gender and Federalism in New Deal Public Policy","publisher":"Cornell University Press","number-of-pages":"260","source":"Google Books","abstract":"The New Deal was not the same deal for men and women - a finding strikingly demonstrated in Dividing Citizens. The book provides a historical account of how governing institutions and public policies shape social status and civic life. In her examination of the impact of New Deal social and labor policies on the organization and character of U.S. citizenship, Suzanne Mettler offers an incisive analysis of the formation and implementation of the pillars of the modern welfare state: the Social Security Act, including Old Age and Survivors' Insurance, Old Age Assistance, Unemployment Insurance, and Aid to Dependent Children (later known simply as \"welfare\"), as well as the Fair Labor Standards Act, which guaranteed the minimum wage.","ISBN":"978-0-8014-8546-6","shortTitle":"Dividing Citizens","language":"en","author":[{"family":"Mettler","given":"Suzanne"}],"issued":{"date-parts":[["1998"]]}}},{"id":3624,"uris":["http://zotero.org/users/2595715/items/JDM2ETIC"],"uri":["http://zotero.org/users/2595715/items/JDM2ETIC"],"itemData":{"id":3624,"type":"article-journal","title":"Gender and the Social Rights of Citizenship: The Comparative Analysis of Gender Relations and Welfare States","container-title":"American Sociological Review","page":"303-328","volume":"58","issue":"3","source":"JSTOR","abstract":"State social provision affects women's material situations, shapes gender relationships, structures political conflict and participation, and contributes to the formation and mobilization of identities and interests. Mainstream comparative research has neglected gender, while most feminist research on the welfare state has not been systematically comparative. I develop a conceptual framework for analyzing the gender content of social provision that draws on feminist and mainstream work. Three dimensions of qualitative variation suggested by power resources analysts are reconstructed to incorporate gender: (1) the state-market relations dimension is extended to consider the ways countries organize the provision of welfare through families as well as through states and markets; it is then termed the state-market-family relations dimension; (2) the stratification dimension is expanded to consider the effects of social provision by the state on gender relations, especially the treatment of paid and unpaid labor; (3) the social citizenship rights/decommodification dimension is criticized for implicit assumptions about the sexual division of caring and domestic labor and for ignoring the differential effects on men and women of benefits that decommodify labor. Two additional dimensions are proposed to capture the effects of state social provision on gender relations: access to paid work and capacity to form and maintain an autonomous household.","DOI":"10.2307/2095903","ISSN":"0003-1224","shortTitle":"Gender and the Social Rights of Citizenship","author":[{"family":"Orloff","given":"Ann Shola"}],"issued":{"date-parts":[["1993"]]}}},{"id":4214,"uris":["http://zotero.org/users/2595715/items/FS66HZRN"],"uri":["http://zotero.org/users/2595715/items/FS66HZRN"],"itemData":{"id":4214,"type":"book","title":"Protecting Soldiers and Mothers","source":"books-google-com.ezproxy.lib.ou.edu","abstract":"It is a commonplace that the United States lagged behind the countries of Western Europe in developing modern social policies. But, as Theda Skocpol shows in this startlingly new historical analysis, the United States actually pioneered generous social spending for many of its elderly, disabled, and dependent citizens. During the late nineteenth century, competitive party politics in American democracy led to the rapid expansion of benefits for Union Civil War veterans and their families. Some Americans hoped to expand veterans' benefits into pensions for all of the needy elderly and social insurance for workingmen and their families. But such hopes went against the logic of political reform in the Progressive Era. Generous social spending faded along with the Civil War generation. Instead, the nation nearly became a unique maternalist welfare state as the federal government and more than forty states enacted social spending, labor regulations, and health education programs to assist American mothers and children. Remarkably, as Skocpol shows, many of these policies were enacted even before American women were granted the right to vote. Banned from electoral politics, they turned their energies to creating huge, nation-spanning federations of local women's clubs, which collaborated with reform-minded professional women to spur legislative action across the country. Blending original historical research with political analysis, Skocpol shows how governmental institutions, electoral rules, political parties, and earlier public policies combined to determine both the opportunities and the limits within which social policies were devised and changed by reformers and politically active social groups over the course of the late nineteenth and early twentieth centuries. By examining afresh the institutional, cultural, and organizational forces that have shaped U.S. social policies in the past, Protecting Soldiers and Mothers challenges us to think in new ways about what might be possible in the American future.","URL":"https://books.google.com/books/about/Protecting_Soldiers_and_Mothers.html?id=BWZ0g8A7NBwC","author":[{"family":"Skocpol","given":"Theda"}],"issued":{"date-parts":[["1992"]]},"accessed":{"date-parts":[["2017",9,8]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(Dahl, 2003; Fox, 2012; Mettler, 1998; Orloff, 1993; Skocpol, 1992)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Furthermore, public policies directly influence the level of civic participation and engagement with government through the establishment of policies that citizens are willing to invest time and effort into protecting. For example, the establishment of social security, Medicare and the GI Bill gave citizens more resources, which made citizens more engaged and involved in civic activities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{"citationID":"a2hgmaideue","properties":{"formattedCitation":"(Campbell, 2003; Mettler, 2007)","plainCitation":"(Campbell, 2003; Mettler, 2007)","noteIndex":0},"citationItems":[{"id":3286,"uris":["http://zotero.org/users/2595715/items/YUCT9PT8"],"uri":["http://zotero.org/users/2595715/items/YUCT9PT8"],"itemData":{"id":3286,"type":"article-journal","title":"Self-Interest, Social Security, and the Distinctive Participation Patterns of Senior Citizens","container-title":"American Political Science Review","volume":"96","issue":"3","abstract":"&lt;div class=\"title\"&gt;Self-Interest, Social Security, and the Distinctive Participation Patterns of Senior Citizens&lt;/div&gt; - Volume 96 Issue 3 - ANDREA LOUISE CAMPBELL","URL":"/core/journals/american-political-science-review/article/self-interest-social-security-and-the-distinctive-participation-patterns-of-senior-citizens/AF817D0A75DAE0FA536693CCA6AF48F9","author":[{"family":"Campbell","given":"Andrea Louise"}],"issued":{"date-parts":[["2003"]]},"accessed":{"date-parts":[["2017",6,25]]}}},{"id":3346,"uris":["http://zotero.org/users/2595715/items/HZWXSDJS"],"uri":["http://zotero.org/users/2595715/items/HZWXSDJS"],"itemData":{"id":3346,"type":"book","title":"Soldiers to Citizens: The G.I. Bill and the Making of the Greatest Generation","publisher":"Oxford University Press","publisher-place":"Oxford ; New York","number-of-pages":"288","edition":"1 edition","source":"Amazon","event-place":"Oxford ; New York","abstract":"The G.I. Bill fueled not only the development of the middle class: it also revitalized American democracy. Americans who came of age during World War II joined fraternal groups and neighborhood and community organizations and took part in politics at rates that made the postwar era the twentieth century's civic \"golden age.\" Drawing on extensive interviews and surveys with hundreds of members of the \"greatest generation,\" Suzanne Mettler finds that by treating veterans as first-class citizens and in granting advanced education, the Bill inspired them to become the active participants thanks to whom memberships in civic organizations soared and levels of political activity peaked.  Mettler probes how this landmark law produced such a civic renaissance.  Most fundamentally, she discovers, it communicated to veterans that government was for and about people like them, and they responded in turn.  In our current age of rising inequality and declining civic engagement, Soldiers to Citizens offers critical lessons about how public programs can make a difference.","ISBN":"978-0-19-533130-1","shortTitle":"Soldiers to Citizens","language":"English","author":[{"family":"Mettler","given":"Suzanne"}],"issued":{"date-parts":[["2007",9,10]]}}}],"schema":"https://github.com/citation-style-language/schema/raw/master/csl-citation.json"}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(Campbell, 2003; Mettler, 2007)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Additionally, the provision of education policies build up civic capacities through the establishment of skills, resources and social networks that facilitate participation in government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{"citationID":"a6nhru3g0u","properties":{"formattedCitation":"(Verba, Schlozman, &amp; Brady, 1995)","plainCitation":"(Verba, Schlozman, &amp; Brady, 1995)","noteIndex":0},"citationItems":[{"id":3257,"uris":["http://zotero.org/users/2595715/items/EC5AWPRZ"],"uri":["http://zotero.org/users/2595715/items/EC5AWPRZ"],"itemData":{"id":3257,"type":"book","title":"Voice and Equality: Civic Voluntarism in American Politics","publisher":"Harvard University Press","number-of-pages":"668","source":"Google Books","abstract":"This book confirms Alexis de Tocqueville's idea, dating back a century and a half, that American democracy is rooted in civil society. Citizens' involvement in family, school, work, voluntary associations, and religion has a significant impact on their participation as voters, campaigners, donors, community activists, and protesters. The authors focus on the central issues of involvement: how people come to be active and the issues they raise when they do. They find fascinating differences along cultural lines, among African-Americans, Latinos, and Anglo-Whites, as well as between the religiously observant and the secular. They observe family activism moving from generation to generation, and they look into the special role of issues that elicit involvement, including abortion rights and social welfare. This far-reaching analysis, based on an original survey of 15,000 individuals, including 2,500 long personal interviews, shows that some individuals have a greater voice in politics than others, and that this inequality results not just from varying inclinations toward activity, but also from unequal access to vital resources such as education. Citizens' voices are especially unequal when participation depends on contributions of money rather than contributions of time. This deeply researched study brilliantly illuminates the many facets of civic consciousness and action and confirms their quintessential role in American democracy.","ISBN":"978-0-674-94293-6","shortTitle":"Voice and Equality","language":"en","author":[{"family":"Verba","given":"Sidney"},{"family":"Schlozman","given":"Kay Lehman"},{"family":"Brady","given":"Henry E."}],"issued":{"date-parts":[["1995"]]}}}],"schema":"https://github.com/citation-style-language/schema/raw/master/csl-citation.json"}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(Verba, Schlozman, &amp; Brady, 1995)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Taken together, the literature supports the notion that public policy designs that allocate resources to mass publics shape levels of participation and the emergence of interest groups committed to retaining the status quo. </w:t>
      </w:r>
    </w:p>
    <w:p w14:paraId="2B57E94D"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On the other hand, public policies, depending on the policy design, can also have negative impacts on the engagement of citizens through interpretive mechanisms that stigmatize particular populations. Public policies can, for example, convey messages that legitimize or delegitimize your way of life and communicate how the state sees you through the establishment or withholding of citizenship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{"citationID":"a2366h2jbgs","properties":{"formattedCitation":"(Engel, 2014)","plainCitation":"(Engel, 2014)","noteIndex":0},"citationItems":[{"id":4858,"uris":["http://zotero.org/users/2595715/items/4T9LWKP6"],"uri":["http://zotero.org/users/2595715/items/4T9LWKP6"],"itemData":{"id":4858,"type":"article-journal","title":"Global citizenship and national (re)formations: Analysis of citizenship education reform in Spain","container-title":"Education, Citizenship and Social Justice","page":"239-254","volume":"9","issue":"3","source":"SAGE Journals","abstract":"In recent years, many European education systems have embarked on a process of education policy and curriculum reform related to citizenship education. This article explores citizenship education reform in the context of Spain. It considers how and to what extent Spain’s 2006 citizenship education addressed issues of national and global citizenship, as well as cultural diversity and immigration. Against a typology of four distinct approaches to national and global citizenship education, including traditional, skills-based, values-based, and reflexive approaches, the article draws on qualitative content analysis of Spain’s recent Education for Citizenship and Human Rights curriculum and associated textbooks. Findings focus on themes of human rights, national and global citizenship, and cultural diversity and co-existence.","DOI":"10.1177/1746197914545927","ISSN":"1746-1979","shortTitle":"Global citizenship and national (re)formations","journalAbbreviation":"Education, Citizenship and Social","language":"en","author":[{"family":"Engel","given":"Laura C"}],"issued":{"date-parts":[["2014",11,1]]}}}],"schema":"https://github.com/citation-style-language/schema/raw/master/csl-citation.json"}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(Engel, 2014)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example, the establishment of policies such as welfare and incarceration make civic participation decline among disadvantaged populations </w:t>
      </w:r>
      <w:r w:rsidRPr="005B2DFB">
        <w:rPr>
          <w:rFonts w:ascii="Times New Roman" w:hAnsi="Times New Roman" w:cs="Times New Roman"/>
          <w:sz w:val="24"/>
          <w:szCs w:val="24"/>
        </w:rPr>
        <w:lastRenderedPageBreak/>
        <w:fldChar w:fldCharType="begin"/>
      </w:r>
      <w:r w:rsidRPr="005B2DFB">
        <w:rPr>
          <w:rFonts w:ascii="Times New Roman" w:hAnsi="Times New Roman" w:cs="Times New Roman"/>
          <w:sz w:val="24"/>
          <w:szCs w:val="24"/>
        </w:rPr>
        <w:instrText xml:space="preserve"> ADDIN ZOTERO_ITEM CSL_CITATION {"citationID":"a23e2rthfsb","properties":{"formattedCitation":"(Soss, 1999; Weaver &amp; Lerman, 2010)","plainCitation":"(Soss, 1999; Weaver &amp; Lerman, 2010)","noteIndex":0},"citationItems":[{"id":73,"uris":["http://zotero.org/users/2595715/items/KCVBZ3ED"],"uri":["http://zotero.org/users/2595715/items/KCVBZ3ED"],"itemData":{"id":73,"type":"webpage","title":"Lessons of Welfare: Policy Design, Political Learning, and Political Action","container-title":"American Political Science Review","abstract":"&lt;div class=\"title\"&gt;Lessons of Welfare: Policy Design, Political Learning, and Political Action&lt;/div&gt; - Volume 93 Issue 2 - Joe Soss","URL":"/core/journals/american-political-science-review/article/lessons-of-welfare-policy-design-political-learning-and-political-action/1BFEE6A53F8E201A9E836613AEF405AB","note":"DOI: 10.2307/2585401","shortTitle":"Lessons of Welfare","author":[{"family":"Soss","given":"Joe"}],"issued":{"date-parts":[["1999",6]]},"accessed":{"date-parts":[["2017",6,25]]}}},{"id":4747,"uris":["http://zotero.org/users/2595715/items/T9BJPDP2"],"uri":["http://zotero.org/users/2595715/items/T9BJPDP2"],"itemData":{"id":4747,"type":"webpage","title":"Political Consequences of the Carceral State","container-title":"American Political Science Review","abstract":"&lt;div class=\"title\"&gt;Political Consequences of the Carceral State&lt;/div&gt; - Volume 104 Issue 4 - VESLA M. WEAVER, AMY E. LERMAN","URL":"/core/journals/american-political-science-review/article/political-consequences-of-the-carceral-state/4E39A3AFDAB682A1D4DE53C57E38C019","author":[{"family":"Weaver","given":"Vesla M."},{"family":"Lerman","given":"Amy E."}],"issued":{"date-parts":[["2010",11]]},"accessed":{"date-parts":[["2017",9,10]]}}}],"schema":"https://github.com/citation-style-language/schema/raw/master/csl-citation.json"}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(Soss, 1999; Weaver &amp; Lerman,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addition, the state can regulate personal lives through the legal recognition and persecution of homosexuality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{"citationID":"agkfsuccj0","properties":{"formattedCitation":"(Canaday, 2011)","plainCitation":"(Canaday, 2011)","noteIndex":0},"citationItems":[{"id":5147,"uris":["http://zotero.org/users/2595715/items/4M83LWL6"],"uri":["http://zotero.org/users/2595715/items/4M83LWL6"],"itemData":{"id":5147,"type":"book","title":"The Straight State: Sexuality and Citizenship in Twentieth-Century America","publisher":"Princeton University Press","publisher-place":"Princeton, NJ","number-of-pages":"296","edition":"unknown edition","source":"Amazon","event-place":"Princeton, NJ","abstract":"The Straight State is the most expansive study of the federal regulation of homosexuality yet written. Unearthing startling new evidence from the National Archives, Margot Canaday shows how the state systematically came to penalize homosexuality, giving rise to a regime of second-class citizenship that sexual minorities still live under today.  Canaday looks at three key arenas of government control--immigration, the military, and welfare--and demonstrates how federal enforcement of sexual norms emerged with the rise of the modern bureaucratic state. She begins at the turn of the twentieth century when the state first stumbled upon evidence of sex and gender nonconformity, revealing how homosexuality was policed indirectly through the exclusion of sexually \"degenerate\" immigrants and other regulatory measures aimed at combating poverty, violence, and vice. Canaday argues that the state's gradual awareness of homosexuality intensified during the later New Deal and through the postwar period as policies were enacted that explicitly used homosexuality to define who could enter the country, serve in the military, and collect state benefits. Midcentury repression was not a sudden response to newly visible gay subcultures, Canaday demonstrates, but the culmination of a much longer and slower process of state-building during which the state came to know and to care about homosexuality across many decades.  Social, political, and legal history at their most compelling, The Straight State explores how regulation transformed the regulated: in drawing boundaries around national citizenship, the state helped to define the very meaning of homosexuality in America.","ISBN":"978-0-691-14993-6","shortTitle":"The Straight State","language":"English","author":[{"family":"Canaday","given":"Margot"}],"issued":{"date-parts":[["2011",7,25]]}}}],"schema":"https://github.com/citation-style-language/schema/raw/master/csl-citation.json"}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(Canaday, 2011)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this way, policies deeply affect the way citizens see themselves. Policies can stigmatize those that are not seen as deserving of help or they can empower citizens through programs such as Head Start, which engaged parents in political life depending on how the policy is designed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{"citationID":"aibgljvndv","properties":{"formattedCitation":"(Soss, 1999)","plainCitation":"(Soss, 1999)","noteIndex":0},"citationItems":[{"id":73,"uris":["http://zotero.org/users/2595715/items/KCVBZ3ED"],"uri":["http://zotero.org/users/2595715/items/KCVBZ3ED"],"itemData":{"id":73,"type":"webpage","title":"Lessons of Welfare: Policy Design, Political Learning, and Political Action","container-title":"American Political Science Review","abstract":"&lt;div class=\"title\"&gt;Lessons of Welfare: Policy Design, Political Learning, and Political Action&lt;/div&gt; - Volume 93 Issue 2 - Joe Soss","URL":"/core/journals/american-political-science-review/article/lessons-of-welfare-policy-design-political-learning-and-political-action/1BFEE6A53F8E201A9E836613AEF405AB","note":"DOI: 10.2307/2585401","shortTitle":"Lessons of Welfare","author":[{"family":"Soss","given":"Joe"}],"issued":{"date-parts":[["1999",6]]},"accessed":{"date-parts":[["2017",6,25]]}}}],"schema":"https://github.com/citation-style-language/schema/raw/master/csl-citation.json"}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(Soss, 1999)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Consider the differences in political feasibility and stigmatization involved in social security policies and welfare policies. The universal design of social security democratizes citizenship and encourages mass support and engagement while means-tested policies may lead to stigmatization and disagreements over the appropriate and deserving targets of redistribution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{"citationID":"a1u8e2cdfuc","properties":{"formattedCitation":"(Jordan, 2013; Korpi &amp; Palme, 1998; Rothstein, 2001; Skocpol, 1992; W. J. Wilson, 2012)","plainCitation":"(Jordan, 2013; Korpi &amp; Palme, 1998; Rothstein, 2001; Skocpol, 1992; W. J. Wilson, 2012)","noteIndex":0},"citationItems":[{"id":5353,"uris":["http://zotero.org/users/2595715/items/3W4NIWVB"],"uri":["http://zotero.org/users/2595715/items/3W4NIWVB"],"itemData":{"id":5353,"type":"article-journal","title":"Policy feedback and support for the welfare state","container-title":"Journal of European Social Policy","page":"134-148","volume":"23","issue":"2","source":"SAGE Journals","abstract":"How does the structure of social policy institutions shape the level of public support for the welfare state? The policy feedback literature predicts that highly inclusive welfare institutions generate larger bases of public support by shifting the focus away from redistribution and toward common market insecurities felt across classes, while more selective strategies erode support by highlighting the conflicts of interest imbedded in clearly redistributive social programs. This paper expands on existing research by adopting a disaggregated approach to measuring both welfare state structure and public support, uncovering important cross-program variations in public attitudes and welfare state design masked by traditional measures of universality and public support. This project applies this method to public opinion data in 17 advanced capitalist democracies across three policy areas: healthcare, pensions, and unemployment. The findings offer evidence of policy feedback effects.","DOI":"10.1177/0958928712471224","ISSN":"0958-9287","journalAbbreviation":"Journal of European Social Policy","language":"en","author":[{"family":"Jordan","given":"Jason"}],"issued":{"date-parts":[["2013",5,1]]}}},{"id":4090,"uris":["http://zotero.org/users/2595715/items/FZHUU8E5"],"uri":["http://zotero.org/users/2595715/items/FZHUU8E5"],"itemData":{"id":4090,"type":"article-journal","title":"The Paradox of Redistribution and Strategies of Equality: Welfare State Institutions, Inequality, and Poverty in the Western Countries","container-title":"American Sociological Review","page":"661-687","volume":"63","issue":"5","source":"JSTOR","abstract":"Debates on how to reduce poverty and inequality have focused on two controversial questions: Should social policies be targeted to low-income groups or be universal? Should benefits be equal for all or earnings-related? Traditional arguments in favor of targeting and flat-rate benefits, focusing on the distribution of the money actually transferred, neglect three policy-relevant considerations: (1) The size of redistributive budgets is not fixed but reflects the structure of welfare state institutions. (2) A trade-off exists between the degree of low-income targeting and the size of redistributive budgets. (3) Outcomes of market-based distribution are often more unequal than those of earnings-related social insurance programs. We argue that social insurance institutions are of central importance for redistributive outcomes. Using new data, our comparative analyses of the effects of different institutional types of welfare states on poverty and inequality indicate that institutional differences lead to unexpected outcomes and generate the paradox of redistribution: The more we target benefits at the poor and the more concerned we are with creating equality via equal public transfers to all, the less likely we are to reduce poverty and inequality.","DOI":"10.2307/2657333","ISSN":"0003-1224","shortTitle":"The Paradox of Redistribution and Strategies of Equality","author":[{"family":"Korpi","given":"Walter"},{"family":"Palme","given":"Joakim"}],"issued":{"date-parts":[["1998"]]}}},{"id":4008,"uris":["http://zotero.org/users/2595715/items/DG7Z6QKN"],"uri":["http://zotero.org/users/2595715/items/DG7Z6QKN"],"itemData":{"id":4008,"type":"article-journal","title":"THE UNIVERSAL WELFARE STATE AS A SOCIAL DILEMMA","container-title":"Rationality and Society","page":"213-233","volume":"13","issue":"2","source":"SAGE Journals","abstract":"A major finding within comparative welfare state research is the differences in welfare state programs among the industrialized Western democracies. Contrary to most economic analysis, it is argued that many welfare state programs should be defined as public goods and thus be analysed within a `social dilemma' approach. A model is presented to show that if voters/taxpayers act out of self-interest, both a selective/minimal and an encompassing/universal welfare state are likely outcomes (i.e., a multiple equilibria situation). The different outcomes cannot be explained by the importance of the ideology of ruling political parties or by citizens in these different countries having different basic values about social justice. Rather, the argument is that the puzzle of structurally similar countries managing this social dilemma very differently can be solved by institutional theory, specified as the theory of contingent consent.","DOI":"10.1177/104346301013002004","ISSN":"1043-4631","journalAbbreviation":"Rationality and Society","language":"en","author":[{"family":"Rothstein","given":"Bo"}],"issued":{"date-parts":[["2001",5,1]]}}},{"id":4214,"uris":["http://zotero.org/users/2595715/items/FS66HZRN"],"uri":["http://zotero.org/users/2595715/items/FS66HZRN"],"itemData":{"id":4214,"type":"book","title":"Protecting Soldiers and Mothers","source":"books-google-com.ezproxy.lib.ou.edu","abstract":"It is a commonplace that the United States lagged behind the countries of Western Europe in developing modern social policies. But, as Theda Skocpol shows in this startlingly new historical analysis, the United States actually pioneered generous social spending for many of its elderly, disabled, and dependent citizens. During the late nineteenth century, competitive party politics in American democracy led to the rapid expansion of benefits for Union Civil War veterans and their families. Some Americans hoped to expand veterans' benefits into pensions for all of the needy elderly and social insurance for workingmen and their families. But such hopes went against the logic of political reform in the Progressive Era. Generous social spending faded along with the Civil War generation. Instead, the nation nearly became a unique maternalist welfare state as the federal government and more than forty states enacted social spending, labor regulations, and health education programs to assist American mothers and children. Remarkably, as Skocpol shows, many of these policies were enacted even before American women were granted the right to vote. Banned from electoral politics, they turned their energies to creating huge, nation-spanning federations of local women's clubs, which collaborated with reform-minded professional women to spur legislative action across the country. Blending original historical research with political analysis, Skocpol shows how governmental institutions, electoral rules, political parties, and earlier public policies combined to determine both the opportunities and the limits within which social policies were devised and changed by reformers and politically active social groups over the course of the late nineteenth and early twentieth centuries. By examining afresh the institutional, cultural, and organizational forces that have shaped U.S. social policies in the past, Protecting Soldiers and Mothers challenges us to think in new ways about what might be possible in the American future.","URL":"https://books.google.com/books/about/Protecting_Soldiers_and_Mothers.html?id=BWZ0g8A7NBwC","author":[{"family":"Skocpol","given":"Theda"}],"issued":{"date-parts":[["1992"]]},"accessed":{"date-parts":[["2017",9,8]]}}},{"id":5991,"uris":["http://zotero.org/users/2595715/items/FCXFJNP7"],"uri":["http://zotero.org/users/2595715/items/FCXFJNP7"],"itemData":{"id":5991,"type":"book","title":"The Truly Disadvantaged: The Inner City, the Underclass, and Public Policy, Second Edition","publisher":"University of Chicago Press","number-of-pages":"331","source":"Google Books","abstract":"Renowned American sociologist William Julius Wilson takes a look at the social transformation of inner city ghettos, offering a sharp evaluation of the convergence of race and poverty. Rejecting both conservative and liberal interpretations of life in the inner city, Wilson offers essential information and a number of solutions to policymakers. The Truly Disadvantaged is a wide-ranging examination, looking at the relationship between race, employment, and education from the 1950s onwards, with surprising and provocative findings. This second edition also includes a new afterword from Wilson himself that brings the book up to date and offers fresh insight into its findings.  “The Truly Disadvantaged should spur critical thinking in many quarters about the causes and possible remedies for inner city poverty. As policymakers grapple with the problems of an enlarged underclass they—as well as community leaders and all concerned Americans of all races—would be advised to examine Mr. Wilson's incisive analysis.”—Robert Greenstein, New York Times Book Review","ISBN":"978-0-226-92465-6","note":"Google-Books-ID: N_tVVPXLfMIC","shortTitle":"The Truly Disadvantaged","language":"en","author":[{"family":"Wilson","given":"William Julius"}],"issued":{"date-parts":[["2012",6,29]]}}}],"schema":"https://github.com/citation-style-language/schema/raw/master/csl-citation.json"}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(Jordan, 2013; Korpi &amp; Palme, 1998; Rothstein, 2001; Skocpol, 1992; W. J. Wilson, 2012)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Social security benefits, based on the design, are viewed as earned while welfare programs such as TANF are perceived as a handout that can be abused because of the structure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{"citationID":"an29077u5s","properties":{"formattedCitation":"(Williamson, Skocpol, &amp; Coggin, 2011)","plainCitation":"(Williamson, Skocpol, &amp; Coggin, 2011)","noteIndex":0},"citationItems":[{"id":3376,"uris":["http://zotero.org/users/2595715/items/NKU6KD5H"],"uri":["http://zotero.org/users/2595715/items/NKU6KD5H"],"itemData":{"id":3376,"type":"webpage","title":"The Tea Party and the Remaking of Republican Conservatism","container-title":"Perspectives on Politics","abstract":"&lt;div class=\"title\"&gt;The Tea Party and the Remaking of Republican Conservatism&lt;/div&gt; - Volume 9 Issue 1 - Vanessa Williamson, Theda Skocpol, John Coggin","URL":"/core/journals/perspectives-on-politics/article/tea-party-and-the-remaking-of-republican-conservatism/BDF68005B52758A48F7EC07086C3788C","author":[{"family":"Williamson","given":"Vanessa"},{"family":"Skocpol","given":"Theda"},{"family":"Coggin","given":"John"}],"issued":{"date-parts":[["2011",3]]},"accessed":{"date-parts":[["2017",9,11]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(Williamson, Skocpol, &amp; Coggin, 2011)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p>
    <w:p w14:paraId="669DE718"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Together, these literatures on the role of policy design in policy processes built a better understanding of the processes by which policy designs are formulated and changed by government institutions as well as the political consequences of policy designs for a subset of democratic outcomes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{"citationID":"2SCM2U69","properties":{"formattedCitation":"(Arnold, 1990; Baumgartner &amp; Jones, 2010; Ingram &amp; Schneider, 1991; Kingdon, 1984; P. A. Sabatier &amp; Weible, 2014; P. Sabatier &amp; Mazmanian, 1980; Weible, Sabatier, &amp; McQueen, 2009)","plainCitation":"(Arnold, 1990; Baumgartner &amp; Jones, 2010; Ingram &amp; Schneider, 1991; Kingdon, 1984; P. A. Sabatier &amp; Weible, 2014; P. Sabatier &amp; Mazmanian, 1980; Weible, Sabatier, &amp; McQueen, 2009)","dontUpdate":true,"noteIndex":0},"citationItems":[{"id":4266,"uris":["http://zotero.org/users/2595715/items/QCCE9ZS8"],"uri":["http://zotero.org/users/2595715/items/QCCE9ZS8"],"itemData":{"id":4266,"type":"book","title":"The Logic of Congressional Action","publisher":"Yale University Press","number-of-pages":"293","edition":"Reprint edition","source":"Amazon","abstract":"Congress regularly enacts laws that benefit particular groups or localities while imposing costs on everyone else. Sometimes, however, Congress breaks free of such parochial concerns and enacts bills that serve the general public, not just special interest groups. In this important and original book, R. Douglas Arnold offers a theory that explains not only why special interests frequently triumph but also why the general public sometimes wins. By showing how legislative leaders build coalitions for both types of programs, he illuminates recent legislative decisions in such areas as economic, tax, and energy policy. Arnold's theory of policy making rests on a reinterpretation of the relationship between legislators' actions and their constituents' policy preferences. Most scholars explore the impact that citizens' existing policy preferences have on legislators' decisions. They ignore citizens who have no opinions because they assume that uninformed citizens cannot possibly affect legislators' choices. Arnold examines the influence of citizens' potential preferences, however, and argues that legislators also respond to these preferences in order to avoid future electoral problems. He shows how legislators estimate the political consequences of their voting decisions, taking into account both the existing preferences of attentive citizens and the potential preferences of inattentive citizens. He then analyzes how coalition leaders manipulate the legislative situation in order to make it attractive for legislators to support a general interest bill.","ISBN":"978-0-300-05659-4","language":"English","author":[{"family":"Arnold","given":"R. Douglas"}],"issued":{"date-parts":[["1990"]]}}},{"id":359,"uris":["http://zotero.org/users/2595715/items/J8PKRADQ"],"uri":["http://zotero.org/users/2595715/items/J8PKRADQ"],"itemData":{"id":359,"type":"book","title":"Agendas and Instability in American Politics, Second Edition","publisher":"University of Chicago Press","number-of-pages":"368","source":"Google Books","abstract":"When Agendas and Instability in American Politics appeared fifteen years ago, offering a profoundly original account of how policy issues rise and fall on the national agenda, the Journal of Politics predicted that it would “become a landmark study of public policy making and American politics.” That prediction proved true and, in this long-awaited second edition, Bryan Jones and Frank Baumgartner refine their influential argument and expand it to illuminate the workings of democracies beyond the United States.  The authors retain all the substance of their contention that short-term, single-issue analyses cast public policy too narrowly as the result of cozy and dependable arrangements among politicians, interest groups, and the media. Jones and Baumgartner provide a different interpretation by taking the long view of several issues—including nuclear energy, urban affairs, smoking, and auto safety—to demonstrate that bursts of rapid, unpredictable policy change punctuate the patterns of stability more frequently associated with government. Featuring a new introduction and two additional chapters, this updated edition ensures that their findings will remain a touchstone of policy studies for many years to come.","ISBN":"978-0-226-03953-4","note":"Google-Books-ID: 0WtEOcK_Y8wC","language":"en","author":[{"family":"Baumgartner","given":"Frank R."},{"family":"Jones","given":"Bryan D."}],"issued":{"date-parts":[["2010",3,15]]}}},{"id":100,"uris":["http://zotero.org/users/2595715/items/KBGKR89M"],"uri":["http://zotero.org/users/2595715/items/KBGKR89M"],"itemData":{"id":100,"type":"article-journal","title":"The Choice of Target Populations","container-title":"Administration &amp; Society","page":"333-356","volume":"23","issue":"3","source":"SAGE Journals","abstract":"Public policy almost always seeks to change the behavior of one or more target populations who are ostensibly linked to the problems the policy is seeking to address. This paper argues that statutory designers and agency officials almost always have a choice from among several potential target groups, and that institutional factors often influence them to make inappropriate choices. Statutory designers, who it is assumed are sensitive to electoral conditions, will tend to oversubscribe some policies by identifying too many targets, including some who are not linked to policy objectives at all. Under other conditions, they will under subscribe, excluding some target groups who would contribute considerably to achievement of policy goals. The institutional conditions and incentives faced by agencies differ from those of elected officials. Therefore, they tend to target policies differently. Under some conditions, agencies will attempt to correct problems introduced by statutory designers, but in other situations, the institutional incentives faced by agencies will only exacerbate the problems. Agencies are most likely to correct problems introduced by statutory designers when agencies have a high degree of professionalism and receive budgets and other rewards on the basis of \"value added\" evaluations.","DOI":"10.1177/009539979102300304","ISSN":"0095-3997","journalAbbreviation":"Administration &amp; Society","language":"en","author":[{"family":"Ingram","given":"Helen"},{"family":"Schneider","given":"Anne"}],"issued":{"date-parts":[["1991",11,1]]}}},{"id":5091,"uris":["http://zotero.org/users/2595715/items/6SRFXE7N"],"uri":["http://zotero.org/users/2595715/items/6SRFXE7N"],"itemData":{"id":5091,"type":"book","title":"Agendas, alternatives, and public policies","publisher":"Little, Brown","number-of-pages":"262","source":"Google Books","abstract":"Google-Books-ID: mFfuAAAAMAAJ","ISBN":"978-0-316-49391-8","language":"en","author":[{"family":"Kingdon","given":"John W."}],"issued":{"date-parts":[["1984"]]}}},{"id":355,"uris":["http://zotero.org/users/2595715/items/P8SS4WQW"],"uri":["http://zotero.org/users/2595715/items/P8SS4WQW"],"itemData":{"id":355,"type":"book","title":"Theories of the Policy Process","publisher":"Avalon Publishing","number-of-pages":"433","source":"Google Books","abstract":"Theories of the Policy Process provides a forum for the experts in the most established and widely used theoretical frameworks in policy process research to present the basic propositions, empirical evidence, latest updates, and the promising future research opportunities of each framework. This well-regarded volume covers such enduring classics as Multiple Streams (Zahariadis et al.), Punctuated Equilibrium (Jones et al.), Advocacy Coalition Framework (Jenkins-Smith et al.), Institutional Analysis and Development Framework (Schlager and Cox), and Policy Diffusion (Berry and Berry), as well as two newer theories-Policy Feedback (Mettler and SoRelle) and Narrative Policy Framework (McBeth et al.). The fourth edition now includes a discussion of global and comparative perspectives in each theoretical chapter and a brand-new chapter that explores how these theories have been adapted for, and employed in, non-American and non-Western contexts. An expanded introduction and revised conclusion fully examines and contextualizes the history, trajectories and functions of public policy research. Since its first publication in 1999, Theories of the Policy Process has been, and remains, the quintessential gateway to the field of policy process research for students, scholars and practitioners.","ISBN":"978-0-8133-4927-5","note":"Google-Books-ID: MzkGAwAAQBAJ","language":"en","author":[{"family":"Sabatier","given":"Paul A."},{"family":"Weible","given":"Christopher M."}],"issued":{"date-parts":[["2014",7,8]]}}},{"id":373,"uris":["http://zotero.org/users/2595715/items/EZS6WP74"],"uri":["http://zotero.org/users/2595715/items/EZS6WP74"],"itemData":{"id":373,"type":"article-journal","title":"The Implementation of Public Policy: A Framework of Analysis*","container-title":"Policy Studies Journal","page":"538-560","volume":"8","issue":"4","source":"Wiley Online Library","DOI":"10.1111/j.1541-0072.1980.tb01266.x","ISSN":"1541-0072","shortTitle":"The Implementation of Public Policy","language":"en","author":[{"family":"Sabatier","given":"Paul"},{"family":"Mazmanian","given":"Daniel"}],"issued":{"date-parts":[["1980",1,1]]}}},{"id":400,"uris":["http://zotero.org/users/2595715/items/7M5TIKE4"],"uri":["http://zotero.org/users/2595715/items/7M5TIKE4"],"itemData":{"id":400,"type":"article-journal","title":"Themes and Variations: Taking Stock of the Advocacy Coalition Framework","container-title":"Policy Studies Journal","page":"121-140","volume":"37","issue":"1","source":"Wiley Online Library","abstract":"A policy process framework that has been developed to simplify the complexity of public policy is the advocacy coalition framework (ACF). This essay reports on an analysis of 80 applications of the ACF spanning nearly 20 years. The review shows that the ACF is applicable to various substantive topics, across various geographical areas, and with other policy process theories and frameworks, including the stages heuristic. The most commonly tested hypotheses involve policy change, learning, and coalition stability. Although the hypotheses tend to be confirmed, questions remain about the membership, stability, and defection of coalition members; about the causal mechanisms linking external events and policy change; and about the conditions that facilitate cross-coalition learning. Emerging areas of research include policy subsystem interdependencies and coordination within, and between, coalitions.","DOI":"10.1111/j.1541-0072.2008.00299.x","ISSN":"1541-0072","shortTitle":"Themes and Variations","language":"en","author":[{"family":"Weible","given":"Christopher M."},{"family":"Sabatier","given":"Paul A."},{"family":"McQueen","given":"Kelly"}],"issued":{"date-parts":[["2009",2,1]]}}}],"schema":"https://github.com/citation-style-language/schema/raw/master/csl-citation.json"}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(Arnold, 1990; Baumgartner &amp; Jones, 2010; Ingram &amp; Schneider, 1991; Kingdon, 1984; Sabatier &amp; Weible, 2014; Sabatier &amp; Mazmanian, 1980; Weible, Sabatier, &amp; McQueen, 2009)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particular, policy process scholars have highlighted the role of policy design as a political tool that impacts policy effectiveness, political participation, policy drift, political efficacy and trust in government (McCann 2016; Schneider and Ingram 1993; Soss and Mettler 2004; Mettler 2011; Soss 2002; Ingram and Schneider 1992; Linder and Peters 1985; Ostrom 1990; Schneider and Ingram 1990a, 1990b; Stone 1988).  </w:t>
      </w:r>
    </w:p>
    <w:p w14:paraId="52B75F6E" w14:textId="5FBF8342"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Both the policy process literature and the policy evaluation literature provide insight into some aspects of policy design, providing a partial and incomplete picture of the importance and relationship of policy design and outcomes, as shown in Figure </w:t>
      </w:r>
      <w:r w:rsidR="00211457">
        <w:rPr>
          <w:rFonts w:ascii="Times New Roman" w:hAnsi="Times New Roman" w:cs="Times New Roman"/>
          <w:sz w:val="24"/>
          <w:szCs w:val="24"/>
        </w:rPr>
        <w:t>1-3</w:t>
      </w:r>
      <w:r w:rsidRPr="005B2DFB">
        <w:rPr>
          <w:rFonts w:ascii="Times New Roman" w:hAnsi="Times New Roman" w:cs="Times New Roman"/>
          <w:sz w:val="24"/>
          <w:szCs w:val="24"/>
        </w:rPr>
        <w:t xml:space="preserve">. In particular, the policy process literature provides insight on the political processes that shape the choice of policy design while the policy evaluation literature provides the tools needed to effectively characterize the impact of policies on societal outcomes. However, there is still a missing element in the model. The final literature adds the final component to this model—the politics of implementation. </w:t>
      </w:r>
    </w:p>
    <w:p w14:paraId="5FD4E563" w14:textId="63326620" w:rsidR="00DA69F5" w:rsidRPr="005B2DFB" w:rsidRDefault="00211457" w:rsidP="00211457">
      <w:pPr>
        <w:spacing w:after="0" w:line="240" w:lineRule="auto"/>
        <w:jc w:val="center"/>
        <w:rPr>
          <w:rFonts w:ascii="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C11C856" wp14:editId="3EAF803D">
                <wp:simplePos x="0" y="0"/>
                <wp:positionH relativeFrom="column">
                  <wp:posOffset>3558540</wp:posOffset>
                </wp:positionH>
                <wp:positionV relativeFrom="paragraph">
                  <wp:posOffset>464185</wp:posOffset>
                </wp:positionV>
                <wp:extent cx="457200" cy="8890"/>
                <wp:effectExtent l="0" t="76200" r="19050" b="86360"/>
                <wp:wrapNone/>
                <wp:docPr id="12" name="Straight Arrow Connector 12"/>
                <wp:cNvGraphicFramePr/>
                <a:graphic xmlns:a="http://schemas.openxmlformats.org/drawingml/2006/main">
                  <a:graphicData uri="http://schemas.microsoft.com/office/word/2010/wordprocessingShape">
                    <wps:wsp>
                      <wps:cNvCnPr/>
                      <wps:spPr>
                        <a:xfrm flipV="1">
                          <a:off x="0" y="0"/>
                          <a:ext cx="457200" cy="88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FEB392" id="_x0000_t32" coordsize="21600,21600" o:spt="32" o:oned="t" path="m,l21600,21600e" filled="f">
                <v:path arrowok="t" fillok="f" o:connecttype="none"/>
                <o:lock v:ext="edit" shapetype="t"/>
              </v:shapetype>
              <v:shape id="Straight Arrow Connector 12" o:spid="_x0000_s1026" type="#_x0000_t32" style="position:absolute;margin-left:280.2pt;margin-top:36.55pt;width:36pt;height:.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" strokecolor="black [3213]" strokeweight="1pt">
                <v:stroke endarrow="block" joinstyle="miter"/>
              </v:shape>
            </w:pict>
          </mc:Fallback>
        </mc:AlternateContent>
      </w:r>
      <w:r w:rsidR="00DA69F5" w:rsidRPr="005B2DF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222229" wp14:editId="11298ED9">
                <wp:simplePos x="0" y="0"/>
                <wp:positionH relativeFrom="column">
                  <wp:posOffset>1943100</wp:posOffset>
                </wp:positionH>
                <wp:positionV relativeFrom="paragraph">
                  <wp:posOffset>467995</wp:posOffset>
                </wp:positionV>
                <wp:extent cx="457200" cy="9144"/>
                <wp:effectExtent l="0" t="76200" r="19050" b="86360"/>
                <wp:wrapNone/>
                <wp:docPr id="11" name="Straight Arrow Connector 11"/>
                <wp:cNvGraphicFramePr/>
                <a:graphic xmlns:a="http://schemas.openxmlformats.org/drawingml/2006/main">
                  <a:graphicData uri="http://schemas.microsoft.com/office/word/2010/wordprocessingShape">
                    <wps:wsp>
                      <wps:cNvCnPr/>
                      <wps:spPr>
                        <a:xfrm flipV="1">
                          <a:off x="0" y="0"/>
                          <a:ext cx="457200" cy="914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43DCE0" id="Straight Arrow Connector 11" o:spid="_x0000_s1026" type="#_x0000_t32" style="position:absolute;margin-left:153pt;margin-top:36.85pt;width:36pt;height:.7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" strokecolor="black [3213]" strokeweight="1pt">
                <v:stroke endarrow="block" joinstyle="miter"/>
              </v:shape>
            </w:pict>
          </mc:Fallback>
        </mc:AlternateContent>
      </w:r>
      <w:r w:rsidR="00DA69F5" w:rsidRPr="005B2DFB">
        <w:rPr>
          <w:rFonts w:ascii="Times New Roman" w:hAnsi="Times New Roman" w:cs="Times New Roman"/>
          <w:noProof/>
          <w:sz w:val="24"/>
          <w:szCs w:val="24"/>
        </w:rPr>
        <w:drawing>
          <wp:inline distT="0" distB="0" distL="0" distR="0" wp14:anchorId="33BA5A7B" wp14:editId="0F2DEDCA">
            <wp:extent cx="4404360" cy="952500"/>
            <wp:effectExtent l="19050" t="0" r="1524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570EC6C" w14:textId="4D4DDFBF" w:rsidR="00DA69F5" w:rsidRPr="005B2DFB" w:rsidRDefault="00DA69F5" w:rsidP="00211457">
      <w:pPr>
        <w:spacing w:after="0" w:line="240" w:lineRule="auto"/>
        <w:jc w:val="center"/>
        <w:rPr>
          <w:rFonts w:ascii="Times New Roman" w:hAnsi="Times New Roman" w:cs="Times New Roman"/>
          <w:sz w:val="24"/>
          <w:szCs w:val="24"/>
        </w:rPr>
      </w:pPr>
      <w:r w:rsidRPr="005B2DFB">
        <w:rPr>
          <w:rFonts w:ascii="Times New Roman" w:hAnsi="Times New Roman" w:cs="Times New Roman"/>
          <w:sz w:val="24"/>
          <w:szCs w:val="24"/>
        </w:rPr>
        <w:t xml:space="preserve">Figure </w:t>
      </w:r>
      <w:r w:rsidR="00211457">
        <w:rPr>
          <w:rFonts w:ascii="Times New Roman" w:hAnsi="Times New Roman" w:cs="Times New Roman"/>
          <w:sz w:val="24"/>
          <w:szCs w:val="24"/>
        </w:rPr>
        <w:t>1-3</w:t>
      </w:r>
      <w:r w:rsidRPr="005B2DFB">
        <w:rPr>
          <w:rFonts w:ascii="Times New Roman" w:hAnsi="Times New Roman" w:cs="Times New Roman"/>
          <w:sz w:val="24"/>
          <w:szCs w:val="24"/>
        </w:rPr>
        <w:t>. Policy Design in Policy Process Scholarship</w:t>
      </w:r>
    </w:p>
    <w:p w14:paraId="582A9C76" w14:textId="77777777" w:rsidR="00DA69F5" w:rsidRPr="005B2DFB" w:rsidRDefault="00DA69F5" w:rsidP="00DA69F5">
      <w:pPr>
        <w:spacing w:after="0" w:line="240" w:lineRule="auto"/>
        <w:rPr>
          <w:rFonts w:ascii="Times New Roman" w:hAnsi="Times New Roman" w:cs="Times New Roman"/>
          <w:sz w:val="24"/>
          <w:szCs w:val="24"/>
        </w:rPr>
      </w:pPr>
    </w:p>
    <w:p w14:paraId="75C141AA" w14:textId="782EA514" w:rsidR="00DA69F5" w:rsidRDefault="00DA69F5" w:rsidP="00DA69F5">
      <w:pPr>
        <w:spacing w:after="0" w:line="240" w:lineRule="auto"/>
        <w:rPr>
          <w:rFonts w:ascii="Times New Roman" w:hAnsi="Times New Roman" w:cs="Times New Roman"/>
          <w:b/>
          <w:sz w:val="24"/>
          <w:szCs w:val="24"/>
        </w:rPr>
      </w:pPr>
      <w:r w:rsidRPr="005B2DFB">
        <w:rPr>
          <w:rFonts w:ascii="Times New Roman" w:hAnsi="Times New Roman" w:cs="Times New Roman"/>
          <w:b/>
          <w:sz w:val="24"/>
          <w:szCs w:val="24"/>
        </w:rPr>
        <w:t>1.1.3 Policy Design in Public Administration</w:t>
      </w:r>
    </w:p>
    <w:p w14:paraId="307FE1A2" w14:textId="77777777" w:rsidR="00146DE5" w:rsidRPr="005B2DFB" w:rsidRDefault="00146DE5" w:rsidP="00DA69F5">
      <w:pPr>
        <w:spacing w:after="0" w:line="240" w:lineRule="auto"/>
        <w:rPr>
          <w:rFonts w:ascii="Times New Roman" w:hAnsi="Times New Roman" w:cs="Times New Roman"/>
          <w:b/>
          <w:sz w:val="24"/>
          <w:szCs w:val="24"/>
        </w:rPr>
      </w:pPr>
    </w:p>
    <w:p w14:paraId="12011F0E"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public administration literature policy design is conceptualized as the product of political coalitions that express the will of the public in legislation that expands or constrains the authority of executive agencies. More specifically, policy design is treated as a product of our </w:t>
      </w:r>
      <w:r w:rsidRPr="005B2DFB">
        <w:rPr>
          <w:rFonts w:ascii="Times New Roman" w:eastAsia="Times New Roman" w:hAnsi="Times New Roman" w:cs="Times New Roman"/>
          <w:color w:val="000000"/>
          <w:sz w:val="24"/>
          <w:szCs w:val="24"/>
        </w:rPr>
        <w:t xml:space="preserve">representative democratic system of government in which the interests of winning political coalitions translates into "constitutionally sanctioned public choice" that determines the types of policies and programs the executive branch is charged with implementing as well as the levels of rep tape and administrative burdens that citizens must face in order to gain access to programs </w:t>
      </w:r>
      <w:r w:rsidRPr="005B2DFB">
        <w:rPr>
          <w:rFonts w:ascii="Times New Roman" w:eastAsia="Times New Roman" w:hAnsi="Times New Roman" w:cs="Times New Roman"/>
          <w:color w:val="000000"/>
          <w:sz w:val="24"/>
          <w:szCs w:val="24"/>
        </w:rPr>
        <w:fldChar w:fldCharType="begin"/>
      </w:r>
      <w:r w:rsidRPr="005B2DFB">
        <w:rPr>
          <w:rFonts w:ascii="Times New Roman" w:eastAsia="Times New Roman" w:hAnsi="Times New Roman" w:cs="Times New Roman"/>
          <w:color w:val="000000"/>
          <w:sz w:val="24"/>
          <w:szCs w:val="24"/>
        </w:rPr>
        <w:instrText xml:space="preserve"> ADDIN ZOTERO_ITEM CSL_CITATION {"citationID":"syr1j24J","properties":{"formattedCitation":"(Lynn et al., 2001)","plainCitation":"(Lynn et al., 2001)","dontUpdate":true,"noteIndex":0},"citationItems":[{"id":2055,"uris":["http://zotero.org/groups/385054/items/9ZA6UZP3"],"uri":["http://zotero.org/groups/385054/items/9ZA6UZP3"],"itemData":{"id":2055,"type":"book","title":"Improving Governance: A New Logic for Empirical Research","publisher":"Georgetown University Press","publisher-place":"Washington, DC","source":"catalog.lib.ou.edu Library Catalog","event-place":"Washington, DC","abstract":"Pages: viii, 212 p\n: Washington, D.C. : Georgetown University Press, c2001\n: viii, 212 p. : ill. ; 24 cm\nSeries: ([American governance and public policy series])\n: Series statement from jacket\nSeries: American governance and public policy","ISBN":"0-87840-852-5","call-number":"JF 1338 .A2 L85 2001","shortTitle":"Improving Governance","author":[{"family":"Lynn","given":"Laurence E."},{"family":"Heinrich","given":"Carolyn J."},{"family":"Hill","given":"Carolyn J."}],"issued":{"date-parts":[["2001"]]}}}],"schema":"https://github.com/citation-style-language/schema/raw/master/csl-citation.json"} </w:instrText>
      </w:r>
      <w:r w:rsidRPr="005B2DFB">
        <w:rPr>
          <w:rFonts w:ascii="Times New Roman" w:eastAsia="Times New Roman" w:hAnsi="Times New Roman" w:cs="Times New Roman"/>
          <w:color w:val="000000"/>
          <w:sz w:val="24"/>
          <w:szCs w:val="24"/>
        </w:rPr>
        <w:fldChar w:fldCharType="separate"/>
      </w:r>
      <w:r w:rsidRPr="005B2DFB">
        <w:rPr>
          <w:rFonts w:ascii="Times New Roman" w:hAnsi="Times New Roman" w:cs="Times New Roman"/>
          <w:sz w:val="24"/>
          <w:szCs w:val="24"/>
        </w:rPr>
        <w:t>(Lynn et al., 2001, 33)</w:t>
      </w:r>
      <w:r w:rsidRPr="005B2DFB">
        <w:rPr>
          <w:rFonts w:ascii="Times New Roman" w:eastAsia="Times New Roman" w:hAnsi="Times New Roman" w:cs="Times New Roman"/>
          <w:color w:val="000000"/>
          <w:sz w:val="24"/>
          <w:szCs w:val="24"/>
        </w:rPr>
        <w:fldChar w:fldCharType="end"/>
      </w:r>
      <w:r w:rsidRPr="005B2DFB">
        <w:rPr>
          <w:rFonts w:ascii="Times New Roman" w:eastAsia="Times New Roman" w:hAnsi="Times New Roman" w:cs="Times New Roman"/>
          <w:color w:val="000000"/>
          <w:sz w:val="24"/>
          <w:szCs w:val="24"/>
        </w:rPr>
        <w:t xml:space="preserve">. Therefore, </w:t>
      </w:r>
      <w:r w:rsidRPr="005B2DFB">
        <w:rPr>
          <w:rFonts w:ascii="Times New Roman" w:hAnsi="Times New Roman" w:cs="Times New Roman"/>
          <w:sz w:val="24"/>
          <w:szCs w:val="24"/>
        </w:rPr>
        <w:t xml:space="preserve">public policy design is treated as an important element of the context in which implementation takes place; public policy designs establish the directives and goals that provide the context for bureaucratic behaviors and management strategies as well as the structure and functioning of public organizations charged with execution of policies and </w:t>
      </w:r>
      <w:r w:rsidRPr="005B2DFB">
        <w:rPr>
          <w:rFonts w:ascii="Times New Roman" w:hAnsi="Times New Roman" w:cs="Times New Roman"/>
          <w:sz w:val="24"/>
          <w:szCs w:val="24"/>
        </w:rPr>
        <w:lastRenderedPageBreak/>
        <w:t xml:space="preserve">programs. As the context in which implementation takes place, policy design is a </w:t>
      </w:r>
      <w:r w:rsidRPr="005B2DFB">
        <w:rPr>
          <w:rFonts w:ascii="Times New Roman" w:hAnsi="Times New Roman" w:cs="Times New Roman"/>
          <w:i/>
          <w:sz w:val="24"/>
          <w:szCs w:val="24"/>
        </w:rPr>
        <w:t>component</w:t>
      </w:r>
      <w:r w:rsidRPr="005B2DFB">
        <w:rPr>
          <w:rFonts w:ascii="Times New Roman" w:hAnsi="Times New Roman" w:cs="Times New Roman"/>
          <w:sz w:val="24"/>
          <w:szCs w:val="24"/>
        </w:rPr>
        <w:t xml:space="preserve"> but is not the centerpiece of theoretical investigations into the functioning of executive agencies. Instead, public administration research sheds lights on the ways in which policy design affects the managerial and street-level bureaucrats that are charged with implementing public programs and services.</w:t>
      </w:r>
    </w:p>
    <w:p w14:paraId="50111F25"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 This conceptualization, unlike policy evaluation and policy process studies, takes on the challenge of opening up the black box of implementation and thus contributes substantial theoretical insight into the impacts policy design has on the bureaucrats working in the managerial and street-level implementation process. In doing so, this literature provides insight into the impact of politics and policy design as it moves through the bureaucratic implementation process to impact citizens. In doing so, this literature provides the theoretical foundation necessary for understanding the underlying causal mechanisms for the occasional disjuncture found in policy evaluation studies between policy goals and policy outcomes. Additionally, the public administration perspective extends policy process insights by extending the focus from the politics of policy design formation to the impacts of political policy designs for the implementation of public programs. As such, public administration literature effectively builds on the policy evaluation and public policy processes literature by providing substantial explanatory power in the theoretical exploration of policy designs, political implementation processes and policy outcomes.</w:t>
      </w:r>
    </w:p>
    <w:p w14:paraId="3BE4BE16"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first major insight of public administration literature is the conceptualization of implementation processes as the product of political coalition and, as such, inherently political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{"citationID":"jS5cle21","properties":{"formattedCitation":"(Moe, 1989)","plainCitation":"(Moe, 1989)","noteIndex":0},"citationItems":[{"id":2180,"uris":["http://zotero.org/groups/385054/items/NFQP6TT5"],"uri":["http://zotero.org/groups/385054/items/NFQP6TT5"],"itemData":{"id":2180,"type":"chapter","title":"The Politics of Bureaucratic Structure","container-title":"Can the Government Govern?","publisher":"The Brookings Institution","publisher-place":"Washington, DC","page":"267-329","event-place":"Washington, DC","author":[{"family":"Moe","given":"Terry M."}],"editor":[{"family":"Chubb","given":"John E."},{"family":"Peterson","given":"Paul E."}],"issued":{"date-parts":[["1989"]]}}}],"schema":"https://github.com/citation-style-language/schema/raw/master/csl-citation.json"}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(Moe, 1989)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However, scholars of traditional public administration argued that ideally, in our system of shared constitutional power, bureaucrats would be neutral agents of the state, removed </w:t>
      </w:r>
      <w:r w:rsidRPr="005B2DFB">
        <w:rPr>
          <w:rFonts w:ascii="Times New Roman" w:hAnsi="Times New Roman" w:cs="Times New Roman"/>
          <w:sz w:val="24"/>
          <w:szCs w:val="24"/>
        </w:rPr>
        <w:lastRenderedPageBreak/>
        <w:t xml:space="preserve">from politics, and would carry out orders exactly as they are directed by elected officials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{"citationID":"c8RLBUja","properties":{"formattedCitation":"(Goodnow, 1900; W. Wilson, 1887)","plainCitation":"(Goodnow, 1900; W. Wilson, 1887)","dontUpdate":true,"noteIndex":0},"citationItems":[{"id":1677,"uris":["http://zotero.org/groups/385054/items/JB9475CQ"],"uri":["http://zotero.org/groups/385054/items/JB9475CQ"],"itemData":{"id":1677,"type":"book","title":"Politics and administration; a study in government","publisher":"Macmillan","publisher-place":"New York ; London","number-of-pages":"302","source":"Internet Archive","archive":"University of British Columbia Library","event-place":"New York ; London","URL":"http://archive.org/details/politicsadminis00good","call-number":"727167","language":"eng","author":[{"family":"Goodnow","given":"Frank Johnson"}],"issued":{"date-parts":[["1900"]]},"accessed":{"date-parts":[["2014",9,4]]}}},{"id":1672,"uris":["http://zotero.org/groups/385054/items/33KWVFUJ"],"uri":["http://zotero.org/groups/385054/items/33KWVFUJ"],"itemData":{"id":1672,"type":"article-journal","title":"The Study of Administration","container-title":"Political Science Quarterly","page":"197-222","volume":"2","issue":"2","source":"JSTOR","abstract":"ArticleType: primary_article / Full publication date: Jun., 1887 / Copyright © 1887 The Academy of Political Science","ISSN":"00323195","author":[{"family":"Wilson","given":"Woodrow"}],"issued":{"date-parts":[["1887",6]]}}}],"schema":"https://github.com/citation-style-language/schema/raw/master/csl-citation.json"}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(Goodnow, 1900; Wilson, 1887)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this way, we could avoid the threat of powerful unelected bureaucrats in a representative democracy, effectively separating politics from administration. Therefore, in classic public administration perspectives, problems in the delivery of services to clients, or in the management processes of public agencies is the result of poorly designed laws that failed to effectively control bureaucrats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{"citationID":"pSV7MLzL","properties":{"formattedCitation":"(Finer, 1941; Howlett &amp; Lejano, 2013)","plainCitation":"(Finer, 1941; Howlett &amp; Lejano, 2013)","noteIndex":0},"citationItems":[{"id":164,"uris":["http://zotero.org/users/2595715/items/A3RCAHK6"],"uri":["http://zotero.org/users/2595715/items/A3RCAHK6"],"itemData":{"id":164,"type":"article-journal","title":"Administrative Responsibility in Democratic Government","container-title":"Public Administration Review","page":"335-350","volume":"1","issue":"4","source":"JSTOR","DOI":"10.2307/972907","ISSN":"0033-3352","journalAbbreviation":"Public Administration Review","author":[{"family":"Finer","given":"Herman"}],"issued":{"date-parts":[["1941",7,1]]}}},{"id":77,"uris":["http://zotero.org/users/2595715/items/FEHRM3BR"],"uri":["http://zotero.org/users/2595715/items/FEHRM3BR"],"itemData":{"id":77,"type":"article-journal","title":"Tales From the Crypt: The Rise and Fall (and Rebirth?) of Policy Design","container-title":"Administration &amp; Society","page":"357-381","volume":"45","issue":"3","source":"SAGE Journals","abstract":"Policy design is an area of study in the field of public policy with a curious intellectual history. It engendered a large literature in the 1980s and 1990s oriented to understanding design as both a process and an outcome with prominent figures in the United States, Canada, Europe, and Australia such as Lester Salamon, Patricia Ingraham, Malcolm Goggin, John Dryzek, Hans Bressers, Helen Ingram and Anne Schneider, G. B. Doern, Stephen Linder and B. Guy Peters, Renate Mayntz, Christopher Hood, Eugene Bardach, Evert Vedung, Peter May, Frans van Nispen, and Michael Trebilock writing extensively on policy formulation, policy instrument choice, and the idea of designing policy outcomes. After the early 1990s, however, this literature tailed off, and although some writings on policy design have continued to flourish in specific fields such as economics and environmental studies, in the fields of public administration and public policy, the idea of “design” was largely replaced by the study of institutional forms and decentralized governance arrangements. This article traces this decline to two related hypotheses about the changing nature of society and policy responses—the “government to governance” and “globalization” narratives—which it is argued crowded out more nuanced analyses of state options in the policy-making process in favor of decentralized market and “third” or “fourth” sector collaborative network mechanisms. Importantly, these latter designs are often seen as inevitable and “natural,” obviating the need for reflective studies of design and metadesign processes and outcomes. We argue that the denouement of design research has, in fact, hurt the scholarship on governance and institutions and call for a renewal of the notion of policy design.","DOI":"10.1177/0095399712459725","ISSN":"0095-3997","shortTitle":"Tales From the Crypt","journalAbbreviation":"Administration &amp; Society","language":"en","author":[{"family":"Howlett","given":"Michael"},{"family":"Lejano","given":"Raul P."}],"issued":{"date-parts":[["2013",4,1]]}}}],"schema":"https://github.com/citation-style-language/schema/raw/master/csl-citation.json"}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(Finer, 1941; Howlett &amp; Lejano, 2013)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argument, however, relies upon the normative assumption that </w:t>
      </w:r>
      <w:r w:rsidRPr="005B2DFB">
        <w:rPr>
          <w:rFonts w:ascii="Times New Roman" w:eastAsia="Times New Roman" w:hAnsi="Times New Roman" w:cs="Times New Roman"/>
          <w:sz w:val="24"/>
          <w:szCs w:val="24"/>
        </w:rPr>
        <w:t xml:space="preserve">"in democratic self-government, elected officials, including legislators and executives (presidents, governors, mayors), should control the decisions and actions of appointed (usually civil service officials)"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{"citationID":"a1f7tf69pqi","properties":{"formattedCitation":"(Frederickson, Smith, Larimer, &amp; Licari, 2015)","plainCitation":"(Frederickson, Smith, Larimer, &amp; Licari, 2015)","dontUpdate":true,"noteIndex":0},"citationItems":[{"id":5642,"uris":["http://zotero.org/users/2595715/items/RRC9HGA8"],"uri":["http://zotero.org/users/2595715/items/RRC9HGA8"],"itemData":{"id":5642,"type":"book","title":"The Public Administration Theory Primer","publisher":"Westview Press","publisher-place":"Boulder, CO","number-of-pages":"320","edition":"3 edition","source":"Amazon","event-place":"Boulder, CO","abstract":"The Public Administration Theory Primer explores how the science and art of public administration is definable, describable, replicable, and cumulative. The authors survey a broad range of theories and analytical approaches—from public institutional theory to theories of governance—and consider which are the most promising, influential, and important for the field. This book paints a full picture of how these theories contribute to, and explain, what we know about public administration today.The third edition is fully revised and updated to reflect the latest developments and research in the field including more coverage of governments and governance, feminist theory, emotional labor theory, and grounded research methodology. Expanded chapter conclusions, additional real-world application examples throughout, and a brand-new online supplement with sample comprehensive exam questions and summary tables make this an even more valuable resource for all public administration students.","ISBN":"978-0-8133-4966-4","language":"English","author":[{"family":"Frederickson","given":"H. George"},{"family":"Smith","given":"Kevin B."},{"family":"Larimer","given":"Christopher W."},{"family":"Licari","given":"Michael J."}],"issued":{"date-parts":[["2015",7,28]]}}}],"schema":"https://github.com/citation-style-language/schema/raw/master/csl-citation.json"}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(Frederickson, Smith, Larimer, &amp; Licari, 2015, 16)</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w:t>
      </w:r>
      <w:r w:rsidRPr="005B2DFB">
        <w:rPr>
          <w:rFonts w:ascii="Times New Roman" w:hAnsi="Times New Roman" w:cs="Times New Roman"/>
          <w:sz w:val="24"/>
          <w:szCs w:val="24"/>
        </w:rPr>
        <w:t xml:space="preserve">There are two problems with this assumption: first, orders are politically crafted out of compromise and are thus often not clear in the first place, providing for substantial decision-making authority among bureaucrats; second, bureaucrats are human beings with values, biases and political views embedded in complex, hierarchical organizations and networks that vary widely in terms of structure and management. Both of these theoretical insights highlight the political nature of implementation as a system in which unelected bureaucrats have substantial power over the translation of policy goals into policy outcomes. </w:t>
      </w:r>
    </w:p>
    <w:p w14:paraId="515D1E32"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To the first point, as a reflection of institutional choices based in compromise and coalition building by policymakers interested in re-election, policy design is wielded as a tool that is sometimes embedded with ambiguity and contradictions as to how implementation is to take place. </w:t>
      </w:r>
      <w:r w:rsidRPr="005B2DFB">
        <w:rPr>
          <w:rFonts w:ascii="Times New Roman" w:eastAsia="Times New Roman" w:hAnsi="Times New Roman" w:cs="Times New Roman"/>
          <w:sz w:val="24"/>
          <w:szCs w:val="24"/>
        </w:rPr>
        <w:t xml:space="preserve">Essentially, </w:t>
      </w:r>
      <w:r w:rsidRPr="005B2DFB">
        <w:rPr>
          <w:rFonts w:ascii="Times New Roman" w:hAnsi="Times New Roman" w:cs="Times New Roman"/>
          <w:iCs/>
          <w:color w:val="000000"/>
          <w:sz w:val="24"/>
          <w:szCs w:val="24"/>
        </w:rPr>
        <w:t xml:space="preserve">electoral institutions sometimes have failed to adequately resolve issues in a reasoned manner with clear objectives and instead often pass laws with conflicting goals and leave it to bureaucracy to sort out (ex: Social welfare policy, affirmative action and agriculture policy) </w:t>
      </w:r>
      <w:r w:rsidRPr="005B2DFB">
        <w:rPr>
          <w:rFonts w:ascii="Times New Roman" w:hAnsi="Times New Roman" w:cs="Times New Roman"/>
          <w:iCs/>
          <w:color w:val="000000"/>
          <w:sz w:val="24"/>
          <w:szCs w:val="24"/>
        </w:rPr>
        <w:fldChar w:fldCharType="begin"/>
      </w:r>
      <w:r w:rsidRPr="005B2DFB">
        <w:rPr>
          <w:rFonts w:ascii="Times New Roman" w:hAnsi="Times New Roman" w:cs="Times New Roman"/>
          <w:iCs/>
          <w:color w:val="000000"/>
          <w:sz w:val="24"/>
          <w:szCs w:val="24"/>
        </w:rPr>
        <w:instrText xml:space="preserve"> ADDIN ZOTERO_ITEM CSL_CITATION {"citationID":"qFm4KBoS","properties":{"formattedCitation":"(Meier, 1997)","plainCitation":"(Meier, 1997)","noteIndex":0},"citationItems":[{"id":1595,"uris":["http://zotero.org/groups/385054/items/JKKT3IXG"],"uri":["http://zotero.org/groups/385054/items/JKKT3IXG"],"itemData":{"id":1595,"type":"article-journal","title":"Bureaucracy and Democracy: The Case for More Bureaucracy and Less Democracy","container-title":"Public Administration Review","page":"193-199","volume":"57","issue":"3","source":"JSTOR","abstract":"In \"Democracy and Bureaucracy\" Meier argues that the bureaucracy problem in the United States is, in reality, a governance problem. Framed in this way, he argues the key problems are failures of electoral institutions rather than failures of bureaucracy. As a result, public administration needs to broaden its focus and include the study of electoral institutions as well as the study of bureaucracy. Effective governance is possible only if students of public administration return to their reformist roots and address both bureaucratic and electoral institutions. As a starting point in such a debate, Meier proposes a series of reforms for U. S. political institutions.","ISSN":"00333352","shortTitle":"Bureaucracy and Democracy","author":[{"family":"Meier","given":"Kenneth J."}],"issued":{"date-parts":[["1997",6]]}}}],"schema":"https://github.com/citation-style-language/schema/raw/master/csl-citation.json"} </w:instrText>
      </w:r>
      <w:r w:rsidRPr="005B2DFB">
        <w:rPr>
          <w:rFonts w:ascii="Times New Roman" w:hAnsi="Times New Roman" w:cs="Times New Roman"/>
          <w:iCs/>
          <w:color w:val="000000"/>
          <w:sz w:val="24"/>
          <w:szCs w:val="24"/>
        </w:rPr>
        <w:fldChar w:fldCharType="separate"/>
      </w:r>
      <w:r w:rsidRPr="005B2DFB">
        <w:rPr>
          <w:rFonts w:ascii="Times New Roman" w:hAnsi="Times New Roman" w:cs="Times New Roman"/>
          <w:sz w:val="24"/>
          <w:szCs w:val="24"/>
        </w:rPr>
        <w:t>(Meier, 1997)</w:t>
      </w:r>
      <w:r w:rsidRPr="005B2DFB">
        <w:rPr>
          <w:rFonts w:ascii="Times New Roman" w:hAnsi="Times New Roman" w:cs="Times New Roman"/>
          <w:iCs/>
          <w:color w:val="000000"/>
          <w:sz w:val="24"/>
          <w:szCs w:val="24"/>
        </w:rPr>
        <w:fldChar w:fldCharType="end"/>
      </w:r>
      <w:r w:rsidRPr="005B2DFB">
        <w:rPr>
          <w:rFonts w:ascii="Times New Roman" w:hAnsi="Times New Roman" w:cs="Times New Roman"/>
          <w:iCs/>
          <w:color w:val="000000"/>
          <w:sz w:val="24"/>
          <w:szCs w:val="24"/>
        </w:rPr>
        <w:t>.</w:t>
      </w:r>
      <w:r w:rsidRPr="005B2DFB">
        <w:rPr>
          <w:rFonts w:ascii="Times New Roman" w:hAnsi="Times New Roman" w:cs="Times New Roman"/>
          <w:sz w:val="24"/>
          <w:szCs w:val="24"/>
        </w:rPr>
        <w:t xml:space="preserve"> In this way, politicians can avoid making controversial and salient </w:t>
      </w:r>
      <w:r w:rsidRPr="005B2DFB">
        <w:rPr>
          <w:rFonts w:ascii="Times New Roman" w:hAnsi="Times New Roman" w:cs="Times New Roman"/>
          <w:sz w:val="24"/>
          <w:szCs w:val="24"/>
        </w:rPr>
        <w:lastRenderedPageBreak/>
        <w:t xml:space="preserve">decisions regarding the distribution of resources, leaving the bureaucrats with substantial discretion and power in shaping the success of policies and programs. Moreover, politicians can enact policy designs that sabotage the effective implementation of public policies by purposefully introducing inefficiency and administrative burden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{"citationID":"TM917RHR","properties":{"formattedCitation":"(McCann, 2016; Moe, 1989)","plainCitation":"(McCann, 2016; Moe, 1989)","noteIndex":0},"citationItems":[{"id":5798,"uris":["http://zotero.org/users/2595715/items/984URGLA"],"uri":["http://zotero.org/users/2595715/items/984URGLA"],"itemData":{"id":5798,"type":"book","title":"The Federal Design Dilemma: Congress and Intergovernmental Delegation","publisher":"Cambridge University Press","publisher-place":"New York, NY","number-of-pages":"286","source":"Amazon","event-place":"New York, NY","abstract":"The level of government responsible for implementing policies affects intent, services provided, and ultimate outcomes. The decision about where to locate such responsibility is the federal design dilemma faced by Congress. Taking a new approach to this delegation and decentralization, The Federal Design Dilemma focuses on individual members of Congress. Not only are these legislators elected by constituents from their states, they also consider the outcomes that will result from state-level versus national executive branch implementation of policies. Here, Pamela J. Clouser McCann documents congressional intergovernmental delegation between 1973 and 2010, and how individual legislators voted on decentralization and centralization choices. Clouser McCann traces the path of the Affordable Care Act from legislative proposals in each chamber to its final enactment, focusing on how legislators wrestled with their own intergovernmental context and the federal design of health insurance reform in the face of political challenges.","ISBN":"978-1-107-11046-5","shortTitle":"The Federal Design Dilemma","language":"English","author":[{"family":"McCann","given":"Pamela J. Clouser"}],"issued":{"date-parts":[["2016",9,8]]}}},{"id":2180,"uris":["http://zotero.org/groups/385054/items/NFQP6TT5"],"uri":["http://zotero.org/groups/385054/items/NFQP6TT5"],"itemData":{"id":2180,"type":"chapter","title":"The Politics of Bureaucratic Structure","container-title":"Can the Government Govern?","publisher":"The Brookings Institution","publisher-place":"Washington, DC","page":"267-329","event-place":"Washington, DC","author":[{"family":"Moe","given":"Terry M."}],"editor":[{"family":"Chubb","given":"John E."},{"family":"Peterson","given":"Paul E."}],"issued":{"date-parts":[["1989"]]}}}],"schema":"https://github.com/citation-style-language/schema/raw/master/csl-citation.json"}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(McCann, 2016; Moe, 1989)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example, the seminal policy implementation piece by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{"citationID":"PeaFkYRu","properties":{"formattedCitation":"(Pressman &amp; Wildavsky, 1973)","plainCitation":"(Pressman &amp; Wildavsky, 1973)","dontUpdate":true,"noteIndex":0},"citationItems":[{"id":6423,"uris":["http://zotero.org/users/2595715/items/FGZQAB2B"],"uri":["http://zotero.org/users/2595715/items/FGZQAB2B"],"itemData":{"id":6423,"type":"book","title":"Implementation: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hopes","publisher":"University of California Press","source":"Amazon","shortTitle":"Implementation: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hopes","author":[{"family":"Pressman","given":"Jeffrey L."},{"family":"Wildavsky","given":"Aaron B."}],"issued":{"date-parts":[["1973"]]}}}],"schema":"https://github.com/citation-style-language/schema/raw/master/csl-citation.json"}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Pressman &amp; Wildavsky (1973)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illustrates how the complexity of policy design in economic development initiatives designed to address poverty led to implementation problems that led to a failed program in which the policy goals were not in line with the policy outcomes. </w:t>
      </w:r>
    </w:p>
    <w:p w14:paraId="7C5C3396"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Moreover, politicians can purposefully induce inefficiency in the bureaucratic process and implement programs with administrative burdens or red tape that prevent citizens from accessing public programs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{"citationID":"bUaNvFAp","properties":{"formattedCitation":"(D. Moynihan &amp; Herd, 2010; D. Moynihan, Herd, &amp; Harvey, 2015)","plainCitation":"(D. Moynihan &amp; Herd, 2010; D. Moynihan, Herd, &amp; Harvey, 2015)","dontUpdate":true,"noteIndex":0},"citationItems":[{"id":4087,"uris":["http://zotero.org/users/2595715/items/9BPX7DMU"],"uri":["http://zotero.org/users/2595715/items/9BPX7DMU"],"itemData":{"id":4087,"type":"article-journal","title":"Red Tape and Democracy: How Rules Affect Citizenship Rights","container-title":"The American Review of Public Administration","page":"654-670","volume":"40","issue":"6","source":"SAGE Journals","abstract":"Over the past 15 years, political science has paid increasing attention to the feedback effects of policy—the idea that the design of policies has profound effects on how citizens experience government and understand their role in the polity. One concept that is perfectly placed to explain how citizens experience administrative rules is red tape. But even as an impressive empirical scholarship on red tape has grown in recent years, it has focused almost exclusively on organizational actors rather than citizens. This article ties the red tape concept into a policy feedback framework. The authors argue that administrative rules frequently exert significant and unjustified compliance burden that restrict access to political and social rights. Furthermore, such burdens have equity implications, because they are often disproportionately experienced by disadvantaged groups. These propositions are illustrated using examples from welfare state and election policies in the United States.","DOI":"10.1177/0275074010366732","ISSN":"0275-0740","shortTitle":"Red Tape and Democracy","journalAbbreviation":"The American Review of Public Administration","language":"en","author":[{"family":"Moynihan","given":"Donald"},{"family":"Herd","given":"Pamela"}],"issued":{"date-parts":[["2010",11,1]]}}},{"id":94,"uris":["http://zotero.org/users/2595715/items/I3DDJ45T"],"uri":["http://zotero.org/users/2595715/items/I3DDJ45T"],"itemData":{"id":94,"type":"article-journal","title":"Administrative Burden: Learning, Psychological, and Compliance Costs in Citizen-State Interactions","container-title":"Journal of Public Administration Research and Theory","page":"43-69","volume":"25","issue":"1","source":"academic.oup.com","DOI":"10.1093/jopart/muu009","ISSN":"1053-1858","shortTitle":"Administrative Burden","journalAbbreviation":"J Public Adm Res Theory","author":[{"family":"Moynihan","given":"Donald"},{"family":"Herd","given":"Pamela"},{"family":"Harvey","given":"Hope"}],"issued":{"date-parts":[["2015",1,1]]}}}],"schema":"https://github.com/citation-style-language/schema/raw/master/csl-citation.json"}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(Moynihan &amp; Herd, 2010; Moynihan, Herd, &amp; Harvey,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the emerging body of literature on the impact of policy designs with embedded administrative burdens, public administration scholars have taken the most promising step toward appreciating the role of design on this element of the policy process and shedding light of a policy design mechanism that works through the implementation process to undermine the alignment of policy goals and outcomes. Public administration scholars have conceptualized administrative burden as: </w:t>
      </w:r>
    </w:p>
    <w:p w14:paraId="7833F002" w14:textId="77777777" w:rsidR="00DA69F5" w:rsidRPr="005B2DFB" w:rsidRDefault="00DA69F5" w:rsidP="00146DE5">
      <w:pPr>
        <w:spacing w:after="0" w:line="480" w:lineRule="auto"/>
        <w:ind w:left="720"/>
        <w:rPr>
          <w:rFonts w:ascii="Times New Roman" w:hAnsi="Times New Roman" w:cs="Times New Roman"/>
          <w:sz w:val="24"/>
          <w:szCs w:val="24"/>
        </w:rPr>
      </w:pPr>
      <w:r w:rsidRPr="005B2DFB">
        <w:rPr>
          <w:rFonts w:ascii="Times New Roman" w:hAnsi="Times New Roman" w:cs="Times New Roman"/>
          <w:sz w:val="24"/>
          <w:szCs w:val="24"/>
        </w:rPr>
        <w:t xml:space="preserve">“learning costs, or the investment it takes to find out about a program and its relevance to an individual; compliance costs, or the rules and requirements for accessing the benefits or services; and psychological costs associated with the intrusiveness of the application process or rejection or stigma that might be experienced in the process” (Heinrich 2016, 405). </w:t>
      </w:r>
    </w:p>
    <w:p w14:paraId="7B8B79EE" w14:textId="77777777" w:rsidR="00DA69F5" w:rsidRPr="005B2DFB" w:rsidRDefault="00DA69F5" w:rsidP="00146DE5">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lastRenderedPageBreak/>
        <w:t xml:space="preserve">This element of policy design is often manipulated by public officials as a strategic tool for engaging in hidden politics in which the normal democratic processes of political debate and consideration are circumvented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{"citationID":"gQaHyWWZ","properties":{"formattedCitation":"(D. P. Moynihan, Herd, &amp; Ribgy, 2016; Nisar, 2018)","plainCitation":"(D. P. Moynihan, Herd, &amp; Ribgy, 2016; Nisar, 2018)","dontUpdate":true,"noteIndex":0},"citationItems":[{"id":6142,"uris":["http://zotero.org/users/2595715/items/FRQKZ26L"],"uri":["http://zotero.org/users/2595715/items/FRQKZ26L"],"itemData":{"id":6142,"type":"article-journal","title":"Policymaking by Other Means: Do States Use Administrative Barriers to Limit Access to Medicaid?","container-title":"Administration &amp; Society","page":"497-524","volume":"48","issue":"4","source":"SAGE Journals","abstract":"While politicians wage legislative battles about welfare benefits, bureaucratic procedures represent a less visible means to shape access to those benefits. By constructing complex and time-consuming application procedures, the state can effectively create administrative barriers that limit access to benefits. What explains the variation in the level of administrative burden that individuals face? We address this question by examining Medicaid procedures across the 50 U.S. states, identifying different types of administrative barriers. We find that such barriers tend to be lower in states with unified Democratic control of political institutions.","DOI":"10.1177/0095399713503540","ISSN":"0095-3997","shortTitle":"Policymaking by Other Means","journalAbbreviation":"Administration &amp; Society","language":"en","author":[{"family":"Moynihan","given":"Donald P."},{"family":"Herd","given":"Pamela"},{"family":"Ribgy","given":"Elizabeth"}],"issued":{"date-parts":[["2016",5,1]]}}},{"id":6094,"uris":["http://zotero.org/users/2595715/items/WTQ7WYHX"],"uri":["http://zotero.org/users/2595715/items/WTQ7WYHX"],"itemData":{"id":6094,"type":"article-journal","title":"Overcoming resistance to resistance in public administration: Resistance strategies of marginalized publics in citizen-state interactions","container-title":"Public Administration and Development","page":"15-25","volume":"38","issue":"1","source":"Wiley Online Library","abstract":"There has been a general resistance to resistance studies in public administration (PA) research. Although previous research has documented instances of selective policy implementation by PA practitioners that put minority groups at a comparative disadvantage, we still have a limited understanding of the different ways in which these groups contest discriminatory administrative practices especially within non-western developing countries. To address this gap, in this article, I discuss the various strategic responses the Khawaja Sira—a genderqueer group of Pakistan—employ in their interactions with the frontline police workers to contest their hyper-surveillance and moral policing. The discussion illustrates that while Khawaja Sira mostly rely on individual acts of contestation in their interactions with police officers, the emerging leadership of the Khawaja Sira is enabling emergence of new forms of resistance based on social capital and collective protests. In addition to contributing to the limited literature on citizen perspectives and LGBT issues in PA research, the theoretical framework of resistance presented here can serve as a good template to analyze citizen responses to discriminatory frontline practice in other sociopolitical contexts as well.","DOI":"10.1002/pad.1817","ISSN":"1099-162X","shortTitle":"Overcoming resistance to resistance in public administration","journalAbbreviation":"Public Admin Dev","language":"en","author":[{"family":"Nisar","given":"Muhammad Azfar"}],"issued":{"date-parts":[["2018",2,1]]}}}],"schema":"https://github.com/citation-style-language/schema/raw/master/csl-citation.json"}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(Moynihan, Herd, &amp; Ribgy, 2016; Nisar,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enacting administrative burdens, elected officials can restrict access to programs they do not agree with and push controversial decisions on resource distribution down onto bureaucrats to avoid negative re-election consequences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{"citationID":"2c3TaTRJ","properties":{"formattedCitation":"(Lipsky, 2010a)","plainCitation":"(Lipsky, 2010a)","noteIndex":0},"citationItems":[{"id":6149,"uris":["http://zotero.org/users/2595715/items/UMWMXNV8"],"uri":["http://zotero.org/users/2595715/items/UMWMXNV8"],"itemData":{"id":6149,"type":"book","title":"Street-Level Bureaucracy: Dilemmas of the Individual in Public Service, 30th Anniversary Expanded Edition","publisher":"Russell Sage Foundation","publisher-place":"New York","number-of-pages":"299","edition":"Anniversary, Expanded, Updated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(Lipsky, 2010a)</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And based on the research, these efforts to restrict access to programs through enacting administrative burdens are often successful. Recent studies have revealed that the level of administrative burden meaningfully impacts access to public programs and the ways in which citizens relate to government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{"citationID":"Laj9w4Uj","properties":{"formattedCitation":"(Burden, Canon, Mayer, &amp; Moynihan, 2012; Heinrich, 2016; Heinrich &amp; Brill, 2015; D. Moynihan, Herd, &amp; Harvey, 2015)","plainCitation":"(Burden, Canon, Mayer, &amp; Moynihan, 2012; Heinrich, 2016; Heinrich &amp; Brill, 2015; D. Moynihan, Herd, &amp; Harvey, 2015)","dontUpdate":true,"noteIndex":0},"citationItems":[{"id":5879,"uris":["http://zotero.org/users/2595715/items/6IQKGXRK"],"uri":["http://zotero.org/users/2595715/items/6IQKGXRK"],"itemData":{"id":5879,"type":"article-journal","title":"The Effect of Administrative Burden on Bureaucratic Perception of Policies: Evidence from Election Administration","container-title":"Public Administration Review","page":"741-751","volume":"72","issue":"5","source":"Wiley Online Library","abstract":"This article argues that administrative burden—that is, an individual's experience of policy implementation as onerous—is an important consideration for administrators and influences their views on policy and governance options. The authors test this proposition in the policy area of election administration using a mixed-method assessment of local election officials. They find that the perceived administrative burden of policies is associated with a preference to shift responsibilities to others, perceptions of greater flaws and lesser merit in policies that have created the burden (to the point that such judgments are demonstrably wrong), and opposition to related policy innovations.","DOI":"10.1111/j.1540-6210.2012.02600.x","ISSN":"1540-6210","shortTitle":"The Effect of Administrative Burden on Bureaucratic Perception of Policies","journalAbbreviation":"Public Admin Rev","language":"en","author":[{"family":"Burden","given":"Barry C."},{"family":"Canon","given":"David T."},{"family":"Mayer","given":"Kenneth R."},{"family":"Moynihan","given":"Donald P."}],"issued":{"date-parts":[["2012",9,1]]}}},{"id":5871,"uris":["http://zotero.org/users/2595715/items/VQ82P4X9"],"uri":["http://zotero.org/users/2595715/items/VQ82P4X9"],"itemData":{"id":5871,"type":"article-journal","title":"The Bite of Administrative Burden: A Theoretical and Empirical Investigation","container-title":"Journal of Public Administration Research and Theory","page":"403-420","volume":"26","issue":"3","source":"academic.oup.com","abstract":"The study of administrative burden—experienced in individual encounters with government—is being renewed with new theoretical developments and policy applications. Building on recent developments, this article aims to broaden the conceptual framing of administrative burden and extend its empirical investigation beyond concerns about access to and efficiency of public services to questions of individual and societal impacts. It also expands beyond the typical US or developed country context to examine this phenomenon in the setting of a large social protection program in South Africa, where the “bite” of administrative burden may potentially be bigger. The empirical analysis uses data from the South African Child Support Grant (CSG) evaluation to investigate how CSG program rules and requirements affected administrative burdens and erected barriers to grant receipt. The findings show that 60% of CSG recipients experienced an interruption or disconnection in grant receipt that appears to be associated with administrative burden, with 80% of those stoppages in error. The resulting loss of monthly benefits has significant negative implications for the outcomes of adolescents targeted by the program.","DOI":"10.1093/jopart/muv034","ISSN":"1053-1858","shortTitle":"The Bite of Administrative Burden","journalAbbreviation":"J Public Adm Res Theory","author":[{"family":"Heinrich","given":"Carolyn J."}],"issued":{"date-parts":[["2016",7,1]]}}},{"id":5872,"uris":["http://zotero.org/users/2595715/items/6BF5TUMA"],"uri":["http://zotero.org/users/2595715/items/6BF5TUMA"],"itemData":{"id":5872,"type":"article-journal","title":"Stopped in the Name of the Law: Administrative Burden and its Implications for Cash Transfer Program Effectiveness","container-title":"World Development","page":"277-295","volume":"72","issue":"Supplement C","source":"ScienceDirect","abstract":"Summary\nCash transfer programs have achieved wide-ranging success in reducing poverty, yet there is little empirical research on how program rules and administrative capacity might limit program effectiveness. We examine administrative burden and quantify its implications for grant access and impacts in the South African Child Support Grant (CSG) program, as the age of eligibility and application requirements changed over time. We find that approximately 60% of the sampled children experienced an interruption or disconnection in cash transfer receipt, and that both timing and “dosage” loss are associated with adolescent engagement in risky behaviors, and for females, lower educational attainment.","DOI":"10.1016/j.worlddev.2015.03.015","ISSN":"0305-750X","shortTitle":"Stopped in the Name of the Law","journalAbbreviation":"World Development","author":[{"family":"Heinrich","given":"Carolyn J."},{"family":"Brill","given":"Robert"}],"issued":{"date-parts":[["2015",8,1]]}}},{"id":94,"uris":["http://zotero.org/users/2595715/items/I3DDJ45T"],"uri":["http://zotero.org/users/2595715/items/I3DDJ45T"],"itemData":{"id":94,"type":"article-journal","title":"Administrative Burden: Learning, Psychological, and Compliance Costs in Citizen-State Interactions","container-title":"Journal of Public Administration Research and Theory","page":"43-69","volume":"25","issue":"1","source":"academic.oup.com","DOI":"10.1093/jopart/muu009","ISSN":"1053-1858","shortTitle":"Administrative Burden","journalAbbreviation":"J Public Adm Res Theory","author":[{"family":"Moynihan","given":"Donald"},{"family":"Herd","given":"Pamela"},{"family":"Harvey","given":"Hope"}],"issued":{"date-parts":[["2015",1,1]]}}}],"schema":"https://github.com/citation-style-language/schema/raw/master/csl-citation.json"}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(Burden, Canon, Mayer, &amp; Moynihan, 2012; Heinrich, 2016; Heinrich &amp; Brill, 2015; Moynihan, Herd, &amp; Harvey,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addition, emerging studies have highlighted the negative impact of administrative burden on disadvantaged groups in particular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{"citationID":"aajlpgp24t","properties":{"formattedCitation":"(Muhammad A. Nisar, 2017)","plainCitation":"(Muhammad A. Nisar, 2017)","dontUpdate":true,"noteIndex":0},"citationItems":[{"id":6088,"uris":["http://zotero.org/users/2595715/items/XQ4TJ3XI"],"uri":["http://zotero.org/users/2595715/items/XQ4TJ3XI"],"itemData":{"id":6088,"type":"article-journal","title":"Children of a Lesser God: Administrative Burden and Social Equity in Citizen–State Interactions","container-title":"Journal of Public Administration Research and Theory","page":"104-119","volume":"28","issue":"1","source":"academic.oup.com","abstract":"An important research agenda in public administration is to investigate how formal and realized public policy influences the lives of marginalized social groups. Recently, reinvigorated research on administrative burden can make useful contributions to this line of inquiry. Using ethnographic research methods, this article analyzes administrative burden experienced by the Khawaja Sira—individuals culturally defined as neither men nor women—of Pakistan in getting a legal ID. In doing so, this article contributes to a better understanding of the role played by third parties, administrative behavior and social factors play in influencing the level of administrative burden and social inequity for genderqueer groups.","DOI":"10.1093/jopart/mux025","ISSN":"1053-1858","shortTitle":"Children of a Lesser God","journalAbbreviation":"J Public Adm Res Theory","language":"en","author":[{"family":"Nisar","given":"Muhammad"}],"issued":{"date-parts":[["2017",12,13]]}}}],"schema":"https://github.com/citation-style-language/schema/raw/master/csl-citation.json"}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(Nisar,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Many of the scholars involved in the development of the literature revealing the political nature of implementation employ a top-down perspective, and thus argue that meaningful reforms should come in the form of changes in policy design by legislative officials in either the revocation of administrative burdens or the enactment of clearly delineated policies with efficient organizational mechanisms for carrying out the law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{"citationID":"Q0QS1bh3","properties":{"formattedCitation":"(Pressman &amp; Wildavsky, 1973)","plainCitation":"(Pressman &amp; Wildavsky, 1973)","noteIndex":0},"citationItems":[{"id":6423,"uris":["http://zotero.org/users/2595715/items/FGZQAB2B"],"uri":["http://zotero.org/users/2595715/items/FGZQAB2B"],"itemData":{"id":6423,"type":"book","title":"Implementation: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hopes","publisher":"University of California Press","source":"Amazon","shortTitle":"Implementation: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hopes","author":[{"family":"Pressman","given":"Jeffrey L."},{"family":"Wildavsky","given":"Aaron B."}],"issued":{"date-parts":[["1973"]]}}}],"schema":"https://github.com/citation-style-language/schema/raw/master/csl-citation.json"}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(Pressman &amp; Wildavsky, 1973)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However, this top-down perspective overlooks a key element of the implementation process that bottom-up perspectives highlight as another potential lever for improving the responsiveness and performance of government institutions—the use of discretion by street-level bureaucrats. </w:t>
      </w:r>
    </w:p>
    <w:p w14:paraId="30D18D62"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second major insight of public administration literature for the study of policy design concerns the significant power and discretion placed in the hands of street-level bureaucrats, which are key players in translating policy goals into policy outcomes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{"citationID":"ue0idae2","properties":{"formattedCitation":"(Keiser, 1999; Kelly, 1994; Lipsky, 2010a; S. Maynard-Moody &amp; Musheno, 2000; S. W. Maynard-Moody &amp; Musheno, 2003; Meyers, Glaser, &amp; Donald, 1988; Scott, 1997; Weissert, 1994)","plainCitation":"(Keiser, 1999; Kelly, 1994; Lipsky, 2010a; S. Maynard-Moody &amp; Musheno, 2000; S. W. Maynard-Moody &amp; Musheno, 2003; Meyers, Glaser, &amp; Donald, 1988; Scott, 1997; Weissert, 1994)","dontUpdate":true,"noteIndex":0},"citationItems":[{"id":6395,"uris":["http://zotero.org/users/2595715/items/AFEVMV3I"],"uri":["http://zotero.org/users/2595715/items/AFEVMV3I"],"itemData":{"id":6395,"type":"article-journal","title":"State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R."}],"issued":{"date-parts":[["1999",1,1]]}}},{"id":6394,"uris":["http://zotero.org/users/2595715/items/MQFVJ2BM"],"uri":["http://zotero.org/users/2595715/items/MQFVJ2BM"],"itemData":{"id":6394,"type":"article-journal","title":"Theories of Justice and Street-Level Discretion","container-title":"Journal of Public Administration Research and Theory: J-PART","page":"119-140","volume":"4","issue":"2","source":"JSTOR","abstract":"As we continue our study of policy implementation we are becoming increasingly aware of the importance of exploring the frameworks through which public administrators view the world. Visions of social justice may be an important part of those frameworks. This article explores the principles of justice held by two groups of street-level bureaucrats and the overt relationship between those principles and their actions. Street-level bureaucrats are the final implementors of public policy. Their jobs are inherently discretionary and the actions they take (or fail to take) affect people in significant ways. As such this is an important group on which to focus. Do street-level bureaucrats exercise their discretion in order to produce what they believe to be just outcomes? Are there differences from one organizational arena to the next? This article explores these questions through an analysis of stories of justice and injustice told by two groups of street-level bureaucrats, schoolteachers and employees of the California Employment Development Department. These two groups work in very different organizational contexts with different cultural attitudes toward the use of discretion. My claim is that an organization's culture of discretion either enhances or inhibits the ability of street-level bureaucrats to orchestrate outcomes that are compatible with their visions of justice, thereby determining the significance of exploring street-level bureaucrats' justice judgments as we study the implementation process.","ISSN":"1053-1858","author":[{"family":"Kelly","given":"Marisa"}],"issued":{"date-parts":[["1994"]]}}},{"id":6149,"uris":["http://zotero.org/users/2595715/items/UMWMXNV8"],"uri":["http://zotero.org/users/2595715/items/UMWMXNV8"],"itemData":{"id":6149,"type":"book","title":"Street-Level Bureaucracy: Dilemmas of the Individual in Public Service, 30th Anniversary Expanded Edition","publisher":"Russell Sage Foundation","publisher-place":"New York","number-of-pages":"299","edition":"Anniversary, Expanded, Updated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6111,"uris":["http://zotero.org/users/2595715/items/9Y9KIRXD"],"uri":["http://zotero.org/users/2595715/items/9Y9KIRXD"],"itemData":{"id":6111,"type":"article-journal","title":"State Agent or Citizen Agent: Two Narratives of Discretion","container-title":"Journal of Public Administration Research and Theory","page":"329-358","volume":"10","issue":"2","source":"academic.oup.com","abstract":"In street-level work discretion is inevitable. Scholars have articulated a dominant view or narrative that addresses the role of discretion in the administrative state. This state-agent narrative acknowledges inevitability of discretion and emphasizes that self-interest guides street-level choices: street-level workers use their discretion to make their work easier, safer, and more rewarding. In addition the dominant narrative describes street-level workers as policy makers, yet it worries about the threat that street-level discretion poses to democratic governance.Street-level workers, themselves, tell a different story, a counternarrative of the worker acting as a citizen agent. These two narratives are not wholly inconsistent but they differ in emphasis and meaning. The description of the street-level counter-narrative is based on extensive fieldwork in two states and five agencies. Rather than discretionary state agents who act in response to rules, procedures, and law, street-level workers describe themselves as citizen agents who act in response to individuals and circumstances. They do not describe what they do as contributing to policy making or even as implementing policy. Moreover, street-level workers do not describe their decisions and actions as based on their views of the correctness of the rules, wisdom of the policy, or accountability to any hierarchical authority or democratic principle. They base their decisions on their judgment of the worth of the individual citizen client.Street-level workers discount the importance of self-interest and will often make their work harder, more unpleasant, more dangerous, and less officially successful in order to respond to the needs of individuals. They describe themselves as decision makers, but they base their decisions on normative choices, not in response to rules, procedures, or policies. These normative choices are defined in terms of relationships to citizens, clients, coworkers, and the system. By substituting their pragmatic judgments for the unrealistic views of those with formal and legitimate authority, street-level workers are, in their view, acting responsibly.","DOI":"10.1093/oxfordjournals.jpart.a024272","ISSN":"1053-1858","shortTitle":"State Agent or Citizen Agent","journalAbbreviation":"J Public Adm Res Theory","language":"en","author":[{"family":"Maynard-Moody","given":"Steven"},{"family":"Musheno","given":"Michael"}],"issued":{"date-parts":[["2000",4,1]]}}},{"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Craig"}],"issued":{"date-parts":[["2003",5,12]]}}},{"id":6401,"uris":["http://zotero.org/users/2595715/items/D4UYHDF2"],"uri":["http://zotero.org/users/2595715/items/D4UYHDF2"],"itemData":{"id":6401,"type":"article-journal","title":"On the front lines of welfare delivery: Are workers implementing policy reforms?","container-title":"Journal of Policy Analysis and Management","page":"1-22","volume":"17","issue":"1","source":"Wiley Online Library","abstract":"The impact of policy changes on the local delivery of services has been overlooked in several decades of largely unsuccessful efforts to “reform” welfare. This article uses one case of state-level welfare reform in the early 1990s to examine the implementation of policy changes in local welfare offices. Direct observation of transactions between welfare workers and clients suggests that policy reforms were not fully implemented by street-level bureaucrats. The instrumental transactions that continued to dominate interactions with clients were consistent with processing claims and rationing scarce resources, but they were poorly aligned with new policies aimed at changing the services and message delivered to welfare clients. The failure to fully implement reforms on the frontlines has implications for the achievement of policy objectives and for equity in service provision. Implementation issues will have even greater urgency as welfare is devolved from federal to state governments.","DOI":"10.1002/(SICI)1520-6688(199824)17:1&lt;1::AID-PAM1&gt;3.0.CO;2-I","ISSN":"1520-6688","shortTitle":"On the front lines of welfare delivery","language":"en","author":[{"family":"Meyers","given":"Marcia K."},{"family":"Glaser","given":"Bonnie"},{"family":"Donald","given":"Karin Mac"}],"issued":{"date-parts":[["1988"]]}}},{"id":6404,"uris":["http://zotero.org/users/2595715/items/GQBTU3LX"],"uri":["http://zotero.org/users/2595715/items/GQBTU3LX"],"itemData":{"id":6404,"type":"article-journal","title":"Assessing Determinants of Bureaucratic Discretion: An Experiment in Street-Level Decision Making","container-title":"Journal of Public Administration Research and Theory","page":"35-58","volume":"7","issue":"1","source":"academic-oup-com.ezproxy.lib.ou.edu","abstract":"Abstract.  This article reports findings from an experimental analogue that examined the influence of several potential determinants of bureaucratic discretion","DOI":"10.1093/oxfordjournals.jpart.a024341","ISSN":"1053-1858","shortTitle":"Assessing Determinants of Bureaucratic Discretion","journalAbbreviation":"J Public Adm Res Theory","language":"en","author":[{"family":"Scott","given":"Patrick G."}],"issued":{"date-parts":[["1997",1,1]]}}},{"id":6405,"uris":["http://zotero.org/users/2595715/items/B3M9J7H2"],"uri":["http://zotero.org/users/2595715/items/B3M9J7H2"],"itemData":{"id":6405,"type":"article-journal","title":"Beyond the Organization: The Influence of Community and Personal Values on Street-Level Bureaucrats' Responsiveness","container-title":"Journal of Public Administration Research and Theory","page":"225-254","volume":"4","issue":"2","source":"academic-oup-com.ezproxy.lib.ou.edu","abstract":"Abstract.  This article quantifies and explains differences that theoretically do not exist—intrastate differences in Medicaid spending in a state with a highly","DOI":"10.1093/oxfordjournals.jpart.a037205","ISSN":"1053-1858","shortTitle":"Beyond the Organization","journalAbbreviation":"J Public Adm Res Theory","language":"en","author":[{"family":"Weissert","given":"Carol S."}],"issued":{"date-parts":[["1994",4,1]]}}}],"schema":"https://github.com/citation-style-language/schema/raw/master/csl-citation.json"}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 xml:space="preserve">(Keiser, 1999; Kelly, </w:t>
      </w:r>
      <w:r w:rsidRPr="005B2DFB">
        <w:rPr>
          <w:rFonts w:ascii="Times New Roman" w:hAnsi="Times New Roman" w:cs="Times New Roman"/>
          <w:sz w:val="24"/>
          <w:szCs w:val="24"/>
        </w:rPr>
        <w:lastRenderedPageBreak/>
        <w:t>1994; Lipsky, 2010a; Maynard-Moody &amp; Musheno, 2000; Maynard-Moody &amp; Musheno, 2003; Meyers, Glaser, &amp; Donald, 1988; Scott, 1997; Weissert, 1994)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Indeed, the consensus in the literature is that due to the often politically ambiguous nature of laws, this transfers the power of decisions regarding the distribution of resources into the hands of unelected bureaucrats which has been shown to impact policy outcomes through the strategic use of discretion. How the use of discretion impacts the responsiveness and performance of government institutions, however, has been a matter of substantial theoretical and normative debates. </w:t>
      </w:r>
    </w:p>
    <w:p w14:paraId="44075DE6" w14:textId="7C002922" w:rsidR="00DA69F5" w:rsidRPr="005B2DFB" w:rsidRDefault="00DA69F5" w:rsidP="005259A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Some scholars have argued that the use of discretion by street-level bureaucrats is problematic for responsive government institutions due to the potential for street-level bureaucrats to serve as a force of disentitlement and bias. This body of literature focuses on the ways in which street-level bureaucrats are or are not compliant or aligned with the goals of administrators and politicians. In fact, a substantial literature on street-level bureaucracy has uncovered the important role that discretion at the front-lines of government policies play in policy outcomes despite the signals by administrators and politicians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{"citationID":"Uf41aEBb","properties":{"formattedCitation":"(Keiser, 1999; Kelly, 1994)","plainCitation":"(Keiser, 1999; Kelly, 1994)","noteIndex":0},"citationItems":[{"id":6395,"uris":["http://zotero.org/users/2595715/items/AFEVMV3I"],"uri":["http://zotero.org/users/2595715/items/AFEVMV3I"],"itemData":{"id":6395,"type":"article-journal","title":"State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R."}],"issued":{"date-parts":[["1999",1,1]]}}},{"id":6394,"uris":["http://zotero.org/users/2595715/items/MQFVJ2BM"],"uri":["http://zotero.org/users/2595715/items/MQFVJ2BM"],"itemData":{"id":6394,"type":"article-journal","title":"Theories of Justice and Street-Level Discretion","container-title":"Journal of Public Administration Research and Theory: J-PART","page":"119-140","volume":"4","issue":"2","source":"JSTOR","abstract":"As we continue our study of policy implementation we are becoming increasingly aware of the importance of exploring the frameworks through which public administrators view the world. Visions of social justice may be an important part of those frameworks. This article explores the principles of justice held by two groups of street-level bureaucrats and the overt relationship between those principles and their actions. Street-level bureaucrats are the final implementors of public policy. Their jobs are inherently discretionary and the actions they take (or fail to take) affect people in significant ways. As such this is an important group on which to focus. Do street-level bureaucrats exercise their discretion in order to produce what they believe to be just outcomes? Are there differences from one organizational arena to the next? This article explores these questions through an analysis of stories of justice and injustice told by two groups of street-level bureaucrats, schoolteachers and employees of the California Employment Development Department. These two groups work in very different organizational contexts with different cultural attitudes toward the use of discretion. My claim is that an organization's culture of discretion either enhances or inhibits the ability of street-level bureaucrats to orchestrate outcomes that are compatible with their visions of justice, thereby determining the significance of exploring street-level bureaucrats' justice judgments as we study the implementation process.","ISSN":"1053-1858","author":[{"family":"Kelly","given":"Marisa"}],"issued":{"date-parts":[["1994"]]}}}],"schema":"https://github.com/citation-style-language/schema/raw/master/csl-citation.json"}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(Keiser, 1999; Kelly, 1994)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These studies have revealed that there are four main influential factors in the alignment of policy goals and street-level bureaucrat goals: communication by political or administrative superiors on context/importance of policy goals, organizational implementation factors, knowledge/attitudes of street-level bureaucrats about tasks, work and clients, and finally the contextual factors such as street-level bureaucrats workloads, client mix and external pressure from political and social environments. These studies have found that managerial influences such as training, performance monitoring and leadership as well as contextual and organizational factors can have some impact on the alignment of policy goals and street-level bureaucrats’ priorities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{"citationID":"hPJLmMsI","properties":{"formattedCitation":"(May &amp; Winter, 2009; Riccucci, Meyers, Lurie, &amp; Han, 2004)","plainCitation":"(May &amp; Winter, 2009; Riccucci, Meyers, Lurie, &amp; Han, 2004)","noteIndex":0},"citationItems":[{"id":6354,"uris":["http://zotero.org/users/2595715/items/HW8P4KKP"],"uri":["http://zotero.org/users/2595715/items/HW8P4KKP"],"itemData":{"id":6354,"type":"article-journal","title":"Politicians, Managers, and Street-Level Bureaucrats: Influences on Policy Implementation","container-title":"Journal of Public Administration Research and Theory","page":"453-476","volume":"19","issue":"3","source":"academic.oup.com","abstract":"Abstract.  This article addresses the influence of politicians, managers, and the dispositions of street-level bureaucrats in shaping actions at the frontlines","DOI":"10.1093/jopart/mum030","ISSN":"1053-1858","shortTitle":"Politicians, Managers, and Street-Level Bureaucrats","journalAbbreviation":"J Public Adm Res Theory","language":"en","author":[{"family":"May","given":"Peter J."},{"family":"Winter","given":"Søren C."}],"issued":{"date-parts":[["2009",7,1]]}}},{"id":6374,"uris":["http://zotero.org/users/2595715/items/HXBL2CT6"],"uri":["http://zotero.org/users/2595715/items/HXBL2CT6"],"itemData":{"id":6374,"type":"article-journal","title":"The Implementation of Welfare Reform Policy: The Role of Public Managers in Front-Line Practices","container-title":"Public Administration Review","page":"438-448","volume":"64","issue":"4","source":"Wiley Online Library","abstract":"This study examines the extent to which staff in local welfare systems have embraced new welfare reform goals and, if so, the extent to which local management practices contribute to the alignment of staff priorities with policy objectives. It looks at agency structure and several aspects of public management from a microperspective that prior research has linked to agency performance including training, performance monitoring, staff resources, leadership characteristics, and personnel characteristics. The research indicates that front-line workers in welfare offices continue to believe that traditional eligibility determination concerns are the most important goals at their agencies. It also finds that management practices and the structuring of agency responsibilities matter: To the extent that public managers want to redirect local staff to focus their attention on the new goals associated with welfare reform, they can create the conditions under which staff have clear signals about what is expected and could provide them with the resources and incentives to realign their priorities.","DOI":"10.1111/j.1540-6210.2004.00390.x","ISSN":"1540-6210","shortTitle":"The Implementation of Welfare Reform Policy","language":"en","author":[{"family":"Riccucci","given":"Norma M."},{"family":"Meyers","given":"Marcia K."},{"family":"Lurie","given":"Irene"},{"family":"Han","given":"Jun Seop"}],"issued":{"date-parts":[["2004"]]}}}],"schema":"https://github.com/citation-style-language/schema/raw/master/csl-citation.json"}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 &amp; Winter, 2009; Riccucci, Meyers, Lurie, &amp; Han, 2004)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However, the influence </w:t>
      </w:r>
      <w:r w:rsidRPr="005B2DFB">
        <w:rPr>
          <w:rFonts w:ascii="Times New Roman" w:hAnsi="Times New Roman" w:cs="Times New Roman"/>
          <w:sz w:val="24"/>
          <w:szCs w:val="24"/>
        </w:rPr>
        <w:lastRenderedPageBreak/>
        <w:t xml:space="preserve">of individual values, knowledge and beliefs about policy, clients and the work environment have been highlighted as the dominant factor affecting the use of street-level discretion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{"citationID":"Th59XTpV","properties":{"formattedCitation":"(Lipsky, 2010b; Maynard-Moody &amp; Musheno, 2003; Sandfort, 2000)","plainCitation":"(Lipsky, 2010b; Maynard-Moody &amp; Musheno, 2003; Sandfort, 2000)","dontUpdate":true,"noteIndex":0},"citationItems":[{"id":4357,"uris":["http://zotero.org/users/2595715/items/9BCANFYS"],"uri":["http://zotero.org/users/2595715/items/9BCANFYS"],"itemData":{"id":4357,"type":"book","title":"Street-Level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Craig"}],"issued":{"date-parts":[["2003",5,12]]}}},{"id":230,"uris":["http://zotero.org/users/2595715/items/UZ56GTPS"],"uri":["http://zotero.org/users/2595715/items/UZ56GTPS"],"itemData":{"id":230,"type":"article-journal","title":"Moving Beyond Discretion and Outcomes: Examining Public Management from the Front Lines of the Welfare System","container-title":"Journal of Public Administration Research and Theory","page":"729-756","volume":"10","issue":"4","source":"academic.oup.com","DOI":"10.1093/oxfordjournals.jpart.a024289","ISSN":"1053-1858","shortTitle":"Moving Beyond Discretion and Outcomes","journalAbbreviation":"J Public Adm Res Theory","author":[{"family":"Sandfort","given":"Jodi R."}],"issued":{"date-parts":[["2000",10,1]]}}}],"schema":"https://github.com/citation-style-language/schema/raw/master/csl-citation.json"}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(Lipsky, 2010b; Maynard-Moody &amp; Musheno, 2003; Sandfort, 2000)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fact, even if high level policy changes attempt to change the priorities of street-level operations, street-level bureaucrats may be resistant to these changes and therefore may not change front-line operations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{"citationID":"SywrCcrK","properties":{"formattedCitation":"(Brehm &amp; Gates, 1997; Riccucci, 2005; Riccucci et al., 2004; Sandfort, 2000)","plainCitation":"(Brehm &amp; Gates, 1997; Riccucci, 2005; Riccucci et al., 2004; Sandfort, 2000)","noteIndex":0},"citationItems":[{"id":1865,"uris":["http://zotero.org/groups/385054/items/WJZ7RTM6"],"uri":["http://zotero.org/groups/385054/items/WJZ7RTM6"],"itemData":{"id":1865,"type":"book","title":"Working, Shirking, and Sabotage: Bureaucratic Response to a Democratic Public","publisher":"University of Michigan Press","publisher-place":"Ann Arbor, MI","source":"catalog.lib.ou.edu Library Catalog","event-place":"Ann Arbor, MI","abstract":"Pages: x, 270 p\nItem info: Place Recall\n: Ann Arbor : University of Michigan Press, c1997\n: x, 270 p. : ill. ; 24 cm\n: lc","ISBN":"0-472-10764-X","call-number":"JK 768.4 .B74 1997","shortTitle":"Working, Shirking, and Sabotage","author":[{"family":"Brehm","given":"John"},{"family":"Gates","given":"Scott"}],"issued":{"date-parts":[["1997"]]}}},{"id":6383,"uris":["http://zotero.org/users/2595715/items/EXI6ACCA"],"uri":["http://zotero.org/users/2595715/items/EXI6ACCA"],"itemData":{"id":6383,"type":"article-journal","title":"Street-Level Bureaucrats and Intrastate Variation in the Implementation of Temporary Assistance for Needy Families Policies","container-title":"Journal of Public Administration Research and Theory: J-PART","page":"89-111","volume":"15","issue":"1","source":"JSTOR","abstract":"This article examines the impact of street-level bureaucrats on the implementation of Temporary Assistance for Needy Families policies in the State of Michigan. Michigan's welfare programs are highly centralized, leaving counties very little formal discretion to run their programs. The formal signals sent by Michigan officials around welfare reform revolve around work first-immediate job placement over human capital investment. In a two-step analysis, including Analysis of Variance techniques, an examination of three local sites within Michigan indicates that street-level bureaucrats in welfare offices do not see their own priorities in the context of the formal goal of welfare in Michigan (i.e., work first). Moreover, the research indicates that there is variation across the three counties within the state. The findings of this research ultimately suggest that the discretionary power of street-level bureaucrats is an important determinant in the implementation of public policy, and that reference point of their discretionary power is not the supervisor but, in fact, the client.","ISSN":"1053-1858","author":[{"family":"Riccucci","given":"Norma M."}],"issued":{"date-parts":[["2005"]]}}},{"id":6374,"uris":["http://zotero.org/users/2595715/items/HXBL2CT6"],"uri":["http://zotero.org/users/2595715/items/HXBL2CT6"],"itemData":{"id":6374,"type":"article-journal","title":"The Implementation of Welfare Reform Policy: The Role of Public Managers in Front-Line Practices","container-title":"Public Administration Review","page":"438-448","volume":"64","issue":"4","source":"Wiley Online Library","abstract":"This study examines the extent to which staff in local welfare systems have embraced new welfare reform goals and, if so, the extent to which local management practices contribute to the alignment of staff priorities with policy objectives. It looks at agency structure and several aspects of public management from a microperspective that prior research has linked to agency performance including training, performance monitoring, staff resources, leadership characteristics, and personnel characteristics. The research indicates that front-line workers in welfare offices continue to believe that traditional eligibility determination concerns are the most important goals at their agencies. It also finds that management practices and the structuring of agency responsibilities matter: To the extent that public managers want to redirect local staff to focus their attention on the new goals associated with welfare reform, they can create the conditions under which staff have clear signals about what is expected and could provide them with the resources and incentives to realign their priorities.","DOI":"10.1111/j.1540-6210.2004.00390.x","ISSN":"1540-6210","shortTitle":"The Implementation of Welfare Reform Policy","language":"en","author":[{"family":"Riccucci","given":"Norma M."},{"family":"Meyers","given":"Marcia K."},{"family":"Lurie","given":"Irene"},{"family":"Han","given":"Jun Seop"}],"issued":{"date-parts":[["2004"]]}}},{"id":230,"uris":["http://zotero.org/users/2595715/items/UZ56GTPS"],"uri":["http://zotero.org/users/2595715/items/UZ56GTPS"],"itemData":{"id":230,"type":"article-journal","title":"Moving Beyond Discretion and Outcomes: Examining Public Management from the Front Lines of the Welfare System","container-title":"Journal of Public Administration Research and Theory","page":"729-756","volume":"10","issue":"4","source":"academic.oup.com","DOI":"10.1093/oxfordjournals.jpart.a024289","ISSN":"1053-1858","shortTitle":"Moving Beyond Discretion and Outcomes","journalAbbreviation":"J Public Adm Res Theory","author":[{"family":"Sandfort","given":"Jodi R."}],"issued":{"date-parts":[["2000",10,1]]}}}],"schema":"https://github.com/citation-style-language/schema/raw/master/csl-citation.json"}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(Brehm &amp; Gates, 1997; Riccucci, 2005; Riccucci et al., 2004; Sandfort, 2000)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instance, in the context of welfare reform, Riccucci et al (2004) finds that despite the welfare reform policy changes, front-line employees did not shift away from emphasizing eligibility determination to prioritizing employment/deterrence away from staying on welfare rolls. This infusion of individual values and judgement, to this group of scholars is perceived as a threat due to the potential for bias and disentitlement. However, the use of individual judgement and lack of alignment between some policy priorities and front-line employees could also be viewed as a way to improve the responsiveness and performance of public institutions when the political will of the people does not align with the needs of the clientele of public programs. For example: </w:t>
      </w:r>
    </w:p>
    <w:p w14:paraId="3EF9D865" w14:textId="2D36F3F7" w:rsidR="00DA69F5" w:rsidRPr="005259A5" w:rsidRDefault="00DA69F5" w:rsidP="005259A5">
      <w:pPr>
        <w:spacing w:after="0" w:line="480" w:lineRule="auto"/>
        <w:ind w:left="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"for many of the frontline workers we observed, the mismatch between rules and problems encourages the street-level worker to improvise and innovate or, in the words of one social worker, to “be creative.” Rather than engaging in discretionary decision making, they practice pragmatic improvisation." (S19)</w:t>
      </w:r>
    </w:p>
    <w:p w14:paraId="11EF835F" w14:textId="77777777" w:rsidR="00DA69F5" w:rsidRPr="005B2DFB" w:rsidRDefault="00DA69F5" w:rsidP="00146DE5">
      <w:pPr>
        <w:spacing w:after="0" w:line="480" w:lineRule="auto"/>
        <w:ind w:firstLine="720"/>
        <w:rPr>
          <w:rFonts w:ascii="Times New Roman" w:hAnsi="Times New Roman" w:cs="Times New Roman"/>
          <w:iCs/>
          <w:color w:val="000000"/>
          <w:sz w:val="24"/>
          <w:szCs w:val="24"/>
        </w:rPr>
      </w:pPr>
      <w:r w:rsidRPr="005B2DFB">
        <w:rPr>
          <w:rFonts w:ascii="Times New Roman" w:hAnsi="Times New Roman" w:cs="Times New Roman"/>
          <w:sz w:val="24"/>
          <w:szCs w:val="24"/>
        </w:rPr>
        <w:t xml:space="preserve">Indeed, the bottom-up perspective in street-level bureaucracy literature reveals that policy designs that are overly paternalistic and do not allow for local discretion in meeting the individual needs of clients and citizens may also undermine the effectiveness of public policies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{"citationID":"7CY1NC0T","properties":{"formattedCitation":"(Bertelli &amp; Lynn, 2003; Brodkin, 2011; Lindhorst &amp; Padgett, 2005; S. W. Maynard-Moody &amp; Musheno, 2003)","plainCitation":"(Bertelli &amp; Lynn, 2003; Brodkin, 2011; Lindhorst &amp; Padgett, 2005; S. W. Maynard-Moody &amp; Musheno, 2003)","dontUpdate":true,"noteIndex":0},"citationItems":[{"id":1843,"uris":["http://zotero.org/groups/385054/items/58PJ44EC"],"uri":["http://zotero.org/groups/385054/items/58PJ44EC"],"itemData":{"id":1843,"type":"article-journal","title":"Managerial Responsibility","container-title":"Public Administration Review","page":"259-268","volume":"63","issue":"3","source":"JSTOR","abstract":"The concept of managerial responsibility is a shining thread in the literature of public administration, but its definition within our constitutional scheme remains elusive. How will we know responsible public management when we see it? We propose one answer: Public administration should be conducted according to what we term a \"precept of managerial responsibility,\" which involves four interrelated elements derived from the classical literature of public administration: judgment, accountability, balance, and rationality. We apply this precept to one of the most vexing problems of public administration theory and practice, institutional reform litigation. This application illustrates how the precept solves a major theoretical problem of American public administration by defining a role for administrative officers that fully comports with the Madisonian scheme of separated institutions-legislative, executive, and judicial-sharing power.","ISSN":"00333352","author":[{"family":"Bertelli","given":"Anthony M."},{"family":"Lynn","given":"Laurence E."}],"issued":{"date-parts":[["2003",5,1]]}}},{"id":6414,"uris":["http://zotero.org/users/2595715/items/Q4D2NUSN"],"uri":["http://zotero.org/users/2595715/items/Q4D2NUSN"],"itemData":{"id":6414,"type":"article-journal","title":"Policy Work: Street-Level Organizations Under New Managerialism","container-title":"Journal of Public Administration Research and Theory","page":"i253-i277","volume":"21","issue":"suppl_2","source":"academic-oup-com.ezproxy.lib.ou.edu","abstract":"Abstract.  Street-level organizations are pivotal players in the making of public policy. The importance of these organizations is reflected in new public manag","DOI":"10.1093/jopart/muq093","ISSN":"1053-1858","shortTitle":"Policy Work","journalAbbreviation":"J Public Adm Res Theory","language":"en","author":[{"family":"Brodkin","given":"Evelyn Z."}],"issued":{"date-parts":[["2011",4,1]]}}},{"id":6417,"uris":["http://zotero.org/users/2595715/items/CYQPZYNF"],"uri":["http://zotero.org/users/2595715/items/CYQPZYNF"],"itemData":{"id":6417,"type":"article-journal","title":"Disjunctures for Women and Frontline Workers: Implementation of the Family Violence Option","container-title":"The Social service review","page":"405-429","volume":"79","issue":"3","source":"PubMed Central","abstract":"This research uses analysis of qualitative interviews with 10 battered welfare clients and 15 frontline welfare workers to examine the implementation of the Family Violence Option (FVO) under welfare reform. States adopting the FVO agree to screen for domestic violence, refer identified victims to community resources, and waive program requirements that would endanger the women or with which they are unable to comply. The analyses find that none of the 10 clients in this study received these services. This lack of services reflects four critical disjunctures between the formal policy and the policy experienced by the clients. It also reveals several more basic structural factors that provide conflicting mandates to frontline workers. Frontline workers’ discretionary behaviors enforce core rules related to welfare eligibility and reduce welfare caseloads but do not provide violencerelated services to victims.","DOI":"10.1086/430891","ISSN":"0037-7961","note":"PMID: 18270548\nPMCID: PMC2239253","shortTitle":"Disjunctures for Women and Frontline Workers","journalAbbreviation":"Soc Serv Rev","author":[{"family":"Lindhorst","given":"Taryn"},{"family":"Padgett","given":"Julianna D."}],"issued":{"date-parts":[["2005",9]]}}},{"id":5400,"uris":["http://zotero.org/users/2595715/items/UXAUGUWN"],"uri":["http://zotero.org/users/2595715/items/UXAUGUWN"],"itemData":{"id":5400,"type":"book","title":"Cops,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(Bertelli &amp; Lynn, 2003; Brodkin, 2011; Lindhorst &amp; Padgett, 2005; Maynard-Moody &amp; Musheno, 2003)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Indeed, literature on performance measurement reveals that the more street-</w:t>
      </w:r>
      <w:r w:rsidRPr="005B2DFB">
        <w:rPr>
          <w:rFonts w:ascii="Times New Roman" w:hAnsi="Times New Roman" w:cs="Times New Roman"/>
          <w:sz w:val="24"/>
          <w:szCs w:val="24"/>
        </w:rPr>
        <w:lastRenderedPageBreak/>
        <w:t xml:space="preserve">level bureaucrats are pressured to meet performance metrics, the less discretion they have to use in remaining responsive to individual client needs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{"citationID":"e0cc4qx5","properties":{"formattedCitation":"(Soss, Fording, &amp; Schram, 2011)","plainCitation":"(Soss, Fording, &amp; Schram, 2011)","noteIndex":0},"citationItems":[{"id":4067,"uris":["http://zotero.org/users/2595715/items/ZTJMK335"],"uri":["http://zotero.org/users/2595715/items/ZTJMK335"],"itemData":{"id":4067,"type":"book","title":"Disciplining the Poor: Neoliberal Paternalism and the Persistent Power of Race","publisher":"University Of Chicago Press","publisher-place":"Chicago ; London","number-of-pages":"368","edition":"Chicago Studies in American Politics edition","source":"Amazon","event-place":"Chicago ; London","abstract":"Disciplining the Poor explains the transformation of poverty governance over the past forty years -- why it happened, how it works today, and how it affects people. In the process, it clarifies the central role of race in this transformation and develops a more precise account of how race shapes poverty governance in the post-civil rights era. Connecting welfare reform to other policy developments, the authors analyze diverse forms of data to explicate the racialized origins, operations, and consequences of a new mode of poverty governance that is simultaneously neoliberal -- grounded in market principles -- and paternalist -- focused on telling the poor what is best for them. The study traces the rolling out of this new regime from the federal level, to the state and county levels, down to the service-providing organizations and frontline case workers who take disciplinary actions in individual cases. The result is a compelling account of how a neoliberal paternalist regime of poverty governance is disciplining the poor today.","ISBN":"978-0-226-76877-9","shortTitle":"Disciplining the Poor","language":"English","author":[{"family":"Soss","given":"Joe"},{"family":"Fording","given":"Richard C."},{"family":"Schram","given":"Sanford F."}],"issued":{"date-parts":[["2011",11,30]]}}}],"schema":"https://github.com/citation-style-language/schema/raw/master/csl-citation.json"}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(Soss, Fording, &amp; Schram, 2011)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r w:rsidRPr="005B2DFB">
        <w:rPr>
          <w:rFonts w:ascii="Times New Roman" w:eastAsia="Times New Roman" w:hAnsi="Times New Roman" w:cs="Times New Roman"/>
          <w:sz w:val="24"/>
          <w:szCs w:val="24"/>
        </w:rPr>
        <w:t xml:space="preserve">In this view, </w:t>
      </w:r>
      <w:r w:rsidRPr="005B2DFB">
        <w:rPr>
          <w:rFonts w:ascii="Times New Roman" w:hAnsi="Times New Roman" w:cs="Times New Roman"/>
          <w:sz w:val="24"/>
          <w:szCs w:val="24"/>
        </w:rPr>
        <w:t xml:space="preserve">the use of discretion is a force of individualized justice, in which the street-level bureaucrats are given the necessary flexibility to respond to nonroutine cases and individual client needs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{"citationID":"Mq6JFjUW","properties":{"formattedCitation":"(Bertelli &amp; Lynn, 2003; Friedrich, 1940)","plainCitation":"(Bertelli &amp; Lynn, 2003; Friedrich, 1940)","noteIndex":0},"citationItems":[{"id":1843,"uris":["http://zotero.org/groups/385054/items/58PJ44EC"],"uri":["http://zotero.org/groups/385054/items/58PJ44EC"],"itemData":{"id":1843,"type":"article-journal","title":"Managerial Responsibility","container-title":"Public Administration Review","page":"259-268","volume":"63","issue":"3","source":"JSTOR","abstract":"The concept of managerial responsibility is a shining thread in the literature of public administration, but its definition within our constitutional scheme remains elusive. How will we know responsible public management when we see it? We propose one answer: Public administration should be conducted according to what we term a \"precept of managerial responsibility,\" which involves four interrelated elements derived from the classical literature of public administration: judgment, accountability, balance, and rationality. We apply this precept to one of the most vexing problems of public administration theory and practice, institutional reform litigation. This application illustrates how the precept solves a major theoretical problem of American public administration by defining a role for administrative officers that fully comports with the Madisonian scheme of separated institutions-legislative, executive, and judicial-sharing power.","ISSN":"00333352","author":[{"family":"Bertelli","given":"Anthony M."},{"family":"Lynn","given":"Laurence E."}],"issued":{"date-parts":[["2003",5,1]]}}},{"id":1676,"uris":["http://zotero.org/groups/385054/items/MM4RU8GB"],"uri":["http://zotero.org/groups/385054/items/MM4RU8GB"],"itemData":{"id":1676,"type":"chapter","title":"Public Policy and the Nature of Administrative Responsibility","container-title":"Public Policy","publisher":"Harvard University Press","publisher-place":"Cambidge","event-place":"Cambidge","author":[{"family":"Friedrich","given":"Carl"}],"issued":{"date-parts":[["1940"]]}}}],"schema":"https://github.com/citation-style-language/schema/raw/master/csl-citation.json"}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(Bertelli &amp; Lynn, 2003; Friedrich, 1940)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the use of discretion may be seen as a way of alleviating inequality and helping the disadvantaged, with street-level bureaucrats making moral judgements in the use of discretion that aligns outcomes with “their visions of justice” (Kelly 1994, 119). Indeed, the “New Public Administration” movement called for bureaucrats to be advocates that defend social equity through the use of administrative discretion to benefit historically marginalized groups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{"citationID":"KYwdHnqy","properties":{"formattedCitation":"(Frederickson, 2010)","plainCitation":"(Frederickson, 2010)","noteIndex":0},"citationItems":[{"id":1775,"uris":["http://zotero.org/groups/385054/items/4D2B2252"],"uri":["http://zotero.org/groups/385054/items/4D2B2252"],"itemData":{"id":1775,"type":"book","title":"Social Equity and Public Administration: Origins, Developments, and Applications","publisher":"M.E. Sharpe, Inc","publisher-place":"Armonk, N.Y.","source":"catalog.lib.ou.edu Library Catalog","event-place":"Armonk, N.Y.","abstract":"Pages: xix, 169 p\n: Armonk, N.Y. : M.E. Sharpe, Inc., c2010\n: xix, 169 p. ; 24 cm\n: Social equity and the new public administration -- Social equity in context -- Social equity : the democratic context and the compound theory -- Social equity and the question of administrative discretion -- The state of social equity in American public administration -- An intergenerational social equity ethic -- Social equity, law, and research -- When education quality speaks, education equality answers -- Social equity in the twenty-first century : in memory of Philip J. Rutledge","ISBN":"978-0-7656-2471-0","call-number":"JF 1351 .F7345 2010","shortTitle":"Social Equity and Public Administration","author":[{"family":"Frederickson","given":"H. George"}],"issued":{"date-parts":[["2010"]]}}}],"schema":"https://github.com/citation-style-language/schema/raw/master/csl-citation.json"}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(Frederickson,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the use of discretion as a force for social equity, however, does not necessitate ignoring the priorities of public officials and may reflect an effective balance of power between legislative and executive branches of government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{"citationID":"CcrEWtJr","properties":{"formattedCitation":"(Keiser, 1999)","plainCitation":"(Keiser, 1999)","noteIndex":0},"citationItems":[{"id":6395,"uris":["http://zotero.org/users/2595715/items/AFEVMV3I"],"uri":["http://zotero.org/users/2595715/items/AFEVMV3I"],"itemData":{"id":6395,"type":"article-journal","title":"State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(Keiser, 1999)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r w:rsidRPr="005B2DFB">
        <w:rPr>
          <w:rFonts w:ascii="Times New Roman" w:hAnsi="Times New Roman" w:cs="Times New Roman"/>
          <w:iCs/>
          <w:color w:val="000000"/>
          <w:sz w:val="24"/>
          <w:szCs w:val="24"/>
        </w:rPr>
        <w:t xml:space="preserve">In this way, the executive can more effectively respond to the individual needs of clientele without having to act within the constraints of electoral motivations, which may encourage burdensome implementation processes for programs that benefit disadvantaged groups </w:t>
      </w:r>
      <w:r w:rsidRPr="005B2DFB">
        <w:rPr>
          <w:rFonts w:ascii="Times New Roman" w:hAnsi="Times New Roman" w:cs="Times New Roman"/>
          <w:iCs/>
          <w:color w:val="000000"/>
          <w:sz w:val="24"/>
          <w:szCs w:val="24"/>
        </w:rPr>
        <w:fldChar w:fldCharType="begin"/>
      </w:r>
      <w:r w:rsidRPr="005B2DFB">
        <w:rPr>
          <w:rFonts w:ascii="Times New Roman" w:hAnsi="Times New Roman" w:cs="Times New Roman"/>
          <w:iCs/>
          <w:color w:val="000000"/>
          <w:sz w:val="24"/>
          <w:szCs w:val="24"/>
        </w:rPr>
        <w:instrText xml:space="preserve"> ADDIN ZOTERO_ITEM CSL_CITATION {"citationID":"eqZhCqjc","properties":{"formattedCitation":"(Ingram &amp; Schneider, 1991)","plainCitation":"(Ingram &amp; Schneider, 1991)","noteIndex":0},"citationItems":[{"id":100,"uris":["http://zotero.org/users/2595715/items/KBGKR89M"],"uri":["http://zotero.org/users/2595715/items/KBGKR89M"],"itemData":{"id":100,"type":"article-journal","title":"The Choice of Target Populations","container-title":"Administration &amp; Society","page":"333-356","volume":"23","issue":"3","source":"SAGE Journals","abstract":"Public policy almost always seeks to change the behavior of one or more target populations who are ostensibly linked to the problems the policy is seeking to address. This paper argues that statutory designers and agency officials almost always have a choice from among several potential target groups, and that institutional factors often influence them to make inappropriate choices. Statutory designers, who it is assumed are sensitive to electoral conditions, will tend to oversubscribe some policies by identifying too many targets, including some who are not linked to policy objectives at all. Under other conditions, they will under subscribe, excluding some target groups who would contribute considerably to achievement of policy goals. The institutional conditions and incentives faced by agencies differ from those of elected officials. Therefore, they tend to target policies differently. Under some conditions, agencies will attempt to correct problems introduced by statutory designers, but in other situations, the institutional incentives faced by agencies will only exacerbate the problems. Agencies are most likely to correct problems introduced by statutory designers when agencies have a high degree of professionalism and receive budgets and other rewards on the basis of \"value added\" evaluations.","DOI":"10.1177/009539979102300304","ISSN":"0095-3997","journalAbbreviation":"Administration &amp; Society","language":"en","author":[{"family":"Ingram","given":"Helen"},{"family":"Schneider","given":"Anne"}],"issued":{"date-parts":[["1991",11,1]]}}}],"schema":"https://github.com/citation-style-language/schema/raw/master/csl-citation.json"} </w:instrText>
      </w:r>
      <w:r w:rsidRPr="005B2DFB">
        <w:rPr>
          <w:rFonts w:ascii="Times New Roman" w:hAnsi="Times New Roman" w:cs="Times New Roman"/>
          <w:iCs/>
          <w:color w:val="000000"/>
          <w:sz w:val="24"/>
          <w:szCs w:val="24"/>
        </w:rPr>
        <w:fldChar w:fldCharType="separate"/>
      </w:r>
      <w:r w:rsidRPr="005B2DFB">
        <w:rPr>
          <w:rFonts w:ascii="Times New Roman" w:hAnsi="Times New Roman" w:cs="Times New Roman"/>
          <w:sz w:val="24"/>
          <w:szCs w:val="24"/>
        </w:rPr>
        <w:t>(Ingram &amp; Schneider, 1991)</w:t>
      </w:r>
      <w:r w:rsidRPr="005B2DFB">
        <w:rPr>
          <w:rFonts w:ascii="Times New Roman" w:hAnsi="Times New Roman" w:cs="Times New Roman"/>
          <w:iCs/>
          <w:color w:val="000000"/>
          <w:sz w:val="24"/>
          <w:szCs w:val="24"/>
        </w:rPr>
        <w:fldChar w:fldCharType="end"/>
      </w:r>
      <w:r w:rsidRPr="005B2DFB">
        <w:rPr>
          <w:rFonts w:ascii="Times New Roman" w:hAnsi="Times New Roman" w:cs="Times New Roman"/>
          <w:iCs/>
          <w:color w:val="000000"/>
          <w:sz w:val="24"/>
          <w:szCs w:val="24"/>
        </w:rPr>
        <w:t xml:space="preserve">. Despite these different perspectives on the perils or praise of the use of discretion in public administration literature, all would agree that street-level bureaucrats are an essential element of understanding the relationship between policy goals and policy outcomes.  </w:t>
      </w:r>
    </w:p>
    <w:p w14:paraId="2C8F7D79"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color w:val="000000"/>
          <w:sz w:val="24"/>
          <w:szCs w:val="24"/>
        </w:rPr>
      </w:pPr>
      <w:r w:rsidRPr="005B2DFB">
        <w:rPr>
          <w:rFonts w:ascii="Times New Roman" w:hAnsi="Times New Roman" w:cs="Times New Roman"/>
          <w:iCs/>
          <w:color w:val="000000"/>
          <w:sz w:val="24"/>
          <w:szCs w:val="24"/>
        </w:rPr>
        <w:t xml:space="preserve">Together, these two insights on the politics of implementation and the role of bureaucratic discretion </w:t>
      </w:r>
      <w:r w:rsidRPr="005B2DFB">
        <w:rPr>
          <w:rFonts w:ascii="Times New Roman" w:eastAsia="Times New Roman" w:hAnsi="Times New Roman" w:cs="Times New Roman"/>
          <w:color w:val="000000"/>
          <w:sz w:val="24"/>
          <w:szCs w:val="24"/>
        </w:rPr>
        <w:t xml:space="preserve">make it clear that as a result of our representative democratic system of government, public governance is "constitutionally sanctioned public choice" in which politics manifests itself in both the choice of policy design, according to the interests of winning </w:t>
      </w:r>
      <w:r w:rsidRPr="005B2DFB">
        <w:rPr>
          <w:rFonts w:ascii="Times New Roman" w:eastAsia="Times New Roman" w:hAnsi="Times New Roman" w:cs="Times New Roman"/>
          <w:color w:val="000000"/>
          <w:sz w:val="24"/>
          <w:szCs w:val="24"/>
        </w:rPr>
        <w:lastRenderedPageBreak/>
        <w:t xml:space="preserve">coalitions and as a result, permeates the political management strategies and implementation structures in the execution of policies </w:t>
      </w:r>
      <w:r w:rsidRPr="005B2DFB">
        <w:rPr>
          <w:rFonts w:ascii="Times New Roman" w:eastAsia="Times New Roman" w:hAnsi="Times New Roman" w:cs="Times New Roman"/>
          <w:color w:val="000000"/>
          <w:sz w:val="24"/>
          <w:szCs w:val="24"/>
        </w:rPr>
        <w:fldChar w:fldCharType="begin"/>
      </w:r>
      <w:r w:rsidRPr="005B2DFB">
        <w:rPr>
          <w:rFonts w:ascii="Times New Roman" w:eastAsia="Times New Roman" w:hAnsi="Times New Roman" w:cs="Times New Roman"/>
          <w:color w:val="000000"/>
          <w:sz w:val="24"/>
          <w:szCs w:val="24"/>
        </w:rPr>
        <w:instrText xml:space="preserve"> ADDIN ZOTERO_ITEM CSL_CITATION {"citationID":"az9cgrCf","properties":{"formattedCitation":"(Lynn et al., 2001)","plainCitation":"(Lynn et al., 2001)","dontUpdate":true,"noteIndex":0},"citationItems":[{"id":2055,"uris":["http://zotero.org/groups/385054/items/9ZA6UZP3"],"uri":["http://zotero.org/groups/385054/items/9ZA6UZP3"],"itemData":{"id":2055,"type":"book","title":"Improving Governance: A New Logic for Empirical Research","publisher":"Georgetown University Press","publisher-place":"Washington, DC","source":"catalog.lib.ou.edu Library Catalog","event-place":"Washington, DC","abstract":"Pages: viii, 212 p\n: Washington, D.C. : Georgetown University Press, c2001\n: viii, 212 p. : ill. ; 24 cm\nSeries: ([American governance and public policy series])\n: Series statement from jacket\nSeries: American governance and public policy","ISBN":"0-87840-852-5","call-number":"JF 1338 .A2 L85 2001","shortTitle":"Improving Governance","author":[{"family":"Lynn","given":"Laurence E."},{"family":"Heinrich","given":"Carolyn J."},{"family":"Hill","given":"Carolyn J."}],"issued":{"date-parts":[["2001"]]}}}],"schema":"https://github.com/citation-style-language/schema/raw/master/csl-citation.json"} </w:instrText>
      </w:r>
      <w:r w:rsidRPr="005B2DFB">
        <w:rPr>
          <w:rFonts w:ascii="Times New Roman" w:eastAsia="Times New Roman" w:hAnsi="Times New Roman" w:cs="Times New Roman"/>
          <w:color w:val="000000"/>
          <w:sz w:val="24"/>
          <w:szCs w:val="24"/>
        </w:rPr>
        <w:fldChar w:fldCharType="separate"/>
      </w:r>
      <w:r w:rsidRPr="005B2DFB">
        <w:rPr>
          <w:rFonts w:ascii="Times New Roman" w:hAnsi="Times New Roman" w:cs="Times New Roman"/>
          <w:sz w:val="24"/>
          <w:szCs w:val="24"/>
        </w:rPr>
        <w:t>(Lynn et al., 2001, 33; Keiser 1999; Moynihan and Herd 2010)</w:t>
      </w:r>
      <w:r w:rsidRPr="005B2DFB">
        <w:rPr>
          <w:rFonts w:ascii="Times New Roman" w:eastAsia="Times New Roman" w:hAnsi="Times New Roman" w:cs="Times New Roman"/>
          <w:color w:val="000000"/>
          <w:sz w:val="24"/>
          <w:szCs w:val="24"/>
        </w:rPr>
        <w:fldChar w:fldCharType="end"/>
      </w:r>
      <w:r w:rsidRPr="005B2DFB">
        <w:rPr>
          <w:rFonts w:ascii="Times New Roman" w:eastAsia="Times New Roman" w:hAnsi="Times New Roman" w:cs="Times New Roman"/>
          <w:color w:val="000000"/>
          <w:sz w:val="24"/>
          <w:szCs w:val="24"/>
        </w:rPr>
        <w:t xml:space="preserve">. </w:t>
      </w:r>
      <w:r w:rsidRPr="005B2DFB">
        <w:rPr>
          <w:rFonts w:ascii="Times New Roman" w:hAnsi="Times New Roman" w:cs="Times New Roman"/>
          <w:sz w:val="24"/>
          <w:szCs w:val="24"/>
        </w:rPr>
        <w:t xml:space="preserve">Indeed, public administration scholars have been keen to highlight policy design along with the influence of street-level bureaucrats’ use of discretion as a major reason for the occasional misalignment of policy goals and outcomes. Public administration scholarship, as opposed to the few public policy scholars that have attempted to open up the black box of implementation, realize that in order to improve policy designs, we must understand the management of public organizations and the street-level bureaucrats that themselves carry out the law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{"citationID":"HTbcshS9","properties":{"formattedCitation":"(Pressman &amp; Wildavsky, 1973)","plainCitation":"(Pressman &amp; Wildavsky, 1973)","noteIndex":0},"citationItems":[{"id":6423,"uris":["http://zotero.org/users/2595715/items/FGZQAB2B"],"uri":["http://zotero.org/users/2595715/items/FGZQAB2B"],"itemData":{"id":6423,"type":"book","title":"Implementation: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hopes","publisher":"University of California Press","source":"Amazon","shortTitle":"Implementation: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hopes","author":[{"family":"Pressman","given":"Jeffrey L."},{"family":"Wildavsky","given":"Aaron B."}],"issued":{"date-parts":[["1973"]]}}}],"schema":"https://github.com/citation-style-language/schema/raw/master/csl-citation.json"}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(Pressman &amp; Wildavsky, 1973)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perspective highlights the role of street-level bureaucrats not just as agents of the state but as policymakers themselves, that have the power to shape the experience of policies and programs directly in their relationship and interactions with citizens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{"citationID":"KnbmL6Sw","properties":{"formattedCitation":"(Lipsky, 2010b)","plainCitation":"(Lipsky, 2010b)","noteIndex":0},"citationItems":[{"id":4357,"uris":["http://zotero.org/users/2595715/items/9BCANFYS"],"uri":["http://zotero.org/users/2595715/items/9BCANFYS"],"itemData":{"id":4357,"type":"book","title":"Street-Level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(Lipsky, 2010b)</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p>
    <w:p w14:paraId="17CD5A02"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In sum, the insights of public administration literature on policy designs have provided valuable theoretical development on the reasons for the disjuncture between policy goals and outcomes, effectively building on the policy evaluation and public policy processes literature by opening up the black box of implementation to investigate the implications of policy design for the politics of bureaucratic implementation. In doing so, public administration literature has shed light on the ways in which policy design is wielded as a tool with which to manipulate democratic outcomes through bureaucratic agencies.</w:t>
      </w:r>
    </w:p>
    <w:p w14:paraId="3C02CA68" w14:textId="3E5C526D" w:rsidR="00DA69F5" w:rsidRPr="005B2DFB" w:rsidRDefault="0054379F" w:rsidP="0054379F">
      <w:pPr>
        <w:spacing w:after="0" w:line="240" w:lineRule="auto"/>
        <w:jc w:val="center"/>
        <w:rPr>
          <w:rFonts w:ascii="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1908DD3" wp14:editId="7C284761">
                <wp:simplePos x="0" y="0"/>
                <wp:positionH relativeFrom="column">
                  <wp:posOffset>1920240</wp:posOffset>
                </wp:positionH>
                <wp:positionV relativeFrom="paragraph">
                  <wp:posOffset>570865</wp:posOffset>
                </wp:positionV>
                <wp:extent cx="457200" cy="8890"/>
                <wp:effectExtent l="0" t="76200" r="19050" b="86360"/>
                <wp:wrapNone/>
                <wp:docPr id="8" name="Straight Arrow Connector 8"/>
                <wp:cNvGraphicFramePr/>
                <a:graphic xmlns:a="http://schemas.openxmlformats.org/drawingml/2006/main">
                  <a:graphicData uri="http://schemas.microsoft.com/office/word/2010/wordprocessingShape">
                    <wps:wsp>
                      <wps:cNvCnPr/>
                      <wps:spPr>
                        <a:xfrm flipV="1">
                          <a:off x="0" y="0"/>
                          <a:ext cx="457200" cy="88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93847" id="Straight Arrow Connector 8" o:spid="_x0000_s1026" type="#_x0000_t32" style="position:absolute;margin-left:151.2pt;margin-top:44.95pt;width:36pt;height:.7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" strokecolor="black [3213]" strokeweight="1pt">
                <v:stroke endarrow="block" joinstyle="miter"/>
              </v:shape>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0080E56" wp14:editId="0B1F3963">
                <wp:simplePos x="0" y="0"/>
                <wp:positionH relativeFrom="column">
                  <wp:posOffset>3695700</wp:posOffset>
                </wp:positionH>
                <wp:positionV relativeFrom="paragraph">
                  <wp:posOffset>574675</wp:posOffset>
                </wp:positionV>
                <wp:extent cx="457200" cy="8890"/>
                <wp:effectExtent l="0" t="76200" r="19050" b="86360"/>
                <wp:wrapNone/>
                <wp:docPr id="9" name="Straight Arrow Connector 9"/>
                <wp:cNvGraphicFramePr/>
                <a:graphic xmlns:a="http://schemas.openxmlformats.org/drawingml/2006/main">
                  <a:graphicData uri="http://schemas.microsoft.com/office/word/2010/wordprocessingShape">
                    <wps:wsp>
                      <wps:cNvCnPr/>
                      <wps:spPr>
                        <a:xfrm flipV="1">
                          <a:off x="0" y="0"/>
                          <a:ext cx="457200" cy="88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0DDA91" id="Straight Arrow Connector 9" o:spid="_x0000_s1026" type="#_x0000_t32" style="position:absolute;margin-left:291pt;margin-top:45.25pt;width:36pt;height:.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" strokecolor="black [3213]" strokeweight="1pt">
                <v:stroke endarrow="block" joinstyle="miter"/>
              </v:shape>
            </w:pict>
          </mc:Fallback>
        </mc:AlternateContent>
      </w:r>
      <w:r w:rsidR="00DA69F5" w:rsidRPr="005B2DFB">
        <w:rPr>
          <w:rFonts w:ascii="Times New Roman" w:hAnsi="Times New Roman" w:cs="Times New Roman"/>
          <w:noProof/>
          <w:sz w:val="24"/>
          <w:szCs w:val="24"/>
        </w:rPr>
        <w:drawing>
          <wp:inline distT="0" distB="0" distL="0" distR="0" wp14:anchorId="5659553E" wp14:editId="3C27FC72">
            <wp:extent cx="5113020" cy="115062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21BBCCA" w14:textId="33DD3143" w:rsidR="00DA69F5" w:rsidRPr="005B2DFB" w:rsidRDefault="00DA69F5" w:rsidP="0054379F">
      <w:pPr>
        <w:spacing w:after="0" w:line="240" w:lineRule="auto"/>
        <w:jc w:val="center"/>
        <w:rPr>
          <w:rFonts w:ascii="Times New Roman" w:hAnsi="Times New Roman" w:cs="Times New Roman"/>
          <w:sz w:val="24"/>
          <w:szCs w:val="24"/>
        </w:rPr>
      </w:pPr>
      <w:r w:rsidRPr="005B2DFB">
        <w:rPr>
          <w:rFonts w:ascii="Times New Roman" w:hAnsi="Times New Roman" w:cs="Times New Roman"/>
          <w:sz w:val="24"/>
          <w:szCs w:val="24"/>
        </w:rPr>
        <w:t xml:space="preserve">Figure </w:t>
      </w:r>
      <w:r w:rsidR="0054379F">
        <w:rPr>
          <w:rFonts w:ascii="Times New Roman" w:hAnsi="Times New Roman" w:cs="Times New Roman"/>
          <w:sz w:val="24"/>
          <w:szCs w:val="24"/>
        </w:rPr>
        <w:t>1-4</w:t>
      </w:r>
      <w:r w:rsidRPr="005B2DFB">
        <w:rPr>
          <w:rFonts w:ascii="Times New Roman" w:hAnsi="Times New Roman" w:cs="Times New Roman"/>
          <w:sz w:val="24"/>
          <w:szCs w:val="24"/>
        </w:rPr>
        <w:t>. Policy Design in Public Administration</w:t>
      </w:r>
    </w:p>
    <w:p w14:paraId="0D267664" w14:textId="77777777" w:rsidR="00DA69F5" w:rsidRPr="005B2DFB" w:rsidRDefault="00DA69F5" w:rsidP="00DA69F5">
      <w:pPr>
        <w:spacing w:after="0" w:line="240" w:lineRule="auto"/>
        <w:rPr>
          <w:rFonts w:ascii="Times New Roman" w:hAnsi="Times New Roman" w:cs="Times New Roman"/>
          <w:sz w:val="24"/>
          <w:szCs w:val="24"/>
        </w:rPr>
      </w:pPr>
    </w:p>
    <w:p w14:paraId="26498B64" w14:textId="29D0D351" w:rsidR="00146DE5" w:rsidRPr="005B2DFB" w:rsidRDefault="00DA69F5" w:rsidP="00DA69F5">
      <w:pPr>
        <w:rPr>
          <w:rFonts w:ascii="Times New Roman" w:hAnsi="Times New Roman" w:cs="Times New Roman"/>
          <w:b/>
          <w:sz w:val="24"/>
          <w:szCs w:val="24"/>
        </w:rPr>
      </w:pPr>
      <w:r w:rsidRPr="005B2DFB">
        <w:rPr>
          <w:rFonts w:ascii="Times New Roman" w:hAnsi="Times New Roman" w:cs="Times New Roman"/>
          <w:b/>
          <w:sz w:val="24"/>
          <w:szCs w:val="24"/>
        </w:rPr>
        <w:lastRenderedPageBreak/>
        <w:t>1.2 Limitations of Fragmented Approach to Policy Design &amp; Benefits of Holistic Conceptualization of Policy Design</w:t>
      </w:r>
    </w:p>
    <w:p w14:paraId="51AA7356" w14:textId="77777777" w:rsidR="00DA69F5" w:rsidRPr="005B2DFB" w:rsidRDefault="00DA69F5" w:rsidP="00146DE5">
      <w:pPr>
        <w:spacing w:after="0" w:line="480" w:lineRule="auto"/>
        <w:ind w:firstLine="720"/>
        <w:textAlignment w:val="center"/>
        <w:rPr>
          <w:rFonts w:ascii="Times New Roman" w:hAnsi="Times New Roman" w:cs="Times New Roman"/>
          <w:sz w:val="24"/>
          <w:szCs w:val="24"/>
        </w:rPr>
      </w:pPr>
      <w:r w:rsidRPr="005B2DFB">
        <w:rPr>
          <w:rFonts w:ascii="Times New Roman" w:hAnsi="Times New Roman" w:cs="Times New Roman"/>
          <w:sz w:val="24"/>
          <w:szCs w:val="24"/>
        </w:rPr>
        <w:t xml:space="preserve">Taken together, while public administration and public policy literatures all separately deal with some components of policy design, the siloed nature of these discussions leaves each subfield with blind spots that are problematic for holistic theoretical development. In fact, </w:t>
      </w:r>
      <w:r w:rsidRPr="005B2DFB">
        <w:rPr>
          <w:rFonts w:ascii="Times New Roman" w:eastAsia="Times New Roman" w:hAnsi="Times New Roman" w:cs="Times New Roman"/>
          <w:sz w:val="24"/>
          <w:szCs w:val="24"/>
        </w:rPr>
        <w:t xml:space="preserve">as a result of the lack of cohesion, some scholars in policy design studies have </w:t>
      </w:r>
      <w:r w:rsidRPr="005B2DFB">
        <w:rPr>
          <w:rFonts w:ascii="Times New Roman" w:hAnsi="Times New Roman" w:cs="Times New Roman"/>
          <w:sz w:val="24"/>
          <w:szCs w:val="24"/>
        </w:rPr>
        <w:t xml:space="preserve">called for a holistic approach in which scholars treat “policy design as causal factors that, if changed, could enable public policy to become a more democratic tool”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{"citationID":"8bPMiqBy","properties":{"formattedCitation":"(A. Schneider &amp; Sidney, 2009)","plainCitation":"(A. Schneider &amp; Sidney, 2009)","dontUpdate":true,"noteIndex":0},"citationItems":[{"id":98,"uris":["http://zotero.org/users/2595715/items/Z9CZHE4U"],"uri":["http://zotero.org/users/2595715/items/Z9CZHE4U"],"itemData":{"id":98,"type":"article-journal","title":"What Is Next for Policy Design and Social Construction Theory?1","container-title":"Policy Studies Journal","page":"103-119","volume":"37","issue":"1","source":"Wiley Online Library","abstract":"The study of policy design has made great progress over the past decade in leading scholars to understand why the American political system produces certain kinds of designs rather than others, and the consequences that policy designs have for democracy. This article outlines the distinctive and important elements of policy design theory—the centrality of policy design, the attention to social constructions, the attention to policy consequences (or feed-forward effects), and the integration of normative and empirical research and theory. It then suggests how policy design theory can complement other policy theories in guiding research and evaluating the conditions of U.S. democracy, and how in its own right it can be further developed and used to guide important inquiry about public policy's politics and social impacts.","DOI":"10.1111/j.1541-0072.2008.00298.x","ISSN":"1541-0072","shortTitle":"What Is Next for Policy Design and Social Construction Theory?","language":"en","author":[{"family":"Schneider","given":"Anne"},{"family":"Sidney","given":"Mara"}],"issued":{"date-parts":[["2009",2,1]]}}}],"schema":"https://github.com/citation-style-language/schema/raw/master/csl-citation.json"}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(Schneider &amp; Sidney, 2009, 116)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approach requires an integration of insights from policy processes, public administration and policy evaluation studies. In this way, future research can address “how processes shape designs and how designs affect justice, problem solving, citizenship, and subsequent democratic institutions” as well as “who political change serves” and “how negative and divisive social constructions of social groups, of types of knowledge, and of events are used to manipulate opinion” (Schneider &amp; Sidney 2009, 116). </w:t>
      </w:r>
    </w:p>
    <w:p w14:paraId="09132138" w14:textId="0D25C46A" w:rsidR="00DA69F5" w:rsidRPr="00146DE5" w:rsidRDefault="00DA69F5" w:rsidP="00146DE5">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This dissertation takes the first step in establishing a holistic investigation into the theoretical and practical implications of policy design through applying theoretical and empirical tools from three subfields within political science. By combining these three conceptualizations of policy design, we can gain insight into the ways that policy designs function as political tools in formulation </w:t>
      </w:r>
      <w:r w:rsidRPr="005B2DFB">
        <w:rPr>
          <w:rFonts w:ascii="Times New Roman" w:hAnsi="Times New Roman" w:cs="Times New Roman"/>
          <w:i/>
          <w:sz w:val="24"/>
          <w:szCs w:val="24"/>
        </w:rPr>
        <w:t>and</w:t>
      </w:r>
      <w:r w:rsidRPr="005B2DFB">
        <w:rPr>
          <w:rFonts w:ascii="Times New Roman" w:hAnsi="Times New Roman" w:cs="Times New Roman"/>
          <w:sz w:val="24"/>
          <w:szCs w:val="24"/>
        </w:rPr>
        <w:t xml:space="preserve"> the ways in which statutory design influences implementation and citizen outcomes. In this section, I demonstrate the limitations of a fragmentary approach in each of the subfields and the insights to be gained from a holistic approach to the study of policy design.</w:t>
      </w:r>
    </w:p>
    <w:p w14:paraId="6F62A7D3" w14:textId="7CECD140" w:rsidR="00DA69F5" w:rsidRPr="005B2DFB" w:rsidRDefault="00DA69F5" w:rsidP="00146DE5">
      <w:pPr>
        <w:spacing w:after="0" w:line="480" w:lineRule="auto"/>
        <w:textAlignment w:val="center"/>
        <w:rPr>
          <w:rFonts w:ascii="Times New Roman" w:hAnsi="Times New Roman" w:cs="Times New Roman"/>
          <w:i/>
          <w:sz w:val="24"/>
          <w:szCs w:val="24"/>
        </w:rPr>
      </w:pPr>
      <w:r w:rsidRPr="005B2DFB">
        <w:rPr>
          <w:rFonts w:ascii="Times New Roman" w:hAnsi="Times New Roman" w:cs="Times New Roman"/>
          <w:i/>
          <w:sz w:val="24"/>
          <w:szCs w:val="24"/>
        </w:rPr>
        <w:t>Policy Evaluation</w:t>
      </w:r>
    </w:p>
    <w:p w14:paraId="36CD35A0" w14:textId="77777777" w:rsidR="00DA69F5" w:rsidRPr="005B2DFB" w:rsidRDefault="00DA69F5" w:rsidP="00146DE5">
      <w:pPr>
        <w:spacing w:after="0" w:line="480" w:lineRule="auto"/>
        <w:ind w:firstLine="720"/>
        <w:textAlignment w:val="center"/>
        <w:rPr>
          <w:rFonts w:ascii="Times New Roman" w:hAnsi="Times New Roman" w:cs="Times New Roman"/>
          <w:sz w:val="24"/>
          <w:szCs w:val="24"/>
        </w:rPr>
      </w:pPr>
      <w:r w:rsidRPr="005B2DFB">
        <w:rPr>
          <w:rFonts w:ascii="Times New Roman" w:hAnsi="Times New Roman" w:cs="Times New Roman"/>
          <w:sz w:val="24"/>
          <w:szCs w:val="24"/>
        </w:rPr>
        <w:t>D</w:t>
      </w:r>
      <w:r w:rsidRPr="005B2DFB">
        <w:rPr>
          <w:rFonts w:ascii="Times New Roman" w:eastAsia="Times New Roman" w:hAnsi="Times New Roman" w:cs="Times New Roman"/>
          <w:sz w:val="24"/>
          <w:szCs w:val="24"/>
        </w:rPr>
        <w:t xml:space="preserve">espite the methodological strengths, insightful contextual knowledge and practical relevance of policy evaluation literature, this literature often neglects to develop generalizable </w:t>
      </w:r>
      <w:r w:rsidRPr="005B2DFB">
        <w:rPr>
          <w:rFonts w:ascii="Times New Roman" w:eastAsia="Times New Roman" w:hAnsi="Times New Roman" w:cs="Times New Roman"/>
          <w:sz w:val="24"/>
          <w:szCs w:val="24"/>
        </w:rPr>
        <w:lastRenderedPageBreak/>
        <w:t xml:space="preserve">theoretical contributions. This is despite the fact that many times policy evaluations will find that in some cases the policies work to improve outcomes and in other cases they do not, providing the kind of variation one would need to link systematic elements of policy design to policy outcomes. However, policy evaluation scholars often do not take the crucial step to understand </w:t>
      </w:r>
      <w:r w:rsidRPr="005B2DFB">
        <w:rPr>
          <w:rFonts w:ascii="Times New Roman" w:eastAsia="Times New Roman" w:hAnsi="Times New Roman" w:cs="Times New Roman"/>
          <w:i/>
          <w:sz w:val="24"/>
          <w:szCs w:val="24"/>
        </w:rPr>
        <w:t>why</w:t>
      </w:r>
      <w:r w:rsidRPr="005B2DFB">
        <w:rPr>
          <w:rFonts w:ascii="Times New Roman" w:eastAsia="Times New Roman" w:hAnsi="Times New Roman" w:cs="Times New Roman"/>
          <w:sz w:val="24"/>
          <w:szCs w:val="24"/>
        </w:rPr>
        <w:t xml:space="preserve"> a policy with the same design in one state did not work in another state, or why a policy might not have worked at all across sites. Integrating the study of politics and implementation can help integrate theoretical explanations for the disjuncture between policy goals and outcomes in multiple ways.</w:t>
      </w:r>
    </w:p>
    <w:p w14:paraId="798F0B38" w14:textId="77777777" w:rsidR="00DA69F5" w:rsidRPr="005B2DFB" w:rsidRDefault="00DA69F5" w:rsidP="00146DE5">
      <w:pPr>
        <w:spacing w:after="0" w:line="480" w:lineRule="auto"/>
        <w:ind w:firstLine="720"/>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First, integrating the role of politics can help explain the disjuncture between policy goals and observed policy outcomes by explaining the role of political feasibility and symbolic political choices in the process of policy design. In this way, policy evaluation would greatly benefit from appreciating the role </w:t>
      </w:r>
      <w:r w:rsidRPr="005B2DFB">
        <w:rPr>
          <w:rFonts w:ascii="Times New Roman" w:hAnsi="Times New Roman" w:cs="Times New Roman"/>
          <w:sz w:val="24"/>
          <w:szCs w:val="24"/>
        </w:rPr>
        <w:t xml:space="preserve">political feasibility considerations as well as the political manipulation of policy design highlighted by policy process scholars in shaping outcomes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{"citationID":"vPw1FHFi","properties":{"formattedCitation":"(McCann, 2016; Mettler, 2011; A. Schneider &amp; Ingram, 1993)","plainCitation":"(McCann, 2016; Mettler, 2011; A. Schneider &amp; Ingram, 1993)","dontUpdate":true,"noteIndex":0},"citationItems":[{"id":5798,"uris":["http://zotero.org/users/2595715/items/984URGLA"],"uri":["http://zotero.org/users/2595715/items/984URGLA"],"itemData":{"id":5798,"type":"book","title":"The Federal Design Dilemma: Congress and Intergovernmental Delegation","publisher":"Cambridge University Press","publisher-place":"New York, NY","number-of-pages":"286","source":"Amazon","event-place":"New York, NY","abstract":"The level of government responsible for implementing policies affects intent, services provided, and ultimate outcomes. The decision about where to locate such responsibility is the federal design dilemma faced by Congress. Taking a new approach to this delegation and decentralization, The Federal Design Dilemma focuses on individual members of Congress. Not only are these legislators elected by constituents from their states, they also consider the outcomes that will result from state-level versus national executive branch implementation of policies. Here, Pamela J. Clouser McCann documents congressional intergovernmental delegation between 1973 and 2010, and how individual legislators voted on decentralization and centralization choices. Clouser McCann traces the path of the Affordable Care Act from legislative proposals in each chamber to its final enactment, focusing on how legislators wrestled with their own intergovernmental context and the federal design of health insurance reform in the face of political challenges.","ISBN":"978-1-107-11046-5","shortTitle":"The Federal Design Dilemma","language":"English","author":[{"family":"McCann","given":"Pamela J. Clouser"}],"issued":{"date-parts":[["2016",9,8]]}}},{"id":95,"uris":["http://zotero.org/users/2595715/items/G3W8S27I"],"uri":["http://zotero.org/users/2595715/items/G3W8S27I"],"itemData":{"id":95,"type":"book","title":"The Submerged State: How Invisible Government Policies Undermine American Democracy","publisher":"University of Chicago Press","number-of-pages":"172","source":"Google Books","abstract":"“Keep your government hands off my Medicare!” Such comments spotlight a central question animating Suzanne Mettler’s provocative and timely book: why are many Americans unaware of government social benefits and so hostile to them in principle, even though they receive them? The Obama administration has been roundly criticized for its inability to convey how much it has accomplished for ordinary citizens. Mettler argues that this difficulty is not merely a failure of communication; rather it is endemic to the formidable presence of the “submerged state.”  In recent decades, federal policymakers have increasingly shunned the outright disbursing of benefits to individuals and families and favored instead less visible and more indirect incentives and subsidies, from tax breaks to payments for services to private companies. These submerged policies, Mettler shows, obscure the role of government and exaggerate that of the market. As a result, citizens are unaware not only of the benefits they receive, but of the massive advantages given to powerful interests, such as insurance companies and the financial industry. Neither do they realize that the policies of the submerged state shower their largest benefits on the most affluent Americans, exacerbating inequality. Mettler analyzes three Obama reforms—student aid, tax relief, and health care—to reveal the submerged state and its consequences, demonstrating how structurally difficult it is to enact policy reforms and even to obtain public recognition for achieving them. She concludes with recommendations for reform to help make hidden policies more visible and governance more comprehensible to all Americans.  The sad truth is that many American citizens do not know how major social programs work—or even whether they benefit from them. Suzanne Mettler’s important new book will bring government policies back to the surface and encourage citizens to reclaim their voice in the political process.","ISBN":"978-0-226-52166-4","shortTitle":"The Submerged State","language":"en","author":[{"family":"Mettler","given":"Suzanne"}],"issued":{"date-parts":[["2011",8,31]]}}},{"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(McCann, 2016; Mettler, 2011; Schneider &amp; Ingram, 1993)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fact, integrating this insight could reveal the underlying reason why policymakers sometimes choose the more inefficient policy tool for political reasons such as re-election calculus and social constructions of target populations. </w:t>
      </w:r>
    </w:p>
    <w:p w14:paraId="7FAE6A36"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eastAsia="Times New Roman" w:hAnsi="Times New Roman" w:cs="Times New Roman"/>
          <w:sz w:val="24"/>
          <w:szCs w:val="24"/>
        </w:rPr>
        <w:t xml:space="preserve">Second, </w:t>
      </w:r>
      <w:r w:rsidRPr="005B2DFB">
        <w:rPr>
          <w:rFonts w:ascii="Times New Roman" w:hAnsi="Times New Roman" w:cs="Times New Roman"/>
          <w:sz w:val="24"/>
          <w:szCs w:val="24"/>
        </w:rPr>
        <w:t xml:space="preserve">integrating literature on the politics of policy design and implementation would greatly benefit our understanding of the relationship between public policy and citizen outcomes by moving beyond rational choice assumptions to nuanced discussions of design as a venue of political decision making. </w:t>
      </w:r>
      <w:r w:rsidRPr="005B2DFB">
        <w:rPr>
          <w:rFonts w:ascii="Times New Roman" w:eastAsia="Times New Roman" w:hAnsi="Times New Roman" w:cs="Times New Roman"/>
          <w:sz w:val="24"/>
          <w:szCs w:val="24"/>
        </w:rPr>
        <w:t xml:space="preserve">The current economic perspective that dominates the policy evaluation literature overlooks the symbolic, rhetorical, and political dynamics that structure policy design choices and implementation. </w:t>
      </w:r>
      <w:r w:rsidRPr="005B2DFB">
        <w:rPr>
          <w:rFonts w:ascii="Times New Roman" w:hAnsi="Times New Roman" w:cs="Times New Roman"/>
          <w:sz w:val="24"/>
          <w:szCs w:val="24"/>
        </w:rPr>
        <w:t xml:space="preserve">Integrating insights from political science and public policy process </w:t>
      </w:r>
      <w:r w:rsidRPr="005B2DFB">
        <w:rPr>
          <w:rFonts w:ascii="Times New Roman" w:hAnsi="Times New Roman" w:cs="Times New Roman"/>
          <w:sz w:val="24"/>
          <w:szCs w:val="24"/>
        </w:rPr>
        <w:lastRenderedPageBreak/>
        <w:t xml:space="preserve">literature on policy design as a political tool and venue of politics would be beneficial for scholars interested in the role of policy design and structure on citizen outcomes. More specifically, this integration would benefit the ability of policy evaluation scholars to move beyond efficiency assessments and assumptions regarding rational policymaking processes to better characterize the highly subjective, symbolic, and value laden process of political decision making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{"citationID":"NWvFC4PV","properties":{"formattedCitation":"(A. Schneider &amp; Sidney, 2009; Stone, 2001)","plainCitation":"(A. Schneider &amp; Sidney, 2009; Stone, 2001)","dontUpdate":true,"noteIndex":0},"citationItems":[{"id":98,"uris":["http://zotero.org/users/2595715/items/Z9CZHE4U"],"uri":["http://zotero.org/users/2595715/items/Z9CZHE4U"],"itemData":{"id":98,"type":"article-journal","title":"What Is Next for Policy Design and Social Construction Theory?1","container-title":"Policy Studies Journal","page":"103-119","volume":"37","issue":"1","source":"Wiley Online Library","abstract":"The study of policy design has made great progress over the past decade in leading scholars to understand why the American political system produces certain kinds of designs rather than others, and the consequences that policy designs have for democracy. This article outlines the distinctive and important elements of policy design theory—the centrality of policy design, the attention to social constructions, the attention to policy consequences (or feed-forward effects), and the integration of normative and empirical research and theory. It then suggests how policy design theory can complement other policy theories in guiding research and evaluating the conditions of U.S. democracy, and how in its own right it can be further developed and used to guide important inquiry about public policy's politics and social impacts.","DOI":"10.1111/j.1541-0072.2008.00298.x","ISSN":"1541-0072","shortTitle":"What Is Next for Policy Design and Social Construction Theory?","language":"en","author":[{"family":"Schneider","given":"Anne"},{"family":"Sidney","given":"Mara"}],"issued":{"date-parts":[["2009",2,1]]}}},{"id":8,"uris":["http://zotero.org/users/2595715/items/WSCEJJBN"],"uri":["http://zotero.org/users/2595715/items/WSCEJJBN"],"itemData":{"id":8,"type":"book","title":"Policy Paradox: The Art of Political Decision Making","publisher":"W. W. Norton &amp; Company","publisher-place":"New York","number-of-pages":"448","edition":"Revised edition","source":"Amazon","event-place":"New York","abstract":"Since its debut, Policy Paradox has been widely acclaimed as the most accessible policy text available. Unlike most texts, which treat policy analysis and policy making as different enterprises, Policy Paradox demonstrates that \"you can’t take politics out of analysis.\" Through a uniquely rich and comprehensive model, this revised edition continues to show how real-world policy grows out of differing ideals, even definitions, of basic societal goals like security, equality, and liberty. The book also demonstrates how these ideals often conflict in policy implementation. In this revised edition, Stone has added a full-length case study as an appendix, taking up the issue of affirmative action. Clear, provocative, and engaging, Policy Paradox conveys the richness of public policy making and analysis.","ISBN":"978-0-393-97625-0","shortTitle":"Policy Paradox","language":"English","author":[{"family":"Stone","given":"Deborah"}],"issued":{"date-parts":[["2001",7,20]]}}}],"schema":"https://github.com/citation-style-language/schema/raw/master/csl-citation.json"}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(Schneider &amp; Sidney, 2009; Stone, 2001)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As the originators of policy design theory argue, “policy establishes the programs and processes that become the focus of evaluation research, thereby reminding the evaluator to pay attention to the contingencies and politics of the creation of the policy itself rather than at least temporarily assuming, while conducting an evaluation, that policymaking is a technical/rational exercise. Thus, outcomes can be understood or linked back to original policymaking processes in which compromises, rhetoric, etc., imposed certain qualities on the design in the first place”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{"citationID":"5fCXQ2AZ","properties":{"formattedCitation":"(A. Schneider &amp; Sidney, 2009)","plainCitation":"(A. Schneider &amp; Sidney, 2009)","dontUpdate":true,"noteIndex":0},"citationItems":[{"id":98,"uris":["http://zotero.org/users/2595715/items/Z9CZHE4U"],"uri":["http://zotero.org/users/2595715/items/Z9CZHE4U"],"itemData":{"id":98,"type":"article-journal","title":"What Is Next for Policy Design and Social Construction Theory?1","container-title":"Policy Studies Journal","page":"103-119","volume":"37","issue":"1","source":"Wiley Online Library","abstract":"The study of policy design has made great progress over the past decade in leading scholars to understand why the American political system produces certain kinds of designs rather than others, and the consequences that policy designs have for democracy. This article outlines the distinctive and important elements of policy design theory—the centrality of policy design, the attention to social constructions, the attention to policy consequences (or feed-forward effects), and the integration of normative and empirical research and theory. It then suggests how policy design theory can complement other policy theories in guiding research and evaluating the conditions of U.S. democracy, and how in its own right it can be further developed and used to guide important inquiry about public policy's politics and social impacts.","DOI":"10.1111/j.1541-0072.2008.00298.x","ISSN":"1541-0072","shortTitle":"What Is Next for Policy Design and Social Construction Theory?","language":"en","author":[{"family":"Schneider","given":"Anne"},{"family":"Sidney","given":"Mara"}],"issued":{"date-parts":[["2009",2,1]]}}}],"schema":"https://github.com/citation-style-language/schema/raw/master/csl-citation.json"}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(Schneider &amp; Sidney, 2009, 114-115)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p>
    <w:p w14:paraId="612D9805" w14:textId="77777777" w:rsidR="00DA69F5" w:rsidRPr="005B2DFB" w:rsidRDefault="00DA69F5" w:rsidP="00146DE5">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Third, integrating insights on the politics of implementation provides another key element in understanding the occasional disjuncture between policy goals and observed outcomes.</w:t>
      </w:r>
      <w:r w:rsidRPr="005B2DFB">
        <w:rPr>
          <w:rFonts w:ascii="Times New Roman" w:hAnsi="Times New Roman" w:cs="Times New Roman"/>
          <w:sz w:val="24"/>
          <w:szCs w:val="24"/>
        </w:rPr>
        <w:t xml:space="preserve"> While policy evaluation scholars often utilize a rational choice model to explain human behavior, implementation scholars realize that policy designs are wielded as a political tool and venue of politics with which officials can manipulate implementation processes and, in turn, citizen outcomes. In fact, studies on the politics of policy design and implementation have shown that some policies are hardwired for failure for political purposes through inducing inefficiency in the implementation process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{"citationID":"vtLZt8ob","properties":{"formattedCitation":"(McCann, 2016)","plainCitation":"(McCann, 2016)","noteIndex":0},"citationItems":[{"id":5798,"uris":["http://zotero.org/users/2595715/items/984URGLA"],"uri":["http://zotero.org/users/2595715/items/984URGLA"],"itemData":{"id":5798,"type":"book","title":"The Federal Design Dilemma: Congress and Intergovernmental Delegation","publisher":"Cambridge University Press","publisher-place":"New York, NY","number-of-pages":"286","source":"Amazon","event-place":"New York, NY","abstract":"The level of government responsible for implementing policies affects intent, services provided, and ultimate outcomes. The decision about where to locate such responsibility is the federal design dilemma faced by Congress. Taking a new approach to this delegation and decentralization, The Federal Design Dilemma focuses on individual members of Congress. Not only are these legislators elected by constituents from their states, they also consider the outcomes that will result from state-level versus national executive branch implementation of policies. Here, Pamela J. Clouser McCann documents congressional intergovernmental delegation between 1973 and 2010, and how individual legislators voted on decentralization and centralization choices. Clouser McCann traces the path of the Affordable Care Act from legislative proposals in each chamber to its final enactment, focusing on how legislators wrestled with their own intergovernmental context and the federal design of health insurance reform in the face of political challenges.","ISBN":"978-1-107-11046-5","shortTitle":"The Federal Design Dilemma","language":"English","author":[{"family":"McCann","given":"Pamela J. Clouser"}],"issued":{"date-parts":[["2016",9,8]]}}}],"schema":"https://github.com/citation-style-language/schema/raw/master/csl-citation.json"}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(McCann, 2016)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As scholars of governance put it, </w:t>
      </w:r>
      <w:r w:rsidRPr="005B2DFB">
        <w:rPr>
          <w:rFonts w:ascii="Times New Roman" w:eastAsia="Times New Roman" w:hAnsi="Times New Roman" w:cs="Times New Roman"/>
          <w:color w:val="000000"/>
          <w:sz w:val="24"/>
          <w:szCs w:val="24"/>
        </w:rPr>
        <w:t xml:space="preserve">"Even rational actors in legislatures cannot be expected to create rational organizations to execute their mandates; indeed, they may act to preclude effective administration of a controversial program rather than eliminate it outright"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{"citationID":"NRMrqqcI","properties":{"formattedCitation":"(Lynn, Heinrich, &amp; Hill, 2001; Moe, 1989)","plainCitation":"(Lynn, Heinrich, &amp; Hill, 2001; Moe, 1989)","dontUpdate":true,"noteIndex":0},"citationItems":[{"id":2055,"uris":["http://zotero.org/groups/385054/items/9ZA6UZP3"],"uri":["http://zotero.org/groups/385054/items/9ZA6UZP3"],"itemData":{"id":2055,"type":"book","title":"Improving Governance: A New Logic for Empirical Research","publisher":"Georgetown University Press","publisher-place":"Washington, DC","source":"catalog.lib.ou.edu Library Catalog","event-place":"Washington, DC","abstract":"Pages: viii, 212 p\n: Washington, D.C. : Georgetown University Press, c2001\n: viii, 212 p. : ill. ; 24 cm\nSeries: ([American governance and public policy series])\n: Series statement from jacket\nSeries: American governance and public policy","ISBN":"0-87840-852-5","call-number":"JF 1338 .A2 L85 2001","shortTitle":"Improving Governance","author":[{"family":"Lynn","given":"Laurence E."},{"family":"Heinrich","given":"Carolyn J."},{"family":"Hill","given":"Carolyn J."}],"issued":{"date-parts":[["2001"]]}}},{"id":2180,"uris":["http://zotero.org/groups/385054/items/NFQP6TT5"],"uri":["http://zotero.org/groups/385054/items/NFQP6TT5"],"itemData":{"id":2180,"type":"chapter","title":"The Politics of Bureaucratic Structure","container-title":"Can the Government Govern?","publisher":"The Brookings Institution","publisher-place":"Washington, DC","page":"267-329","event-place":"Washington, DC","author":[{"family":"Moe","given":"Terry M."}],"editor":[{"family":"Chubb","given":"John E."},{"family":"Peterson","given":"Paul E."}],"issued":{"date-parts":[["1989"]]}}}],"schema":"https://github.com/citation-style-language/schema/raw/master/csl-citation.json"}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(Lynn, Heinrich, &amp; Hill, 2001, 10; Moe, 1989)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this way, public officials </w:t>
      </w:r>
      <w:r w:rsidRPr="005B2DFB">
        <w:rPr>
          <w:rFonts w:ascii="Times New Roman" w:hAnsi="Times New Roman" w:cs="Times New Roman"/>
          <w:sz w:val="24"/>
          <w:szCs w:val="24"/>
        </w:rPr>
        <w:lastRenderedPageBreak/>
        <w:t>can blame bureaucrats for the failure of policy while all the while the politicians can ensure the failure or success of policies according to their ideological preferences and reap the benefits in their re-election campaigns.</w:t>
      </w:r>
      <w:r w:rsidRPr="005B2DFB">
        <w:rPr>
          <w:rFonts w:ascii="Times New Roman" w:eastAsia="Times New Roman" w:hAnsi="Times New Roman" w:cs="Times New Roman"/>
          <w:sz w:val="24"/>
          <w:szCs w:val="24"/>
        </w:rPr>
        <w:t xml:space="preserve"> </w:t>
      </w:r>
    </w:p>
    <w:p w14:paraId="54494F40" w14:textId="006A6809" w:rsidR="00DA69F5" w:rsidRPr="00146DE5" w:rsidRDefault="00DA69F5" w:rsidP="00146DE5">
      <w:pPr>
        <w:spacing w:after="0" w:line="480" w:lineRule="auto"/>
        <w:ind w:firstLine="720"/>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Together, this section reveals that policy evaluation fails to account for the role of politics, non-rational actors, and implementation processes in the relationship between public policy designs and outcomes. To overcome this oversight, this dissertation integrates the study of politics and implementation into the investigation into policy design so that scholars can better understand both the causal effects of policies while also taking into account the political and implementation processes that shape the relationship between design and outcomes. </w:t>
      </w:r>
    </w:p>
    <w:p w14:paraId="06EA807E" w14:textId="297ECC25" w:rsidR="00DA69F5" w:rsidRPr="00146DE5" w:rsidRDefault="00DA69F5" w:rsidP="00146DE5">
      <w:pPr>
        <w:spacing w:after="0" w:line="480" w:lineRule="auto"/>
        <w:textAlignment w:val="center"/>
        <w:rPr>
          <w:rFonts w:ascii="Times New Roman" w:eastAsia="Times New Roman" w:hAnsi="Times New Roman" w:cs="Times New Roman"/>
          <w:i/>
          <w:sz w:val="24"/>
          <w:szCs w:val="24"/>
        </w:rPr>
      </w:pPr>
      <w:r w:rsidRPr="005B2DFB">
        <w:rPr>
          <w:rFonts w:ascii="Times New Roman" w:eastAsia="Times New Roman" w:hAnsi="Times New Roman" w:cs="Times New Roman"/>
          <w:i/>
          <w:sz w:val="24"/>
          <w:szCs w:val="24"/>
        </w:rPr>
        <w:t>Policy Process Literature</w:t>
      </w:r>
    </w:p>
    <w:p w14:paraId="6D502608"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contrast to the a-theoretical, practical approach of policy evaluation studies, policy process theory literature focusses almost entirely on relationships of theoretical interest. As a result, this literature often examines the processes by which policies are designed in ways that produce degenerative politics instead of extending the discussion to include the implications for societal outcomes. Moreover, the emphases on processes instead of outcomes and the singular focus on political outcomes such as civic engagement and political efficacy neglect the fact that the vast majority of the policies in question are put in place with the explicit intention of improving heath, educational, economic or social outcomes. Therefore, while this literature provides insight on the political ramifications of policy designs, it often overlooks the impact of design on the realization of policy goals in the form of improved health, educational, social or economic conditions—the problems that motivated the enactment of policy reform in the first place. In this way, the policy process approach to design would be complemented by the policy </w:t>
      </w:r>
      <w:r w:rsidRPr="005B2DFB">
        <w:rPr>
          <w:rFonts w:ascii="Times New Roman" w:hAnsi="Times New Roman" w:cs="Times New Roman"/>
          <w:sz w:val="24"/>
          <w:szCs w:val="24"/>
        </w:rPr>
        <w:lastRenderedPageBreak/>
        <w:t xml:space="preserve">relevant discussions in the policy evaluation literature, so that both the political process and the implications of politically constrained designs for societal outcomes can be better understood. </w:t>
      </w:r>
    </w:p>
    <w:p w14:paraId="36CFECF4"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Perhaps most problematic, however, is the treatment of implementation. In fact, many policy process studies neglect bureaucratic implementation processes entirely, casting it as a black box or ignoring its influence entirely. This is where the conceptualization of policy design by public administration scholars is poised to add relevance and rigor to the conversation. Public administration literature realizes that the execution of policy reforms does not stop at the passage of legislation; policy designs directly influence governance which, in turn, translates into the effectiveness or ineffectiveness of policy reforms. Through opening up the black box of implementation, public administration scholarship has provided significant insight on the ways in which street-level bureaucrats and public managers navigate the translation of policy designs into policy outcomes. </w:t>
      </w:r>
    </w:p>
    <w:p w14:paraId="6FE39302" w14:textId="6E753F36" w:rsidR="00DA69F5" w:rsidRPr="00146DE5"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Therefore, while policy process literature on policy design provides the theoretical foundation for a holistic policy design framework, it could be complemented by the policy relevance of policy evaluation studies and the insights on the politics of implementation from public administration. Together, with the insights of policy evaluation and public administration, policy process conceptualizations of policy design can serve as the basis for better understanding the relationship between policy design and outcomes. </w:t>
      </w:r>
    </w:p>
    <w:p w14:paraId="71ADCCC6" w14:textId="2306EA30" w:rsidR="00DA69F5" w:rsidRPr="00146DE5" w:rsidRDefault="00DA69F5" w:rsidP="00146DE5">
      <w:pPr>
        <w:spacing w:after="0" w:line="480" w:lineRule="auto"/>
        <w:textAlignment w:val="center"/>
        <w:rPr>
          <w:rFonts w:ascii="Times New Roman" w:eastAsia="Times New Roman" w:hAnsi="Times New Roman" w:cs="Times New Roman"/>
          <w:i/>
          <w:sz w:val="24"/>
          <w:szCs w:val="24"/>
        </w:rPr>
      </w:pPr>
      <w:r w:rsidRPr="005B2DFB">
        <w:rPr>
          <w:rFonts w:ascii="Times New Roman" w:eastAsia="Times New Roman" w:hAnsi="Times New Roman" w:cs="Times New Roman"/>
          <w:i/>
          <w:sz w:val="24"/>
          <w:szCs w:val="24"/>
        </w:rPr>
        <w:t>Public Administration</w:t>
      </w:r>
    </w:p>
    <w:p w14:paraId="3395CCB4"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Finally, despite providing valuable insight into the black box of implementation, public administration studies often suffer from endogeneity, which can prevent clear causal interpretation of the results. Thus, despite the theoretical gains from public administration scholars highlighting the role of policy designs with administrative burden and the use of </w:t>
      </w:r>
      <w:r w:rsidRPr="005B2DFB">
        <w:rPr>
          <w:rFonts w:ascii="Times New Roman" w:hAnsi="Times New Roman" w:cs="Times New Roman"/>
          <w:sz w:val="24"/>
          <w:szCs w:val="24"/>
        </w:rPr>
        <w:lastRenderedPageBreak/>
        <w:t xml:space="preserve">discretion in explaining the disjuncture between stated policy goals and outcomes, this literature would benefit from the insights from policy evaluation in the sophistication with which policy evaluation studies isolate exogenous variation to reveal causal estimates. Indeed, policy evaluation studies, despite studying complex networks of organizations that influence outcomes, have developed advanced econometric tools and measurement of outcomes that would aid public administration literature in better addressing the issues of endogeneity. </w:t>
      </w:r>
    </w:p>
    <w:p w14:paraId="14DAEA23"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Additionally, public administration literature has focused on the role of policy design in areas such as welfare policy extensively but have not extended the theories of administrative burden to other policy areas. This is problematic because unlike welfare policy, other policy areas such as college affordability are not under the significant political constraints of partisan polarization. Therefore, the application of public administration frameworks in the context of multiple policy areas such as health care, K-12 and higher education could provide insight into potential deviations in policy areas that are less controversial than welfare policy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{"citationID":"BwInDdfr","properties":{"formattedCitation":"(Keiser, 1999)","plainCitation":"(Keiser, 1999)","noteIndex":0},"citationItems":[{"id":6395,"uris":["http://zotero.org/users/2595715/items/AFEVMV3I"],"uri":["http://zotero.org/users/2595715/items/AFEVMV3I"],"itemData":{"id":6395,"type":"article-journal","title":"State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(Keiser, 1999)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w:t>
      </w:r>
    </w:p>
    <w:p w14:paraId="31A9D0A2" w14:textId="3F031E6E" w:rsidR="00DA69F5" w:rsidRPr="00146DE5"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Moreover, public administration literature has often focused on the management practices of bureaucrats and how the management of organizations affects performance as measured by some output such as citizens accessing public programs. Therefore, in these investigations, performance is often measured as the number of people served rather than the effectiveness of programs for transforming citizen outcomes the way they were intended to. Again, the policy evaluation literature’s attention to policy outcomes as expressed through wage gains, educational attainment, or improved health outcomes would provide an innovative measurement of the performance of government agencies. </w:t>
      </w:r>
    </w:p>
    <w:p w14:paraId="077925C7" w14:textId="4155C376" w:rsidR="00DA69F5" w:rsidRPr="005B2DFB" w:rsidRDefault="00AD04EF" w:rsidP="00146DE5">
      <w:pPr>
        <w:spacing w:after="0" w:line="480" w:lineRule="auto"/>
        <w:rPr>
          <w:rFonts w:ascii="Times New Roman" w:hAnsi="Times New Roman" w:cs="Times New Roman"/>
          <w:b/>
          <w:sz w:val="24"/>
          <w:szCs w:val="24"/>
        </w:rPr>
      </w:pPr>
      <w:r>
        <w:rPr>
          <w:rFonts w:ascii="Times New Roman" w:hAnsi="Times New Roman" w:cs="Times New Roman"/>
          <w:b/>
          <w:sz w:val="24"/>
          <w:szCs w:val="24"/>
        </w:rPr>
        <w:t>Summary</w:t>
      </w:r>
    </w:p>
    <w:p w14:paraId="4DAAFCFD" w14:textId="77777777"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In this chapter, I argue that the current fragmented approach to the study of policy design in political science is counterproductive for a holistic understanding of the implications of policy design for the alignment of policy goals and outcomes. Specifically, this chapter demonstrates the strengths and weaknesses of each approach to the study of policy design in the three fragmented literatures—public policy evaluation, public policy process, and public administration. In doing so, this chapter demonstrates the benefits of pursuing an integrated approach in which the politics of policy design formation as well as the implications of political designs are explored for both bureaucratic implementation and policy outcomes. Thus, this chapter illustrates the theoretical benefits of an integrated approach in which scholars interested in policy design can appreciate the role of politically shaped policy designs in determining the alignment, or lack thereof between policy goals and policy outcomes. </w:t>
      </w:r>
    </w:p>
    <w:p w14:paraId="33B84A81" w14:textId="5009BADB"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I argue that the a-theoretical policy evaluation investigations would benefit from better understanding the politics of policy design choices by electoral institutions as well as the strategic use of discretion by bureaucrats in the implementation process. Next, I argue that policy process theories could benefit from a focus on the impact of political charged policy designs on policy outcomes instead of only choosing to focus on political outcomes. Moreover, I argue that policy process theories would greatly benefit from better understanding of how political choices affect implementation processes. Finally, I illustrate the ways in which public administration literature could benefit from the methodological tools in policy evaluation and the insights of policy process scholars on the underlying reasons for policies being designed in ways that exacerbate inequality.</w:t>
      </w:r>
    </w:p>
    <w:p w14:paraId="400F137A" w14:textId="34728EC6" w:rsidR="00DA69F5" w:rsidRPr="005B2DFB" w:rsidRDefault="00DA69F5" w:rsidP="00146DE5">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the following chapter, I demonstrate the utility of incorporating the study of politics, public administration and policy evaluation into the substantive policy area of higher education </w:t>
      </w:r>
      <w:r w:rsidRPr="005B2DFB">
        <w:rPr>
          <w:rFonts w:ascii="Times New Roman" w:hAnsi="Times New Roman" w:cs="Times New Roman"/>
          <w:sz w:val="24"/>
          <w:szCs w:val="24"/>
        </w:rPr>
        <w:lastRenderedPageBreak/>
        <w:t xml:space="preserve">policy—specifically college promise policy. Together these chapters highlight the utility of an integrated approach to the study of policy design and demonstrate what an integrated investigation might look like </w:t>
      </w:r>
      <w:r w:rsidR="000128A8">
        <w:rPr>
          <w:rFonts w:ascii="Times New Roman" w:hAnsi="Times New Roman" w:cs="Times New Roman"/>
          <w:sz w:val="24"/>
          <w:szCs w:val="24"/>
        </w:rPr>
        <w:t>in the context of a salient policy area</w:t>
      </w:r>
      <w:r w:rsidRPr="005B2DFB">
        <w:rPr>
          <w:rFonts w:ascii="Times New Roman" w:hAnsi="Times New Roman" w:cs="Times New Roman"/>
          <w:sz w:val="24"/>
          <w:szCs w:val="24"/>
        </w:rPr>
        <w:t xml:space="preserve">. </w:t>
      </w:r>
    </w:p>
    <w:p w14:paraId="096E5EFC" w14:textId="4F9DC033" w:rsidR="005259A5" w:rsidRDefault="005259A5">
      <w:pPr>
        <w:rPr>
          <w:rFonts w:ascii="Times New Roman" w:hAnsi="Times New Roman" w:cs="Times New Roman"/>
          <w:sz w:val="24"/>
          <w:szCs w:val="24"/>
        </w:rPr>
      </w:pPr>
      <w:r>
        <w:rPr>
          <w:rFonts w:ascii="Times New Roman" w:hAnsi="Times New Roman" w:cs="Times New Roman"/>
          <w:sz w:val="24"/>
          <w:szCs w:val="24"/>
        </w:rPr>
        <w:br w:type="page"/>
      </w:r>
    </w:p>
    <w:p w14:paraId="3B4E5055" w14:textId="77777777" w:rsidR="009E01B1" w:rsidRDefault="005259A5" w:rsidP="005259A5">
      <w:pPr>
        <w:rPr>
          <w:rFonts w:ascii="Times New Roman" w:hAnsi="Times New Roman" w:cs="Times New Roman"/>
          <w:b/>
          <w:sz w:val="32"/>
          <w:szCs w:val="32"/>
        </w:rPr>
      </w:pPr>
      <w:r w:rsidRPr="005259A5">
        <w:rPr>
          <w:rFonts w:ascii="Times New Roman" w:hAnsi="Times New Roman" w:cs="Times New Roman"/>
          <w:b/>
          <w:sz w:val="32"/>
          <w:szCs w:val="32"/>
        </w:rPr>
        <w:lastRenderedPageBreak/>
        <w:t>Chapter 2.</w:t>
      </w:r>
      <w:r w:rsidRPr="005259A5">
        <w:rPr>
          <w:rFonts w:ascii="Times New Roman" w:hAnsi="Times New Roman" w:cs="Times New Roman"/>
          <w:sz w:val="32"/>
          <w:szCs w:val="32"/>
        </w:rPr>
        <w:t xml:space="preserve"> </w:t>
      </w:r>
      <w:r w:rsidR="009E01B1">
        <w:rPr>
          <w:rFonts w:ascii="Times New Roman" w:hAnsi="Times New Roman" w:cs="Times New Roman"/>
          <w:b/>
          <w:sz w:val="32"/>
          <w:szCs w:val="32"/>
        </w:rPr>
        <w:t>Applying the Holistic Policy Design Framework to the Study of College Affordability and College Promise Policies</w:t>
      </w:r>
    </w:p>
    <w:p w14:paraId="2644A4B5" w14:textId="69328DB0" w:rsidR="001C4091" w:rsidRDefault="001C4091"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the last chapter, I demonstrated the importance of combining substantive policy evaluation tools with the theoretical insights of policy process and public management theories in the study of policy design. In this chapter, I reveal how this combined approach can be applied to a substantive policy area—in this case, </w:t>
      </w:r>
      <w:r w:rsidR="000F5D4A">
        <w:rPr>
          <w:rFonts w:ascii="Times New Roman" w:hAnsi="Times New Roman" w:cs="Times New Roman"/>
          <w:sz w:val="24"/>
          <w:szCs w:val="24"/>
        </w:rPr>
        <w:t xml:space="preserve">college affordability and </w:t>
      </w:r>
      <w:r>
        <w:rPr>
          <w:rFonts w:ascii="Times New Roman" w:hAnsi="Times New Roman" w:cs="Times New Roman"/>
          <w:sz w:val="24"/>
          <w:szCs w:val="24"/>
        </w:rPr>
        <w:t>t</w:t>
      </w:r>
      <w:r w:rsidRPr="005B2DFB">
        <w:rPr>
          <w:rFonts w:ascii="Times New Roman" w:hAnsi="Times New Roman" w:cs="Times New Roman"/>
          <w:sz w:val="24"/>
          <w:szCs w:val="24"/>
        </w:rPr>
        <w:t>he</w:t>
      </w:r>
      <w:r>
        <w:rPr>
          <w:rFonts w:ascii="Times New Roman" w:hAnsi="Times New Roman" w:cs="Times New Roman"/>
          <w:sz w:val="24"/>
          <w:szCs w:val="24"/>
        </w:rPr>
        <w:t xml:space="preserve"> </w:t>
      </w:r>
      <w:r w:rsidRPr="005B2DFB">
        <w:rPr>
          <w:rFonts w:ascii="Times New Roman" w:hAnsi="Times New Roman" w:cs="Times New Roman"/>
          <w:sz w:val="24"/>
          <w:szCs w:val="24"/>
        </w:rPr>
        <w:t>college promise movement.</w:t>
      </w:r>
    </w:p>
    <w:p w14:paraId="11F16607" w14:textId="11F8D7FC" w:rsidR="001C4091" w:rsidRDefault="001C4091"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this chapter, I review the state of the literature on college promise policies and demonstrate the utility of leveraging political science and public management frameworks in the study of policy design and inequality in college access and success. Thus, I first </w:t>
      </w:r>
      <w:r w:rsidR="00F0608A">
        <w:rPr>
          <w:rFonts w:ascii="Times New Roman" w:hAnsi="Times New Roman" w:cs="Times New Roman"/>
          <w:sz w:val="24"/>
          <w:szCs w:val="24"/>
        </w:rPr>
        <w:t xml:space="preserve">set the stage by introducing the public problem that college promise policies are attempting to address—inequality in college access and success. Then, I </w:t>
      </w:r>
      <w:r w:rsidRPr="005B2DFB">
        <w:rPr>
          <w:rFonts w:ascii="Times New Roman" w:hAnsi="Times New Roman" w:cs="Times New Roman"/>
          <w:sz w:val="24"/>
          <w:szCs w:val="24"/>
        </w:rPr>
        <w:t xml:space="preserve">review the current literature on college promise policies and highlight the flaws in the current approach. </w:t>
      </w:r>
      <w:r w:rsidR="00F0608A">
        <w:rPr>
          <w:rFonts w:ascii="Times New Roman" w:hAnsi="Times New Roman" w:cs="Times New Roman"/>
          <w:sz w:val="24"/>
          <w:szCs w:val="24"/>
        </w:rPr>
        <w:t xml:space="preserve">After establishing the drawbacks of the current approaches to studying </w:t>
      </w:r>
      <w:r w:rsidR="000F5D4A">
        <w:rPr>
          <w:rFonts w:ascii="Times New Roman" w:hAnsi="Times New Roman" w:cs="Times New Roman"/>
          <w:sz w:val="24"/>
          <w:szCs w:val="24"/>
        </w:rPr>
        <w:t xml:space="preserve">policy design and </w:t>
      </w:r>
      <w:r w:rsidR="00F0608A">
        <w:rPr>
          <w:rFonts w:ascii="Times New Roman" w:hAnsi="Times New Roman" w:cs="Times New Roman"/>
          <w:sz w:val="24"/>
          <w:szCs w:val="24"/>
        </w:rPr>
        <w:t>college promise,</w:t>
      </w:r>
      <w:r w:rsidRPr="005B2DFB">
        <w:rPr>
          <w:rFonts w:ascii="Times New Roman" w:hAnsi="Times New Roman" w:cs="Times New Roman"/>
          <w:sz w:val="24"/>
          <w:szCs w:val="24"/>
        </w:rPr>
        <w:t xml:space="preserve"> I draw on public policy literature on the politics of policy design to provide theoretical grounding for the investigation into the ways in which politics constrains policy design choices in the enactment of college promise policies. Next, I leverage the literature from public administration on the role of administrative burden and street-level bureaucrats to explore the potential ways in which high school counselors could moderate the effect of promise policy design on student outcomes.  This lays the foundation for a more comprehensive assessment of the role of policy design in shaping inequality in the context of college promise policies and sets the stage for future theoretical development at the intersections of higher education policy, public management and public policy theory. </w:t>
      </w:r>
    </w:p>
    <w:p w14:paraId="5969FEE2" w14:textId="1FA68AD7" w:rsidR="00742587" w:rsidRPr="008506F2" w:rsidRDefault="00742587" w:rsidP="00742587">
      <w:pPr>
        <w:spacing w:after="0" w:line="480" w:lineRule="auto"/>
        <w:ind w:firstLine="720"/>
        <w:textAlignment w:val="center"/>
        <w:rPr>
          <w:rFonts w:ascii="Times New Roman" w:hAnsi="Times New Roman" w:cs="Times New Roman"/>
          <w:sz w:val="24"/>
          <w:szCs w:val="24"/>
        </w:rPr>
      </w:pPr>
      <w:r w:rsidRPr="008506F2">
        <w:rPr>
          <w:rFonts w:ascii="Times New Roman" w:hAnsi="Times New Roman" w:cs="Times New Roman"/>
          <w:sz w:val="24"/>
          <w:szCs w:val="24"/>
        </w:rPr>
        <w:lastRenderedPageBreak/>
        <w:t xml:space="preserve">The rest of this chapter delineates the connections between college affordability, inequality, the college promise movement and policy design. In the next section I provide </w:t>
      </w:r>
      <w:r w:rsidR="004E7397">
        <w:rPr>
          <w:rFonts w:ascii="Times New Roman" w:hAnsi="Times New Roman" w:cs="Times New Roman"/>
          <w:sz w:val="24"/>
          <w:szCs w:val="24"/>
        </w:rPr>
        <w:t>an overview of the formidable</w:t>
      </w:r>
      <w:r w:rsidRPr="008506F2">
        <w:rPr>
          <w:rFonts w:ascii="Times New Roman" w:hAnsi="Times New Roman" w:cs="Times New Roman"/>
          <w:sz w:val="24"/>
          <w:szCs w:val="24"/>
        </w:rPr>
        <w:t xml:space="preserve"> college affordability crisis </w:t>
      </w:r>
      <w:r w:rsidR="004E7397">
        <w:rPr>
          <w:rFonts w:ascii="Times New Roman" w:hAnsi="Times New Roman" w:cs="Times New Roman"/>
          <w:sz w:val="24"/>
          <w:szCs w:val="24"/>
        </w:rPr>
        <w:t>and</w:t>
      </w:r>
      <w:r w:rsidRPr="008506F2">
        <w:rPr>
          <w:rFonts w:ascii="Times New Roman" w:hAnsi="Times New Roman" w:cs="Times New Roman"/>
          <w:sz w:val="24"/>
          <w:szCs w:val="24"/>
        </w:rPr>
        <w:t xml:space="preserve"> provide an in-depth description of the </w:t>
      </w:r>
      <w:r w:rsidR="004E7397">
        <w:rPr>
          <w:rFonts w:ascii="Times New Roman" w:hAnsi="Times New Roman" w:cs="Times New Roman"/>
          <w:sz w:val="24"/>
          <w:szCs w:val="24"/>
        </w:rPr>
        <w:t>college promise policy reforms</w:t>
      </w:r>
      <w:r w:rsidRPr="008506F2">
        <w:rPr>
          <w:rFonts w:ascii="Times New Roman" w:hAnsi="Times New Roman" w:cs="Times New Roman"/>
          <w:sz w:val="24"/>
          <w:szCs w:val="24"/>
        </w:rPr>
        <w:t xml:space="preserve">, </w:t>
      </w:r>
      <w:r w:rsidR="004E7397">
        <w:rPr>
          <w:rFonts w:ascii="Times New Roman" w:hAnsi="Times New Roman" w:cs="Times New Roman"/>
          <w:sz w:val="24"/>
          <w:szCs w:val="24"/>
        </w:rPr>
        <w:t xml:space="preserve">including the variation in policy design. Next, I review the current literature on policy design and the college promise movement, highlighting the limitations of current narrow conceptualizations of policy design. Finally, I </w:t>
      </w:r>
      <w:r w:rsidR="001E443D">
        <w:rPr>
          <w:rFonts w:ascii="Times New Roman" w:hAnsi="Times New Roman" w:cs="Times New Roman"/>
          <w:sz w:val="24"/>
          <w:szCs w:val="24"/>
        </w:rPr>
        <w:t>integrate the insights from social construction of target populations and administrative burden frameworks to demonstrate the benefits of the integrated approach to the study of policy design in the college promise movement.</w:t>
      </w:r>
    </w:p>
    <w:p w14:paraId="620ECCD7" w14:textId="38D3AC25" w:rsidR="00742587" w:rsidRPr="008506F2" w:rsidRDefault="00742587" w:rsidP="00742587">
      <w:pPr>
        <w:spacing w:after="0" w:line="480" w:lineRule="auto"/>
        <w:textAlignment w:val="center"/>
        <w:rPr>
          <w:rFonts w:ascii="Times New Roman" w:hAnsi="Times New Roman" w:cs="Times New Roman"/>
          <w:b/>
          <w:sz w:val="24"/>
          <w:szCs w:val="24"/>
        </w:rPr>
      </w:pPr>
      <w:r w:rsidRPr="008506F2">
        <w:rPr>
          <w:rFonts w:ascii="Times New Roman" w:hAnsi="Times New Roman" w:cs="Times New Roman"/>
          <w:b/>
          <w:sz w:val="24"/>
          <w:szCs w:val="24"/>
        </w:rPr>
        <w:t xml:space="preserve">1.2 Inequality in College Opportunity and the College Affordability Crisis </w:t>
      </w:r>
    </w:p>
    <w:p w14:paraId="4C640B26" w14:textId="18FCE46B" w:rsidR="00742587" w:rsidRPr="008506F2" w:rsidRDefault="00742587" w:rsidP="00742587">
      <w:pPr>
        <w:spacing w:after="0" w:line="480" w:lineRule="auto"/>
        <w:ind w:firstLine="720"/>
        <w:textAlignment w:val="center"/>
        <w:rPr>
          <w:rFonts w:ascii="Times New Roman" w:eastAsia="Times New Roman" w:hAnsi="Times New Roman" w:cs="Times New Roman"/>
          <w:sz w:val="24"/>
          <w:szCs w:val="24"/>
        </w:rPr>
      </w:pPr>
      <w:r w:rsidRPr="008506F2">
        <w:rPr>
          <w:rFonts w:ascii="Times New Roman" w:hAnsi="Times New Roman" w:cs="Times New Roman"/>
          <w:sz w:val="24"/>
          <w:szCs w:val="24"/>
        </w:rPr>
        <w:t xml:space="preserve">The systemic inequality that pervades the contemporary higher education system </w:t>
      </w:r>
      <w:r w:rsidRPr="008506F2">
        <w:rPr>
          <w:rFonts w:ascii="Times New Roman" w:eastAsia="Times New Roman" w:hAnsi="Times New Roman" w:cs="Times New Roman"/>
          <w:sz w:val="24"/>
          <w:szCs w:val="24"/>
        </w:rPr>
        <w:t xml:space="preserve">is not composed of a single stagnant component but rather has come to fruition thanks to a combination of equally troublesome dynamics that, when combined, present a formidable public problem many pundits have called the college affordability crisis. In this section, I lay out the contributing factors that have exacerbated the college affordability crisis and the consequences of this crisis for inequality and social mobility. </w:t>
      </w:r>
    </w:p>
    <w:p w14:paraId="406008E3" w14:textId="22B1C5C5" w:rsidR="00742587" w:rsidRPr="008506F2" w:rsidRDefault="00742587" w:rsidP="00742587">
      <w:pPr>
        <w:spacing w:after="0" w:line="480" w:lineRule="auto"/>
        <w:textAlignment w:val="center"/>
        <w:rPr>
          <w:rFonts w:ascii="Times New Roman" w:eastAsia="Times New Roman" w:hAnsi="Times New Roman" w:cs="Times New Roman"/>
          <w:i/>
          <w:sz w:val="24"/>
          <w:szCs w:val="24"/>
        </w:rPr>
      </w:pPr>
      <w:r w:rsidRPr="008506F2">
        <w:rPr>
          <w:rFonts w:ascii="Times New Roman" w:eastAsia="Times New Roman" w:hAnsi="Times New Roman" w:cs="Times New Roman"/>
          <w:i/>
          <w:sz w:val="24"/>
          <w:szCs w:val="24"/>
        </w:rPr>
        <w:t>Inequality and College Affordability</w:t>
      </w:r>
    </w:p>
    <w:p w14:paraId="3F41B260" w14:textId="77777777" w:rsidR="00742587" w:rsidRPr="008506F2" w:rsidRDefault="00742587" w:rsidP="00742587">
      <w:pPr>
        <w:spacing w:after="0" w:line="480" w:lineRule="auto"/>
        <w:ind w:firstLine="720"/>
        <w:rPr>
          <w:rFonts w:ascii="Times New Roman" w:hAnsi="Times New Roman" w:cs="Times New Roman"/>
          <w:sz w:val="24"/>
          <w:szCs w:val="24"/>
        </w:rPr>
      </w:pPr>
      <w:r w:rsidRPr="008506F2">
        <w:rPr>
          <w:rFonts w:ascii="Times New Roman" w:hAnsi="Times New Roman" w:cs="Times New Roman"/>
          <w:sz w:val="24"/>
          <w:szCs w:val="24"/>
        </w:rPr>
        <w:t xml:space="preserve">While the cost of college has skyrocketed, wages for middle and working-class families have remained stagnant, leaving a growing gap between what colleges charge and what families can pay. </w:t>
      </w:r>
      <w:r w:rsidRPr="008506F2">
        <w:rPr>
          <w:rFonts w:ascii="Times New Roman" w:eastAsia="Times New Roman" w:hAnsi="Times New Roman" w:cs="Times New Roman"/>
          <w:sz w:val="24"/>
          <w:szCs w:val="24"/>
        </w:rPr>
        <w:t xml:space="preserve">First, income inequality is on the rise with middle and working-class families facing stagnant wages while upper-class families have continued to thrive. These dynamics are reflected in the growth in the Gini coefficient from 0.48 in 1979 to 0.60 in 2013, indicating a steady growth in the disparity between the rich and poor in the U.S. (Congressional Budget Office </w:t>
      </w:r>
      <w:r w:rsidRPr="008506F2">
        <w:rPr>
          <w:rFonts w:ascii="Times New Roman" w:eastAsia="Times New Roman" w:hAnsi="Times New Roman" w:cs="Times New Roman"/>
          <w:sz w:val="24"/>
          <w:szCs w:val="24"/>
        </w:rPr>
        <w:lastRenderedPageBreak/>
        <w:t xml:space="preserve">2016). Second, the cost of college has skyrocketed; the average net price of college for a student in the lowest quartile of the income distribution was 84 percent in 2012 compared to only 45 percent in 1990 (Callahan et al. 2018; Mortenson 2014). With a more than 40 increase in the percentage of yearly income that a college education would require in only the span of 22 years, Americans in the lowest quartile of the income distribution face increasing barriers to accessing a college education. </w:t>
      </w:r>
    </w:p>
    <w:p w14:paraId="5664D268" w14:textId="77777777" w:rsidR="00742587" w:rsidRPr="008506F2" w:rsidRDefault="00742587" w:rsidP="00742587">
      <w:pPr>
        <w:spacing w:after="0" w:line="480" w:lineRule="auto"/>
        <w:ind w:firstLine="720"/>
        <w:textAlignment w:val="center"/>
        <w:rPr>
          <w:rFonts w:ascii="Times New Roman" w:eastAsia="Times New Roman" w:hAnsi="Times New Roman" w:cs="Times New Roman"/>
          <w:sz w:val="24"/>
          <w:szCs w:val="24"/>
        </w:rPr>
      </w:pPr>
      <w:r w:rsidRPr="008506F2">
        <w:rPr>
          <w:rFonts w:ascii="Times New Roman" w:eastAsia="Times New Roman" w:hAnsi="Times New Roman" w:cs="Times New Roman"/>
          <w:sz w:val="24"/>
          <w:szCs w:val="24"/>
        </w:rPr>
        <w:t xml:space="preserve">To make matters worse, while the cost of college has been rising and income inequality is on the rise, state and local public funds have not kept up, shifting more burden onto students and families in paying for college. Indeed, the percentage of college costs paid by students and families, as opposed to state, federal and local expenditures has increased from 33 percent in the late 1970s to 51 percent in 2015 (Bureau of Economic Analysis 2016). Thus, an increasing proportion of college costs are no longer supported by government revenues, at a time when students from families in the bottom quartile of the income distribution need help the most. These dynamics have contributed to a system in which the average unmet need of students in the lowest family income quartile has more than doubled from 1990 to 2012 (Callahan et al. 2018). </w:t>
      </w:r>
    </w:p>
    <w:p w14:paraId="74E8CF32" w14:textId="68261FB0" w:rsidR="00742587" w:rsidRPr="008506F2" w:rsidRDefault="00742587" w:rsidP="00742587">
      <w:pPr>
        <w:spacing w:after="0" w:line="480" w:lineRule="auto"/>
        <w:ind w:firstLine="720"/>
        <w:textAlignment w:val="center"/>
        <w:rPr>
          <w:rFonts w:ascii="Times New Roman" w:hAnsi="Times New Roman" w:cs="Times New Roman"/>
          <w:color w:val="000000"/>
          <w:sz w:val="24"/>
          <w:szCs w:val="24"/>
        </w:rPr>
      </w:pPr>
      <w:r w:rsidRPr="008506F2">
        <w:rPr>
          <w:rFonts w:ascii="Times New Roman" w:hAnsi="Times New Roman" w:cs="Times New Roman"/>
          <w:sz w:val="24"/>
          <w:szCs w:val="24"/>
        </w:rPr>
        <w:t xml:space="preserve">Consequently, many families sending their children to college have been forced to take out federal loans or resort to other, more risky forms of financial aid to assist in obtaining a college credential. With the hope that a college degree will be a golden ticket to a higher paying job than their parents, many students borrow more than they can pay back and end up defaulting on their student loans. In fact, currently 38 percent of undergraduates took out student loans in 2015-16 and by 2023 the cumulative student default rate is projected to be nearly 40 percent, meaning that almost half of the students that take out loans are not able to pay them back </w:t>
      </w:r>
      <w:r w:rsidRPr="008506F2">
        <w:rPr>
          <w:rFonts w:ascii="Times New Roman" w:hAnsi="Times New Roman" w:cs="Times New Roman"/>
          <w:sz w:val="24"/>
          <w:szCs w:val="24"/>
        </w:rPr>
        <w:fldChar w:fldCharType="begin"/>
      </w:r>
      <w:r w:rsidRPr="008506F2">
        <w:rPr>
          <w:rFonts w:ascii="Times New Roman" w:hAnsi="Times New Roman" w:cs="Times New Roman"/>
          <w:sz w:val="24"/>
          <w:szCs w:val="24"/>
        </w:rPr>
        <w:instrText xml:space="preserve"> ADDIN ZOTERO_ITEM CSL_CITATION {"citationID":"DFO47vvl","properties":{"formattedCitation":"(Radwin, 2018)","plainCitation":"(Radwin, 2018)","noteIndex":0},"citationItems":[{"id":6235,"uris":["http://zotero.org/users/2595715/items/34HSLAGW"],"uri":["http://zotero.org/users/2595715/items/34HSLAGW"],"itemData":{"id":6235,"type":"article-journal","title":"2015–16 National Postsecondary Student Aid Study (NPSAS:16) Student Financial Aid Estimates for 2015–16: First Look","container-title":"National Center for Education Statistics","page":"81","source":"Zotero","language":"en","author":[{"family":"Radwin","given":"David"}],"issued":{"date-parts":[["2018"]]}}}],"schema":"https://github.com/citation-style-language/schema/raw/master/csl-citation.json"} </w:instrText>
      </w:r>
      <w:r w:rsidRPr="008506F2">
        <w:rPr>
          <w:rFonts w:ascii="Times New Roman" w:hAnsi="Times New Roman" w:cs="Times New Roman"/>
          <w:sz w:val="24"/>
          <w:szCs w:val="24"/>
        </w:rPr>
        <w:fldChar w:fldCharType="separate"/>
      </w:r>
      <w:r w:rsidRPr="008506F2">
        <w:rPr>
          <w:rFonts w:ascii="Times New Roman" w:hAnsi="Times New Roman" w:cs="Times New Roman"/>
          <w:sz w:val="24"/>
          <w:szCs w:val="24"/>
        </w:rPr>
        <w:t>(Radwin, 2018)</w:t>
      </w:r>
      <w:r w:rsidRPr="008506F2">
        <w:rPr>
          <w:rFonts w:ascii="Times New Roman" w:hAnsi="Times New Roman" w:cs="Times New Roman"/>
          <w:sz w:val="24"/>
          <w:szCs w:val="24"/>
        </w:rPr>
        <w:fldChar w:fldCharType="end"/>
      </w:r>
      <w:r w:rsidRPr="008506F2">
        <w:rPr>
          <w:rFonts w:ascii="Times New Roman" w:hAnsi="Times New Roman" w:cs="Times New Roman"/>
          <w:sz w:val="24"/>
          <w:szCs w:val="24"/>
        </w:rPr>
        <w:t xml:space="preserve">. And unfortunately, despite the growing industry demand for a highly educated </w:t>
      </w:r>
      <w:r w:rsidRPr="008506F2">
        <w:rPr>
          <w:rFonts w:ascii="Times New Roman" w:hAnsi="Times New Roman" w:cs="Times New Roman"/>
          <w:sz w:val="24"/>
          <w:szCs w:val="24"/>
        </w:rPr>
        <w:lastRenderedPageBreak/>
        <w:t xml:space="preserve">workforce, </w:t>
      </w:r>
      <w:r w:rsidRPr="008506F2">
        <w:rPr>
          <w:rFonts w:ascii="Times New Roman" w:eastAsia="Times New Roman" w:hAnsi="Times New Roman" w:cs="Times New Roman"/>
          <w:sz w:val="24"/>
          <w:szCs w:val="24"/>
        </w:rPr>
        <w:t xml:space="preserve">"sixty percent of Americans aged twenty-five to sixty-four do not hold a college credential. But 22 percent of them—32.6 million Americans—have tried to get one. They left college frustrated, often saying it had something to do with money" (Goldrick-Rab 2016, 259). These experiences have manifested in a growing public concern about college affordability; in fact, 77% of adults expressed extreme concern when asked about how they would finance their child’s college education </w:t>
      </w:r>
      <w:r w:rsidRPr="008506F2">
        <w:rPr>
          <w:rFonts w:ascii="Times New Roman" w:hAnsi="Times New Roman" w:cs="Times New Roman"/>
          <w:color w:val="000000"/>
          <w:sz w:val="24"/>
          <w:szCs w:val="24"/>
        </w:rPr>
        <w:fldChar w:fldCharType="begin"/>
      </w:r>
      <w:r w:rsidRPr="008506F2">
        <w:rPr>
          <w:rFonts w:ascii="Times New Roman" w:hAnsi="Times New Roman" w:cs="Times New Roman"/>
          <w:color w:val="000000"/>
          <w:sz w:val="24"/>
          <w:szCs w:val="24"/>
        </w:rPr>
        <w:instrText xml:space="preserve"> ADDIN ZOTERO_ITEM CSL_CITATION {"citationID":"a17vhc9d030","properties":{"formattedCitation":"(Public Agenda, 2011)","plainCitation":"(Public Agenda, 2011)","dontUpdate":true,"noteIndex":0},"citationItems":[{"id":"Pahkean0/4vcmej77","uris":["http://zotero.org/users/1526270/items/LXQ4PTE4"],"uri":["http://zotero.org/users/1526270/items/LXQ4PTE4"],"itemData":{"id":1644,"type":"webpage","title":"Slip-Sliding Away","URL":"https://www.publicagenda.org/pages/slipsliding-away","author":[{"family":"Public Agenda","given":""}],"issued":{"date-parts":[["2011"]]},"accessed":{"date-parts":[["2018",2,25]]}}}],"schema":"https://github.com/citation-style-language/schema/raw/master/csl-citation.json"} </w:instrText>
      </w:r>
      <w:r w:rsidRPr="008506F2">
        <w:rPr>
          <w:rFonts w:ascii="Times New Roman" w:hAnsi="Times New Roman" w:cs="Times New Roman"/>
          <w:color w:val="000000"/>
          <w:sz w:val="24"/>
          <w:szCs w:val="24"/>
        </w:rPr>
        <w:fldChar w:fldCharType="separate"/>
      </w:r>
      <w:r w:rsidRPr="008506F2">
        <w:rPr>
          <w:rFonts w:ascii="Times New Roman" w:hAnsi="Times New Roman" w:cs="Times New Roman"/>
          <w:sz w:val="24"/>
          <w:szCs w:val="24"/>
        </w:rPr>
        <w:t>(Public Agenda, 2011)</w:t>
      </w:r>
      <w:r w:rsidRPr="008506F2">
        <w:rPr>
          <w:rFonts w:ascii="Times New Roman" w:hAnsi="Times New Roman" w:cs="Times New Roman"/>
          <w:color w:val="000000"/>
          <w:sz w:val="24"/>
          <w:szCs w:val="24"/>
        </w:rPr>
        <w:fldChar w:fldCharType="end"/>
      </w:r>
      <w:r w:rsidRPr="008506F2">
        <w:rPr>
          <w:rFonts w:ascii="Times New Roman" w:hAnsi="Times New Roman" w:cs="Times New Roman"/>
          <w:color w:val="000000"/>
          <w:sz w:val="24"/>
          <w:szCs w:val="24"/>
        </w:rPr>
        <w:t xml:space="preserve">. </w:t>
      </w:r>
    </w:p>
    <w:p w14:paraId="2261B531" w14:textId="77777777" w:rsidR="00742587" w:rsidRPr="008506F2" w:rsidRDefault="00742587" w:rsidP="00742587">
      <w:pPr>
        <w:spacing w:after="0" w:line="480" w:lineRule="auto"/>
        <w:ind w:firstLine="720"/>
        <w:textAlignment w:val="center"/>
        <w:rPr>
          <w:rFonts w:ascii="Times New Roman" w:hAnsi="Times New Roman" w:cs="Times New Roman"/>
          <w:sz w:val="24"/>
          <w:szCs w:val="24"/>
        </w:rPr>
      </w:pPr>
      <w:r w:rsidRPr="008506F2">
        <w:rPr>
          <w:rFonts w:ascii="Times New Roman" w:hAnsi="Times New Roman" w:cs="Times New Roman"/>
          <w:sz w:val="24"/>
          <w:szCs w:val="24"/>
        </w:rPr>
        <w:t xml:space="preserve">In the midst of this crisis, financial aid programs have emerged as a beacon of hope for students in their pursuit of a financially prudent higher education. However, many of the programs targeting low-income students have declined in purchasing power, are underfunded, or are being removed entirely. Most troubling is the declining purchasing power of the Pell Grant, which was put in place by policymakers who wanted every American to be able to pursue a higher education, no matter their family background. While the maximum Pell Grant used to cover 68 percent of average college costs in 1980, it only covers 25 percent of average college costs in 2016-17, leaving those struggling families in the bottom quartile of the income distribution with a substantial financial barrier standing in the way of postsecondary opportunity (Callahan et al. 2018). For a long time, this is where the financial aid programs at the state level would come in and make up the difference for low-income student struggling to pay for college. However, many states financial aid programs have shifted the policy design to be merit-based instead of need-based aid </w:t>
      </w:r>
      <w:r w:rsidRPr="008506F2">
        <w:rPr>
          <w:rFonts w:ascii="Times New Roman" w:hAnsi="Times New Roman" w:cs="Times New Roman"/>
          <w:sz w:val="24"/>
          <w:szCs w:val="24"/>
        </w:rPr>
        <w:fldChar w:fldCharType="begin"/>
      </w:r>
      <w:r w:rsidRPr="008506F2">
        <w:rPr>
          <w:rFonts w:ascii="Times New Roman" w:hAnsi="Times New Roman" w:cs="Times New Roman"/>
          <w:sz w:val="24"/>
          <w:szCs w:val="24"/>
        </w:rPr>
        <w:instrText xml:space="preserve"> ADDIN ZOTERO_ITEM CSL_CITATION {"citationID":"EMRRm84Q","properties":{"formattedCitation":"(Toutkoushian &amp; Shafiq, 2010)","plainCitation":"(Toutkoushian &amp; Shafiq, 2010)","noteIndex":0},"citationItems":[{"id":6029,"uris":["http://zotero.org/users/2595715/items/XGJ47EJA"],"uri":["http://zotero.org/users/2595715/items/XGJ47EJA"],"itemData":{"id":6029,"type":"article-journal","title":"A Conceptual Analysis of State Support for Higher Education: Appropriations versus Need-Based Financial Aid","container-title":"Research in Higher Education","page":"40-64","volume":"51","issue":"1","source":"JSTOR","abstract":"In this paper, we use economic concepts to examine the choice that states make between giving appropriations to public colleges or need-based financial aid to students. We begin by reviewing the economic justification for state support for higher education. Next, we introduce a simple economic model for comparing and contrasting appropriations and need-based aid for supporting higher education. We then provide a graphical depiction of the model and simulate the effects of each policy on access to higher education. We show that it is in the best interest of states to provide need-based aid and not appropriations. Finally, we conclude with a discussion of the factors that complicate the reallocation of state funding away from appropriations and towards need-based aid.","ISSN":"0361-0365","shortTitle":"A Conceptual Analysis of State Support for Higher Education","author":[{"family":"Toutkoushian","given":"Robert K."},{"family":"Shafiq","given":"M. Najeeb"}],"issued":{"date-parts":[["2010"]]}}}],"schema":"https://github.com/citation-style-language/schema/raw/master/csl-citation.json"} </w:instrText>
      </w:r>
      <w:r w:rsidRPr="008506F2">
        <w:rPr>
          <w:rFonts w:ascii="Times New Roman" w:hAnsi="Times New Roman" w:cs="Times New Roman"/>
          <w:sz w:val="24"/>
          <w:szCs w:val="24"/>
        </w:rPr>
        <w:fldChar w:fldCharType="separate"/>
      </w:r>
      <w:r w:rsidRPr="008506F2">
        <w:rPr>
          <w:rFonts w:ascii="Times New Roman" w:hAnsi="Times New Roman" w:cs="Times New Roman"/>
          <w:sz w:val="24"/>
          <w:szCs w:val="24"/>
        </w:rPr>
        <w:t>(Toutkoushian &amp; Shafiq, 2010)</w:t>
      </w:r>
      <w:r w:rsidRPr="008506F2">
        <w:rPr>
          <w:rFonts w:ascii="Times New Roman" w:hAnsi="Times New Roman" w:cs="Times New Roman"/>
          <w:sz w:val="24"/>
          <w:szCs w:val="24"/>
        </w:rPr>
        <w:fldChar w:fldCharType="end"/>
      </w:r>
      <w:r w:rsidRPr="008506F2">
        <w:rPr>
          <w:rFonts w:ascii="Times New Roman" w:hAnsi="Times New Roman" w:cs="Times New Roman"/>
          <w:sz w:val="24"/>
          <w:szCs w:val="24"/>
        </w:rPr>
        <w:t xml:space="preserve">. In designing the financial aid programs this way, policymakers exacerbate instead of alleviating the inequality in college access and success; merit-based financial aid is often awarded to students who could otherwise afford college while need-based aid is awarded to students who need help the most </w:t>
      </w:r>
      <w:r w:rsidRPr="008506F2">
        <w:rPr>
          <w:rFonts w:ascii="Times New Roman" w:hAnsi="Times New Roman" w:cs="Times New Roman"/>
          <w:sz w:val="24"/>
          <w:szCs w:val="24"/>
        </w:rPr>
        <w:fldChar w:fldCharType="begin"/>
      </w:r>
      <w:r w:rsidRPr="008506F2">
        <w:rPr>
          <w:rFonts w:ascii="Times New Roman" w:hAnsi="Times New Roman" w:cs="Times New Roman"/>
          <w:sz w:val="24"/>
          <w:szCs w:val="24"/>
        </w:rPr>
        <w:instrText xml:space="preserve"> ADDIN ZOTERO_ITEM CSL_CITATION {"citationID":"N77z7BPo","properties":{"formattedCitation":"(Heller &amp; Marin, 2002)","plainCitation":"(Heller &amp; Marin, 2002)","noteIndex":0},"citationItems":[{"id":5984,"uris":["http://zotero.org/users/2595715/items/2WH2P2N7"],"uri":["http://zotero.org/users/2595715/items/2WH2P2N7"],"itemData":{"id":5984,"type":"book","title":"Who Should We Help? The Negative Social Consequences of Merit Scholarships","publisher":"Civil Rights Project, Harvard University, 124 Mt","source":"ERIC","abstract":"This is a collection of papers from a 2001 symposium at Harvard University entitled \"State Merit Aid Programs: College Access and Equity.\" After a Foreword by Gary Orfield, the seven papers are (1) \"State Merit Scholarship Programs: An Introduction\" (Donald E. Heller); (2) \"Merit Scholarships and College Access: Evidence from Florida and Michigan\" (Donald E. Heller and Christopher J. Rasmussen); (3) \"Incentive Effects of New Mexico's Merit-Based Scholarship Program: Who Responds and How?\" (Melissa Binder, Philip T. Ganderton, and Kristin Hutchens); (4) \"Race and the Effects of Georgia's HOPE Scholarship\" (Christopher Cornwell and David B. Mustard); (5) \"Race, Income, and the Impact of Merit Aid\" (Susan Dynarski); (6) \"Do State Financial Aid Programs Cause Colleges To Raise  Prices? The Case of the Georgia HOPE Scholarship\" (Bridget Terry Long); and (7) \"Merit Scholarships and the Outlook for Equal Opportunities in Higher Education\" (Patricia Marin). (Individual papers contain references.) (SM)","URL":"https://eric.ed.gov/?id=ED468845","shortTitle":"Who Should We Help?","language":"en","author":[{"family":"Heller","given":"Donald E."},{"family":"Marin","given":"Patricia"}],"issued":{"date-parts":[["2002",8,23]]},"accessed":{"date-parts":[["2018",1,15]]}}}],"schema":"https://github.com/citation-style-language/schema/raw/master/csl-citation.json"} </w:instrText>
      </w:r>
      <w:r w:rsidRPr="008506F2">
        <w:rPr>
          <w:rFonts w:ascii="Times New Roman" w:hAnsi="Times New Roman" w:cs="Times New Roman"/>
          <w:sz w:val="24"/>
          <w:szCs w:val="24"/>
        </w:rPr>
        <w:fldChar w:fldCharType="separate"/>
      </w:r>
      <w:r w:rsidRPr="008506F2">
        <w:rPr>
          <w:rFonts w:ascii="Times New Roman" w:hAnsi="Times New Roman" w:cs="Times New Roman"/>
          <w:sz w:val="24"/>
          <w:szCs w:val="24"/>
        </w:rPr>
        <w:t>(Heller &amp; Marin, 2002)</w:t>
      </w:r>
      <w:r w:rsidRPr="008506F2">
        <w:rPr>
          <w:rFonts w:ascii="Times New Roman" w:hAnsi="Times New Roman" w:cs="Times New Roman"/>
          <w:sz w:val="24"/>
          <w:szCs w:val="24"/>
        </w:rPr>
        <w:fldChar w:fldCharType="end"/>
      </w:r>
      <w:r w:rsidRPr="008506F2">
        <w:rPr>
          <w:rFonts w:ascii="Times New Roman" w:hAnsi="Times New Roman" w:cs="Times New Roman"/>
          <w:sz w:val="24"/>
          <w:szCs w:val="24"/>
        </w:rPr>
        <w:t xml:space="preserve">. In fact, almost thirty percent of spending on merit-based aid is awarded to families </w:t>
      </w:r>
      <w:r w:rsidRPr="008506F2">
        <w:rPr>
          <w:rFonts w:ascii="Times New Roman" w:hAnsi="Times New Roman" w:cs="Times New Roman"/>
          <w:sz w:val="24"/>
          <w:szCs w:val="24"/>
        </w:rPr>
        <w:lastRenderedPageBreak/>
        <w:t xml:space="preserve">from the top quartile of the income distribution (Goldrick-Rab 2016, 252). Put plainly, </w:t>
      </w:r>
      <w:r w:rsidRPr="008506F2">
        <w:rPr>
          <w:rFonts w:ascii="Times New Roman" w:eastAsia="Times New Roman" w:hAnsi="Times New Roman" w:cs="Times New Roman"/>
          <w:sz w:val="24"/>
          <w:szCs w:val="24"/>
        </w:rPr>
        <w:t xml:space="preserve">"when children from families with resources get these scholarships, parents buy them cars. But when children of poor families get financial aid, they eat" (Goldrick-Rab 2016, 252). </w:t>
      </w:r>
      <w:r w:rsidRPr="008506F2">
        <w:rPr>
          <w:rFonts w:ascii="Times New Roman" w:hAnsi="Times New Roman" w:cs="Times New Roman"/>
          <w:sz w:val="24"/>
          <w:szCs w:val="24"/>
        </w:rPr>
        <w:t xml:space="preserve">So, at a time when poor kids need help the most due to the declining purchasing power of the Pell grant, state policy shifts have undermined many students’ ability to access state financial aid. Additionally, even in the states with need-based financial aid programs, the programs are often underfunded leaving eligible students with nothing. Just last year, nearly a million low-income students who were eligible for the need-based aid programs were left empty handed because student demand outweighed states’ supply of general fund money </w:t>
      </w:r>
      <w:r w:rsidRPr="008506F2">
        <w:rPr>
          <w:rFonts w:ascii="Times New Roman" w:hAnsi="Times New Roman" w:cs="Times New Roman"/>
          <w:sz w:val="24"/>
          <w:szCs w:val="24"/>
        </w:rPr>
        <w:fldChar w:fldCharType="begin"/>
      </w:r>
      <w:r w:rsidRPr="008506F2">
        <w:rPr>
          <w:rFonts w:ascii="Times New Roman" w:hAnsi="Times New Roman" w:cs="Times New Roman"/>
          <w:sz w:val="24"/>
          <w:szCs w:val="24"/>
        </w:rPr>
        <w:instrText xml:space="preserve"> ADDIN ZOTERO_ITEM CSL_CITATION {"citationID":"6ewftWaK","properties":{"formattedCitation":"(Kolodner, 2018)","plainCitation":"(Kolodner, 2018)","noteIndex":0},"citationItems":[{"id":6232,"uris":["http://zotero.org/users/2595715/items/TNYE5C3Y"],"uri":["http://zotero.org/users/2595715/items/TNYE5C3Y"],"itemData":{"id":6232,"type":"report","title":"Eligible for financial aid, almost one-third of students never get it","abstract":"Last year alone, more than 900,000 low-income students who applied for and were found eligible for state financial aid for college never received it, because states ran out of money, according to a new analysis of state data by The Hechinger Report.","URL":"http://hechingerreport.org/eligible-for-financial-aid-almost-one-third-of-students-never-get-it/","language":"en-US","author":[{"family":"Kolodner","given":"Meredith"}],"issued":{"date-parts":[["2018"]]},"accessed":{"date-parts":[["2018",5,26]]}}}],"schema":"https://github.com/citation-style-language/schema/raw/master/csl-citation.json"} </w:instrText>
      </w:r>
      <w:r w:rsidRPr="008506F2">
        <w:rPr>
          <w:rFonts w:ascii="Times New Roman" w:hAnsi="Times New Roman" w:cs="Times New Roman"/>
          <w:sz w:val="24"/>
          <w:szCs w:val="24"/>
        </w:rPr>
        <w:fldChar w:fldCharType="separate"/>
      </w:r>
      <w:r w:rsidRPr="008506F2">
        <w:rPr>
          <w:rFonts w:ascii="Times New Roman" w:hAnsi="Times New Roman" w:cs="Times New Roman"/>
          <w:sz w:val="24"/>
          <w:szCs w:val="24"/>
        </w:rPr>
        <w:t>(Kolodner, 2018)</w:t>
      </w:r>
      <w:r w:rsidRPr="008506F2">
        <w:rPr>
          <w:rFonts w:ascii="Times New Roman" w:hAnsi="Times New Roman" w:cs="Times New Roman"/>
          <w:sz w:val="24"/>
          <w:szCs w:val="24"/>
        </w:rPr>
        <w:fldChar w:fldCharType="end"/>
      </w:r>
      <w:r w:rsidRPr="008506F2">
        <w:rPr>
          <w:rFonts w:ascii="Times New Roman" w:hAnsi="Times New Roman" w:cs="Times New Roman"/>
          <w:sz w:val="24"/>
          <w:szCs w:val="24"/>
        </w:rPr>
        <w:t xml:space="preserve">. </w:t>
      </w:r>
    </w:p>
    <w:p w14:paraId="1970CE61" w14:textId="77777777" w:rsidR="00742587" w:rsidRPr="008506F2" w:rsidRDefault="00742587" w:rsidP="00742587">
      <w:pPr>
        <w:spacing w:after="0" w:line="480" w:lineRule="auto"/>
        <w:ind w:firstLine="720"/>
        <w:textAlignment w:val="center"/>
        <w:rPr>
          <w:rFonts w:ascii="Times New Roman" w:eastAsia="Times New Roman" w:hAnsi="Times New Roman" w:cs="Times New Roman"/>
          <w:sz w:val="24"/>
          <w:szCs w:val="24"/>
        </w:rPr>
      </w:pPr>
      <w:r w:rsidRPr="008506F2">
        <w:rPr>
          <w:rFonts w:ascii="Times New Roman" w:eastAsia="Times New Roman" w:hAnsi="Times New Roman" w:cs="Times New Roman"/>
          <w:sz w:val="24"/>
          <w:szCs w:val="24"/>
        </w:rPr>
        <w:t xml:space="preserve">As a result of the dire circumstances that have collided to create the college affordability crisis, inequality in college access and attainment has increased drastically, effectively cutting off middle and working-class families from access to the opportunities required for upward mobility. Gains in achievement on test scores and courses in high school have been concentrated among wealthier students which solidifies the stratification of high and low-income students in competitive advantage in the market of college admissions </w:t>
      </w:r>
      <w:r w:rsidRPr="008506F2">
        <w:rPr>
          <w:rFonts w:ascii="Times New Roman" w:eastAsia="Times New Roman" w:hAnsi="Times New Roman" w:cs="Times New Roman"/>
          <w:sz w:val="24"/>
          <w:szCs w:val="24"/>
        </w:rPr>
        <w:fldChar w:fldCharType="begin"/>
      </w:r>
      <w:r w:rsidRPr="008506F2">
        <w:rPr>
          <w:rFonts w:ascii="Times New Roman" w:eastAsia="Times New Roman" w:hAnsi="Times New Roman" w:cs="Times New Roman"/>
          <w:sz w:val="24"/>
          <w:szCs w:val="24"/>
        </w:rPr>
        <w:instrText xml:space="preserve"> ADDIN ZOTERO_ITEM CSL_CITATION {"citationID":"D2751H9z","properties":{"formattedCitation":"(Bastedo &amp; Jaquette, 2011)","plainCitation":"(Bastedo &amp; Jaquette, 2011)","noteIndex":0},"citationItems":[{"id":6250,"uris":["http://zotero.org/users/2595715/items/ZB876G83"],"uri":["http://zotero.org/users/2595715/items/ZB876G83"],"itemData":{"id":6250,"type":"article-journal","title":"Running in Place: Low-Income Students and the Dynamics of Higher Education Stratification","container-title":"Educational Evaluation and Policy Analysis","page":"318-339","volume":"33","issue":"3","source":"SAGE Journals","abstract":"The increasing concentration of wealthy students at highly selective colleges is widely perceived, but few analyses examine the underlying dynamics of higher education stratification over time. To examine these dynamics, the authors build an analysis data set of four cohorts from 1972 to 2004. They find that low-income students have made substantial gains in their academic course achievements since the 1970s. Nonetheless, wealthier students have made even stronger gains in achievement over the same period, in both courses and test scores, ensuring a competitive advantage in the market for selective college admissions. Thus, even if low-income students were “perfectly matched” to institutions consistent with their academic achievements, the stratification order would remain largely unchanged. The authors consider organizational and policy interventions that may reverse these trends.","DOI":"10.3102/0162373711406718","ISSN":"0162-3737","shortTitle":"Running in Place","journalAbbreviation":"Educational Evaluation and Policy Analysis","language":"en","author":[{"family":"Bastedo","given":"Michael N."},{"family":"Jaquette","given":"Ozan"}],"issued":{"date-parts":[["2011",9,1]]}}}],"schema":"https://github.com/citation-style-language/schema/raw/master/csl-citation.json"} </w:instrText>
      </w:r>
      <w:r w:rsidRPr="008506F2">
        <w:rPr>
          <w:rFonts w:ascii="Times New Roman" w:eastAsia="Times New Roman" w:hAnsi="Times New Roman" w:cs="Times New Roman"/>
          <w:sz w:val="24"/>
          <w:szCs w:val="24"/>
        </w:rPr>
        <w:fldChar w:fldCharType="separate"/>
      </w:r>
      <w:r w:rsidRPr="008506F2">
        <w:rPr>
          <w:rFonts w:ascii="Times New Roman" w:hAnsi="Times New Roman" w:cs="Times New Roman"/>
          <w:sz w:val="24"/>
          <w:szCs w:val="24"/>
        </w:rPr>
        <w:t>(Bastedo &amp; Jaquette, 2011)</w:t>
      </w:r>
      <w:r w:rsidRPr="008506F2">
        <w:rPr>
          <w:rFonts w:ascii="Times New Roman" w:eastAsia="Times New Roman" w:hAnsi="Times New Roman" w:cs="Times New Roman"/>
          <w:sz w:val="24"/>
          <w:szCs w:val="24"/>
        </w:rPr>
        <w:fldChar w:fldCharType="end"/>
      </w:r>
      <w:r w:rsidRPr="008506F2">
        <w:rPr>
          <w:rFonts w:ascii="Times New Roman" w:eastAsia="Times New Roman" w:hAnsi="Times New Roman" w:cs="Times New Roman"/>
          <w:sz w:val="24"/>
          <w:szCs w:val="24"/>
        </w:rPr>
        <w:t xml:space="preserve">. This manifests as major barriers in enrolling in college for, low-income students whether that be due to structural disadvantage, manifesting in a lack of competitive advantage or the inability to afford the massive price tags that is inextricably linked to a modern college education.  </w:t>
      </w:r>
    </w:p>
    <w:p w14:paraId="17AA0DD9" w14:textId="493C05BD" w:rsidR="00742587" w:rsidRPr="008506F2" w:rsidRDefault="00742587" w:rsidP="00742587">
      <w:pPr>
        <w:spacing w:after="0" w:line="480" w:lineRule="auto"/>
        <w:ind w:firstLine="720"/>
        <w:textAlignment w:val="center"/>
        <w:rPr>
          <w:rFonts w:ascii="Times New Roman" w:eastAsia="Times New Roman" w:hAnsi="Times New Roman" w:cs="Times New Roman"/>
          <w:sz w:val="24"/>
          <w:szCs w:val="24"/>
        </w:rPr>
      </w:pPr>
      <w:r w:rsidRPr="008506F2">
        <w:rPr>
          <w:rFonts w:ascii="Times New Roman" w:eastAsia="Times New Roman" w:hAnsi="Times New Roman" w:cs="Times New Roman"/>
          <w:sz w:val="24"/>
          <w:szCs w:val="24"/>
        </w:rPr>
        <w:t xml:space="preserve">These dynamics are also evident in college persistence and attainment, with high-income families being significantly more likely to attend college in the first place and persist year to year </w:t>
      </w:r>
      <w:r w:rsidRPr="008506F2">
        <w:rPr>
          <w:rFonts w:ascii="Times New Roman" w:eastAsia="Times New Roman" w:hAnsi="Times New Roman" w:cs="Times New Roman"/>
          <w:sz w:val="24"/>
          <w:szCs w:val="24"/>
        </w:rPr>
        <w:fldChar w:fldCharType="begin"/>
      </w:r>
      <w:r w:rsidRPr="008506F2">
        <w:rPr>
          <w:rFonts w:ascii="Times New Roman" w:eastAsia="Times New Roman" w:hAnsi="Times New Roman" w:cs="Times New Roman"/>
          <w:sz w:val="24"/>
          <w:szCs w:val="24"/>
        </w:rPr>
        <w:instrText xml:space="preserve"> ADDIN ZOTERO_ITEM CSL_CITATION {"citationID":"sMklKxNc","properties":{"formattedCitation":"(Alon, 2009; Bowen et al., 2006; Libassi, n.d.)","plainCitation":"(Alon, 2009; Bowen et al., 2006; Libassi, n.d.)","noteIndex":0},"citationItems":[{"id":6248,"uris":["http://zotero.org/users/2595715/items/WQ62DI84"],"uri":["http://zotero.org/users/2595715/items/WQ62DI84"],"itemData":{"id":6248,"type":"article-journal","title":"The Evolution of Class Inequality in Higher Education: Competition, Exclusion, and Adaptation","container-title":"American Sociological Review","page":"731-755","volume":"74","issue":"5","source":"SAGE Journals","abstract":"This study develops a comprehensive theoretical framework regarding the evolution of the class divide in postsecondary education. I conceptualize three prototypes of class inequality—effectively maintained, declining, and expanding—and associate their emergence with the level of competition in college admissions. I also unearth the twin mechanisms, exclusion and adaptation, that link class hierarchy to a highly stratified postsecondary system in an allegedly meritocratic environment. Intra- and inter-cohort comparisons reveal that while the class divide regarding enrollment and access to selective postsecondary schooling is ubiquitous, it declines when competition for slots in higher education is low and expands during periods of high competition. In such a regime of effectively expanding inequality (EEI), a greater emphasis on a certain selection criterion (like test scores) in admission decisions—required to sort the influx of applicants—is bolstered by class-based polarization vis-à-vis this particular criterion. This vicious cycle of exclusion and adaptation intensifies and expedites the escalation of class inequality. The results show that adaptation is more effective than exclusion in expanding class inequality in U.S. higher education.","DOI":"10.1177/000312240907400503","ISSN":"0003-1224","shortTitle":"The Evolution of Class Inequality in Higher Education","journalAbbreviation":"Am Sociol Rev","language":"en","author":[{"family":"Alon","given":"Sigal"}],"issued":{"date-parts":[["2009",10,1]]}}},{"id":6246,"uris":["http://zotero.org/users/2595715/items/WXKXB9HX"],"uri":["http://zotero.org/users/2595715/items/WXKXB9HX"],"itemData":{"id":6246,"type":"book","title":"Equity and Excellence in American Higher Education","publisher":"University of Virginia Press","publisher-place":"Charlottesville","number-of-pages":"480","edition":"1st Pbk. Ed edition","source":"Amazon","event-place":"Charlottesville","abstract":"Thomas Jefferson once stated that the foremost goal of American education must be to nurture the \"natural aristocracy of talent and virtue.\" Although in many ways American higher education has fulfilled Jefferson’s vision by achieving a widespread level of excellence, it has not achieved the objective of equity implicit in Jefferson’s statement. In Equity and Excellence in American Higher Education, William G. Bowen, Martin A. Kurzweil, and Eugene M. Tobin explore the cause for this divide. Employing historical research, examination of the most recent social science and public policy scholarship, international comparisons, and detailed empirical analysis of rich new data, the authors study the intersection between \"excellence\" and \"equity\" objectives.Beginning with a time line tracing efforts to achieve equity and excellence in higher education from the American Revolution to the early Cold War years, this narrative reveals the halting, episodic progress in broadening access across the dividing lines of gender, race, religion, ethnicity, and socioeconomic status. The authors argue that despite our rhetoric of inclusiveness, a significant number of youth from poor families do not share equal access to America’s elite colleges and universities. While America has achieved the highest level of educational attainment of any country, it runs the risk of losing this position unless it can markedly improve the precollegiate preparation of students from racial minorities and lower-income families. After identifying the \"equity\" problem at the national level and studying nineteen selective colleges and universities, the authors propose a set of potential actions to be taken at federal, state, local, and institutional levels. With recommendations ranging from reform of the admissions process, to restructuring of federal financial aid and state support of public universities, to addressing the various precollegiate obstacles that disadvantaged students face at home and in school, the authors urge all selective colleges and universities to continue race-sensitive admissions policies, while urging the most selective (and privileged) institutions to enroll more well-qualified students from families with low socioeconomic status.","ISBN":"978-0-8139-2557-8","language":"English","author":[{"family":"Bowen","given":"William G."},{"family":"Kurzweil","given":"Martin A."},{"family":"Tobin","given":"Eugene M."},{"family":"Pichler","given":"Susanne C."},{"family":"Hall","given":"Martin"},{"family":"Ryan","given":"Alan"}],"issued":{"date-parts":[["2006",4,7]]}}},{"id":6228,"uris":["http://zotero.org/users/2595715/items/YNPY73W8"],"uri":["http://zotero.org/users/2595715/items/YNPY73W8"],"itemData":{"id":6228,"type":"post-weblog","title":"The Neglected College Race Gap: Racial Disparities Among College Completers","container-title":"Center for American Progress","abstract":"White students have a significant advantage when it comes to where college completers get their credentials and what they study.","URL":"https://www.americanprogress.org/issues/education-postsecondary/reports/2018/05/23/451186/neglected-college-race-gap-racial-disparities-among-college-completers/","shortTitle":"The Neglected College Race Gap","language":"en-US","author":[{"family":"Libassi","given":"C. J."}],"accessed":{"date-parts":[["2018",5,25]]}}}],"schema":"https://github.com/citation-style-language/schema/raw/master/csl-citation.json"} </w:instrText>
      </w:r>
      <w:r w:rsidRPr="008506F2">
        <w:rPr>
          <w:rFonts w:ascii="Times New Roman" w:eastAsia="Times New Roman" w:hAnsi="Times New Roman" w:cs="Times New Roman"/>
          <w:sz w:val="24"/>
          <w:szCs w:val="24"/>
        </w:rPr>
        <w:fldChar w:fldCharType="separate"/>
      </w:r>
      <w:r w:rsidRPr="008506F2">
        <w:rPr>
          <w:rFonts w:ascii="Times New Roman" w:hAnsi="Times New Roman" w:cs="Times New Roman"/>
          <w:sz w:val="24"/>
          <w:szCs w:val="24"/>
        </w:rPr>
        <w:t>(Alon, 2009; Bowen et al., 2006; Libassi, 2018)</w:t>
      </w:r>
      <w:r w:rsidRPr="008506F2">
        <w:rPr>
          <w:rFonts w:ascii="Times New Roman" w:eastAsia="Times New Roman" w:hAnsi="Times New Roman" w:cs="Times New Roman"/>
          <w:sz w:val="24"/>
          <w:szCs w:val="24"/>
        </w:rPr>
        <w:fldChar w:fldCharType="end"/>
      </w:r>
      <w:r w:rsidRPr="008506F2">
        <w:rPr>
          <w:rFonts w:ascii="Times New Roman" w:eastAsia="Times New Roman" w:hAnsi="Times New Roman" w:cs="Times New Roman"/>
          <w:sz w:val="24"/>
          <w:szCs w:val="24"/>
        </w:rPr>
        <w:t xml:space="preserve">. In fact, economists estimate that college attainment has increased by only four percent for low-income families since the 1960s while high-income families have seen an increase of 18 percent </w:t>
      </w:r>
      <w:r w:rsidRPr="008506F2">
        <w:rPr>
          <w:rFonts w:ascii="Times New Roman" w:eastAsia="Times New Roman" w:hAnsi="Times New Roman" w:cs="Times New Roman"/>
          <w:sz w:val="24"/>
          <w:szCs w:val="24"/>
        </w:rPr>
        <w:fldChar w:fldCharType="begin"/>
      </w:r>
      <w:r w:rsidRPr="008506F2">
        <w:rPr>
          <w:rFonts w:ascii="Times New Roman" w:eastAsia="Times New Roman" w:hAnsi="Times New Roman" w:cs="Times New Roman"/>
          <w:sz w:val="24"/>
          <w:szCs w:val="24"/>
        </w:rPr>
        <w:instrText xml:space="preserve"> ADDIN ZOTERO_ITEM CSL_CITATION {"citationID":"lSyDkhOX","properties":{"formattedCitation":"(Bailey &amp; Dynarski, 2011)","plainCitation":"(Bailey &amp; Dynarski, 2011)","noteIndex":0},"citationItems":[{"id":6226,"uris":["http://zotero.org/users/2595715/items/5JVLB3JX"],"uri":["http://zotero.org/users/2595715/items/5JVLB3JX"],"itemData":{"id":6226,"type":"report","title":"Gains and Gaps: Changing Inequality in U.S. College Entry and Completion","publisher":"National Bureau of Economic Research","genre":"Working Paper","source":"National Bureau of Economic Research","abstract":"We describe changes over time in inequality in postsecondary education using nearly seventy years of data from the U.S. Census and the 1979 and 1997 National Longitudinal Surveys of Youth. We find growing gaps between children from high- and low-income families in college entry, persistence, and graduation. Rates of college completion increased by only four percentage points for low-income cohorts born around 1980 relative to cohorts born in the early 1960s, but by 18 percentage points for corresponding cohorts who grew up in high-income families. Among men, inequality in educational attainment has increased slightly since the early 1980s. But among women, inequality in educational attainment has risen sharply, driven by increases in the education of the daughters of high-income parents. Sex differences in educational attainment, which were small or nonexistent thirty years ago, are now substantial, with women outpacing men in every demographic group. The female advantage in educational attainment is largest in the top quartile of the income distribution. These sex differences present a formidable challenge to standard explanations for rising inequality in educational attainment.","URL":"http://www.nber.org/papers/w17633","note":"DOI: 10.3386/w17633","number":"17633","shortTitle":"Gains and Gaps","author":[{"family":"Bailey","given":"Martha J."},{"family":"Dynarski","given":"Susan M."}],"issued":{"date-parts":[["2011",12]]},"accessed":{"date-parts":[["2018",5,25]]}}}],"schema":"https://github.com/citation-style-language/schema/raw/master/csl-citation.json"} </w:instrText>
      </w:r>
      <w:r w:rsidRPr="008506F2">
        <w:rPr>
          <w:rFonts w:ascii="Times New Roman" w:eastAsia="Times New Roman" w:hAnsi="Times New Roman" w:cs="Times New Roman"/>
          <w:sz w:val="24"/>
          <w:szCs w:val="24"/>
        </w:rPr>
        <w:fldChar w:fldCharType="separate"/>
      </w:r>
      <w:r w:rsidRPr="008506F2">
        <w:rPr>
          <w:rFonts w:ascii="Times New Roman" w:hAnsi="Times New Roman" w:cs="Times New Roman"/>
          <w:sz w:val="24"/>
          <w:szCs w:val="24"/>
        </w:rPr>
        <w:t>(Bailey &amp; Dynarski, 2011)</w:t>
      </w:r>
      <w:r w:rsidRPr="008506F2">
        <w:rPr>
          <w:rFonts w:ascii="Times New Roman" w:eastAsia="Times New Roman" w:hAnsi="Times New Roman" w:cs="Times New Roman"/>
          <w:sz w:val="24"/>
          <w:szCs w:val="24"/>
        </w:rPr>
        <w:fldChar w:fldCharType="end"/>
      </w:r>
      <w:r w:rsidRPr="008506F2">
        <w:rPr>
          <w:rFonts w:ascii="Times New Roman" w:eastAsia="Times New Roman" w:hAnsi="Times New Roman" w:cs="Times New Roman"/>
          <w:sz w:val="24"/>
          <w:szCs w:val="24"/>
        </w:rPr>
        <w:t xml:space="preserve">. Further </w:t>
      </w:r>
      <w:r w:rsidRPr="008506F2">
        <w:rPr>
          <w:rFonts w:ascii="Times New Roman" w:eastAsia="Times New Roman" w:hAnsi="Times New Roman" w:cs="Times New Roman"/>
          <w:sz w:val="24"/>
          <w:szCs w:val="24"/>
        </w:rPr>
        <w:lastRenderedPageBreak/>
        <w:t>evidence suggests that in 1970 there was about a 30 percent gap in college attainment between the top quartile and the bottom quartile of the income distribution; by 2018, that gap has risen to about 47 percent (Calahan et al. 2018). Moreover, the hardship induced by the college affordability crisis and the resulting gap in college persistence and attainment is particularly evident for racial and ethnic minorities. There continue to be stark disparities by race in educational opportunities with white students much more likely to attend and persist in college compared to Latino and Black students</w:t>
      </w:r>
      <w:r w:rsidR="008E1F88">
        <w:rPr>
          <w:rFonts w:ascii="Times New Roman" w:eastAsia="Times New Roman" w:hAnsi="Times New Roman" w:cs="Times New Roman"/>
          <w:sz w:val="24"/>
          <w:szCs w:val="24"/>
        </w:rPr>
        <w:t xml:space="preserve"> (Libassi 2018)</w:t>
      </w:r>
      <w:r w:rsidRPr="008506F2">
        <w:rPr>
          <w:rFonts w:ascii="Times New Roman" w:eastAsia="Times New Roman" w:hAnsi="Times New Roman" w:cs="Times New Roman"/>
          <w:sz w:val="24"/>
          <w:szCs w:val="24"/>
        </w:rPr>
        <w:t xml:space="preserve">. Moreover, this translates to lower rates of upward mobility for black children and higher rates of downward mobility when compared to white children (Chetty </w:t>
      </w:r>
      <w:r w:rsidR="008E1F88">
        <w:rPr>
          <w:rFonts w:ascii="Times New Roman" w:eastAsia="Times New Roman" w:hAnsi="Times New Roman" w:cs="Times New Roman"/>
          <w:sz w:val="24"/>
          <w:szCs w:val="24"/>
        </w:rPr>
        <w:t>et al. 2017</w:t>
      </w:r>
      <w:r w:rsidRPr="008506F2">
        <w:rPr>
          <w:rFonts w:ascii="Times New Roman" w:eastAsia="Times New Roman" w:hAnsi="Times New Roman" w:cs="Times New Roman"/>
          <w:sz w:val="24"/>
          <w:szCs w:val="24"/>
        </w:rPr>
        <w:t xml:space="preserve">). Together, the evidence clearly demonstrates that the college affordability crisis is a formidable public problem that stands in the way of meaningful upward mobility and disproportionately impacts the disadvantaged. It is clear that while “education was the springboard to upward mobility” for many generations of Americans, by 2007 “the fruits of economic growth were confined to a smaller portion of the population </w:t>
      </w:r>
      <w:r w:rsidRPr="008506F2">
        <w:rPr>
          <w:rFonts w:ascii="Times New Roman" w:eastAsia="Times New Roman" w:hAnsi="Times New Roman" w:cs="Times New Roman"/>
          <w:sz w:val="24"/>
          <w:szCs w:val="24"/>
        </w:rPr>
        <w:fldChar w:fldCharType="begin"/>
      </w:r>
      <w:r w:rsidRPr="008506F2">
        <w:rPr>
          <w:rFonts w:ascii="Times New Roman" w:eastAsia="Times New Roman" w:hAnsi="Times New Roman" w:cs="Times New Roman"/>
          <w:sz w:val="24"/>
          <w:szCs w:val="24"/>
        </w:rPr>
        <w:instrText xml:space="preserve"> ADDIN ZOTERO_ITEM CSL_CITATION {"citationID":"z2aTrkFf","properties":{"formattedCitation":"(Duncan &amp; Murnane, 2011)","plainCitation":"(Duncan &amp; Murnane, 2011)","noteIndex":0},"citationItems":[{"id":6230,"uris":["http://zotero.org/users/2595715/items/GX5KIUPU"],"uri":["http://zotero.org/users/2595715/items/GX5KIUPU"],"itemData":{"id":6230,"type":"book","title":"Whither Opportunity?: Rising Inequality, Schools, and Children's Life Chances","publisher":"Russell Sage Foundation","publisher-place":"New York : Chicago","number-of-pages":"572","source":"Amazon","event-place":"New York : Chicago","abstract":"As the incomes of affluent and poor families have diverged over the past three decades, so too has the educational performance of their children. But how exactly do the forces of rising inequality affect the educational attainment and life chances of low-income children? In Whither Opportunity? a distinguished team of economists, sociologists, and experts in social and education policy examines the corrosive effects of unequal family resources, disadvantaged neighborhoods, insecure labor markets, and worsening school conditions on K-12 education. This groundbreaking book illuminates the ways rising inequality is undermining one of the most important goals of public education―the ability of schools to provide children with an equal chance at academic and economic success. The most ambitious study of educational inequality to date, Whither Opportunity? analyzes how social and economic conditions surrounding schools affect school performance and children’s educational achievement. The book shows that from earliest childhood, parental investments in children’s learning affect reading, math, and other attainments later in life. Contributor Meredith Phillip finds that between birth and age six, wealthier children will have spent as many as 1,300 more hours than poor children on child enrichment activities such as music lessons, travel, and summer camp. Greg Duncan, George Farkas, and Katherine Magnuson demonstrate that a child from a poor family is two to four times as likely as a child from an affluent family to have classmates with low skills and behavior problems – attributes which have a negative effect on the learning of their fellow students. As a result of such disparities, contributor Sean Reardon finds that the gap between rich and poor children’s math and reading achievement scores is now much larger than it was fifty years ago. And such income-based gaps persist across the school years, as Martha Bailey and Sue Dynarski document in their chapter on the growing income-based gap in college completion.Whither Opportunity? also reveals the profound impact of environmental factors on children’s educational progress and schools’ functioning. Elizabeth Ananat, Anna Gassman-Pines, and Christina Gibson-Davis show that local job losses such as those caused by plant closings can lower the test scores of students with low socioeconomic status, even students whose parents have not lost their jobs. They find that community-wide stress is most likely the culprit. Analyzing the math achievement of elementary school children, Stephen Raudenbush, Marshall Jean, and Emily Art find that students learn less if they attend schools with high student turnover during the school year – a common occurrence in poor schools. And David Kirk and Robert Sampson show that teacher commitment, parental involvement, and student achievement in schools in high-crime neighborhoods all tend to be low.For generations of Americans, public education provided the springboard to upward mobility. This pioneering volume casts a stark light on the ways rising inequality may now be compromising schools’ functioning, and with it the promise of equal opportunity in America.","ISBN":"978-0-87154-372-1","shortTitle":"Whither Opportunity?","language":"English","editor":[{"family":"Duncan","given":"Greg J."},{"family":"Murnane","given":"Richard J."}],"issued":{"date-parts":[["2011",9,1]]}}}],"schema":"https://github.com/citation-style-language/schema/raw/master/csl-citation.json"} </w:instrText>
      </w:r>
      <w:r w:rsidRPr="008506F2">
        <w:rPr>
          <w:rFonts w:ascii="Times New Roman" w:eastAsia="Times New Roman" w:hAnsi="Times New Roman" w:cs="Times New Roman"/>
          <w:sz w:val="24"/>
          <w:szCs w:val="24"/>
        </w:rPr>
        <w:fldChar w:fldCharType="separate"/>
      </w:r>
      <w:r w:rsidRPr="008506F2">
        <w:rPr>
          <w:rFonts w:ascii="Times New Roman" w:hAnsi="Times New Roman" w:cs="Times New Roman"/>
          <w:sz w:val="24"/>
          <w:szCs w:val="24"/>
        </w:rPr>
        <w:t>(Duncan &amp; Murnane, 2011 p. 3-4)</w:t>
      </w:r>
      <w:r w:rsidRPr="008506F2">
        <w:rPr>
          <w:rFonts w:ascii="Times New Roman" w:eastAsia="Times New Roman" w:hAnsi="Times New Roman" w:cs="Times New Roman"/>
          <w:sz w:val="24"/>
          <w:szCs w:val="24"/>
        </w:rPr>
        <w:fldChar w:fldCharType="end"/>
      </w:r>
    </w:p>
    <w:p w14:paraId="71E1F08E" w14:textId="0D2799BB" w:rsidR="00742587" w:rsidRPr="008506F2" w:rsidRDefault="00742587" w:rsidP="00742587">
      <w:pPr>
        <w:spacing w:after="0" w:line="480" w:lineRule="auto"/>
        <w:ind w:firstLine="720"/>
        <w:textAlignment w:val="center"/>
        <w:rPr>
          <w:rFonts w:ascii="Times New Roman" w:eastAsia="Times New Roman" w:hAnsi="Times New Roman" w:cs="Times New Roman"/>
          <w:sz w:val="24"/>
          <w:szCs w:val="24"/>
        </w:rPr>
      </w:pPr>
      <w:r w:rsidRPr="008506F2">
        <w:rPr>
          <w:rFonts w:ascii="Times New Roman" w:eastAsia="Times New Roman" w:hAnsi="Times New Roman" w:cs="Times New Roman"/>
          <w:sz w:val="24"/>
          <w:szCs w:val="24"/>
        </w:rPr>
        <w:t xml:space="preserve">Public policy has the task of taking on one of the most important barriers to social mobility of our time—unequal access to higher education opportunities. Together, with skyrocketing </w:t>
      </w:r>
      <w:r w:rsidRPr="008506F2">
        <w:rPr>
          <w:rFonts w:ascii="Times New Roman" w:hAnsi="Times New Roman" w:cs="Times New Roman"/>
          <w:sz w:val="24"/>
          <w:szCs w:val="24"/>
        </w:rPr>
        <w:t xml:space="preserve">college costs and an increase in demand for an educated workforce, policymakers face a landscape in which inequality in college access and completion has dire consequences not only for the livelihood of citizens and the integrity of the American Dream, but also for the economy as a whole. </w:t>
      </w:r>
      <w:r w:rsidRPr="008506F2">
        <w:rPr>
          <w:rFonts w:ascii="Times New Roman" w:eastAsia="Times New Roman" w:hAnsi="Times New Roman" w:cs="Times New Roman"/>
          <w:sz w:val="24"/>
          <w:szCs w:val="24"/>
        </w:rPr>
        <w:t xml:space="preserve">Policymakers and administrators face a dismal financial landscape in higher education; with college affordability being threatened and economic inequality on the rise, the risk of inaction is simply too high. The question is not whether policymakers will enact </w:t>
      </w:r>
      <w:r w:rsidRPr="008506F2">
        <w:rPr>
          <w:rFonts w:ascii="Times New Roman" w:eastAsia="Times New Roman" w:hAnsi="Times New Roman" w:cs="Times New Roman"/>
          <w:sz w:val="24"/>
          <w:szCs w:val="24"/>
        </w:rPr>
        <w:lastRenderedPageBreak/>
        <w:t xml:space="preserve">policies to address the college affordability crisis, but whether the types of policy reforms enacted will work to meaningfully reduce the inequality in college access and success. </w:t>
      </w:r>
    </w:p>
    <w:p w14:paraId="6A3C8660" w14:textId="3555412A" w:rsidR="00742587" w:rsidRPr="008506F2" w:rsidRDefault="00742587" w:rsidP="00742587">
      <w:pPr>
        <w:spacing w:after="0" w:line="480" w:lineRule="auto"/>
        <w:textAlignment w:val="center"/>
        <w:rPr>
          <w:rFonts w:ascii="Times New Roman" w:hAnsi="Times New Roman" w:cs="Times New Roman"/>
          <w:b/>
          <w:sz w:val="24"/>
          <w:szCs w:val="24"/>
        </w:rPr>
      </w:pPr>
      <w:r w:rsidRPr="008506F2">
        <w:rPr>
          <w:rFonts w:ascii="Times New Roman" w:hAnsi="Times New Roman" w:cs="Times New Roman"/>
          <w:b/>
          <w:sz w:val="24"/>
          <w:szCs w:val="24"/>
        </w:rPr>
        <w:t>1.3 College Promise Policies: How Will Policy Design and Public Management Impact the Ability to Reduce Inequality?</w:t>
      </w:r>
    </w:p>
    <w:p w14:paraId="2EFC12F4" w14:textId="77777777" w:rsidR="00742587" w:rsidRPr="008506F2" w:rsidRDefault="00742587" w:rsidP="00742587">
      <w:pPr>
        <w:spacing w:after="0" w:line="480" w:lineRule="auto"/>
        <w:ind w:firstLine="720"/>
        <w:textAlignment w:val="center"/>
        <w:rPr>
          <w:rFonts w:ascii="Times New Roman" w:hAnsi="Times New Roman" w:cs="Times New Roman"/>
          <w:sz w:val="24"/>
          <w:szCs w:val="24"/>
        </w:rPr>
      </w:pPr>
      <w:r w:rsidRPr="008506F2">
        <w:rPr>
          <w:rFonts w:ascii="Times New Roman" w:hAnsi="Times New Roman" w:cs="Times New Roman"/>
          <w:sz w:val="24"/>
          <w:szCs w:val="24"/>
        </w:rPr>
        <w:t xml:space="preserve">Faced with the daunting college affordability crisis and the resulting disparities in college access and success, policymakers and citizens have increased support for policies aimed at providing </w:t>
      </w:r>
      <w:r w:rsidRPr="00B606BD">
        <w:rPr>
          <w:rFonts w:ascii="Times New Roman" w:hAnsi="Times New Roman" w:cs="Times New Roman"/>
          <w:sz w:val="24"/>
          <w:szCs w:val="24"/>
        </w:rPr>
        <w:t xml:space="preserve">affordable higher education opportunities for students of all socio-economic backgrounds. One of the most prevalent of these policies are college promise policies. </w:t>
      </w:r>
      <w:r w:rsidRPr="00B606BD">
        <w:rPr>
          <w:rFonts w:ascii="Times New Roman" w:eastAsia="Times New Roman" w:hAnsi="Times New Roman" w:cs="Times New Roman"/>
          <w:sz w:val="24"/>
          <w:szCs w:val="24"/>
        </w:rPr>
        <w:t xml:space="preserve">Some states and localities have enacted innovative college promise programs, or place-based scholarship programs that resemble the Kalamazoo Promise and state-wide free college initiatives in order to increase access to affordable higher education opportunities </w:t>
      </w:r>
      <w:r w:rsidRPr="00B606BD">
        <w:rPr>
          <w:rFonts w:ascii="Times New Roman" w:eastAsia="Times New Roman" w:hAnsi="Times New Roman" w:cs="Times New Roman"/>
          <w:sz w:val="24"/>
          <w:szCs w:val="24"/>
        </w:rPr>
        <w:fldChar w:fldCharType="begin"/>
      </w:r>
      <w:r w:rsidRPr="00B606BD">
        <w:rPr>
          <w:rFonts w:ascii="Times New Roman" w:eastAsia="Times New Roman" w:hAnsi="Times New Roman" w:cs="Times New Roman"/>
          <w:sz w:val="24"/>
          <w:szCs w:val="24"/>
        </w:rPr>
        <w:instrText xml:space="preserve"> ADDIN ZOTERO_ITEM CSL_CITATION {"citationID":"D6Ih4M8X","properties":{"formattedCitation":"(Perna &amp; Leigh, 2017)","plainCitation":"(Perna &amp; Leigh, 2017)","noteIndex":0},"citationItems":[{"id":6086,"uris":["http://zotero.org/users/2595715/items/JJNEEZGZ"],"uri":["http://zotero.org/users/2595715/items/JJNEEZGZ"],"itemData":{"id":6086,"type":"article-journal","title":"Understanding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sidRPr="00B606BD">
        <w:rPr>
          <w:rFonts w:ascii="Times New Roman" w:eastAsia="Times New Roman" w:hAnsi="Times New Roman" w:cs="Times New Roman"/>
          <w:sz w:val="24"/>
          <w:szCs w:val="24"/>
        </w:rPr>
        <w:fldChar w:fldCharType="separate"/>
      </w:r>
      <w:r w:rsidRPr="00B606BD">
        <w:rPr>
          <w:rFonts w:ascii="Times New Roman" w:hAnsi="Times New Roman" w:cs="Times New Roman"/>
          <w:sz w:val="24"/>
          <w:szCs w:val="24"/>
        </w:rPr>
        <w:t>(Perna &amp; Leigh, 2017)</w:t>
      </w:r>
      <w:r w:rsidRPr="00B606BD">
        <w:rPr>
          <w:rFonts w:ascii="Times New Roman" w:eastAsia="Times New Roman" w:hAnsi="Times New Roman" w:cs="Times New Roman"/>
          <w:sz w:val="24"/>
          <w:szCs w:val="24"/>
        </w:rPr>
        <w:fldChar w:fldCharType="end"/>
      </w:r>
      <w:r w:rsidRPr="00B606BD">
        <w:rPr>
          <w:rFonts w:ascii="Times New Roman" w:eastAsia="Times New Roman" w:hAnsi="Times New Roman" w:cs="Times New Roman"/>
          <w:sz w:val="24"/>
          <w:szCs w:val="24"/>
        </w:rPr>
        <w:t>.</w:t>
      </w:r>
      <w:r w:rsidRPr="00B606BD">
        <w:rPr>
          <w:rFonts w:ascii="Times New Roman" w:hAnsi="Times New Roman" w:cs="Times New Roman"/>
          <w:sz w:val="24"/>
          <w:szCs w:val="24"/>
        </w:rPr>
        <w:t xml:space="preserve"> Many state and local policymakers have pursued college promise policies sometimes referred to as tuition-free college, in which place-based scholarships are awarded to all students in a geographic area that cover some chunk of college costs in an attempt to solve the college affordability crisis and even the playing field between the rich and poor in college access and success.</w:t>
      </w:r>
    </w:p>
    <w:p w14:paraId="176FDAB5" w14:textId="77777777" w:rsidR="00742587" w:rsidRPr="008506F2" w:rsidRDefault="00742587" w:rsidP="00742587">
      <w:pPr>
        <w:spacing w:line="480" w:lineRule="auto"/>
        <w:ind w:firstLine="720"/>
        <w:rPr>
          <w:rFonts w:ascii="Times New Roman" w:hAnsi="Times New Roman" w:cs="Times New Roman"/>
          <w:sz w:val="24"/>
          <w:szCs w:val="24"/>
        </w:rPr>
      </w:pPr>
      <w:r w:rsidRPr="008506F2">
        <w:rPr>
          <w:rFonts w:ascii="Times New Roman" w:hAnsi="Times New Roman" w:cs="Times New Roman"/>
          <w:sz w:val="24"/>
          <w:szCs w:val="24"/>
        </w:rPr>
        <w:t xml:space="preserve">While these policies are put in place with the uniform intention of increasing college attainment especially among traditionally disadvantaged groups, the policy designs utilized to accomplish these policy goals varies substantially across different programs. Ultimately, scholars have argued that this variation in policy design will determine whether college promise policies are able to meaningfully reduce inequality in college access and success, yet empirical work has yet to assess whether this will indeed be the case. This dissertation takes the first step in doing </w:t>
      </w:r>
      <w:r w:rsidRPr="008506F2">
        <w:rPr>
          <w:rFonts w:ascii="Times New Roman" w:hAnsi="Times New Roman" w:cs="Times New Roman"/>
          <w:sz w:val="24"/>
          <w:szCs w:val="24"/>
        </w:rPr>
        <w:lastRenderedPageBreak/>
        <w:t>so. In this section, I describe the variation in the design of college promise policies and link this variation in the impact that the policies will likely have on student outcomes and inequality.</w:t>
      </w:r>
    </w:p>
    <w:p w14:paraId="392610D8" w14:textId="77777777" w:rsidR="00742587" w:rsidRPr="008506F2" w:rsidRDefault="00742587" w:rsidP="00742587">
      <w:pPr>
        <w:spacing w:line="480" w:lineRule="auto"/>
        <w:rPr>
          <w:rFonts w:ascii="Times New Roman" w:hAnsi="Times New Roman" w:cs="Times New Roman"/>
          <w:i/>
          <w:sz w:val="24"/>
          <w:szCs w:val="24"/>
        </w:rPr>
      </w:pPr>
      <w:r w:rsidRPr="008506F2">
        <w:rPr>
          <w:rFonts w:ascii="Times New Roman" w:hAnsi="Times New Roman" w:cs="Times New Roman"/>
          <w:i/>
          <w:sz w:val="24"/>
          <w:szCs w:val="24"/>
        </w:rPr>
        <w:t>Policy Design Variation</w:t>
      </w:r>
    </w:p>
    <w:p w14:paraId="04610610" w14:textId="77777777" w:rsidR="00742587" w:rsidRPr="008506F2" w:rsidRDefault="00742587" w:rsidP="00742587">
      <w:pPr>
        <w:spacing w:line="480" w:lineRule="auto"/>
        <w:ind w:firstLine="720"/>
        <w:rPr>
          <w:rFonts w:ascii="Times New Roman" w:hAnsi="Times New Roman" w:cs="Times New Roman"/>
          <w:sz w:val="24"/>
          <w:szCs w:val="24"/>
        </w:rPr>
      </w:pPr>
      <w:r w:rsidRPr="008506F2">
        <w:rPr>
          <w:rFonts w:ascii="Times New Roman" w:hAnsi="Times New Roman" w:cs="Times New Roman"/>
          <w:sz w:val="24"/>
          <w:szCs w:val="24"/>
        </w:rPr>
        <w:t xml:space="preserve">With over 289 programs either proposed or enacted at the state and local level, scholars have begun to characterize the variation in the design of these policies and have identified multiple different dimensions </w:t>
      </w:r>
      <w:r w:rsidRPr="008506F2">
        <w:rPr>
          <w:rFonts w:ascii="Times New Roman" w:hAnsi="Times New Roman" w:cs="Times New Roman"/>
          <w:sz w:val="24"/>
          <w:szCs w:val="24"/>
        </w:rPr>
        <w:fldChar w:fldCharType="begin"/>
      </w:r>
      <w:r w:rsidRPr="008506F2">
        <w:rPr>
          <w:rFonts w:ascii="Times New Roman" w:hAnsi="Times New Roman" w:cs="Times New Roman"/>
          <w:sz w:val="24"/>
          <w:szCs w:val="24"/>
        </w:rPr>
        <w:instrText xml:space="preserve"> ADDIN ZOTERO_ITEM CSL_CITATION {"citationID":"JhsWpxbZ","properties":{"formattedCitation":"(Perna &amp; Leigh, 2017)","plainCitation":"(Perna &amp; Leigh, 2017)","noteIndex":0},"citationItems":[{"id":6086,"uris":["http://zotero.org/users/2595715/items/JJNEEZGZ"],"uri":["http://zotero.org/users/2595715/items/JJNEEZGZ"],"itemData":{"id":6086,"type":"article-journal","title":"Understanding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sidRPr="008506F2">
        <w:rPr>
          <w:rFonts w:ascii="Times New Roman" w:hAnsi="Times New Roman" w:cs="Times New Roman"/>
          <w:sz w:val="24"/>
          <w:szCs w:val="24"/>
        </w:rPr>
        <w:fldChar w:fldCharType="separate"/>
      </w:r>
      <w:r w:rsidRPr="008506F2">
        <w:rPr>
          <w:rFonts w:ascii="Times New Roman" w:hAnsi="Times New Roman" w:cs="Times New Roman"/>
          <w:sz w:val="24"/>
          <w:szCs w:val="24"/>
        </w:rPr>
        <w:t>(Perna &amp; Leigh, 2017)</w:t>
      </w:r>
      <w:r w:rsidRPr="008506F2">
        <w:rPr>
          <w:rFonts w:ascii="Times New Roman" w:hAnsi="Times New Roman" w:cs="Times New Roman"/>
          <w:sz w:val="24"/>
          <w:szCs w:val="24"/>
        </w:rPr>
        <w:fldChar w:fldCharType="end"/>
      </w:r>
      <w:r w:rsidRPr="008506F2">
        <w:rPr>
          <w:rFonts w:ascii="Times New Roman" w:hAnsi="Times New Roman" w:cs="Times New Roman"/>
          <w:sz w:val="24"/>
          <w:szCs w:val="24"/>
        </w:rPr>
        <w:t>. First, the policies utilize different implementation structures, with some requiring merit or need-based requirements while others have universal eligibility. For example, some programs make students with family incomes over a certain limit such as $50,000 or $100,000 ineligible while other programs require students to make a certain GPA in high school and college as well as a minimum standardized test score. Additionally, while some programs only cover tuition and fees, others cover the full cost of attendance and some policies only allow promise recipients residing in certain geographic areas such as cities, counties, or states to attend certain college, such as community colleges only.</w:t>
      </w:r>
    </w:p>
    <w:p w14:paraId="19325441" w14:textId="623FBFA4" w:rsidR="00742587" w:rsidRPr="008506F2" w:rsidRDefault="00742587" w:rsidP="00742587">
      <w:pPr>
        <w:spacing w:line="480" w:lineRule="auto"/>
        <w:ind w:firstLine="720"/>
        <w:rPr>
          <w:rFonts w:ascii="Times New Roman" w:hAnsi="Times New Roman" w:cs="Times New Roman"/>
          <w:sz w:val="24"/>
          <w:szCs w:val="24"/>
        </w:rPr>
      </w:pPr>
      <w:r w:rsidRPr="008506F2">
        <w:rPr>
          <w:rFonts w:ascii="Times New Roman" w:hAnsi="Times New Roman" w:cs="Times New Roman"/>
          <w:sz w:val="24"/>
          <w:szCs w:val="24"/>
        </w:rPr>
        <w:t>Second, the policies have different financial award structures, with some more generous programs adopting a first-dollar approach in which the aid is awarded on top of other grants and scholarships and others adopting a last-dollar approach in which the award covers the gap between the grants and scholarships and any leftover costs. This element of policy design variation is particularly important given the distributional implications. If students receive the Pell grant, and the program only covers tuition and fees, this could mean that in a last-dollar program these students would receive no aid while a student</w:t>
      </w:r>
      <w:r w:rsidR="00130CAC">
        <w:rPr>
          <w:rFonts w:ascii="Times New Roman" w:hAnsi="Times New Roman" w:cs="Times New Roman"/>
          <w:sz w:val="24"/>
          <w:szCs w:val="24"/>
        </w:rPr>
        <w:t xml:space="preserve"> with a higher family income</w:t>
      </w:r>
      <w:r w:rsidRPr="008506F2">
        <w:rPr>
          <w:rFonts w:ascii="Times New Roman" w:hAnsi="Times New Roman" w:cs="Times New Roman"/>
          <w:sz w:val="24"/>
          <w:szCs w:val="24"/>
        </w:rPr>
        <w:t xml:space="preserve"> </w:t>
      </w:r>
      <w:r w:rsidR="00130CAC">
        <w:rPr>
          <w:rFonts w:ascii="Times New Roman" w:hAnsi="Times New Roman" w:cs="Times New Roman"/>
          <w:sz w:val="24"/>
          <w:szCs w:val="24"/>
        </w:rPr>
        <w:t>would</w:t>
      </w:r>
      <w:r w:rsidRPr="008506F2">
        <w:rPr>
          <w:rFonts w:ascii="Times New Roman" w:hAnsi="Times New Roman" w:cs="Times New Roman"/>
          <w:sz w:val="24"/>
          <w:szCs w:val="24"/>
        </w:rPr>
        <w:t xml:space="preserve"> receive more of the financial aid dollars. </w:t>
      </w:r>
    </w:p>
    <w:p w14:paraId="5A85F691" w14:textId="4ADCE9F1" w:rsidR="00742587" w:rsidRPr="00026199" w:rsidRDefault="003A7C21" w:rsidP="00690847">
      <w:pPr>
        <w:spacing w:line="480" w:lineRule="auto"/>
        <w:ind w:firstLine="720"/>
        <w:rPr>
          <w:rFonts w:ascii="Times New Roman" w:hAnsi="Times New Roman" w:cs="Times New Roman"/>
          <w:sz w:val="24"/>
          <w:szCs w:val="24"/>
        </w:rPr>
      </w:pPr>
      <w:r w:rsidRPr="00026199">
        <w:rPr>
          <w:rFonts w:ascii="Times New Roman" w:hAnsi="Times New Roman" w:cs="Times New Roman"/>
          <w:sz w:val="24"/>
          <w:szCs w:val="24"/>
        </w:rPr>
        <w:lastRenderedPageBreak/>
        <w:t>Finally</w:t>
      </w:r>
      <w:r w:rsidR="00742587" w:rsidRPr="00026199">
        <w:rPr>
          <w:rFonts w:ascii="Times New Roman" w:hAnsi="Times New Roman" w:cs="Times New Roman"/>
          <w:sz w:val="24"/>
          <w:szCs w:val="24"/>
        </w:rPr>
        <w:t xml:space="preserve">, some programs require students to engage in community service and academic mentoring programs as well as providing student support programs while in college. </w:t>
      </w:r>
      <w:r w:rsidR="00026199">
        <w:rPr>
          <w:rFonts w:ascii="Times New Roman" w:hAnsi="Times New Roman" w:cs="Times New Roman"/>
          <w:sz w:val="24"/>
          <w:szCs w:val="24"/>
        </w:rPr>
        <w:t xml:space="preserve">Other </w:t>
      </w:r>
      <w:r w:rsidR="00742587" w:rsidRPr="00026199">
        <w:rPr>
          <w:rFonts w:ascii="Times New Roman" w:hAnsi="Times New Roman" w:cs="Times New Roman"/>
          <w:sz w:val="24"/>
          <w:szCs w:val="24"/>
        </w:rPr>
        <w:t>programs require students to be full-time students and make satisfactory academic progress</w:t>
      </w:r>
      <w:r w:rsidR="00026199">
        <w:rPr>
          <w:rFonts w:ascii="Times New Roman" w:hAnsi="Times New Roman" w:cs="Times New Roman"/>
          <w:sz w:val="24"/>
          <w:szCs w:val="24"/>
        </w:rPr>
        <w:t xml:space="preserve"> to encourage students to perform well in college while receiving the scholarship</w:t>
      </w:r>
      <w:r w:rsidR="00742587" w:rsidRPr="00026199">
        <w:rPr>
          <w:rFonts w:ascii="Times New Roman" w:hAnsi="Times New Roman" w:cs="Times New Roman"/>
          <w:sz w:val="24"/>
          <w:szCs w:val="24"/>
        </w:rPr>
        <w:t xml:space="preserve">. </w:t>
      </w:r>
      <w:r w:rsidR="00026199">
        <w:rPr>
          <w:rFonts w:ascii="Times New Roman" w:hAnsi="Times New Roman" w:cs="Times New Roman"/>
          <w:sz w:val="24"/>
          <w:szCs w:val="24"/>
        </w:rPr>
        <w:t>Some</w:t>
      </w:r>
      <w:r w:rsidR="00742587" w:rsidRPr="00026199">
        <w:rPr>
          <w:rFonts w:ascii="Times New Roman" w:hAnsi="Times New Roman" w:cs="Times New Roman"/>
          <w:sz w:val="24"/>
          <w:szCs w:val="24"/>
        </w:rPr>
        <w:t xml:space="preserve"> programs</w:t>
      </w:r>
      <w:r w:rsidR="00026199">
        <w:rPr>
          <w:rFonts w:ascii="Times New Roman" w:hAnsi="Times New Roman" w:cs="Times New Roman"/>
          <w:sz w:val="24"/>
          <w:szCs w:val="24"/>
        </w:rPr>
        <w:t xml:space="preserve"> also</w:t>
      </w:r>
      <w:r w:rsidR="00742587" w:rsidRPr="00026199">
        <w:rPr>
          <w:rFonts w:ascii="Times New Roman" w:hAnsi="Times New Roman" w:cs="Times New Roman"/>
          <w:sz w:val="24"/>
          <w:szCs w:val="24"/>
        </w:rPr>
        <w:t xml:space="preserve"> require extensive documentation such as income verification forms and academic transcripts as well as disciplinary records</w:t>
      </w:r>
      <w:r w:rsidR="00026199">
        <w:rPr>
          <w:rFonts w:ascii="Times New Roman" w:hAnsi="Times New Roman" w:cs="Times New Roman"/>
          <w:sz w:val="24"/>
          <w:szCs w:val="24"/>
        </w:rPr>
        <w:t>, while others only require students to fill out the FAFSA</w:t>
      </w:r>
      <w:r w:rsidR="00742587" w:rsidRPr="00026199">
        <w:rPr>
          <w:rFonts w:ascii="Times New Roman" w:hAnsi="Times New Roman" w:cs="Times New Roman"/>
          <w:sz w:val="24"/>
          <w:szCs w:val="24"/>
        </w:rPr>
        <w:t xml:space="preserve">. Given that these policies are so recent, it is essential that scholars begin to evaluate the implications of variation in design for the ability of these policies to reduce the disparity in college access and success between the rich and poor. </w:t>
      </w:r>
    </w:p>
    <w:p w14:paraId="4C18DE45" w14:textId="77777777" w:rsidR="00742587" w:rsidRPr="005B2DFB" w:rsidRDefault="00742587" w:rsidP="00742587">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2.2 Promise Policy Design and Student Outcomes</w:t>
      </w:r>
    </w:p>
    <w:p w14:paraId="7113C91E" w14:textId="77777777" w:rsidR="00742587" w:rsidRPr="005B2DFB" w:rsidRDefault="00742587"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Current research on college promise programs focuses on estimating the impacts of single programs on K-12 enrollment, academic achievement, and graduation in addition to the impacts on community development and post-secondary enrollment, college choice and persistence. As such, this literature investigates the impact of promise programs on college access and success from a policy evaluation epistemology. Inherent in this approach is the narrow treatment of variation in policy design as the independent variable composed of eligibility criteria, which structures who benefits, and the practical policy tools that impact the social or economic outcome variables of interest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{"citationID":"6HzAyMbV","properties":{"formattedCitation":"(Weimer &amp; Vining, 2017)","plainCitation":"(Weimer &amp; Vining, 2017)","noteIndex":0},"citationItems":[{"id":96,"uris":["http://zotero.org/users/2595715/items/P98R6KAF"],"uri":["http://zotero.org/users/2595715/items/P98R6KAF"],"itemData":{"id":96,"type":"book","title":"Policy Analysis: Concepts and Practice","publisher":"Taylor &amp; Francis","number-of-pages":"503","source":"Google Books","abstract":"Often described as a public policy “bible,” Weimer and Vining remains the essential primer it ever was. Now in its sixth edition, Policy Analysis provides a strong conceptual foundation of the rationales for and the limitations to public policy. It offers practical advice about how to do policy analysis, but goes a bit deeper to demonstrate the application of advanced analytical techniques through the use of case studies. Updates to this edition include:   A chapter dedicated to distinguishing between policy analysis, policy research, stakeholder analysis, and research about the policy process. An extensively updated chapter on policy problems as market and governmental failure that explores the popularity of Uber and its consequences. The presentation of a property rights perspective in the chapter on government supply to help show the goal tensions that arise from mixed ownership. An entirely new chapter on performing analysis from the perspective of a public agency and a particular program within the agency’s portfolio: public agency strategic analysis (PASA). A substantially rewritten chapter on cost–benefit analysis, to better prepare students to become producers and consumers of the types of cost–benefit analyses they will encounter in regulatory analysis and social policy careers. A new introductory case with a debriefing that provides advice to help students immediately begin work on their own projects.  Policy Analysis: Concepts and Practices remains a comprehensive, serious, and rich introduction to policy analysis for students in public policy, public administration, and business programs.","ISBN":"978-1-315-44211-2","note":"Google-Books-ID: xT4lDwAAQBAJ","shortTitle":"Policy Analysis","language":"en","author":[{"family":"Weimer","given":"David L."},{"family":"Vining","given":"Aidan R."}],"issued":{"date-parts":[["2017",3,31]]}}}],"schema":"https://github.com/citation-style-language/schema/raw/master/csl-citation.json"}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(Weimer &amp; Vining,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lens offers both strengths and weaknesses that will be explored in this section. However, first, I provide a summary of the current body of evidence on college promise policies, policy design and student outcomes. </w:t>
      </w:r>
    </w:p>
    <w:p w14:paraId="1F176BC0" w14:textId="77777777" w:rsidR="00742587" w:rsidRPr="005B2DFB" w:rsidRDefault="00742587" w:rsidP="00742587">
      <w:pPr>
        <w:spacing w:line="480" w:lineRule="auto"/>
        <w:rPr>
          <w:rFonts w:ascii="Times New Roman" w:hAnsi="Times New Roman" w:cs="Times New Roman"/>
          <w:sz w:val="24"/>
          <w:szCs w:val="24"/>
        </w:rPr>
      </w:pPr>
      <w:r w:rsidRPr="005B2DFB">
        <w:rPr>
          <w:rFonts w:ascii="Times New Roman" w:hAnsi="Times New Roman" w:cs="Times New Roman"/>
          <w:sz w:val="24"/>
          <w:szCs w:val="24"/>
        </w:rPr>
        <w:t xml:space="preserve">2.2.1 </w:t>
      </w:r>
      <w:r w:rsidRPr="005B2DFB">
        <w:rPr>
          <w:rFonts w:ascii="Times New Roman" w:hAnsi="Times New Roman" w:cs="Times New Roman"/>
          <w:i/>
          <w:sz w:val="24"/>
          <w:szCs w:val="24"/>
        </w:rPr>
        <w:t>The</w:t>
      </w:r>
      <w:r w:rsidRPr="005B2DFB">
        <w:rPr>
          <w:rFonts w:ascii="Times New Roman" w:hAnsi="Times New Roman" w:cs="Times New Roman"/>
          <w:sz w:val="24"/>
          <w:szCs w:val="24"/>
        </w:rPr>
        <w:t xml:space="preserve"> </w:t>
      </w:r>
      <w:r w:rsidRPr="005B2DFB">
        <w:rPr>
          <w:rFonts w:ascii="Times New Roman" w:hAnsi="Times New Roman" w:cs="Times New Roman"/>
          <w:i/>
          <w:sz w:val="24"/>
          <w:szCs w:val="24"/>
        </w:rPr>
        <w:t>Impact of College Promise on Community Development</w:t>
      </w:r>
    </w:p>
    <w:p w14:paraId="608D754C" w14:textId="77777777" w:rsidR="00742587" w:rsidRPr="005B2DFB" w:rsidRDefault="00742587" w:rsidP="00742587">
      <w:pPr>
        <w:spacing w:line="480" w:lineRule="auto"/>
        <w:rPr>
          <w:rFonts w:ascii="Times New Roman" w:hAnsi="Times New Roman" w:cs="Times New Roman"/>
          <w:sz w:val="24"/>
          <w:szCs w:val="24"/>
        </w:rPr>
      </w:pPr>
      <w:r w:rsidRPr="005B2DFB">
        <w:rPr>
          <w:rFonts w:ascii="Times New Roman" w:hAnsi="Times New Roman" w:cs="Times New Roman"/>
          <w:sz w:val="24"/>
          <w:szCs w:val="24"/>
        </w:rPr>
        <w:lastRenderedPageBreak/>
        <w:tab/>
        <w:t xml:space="preserve">Many of the studies on the impact of Promise programs, or place-based scholarships, focus on the impact on K-12 enrollment and other elements of community development. In fact, part of the rationale for these programs is the contribution these financial aid incentives will provide for increasing populations, job growth, property values, and consumer spending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{"citationID":"LC4NJ4Gc","properties":{"formattedCitation":"(T. Bartik, Eberts, &amp; Huang, 2010; LeGower &amp; Walsh, 2017)","plainCitation":"(T. Bartik, Eberts, &amp; Huang, 2010; LeGower &amp; Walsh, 2017)","dontUpdate":true,"noteIndex":0},"citationItems":[{"id":6217,"uris":["http://zotero.org/users/2595715/items/7JZAXUHF"],"uri":["http://zotero.org/users/2595715/items/7JZAXUHF"],"itemData":{"id":6217,"type":"article-journal","title":"The Kalamazoo Promise, and Enrollment and Achievement Trends in Kalamazoo Public Schools","container-title":"Upjohn Institute","URL":"http://research.upjohn.org/confpapers/15","author":[{"family":"Bartik","given":"Timothy"},{"family":"Eberts","given":"Randall"},{"family":"Huang","given":"Wei-Jang"}],"issued":{"date-parts":[["2010",1,1]]}}},{"id":5812,"uris":["http://zotero.org/users/2595715/items/CCIIACVD"],"uri":["http://zotero.org/users/2595715/items/CCIIACVD"],"itemData":{"id":5812,"type":"article-journal","title":"Promise scholarship programs as place-making policy: Evidence from school enrollment and housing prices","container-title":"Journal of Urban Economics","page":"74-89","volume":"101","issue":"Supplement C","source":"ScienceDirect","abstract":"Place-based “Promise” scholarship programs—which guarantee financial aid for qualifying graduates of a school district—have proliferated in recent years. Using data from multiple sites, we compare the evolution of school enrollment and residential real estate prices around program announcement dates within Promise-eligible and surrounding areas. While our estimates indicate that enrollment increased following Promise announcements, merit-based programs generated relative increases in white enrollment. Housing prices respond strongly in neighborhoods with better primary schools and in the upper half of the housing price distribution. We conclude that these programs have important and under-studied distributional considerations.","DOI":"10.1016/j.jue.2017.06.001","ISSN":"0094-1190","shortTitle":"Promise scholarship programs as place-making policy","journalAbbreviation":"Journal of Urban Economics","author":[{"family":"LeGower","given":"Michael"},{"family":"Walsh","given":"Randall"}],"issued":{"date-parts":[["2017",9,1]]}}}],"schema":"https://github.com/citation-style-language/schema/raw/master/csl-citation.json"}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(Bartik, Eberts, &amp; Huang, 2010; LeGower &amp; Walsh,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 studies investigating whether this rationale is reflected in reality have found that the implementation of Promise programs substantially increases the K-12 academic outcomes in the local areas as well as the vitality of the local community. For instance, in the Kalamazoo Promise, the most well-researched program, enrollment in Kalamazoo public schools increased by 12 percent after the introduction of the promise program (Miron &amp; Cullen 2008). Other estimates suggest that K-12 enrollment in Kalamazoo in 2009 was 25 percent higher than what would be expected in the absence of the program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{"citationID":"CYKVhFeB","properties":{"formattedCitation":"(T. Bartik et al., 2010)","plainCitation":"(T. Bartik et al., 2010)","dontUpdate":true,"noteIndex":0},"citationItems":[{"id":6217,"uris":["http://zotero.org/users/2595715/items/7JZAXUHF"],"uri":["http://zotero.org/users/2595715/items/7JZAXUHF"],"itemData":{"id":6217,"type":"article-journal","title":"The Kalamazoo Promise, and Enrollment and Achievement Trends in Kalamazoo Public Schools","container-title":"Upjohn Institute","URL":"http://research.upjohn.org/confpapers/15","author":[{"family":"Bartik","given":"Timothy"},{"family":"Eberts","given":"Randall"},{"family":"Huang","given":"Wei-Jang"}],"issued":{"date-parts":[["2010",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(Bartik et al.,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increase in K-12 enrollment in Kalamazoo is attributed to the influx of students from one adjacent high-poverty suburban school district (Hershbein 2013). Moreover, this study found the program stabilized racial and ethnic diversity by reducing the likelihood of white flight (Bartik et al., 2010). Not only did enrollment increase, but academic performance also increased; the implementation of the program led to increased academic effort in high schools and decreased dropout rates for minority populations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{"citationID":"2XOKIwOX","properties":{"formattedCitation":"(T. Bartik et al., 2010)","plainCitation":"(T. Bartik et al., 2010)","dontUpdate":true,"noteIndex":0},"citationItems":[{"id":6217,"uris":["http://zotero.org/users/2595715/items/7JZAXUHF"],"uri":["http://zotero.org/users/2595715/items/7JZAXUHF"],"itemData":{"id":6217,"type":"article-journal","title":"The Kalamazoo Promise, and Enrollment and Achievement Trends in Kalamazoo Public Schools","container-title":"Upjohn Institute","URL":"http://research.upjohn.org/confpapers/15","author":[{"family":"Bartik","given":"Timothy"},{"family":"Eberts","given":"Randall"},{"family":"Huang","given":"Wei-Jang"}],"issued":{"date-parts":[["2010",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(Bartik et al.,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t>
      </w:r>
    </w:p>
    <w:p w14:paraId="2DD9C891" w14:textId="77777777" w:rsidR="00742587" w:rsidRPr="005B2DFB" w:rsidRDefault="00742587"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addition, the evidence suggests that teacher expectations and attitudes changed in ways that have the potential to contribute to better outcomes in the K-12 sector as well as serving as a catalyst for change in the school district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{"citationID":"t6HwLCjr","properties":{"formattedCitation":"(J. N. Jones, Miron, &amp; Kelaher-Young, 2012)","plainCitation":"(J. N. Jones, Miron, &amp; Kelaher-Young, 2012)","dontUpdate":true,"noteIndex":0},"citationItems":[{"id":6219,"uris":["http://zotero.org/users/2595715/items/TCAZDX2P"],"uri":["http://zotero.org/users/2595715/items/TCAZDX2P"],"itemData":{"id":6219,"type":"article-journal","title":"The kalamazoo promise and perceived changes in teacher beliefs, expectations, and behaviors","container-title":"Journal of Educational Research","page":"36-51","volume":"105","issue":"1","source":"wmich.pure.elsevier.com","DOI":"10.1080/00220671.2010.517575","ISSN":"0022-0671","journalAbbreviation":"The Journal of Educational Research","language":"English (US)","author":[{"family":"Jones","given":"Jeffrey N."},{"family":"Miron","given":"Gary"},{"family":"Kelaher-Young","given":"Allison J."}],"issued":{"date-parts":[["2012",1,1]]}}}],"schema":"https://github.com/citation-style-language/schema/raw/master/csl-citation.json"}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(Jones, Miron, &amp; Kelaher-Young, 2012)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Similar increases in academic performance were observed in evaluations of the El Dorado Promise in Arkansas. The El Dorado Promise in Arkansas is estimated to have increased student achievement, especially for low-income and high-achieving minority students (Ash &amp; Ritter </w:t>
      </w:r>
      <w:r w:rsidRPr="005B2DFB">
        <w:rPr>
          <w:rFonts w:ascii="Times New Roman" w:hAnsi="Times New Roman" w:cs="Times New Roman"/>
          <w:sz w:val="24"/>
          <w:szCs w:val="24"/>
        </w:rPr>
        <w:lastRenderedPageBreak/>
        <w:t xml:space="preserve">2014). In the context of the Say Yes to Education programs in Syracuse and Buffalo, scholars have found that K-12 enrollment surges in both places after the implementation of the promise programs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{"citationID":"ZwUXobPg","properties":{"formattedCitation":"(Sohn, Rubenstein, Murchie, &amp; Bifulco, 2017)","plainCitation":"(Sohn, Rubenstein, Murchie, &amp; Bifulco, 2017)","noteIndex":0},"citationItems":[{"id":6206,"uris":["http://zotero.org/users/2595715/items/HF9URRTV"],"uri":["http://zotero.org/users/2595715/items/HF9URRTV"],"itemData":{"id":6206,"type":"article-journal","title":"Assessing the Effects of Place-Based Scholarships on Urban Revitalization: The Case of Say Yes to Education","container-title":"Educational Evaluation and Policy Analysis","page":"198-222","volume":"39","issue":"2","source":"SAGE Journals","abstract":"We find evidence of enrollment increases in both Syracuse and Buffalo following the announcement of a placed-based scholarship program, Say Yes to Education. While the Syracuse increases were accompanied by enrollment declines in surrounding suburban districts, the Buffalo increases coincided with declines in private school enrollments. Buffalo and Rochester also saw enrollment increases relative to trends following the announcement of Say Yes in Syracuse, suggesting that part of the increase in Syracuse might be attributable to factors other than Say Yes. We also find evidence of increases in home prices in Syracuse after the program’s announcement, as well as decreases in the surrounding suburbs. We do not find evidence of similar housing price changes in Buffalo.","DOI":"10.3102/0162373716675727","ISSN":"0162-3737","shortTitle":"Assessing the Effects of Place-Based Scholarships on Urban Revitalization","journalAbbreviation":"Educational Evaluation and Policy Analysis","language":"en","author":[{"family":"Sohn","given":"Hosung"},{"family":"Rubenstein","given":"Ross"},{"family":"Murchie","given":"Judson"},{"family":"Bifulco","given":"Robert"}],"issued":{"date-parts":[["2017",6,1]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(Sohn, Rubenstein, Murchie, &amp; Bifulco,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Finally, in both El Dorado and in Pittsburgh, the implementation of promise programs stabilized K-12 enrollment in the previously shrinking school districts impacted by the promise (</w:t>
      </w:r>
      <w:r w:rsidRPr="005B2DFB">
        <w:rPr>
          <w:rFonts w:ascii="Times New Roman" w:eastAsia="Times New Roman" w:hAnsi="Times New Roman" w:cs="Times New Roman"/>
          <w:sz w:val="24"/>
          <w:szCs w:val="24"/>
        </w:rPr>
        <w:t>Ash &amp; Ritter, 2014; Gonzalez, Bozick, Tharp-Taylor, &amp; Phillips, 2011; Iriti, Bickel, &amp; Kaufman, 2012)</w:t>
      </w:r>
    </w:p>
    <w:p w14:paraId="16F021FE" w14:textId="77777777" w:rsidR="00742587" w:rsidRPr="005B2DFB" w:rsidRDefault="00742587" w:rsidP="00742587">
      <w:pPr>
        <w:spacing w:line="480" w:lineRule="auto"/>
        <w:rPr>
          <w:rFonts w:ascii="Times New Roman" w:hAnsi="Times New Roman" w:cs="Times New Roman"/>
          <w:sz w:val="24"/>
          <w:szCs w:val="24"/>
        </w:rPr>
      </w:pPr>
      <w:r w:rsidRPr="005B2DFB">
        <w:rPr>
          <w:rFonts w:ascii="Times New Roman" w:hAnsi="Times New Roman" w:cs="Times New Roman"/>
          <w:sz w:val="24"/>
          <w:szCs w:val="24"/>
        </w:rPr>
        <w:tab/>
        <w:t>On the other hand, unlike the predominantly positive impacts of promise programs on K-12 enrollment and academic achievement, the evidence on the impact of promise on local economies remains mixed. In the Say Yes to Education program, home prices increased in Syracuse, but prices did not significantly change in Buffalo (Sohn et al. 2017). Moreover, in Kalamazoo, estimates suggest that home sales were not significantly impacted by the implementation of the promise program (Miller 2011). In an unpublished manuscript, scholars estimate the impact of a whole host of place-based scholarships and find that public school enrollment and housing prices increased (LeGower and Walsh 2014). Taken together, it is clear from current policy evaluation research that college promise policies have a positive impact on K-12 student outcomes and local economic development, but that these effects may be heterogeneous based on the local context and policy design.</w:t>
      </w:r>
    </w:p>
    <w:p w14:paraId="1554D369" w14:textId="77777777" w:rsidR="00742587" w:rsidRPr="005B2DFB" w:rsidRDefault="00742587" w:rsidP="00742587">
      <w:pPr>
        <w:spacing w:line="480" w:lineRule="auto"/>
        <w:rPr>
          <w:rFonts w:ascii="Times New Roman" w:hAnsi="Times New Roman" w:cs="Times New Roman"/>
          <w:i/>
          <w:sz w:val="24"/>
          <w:szCs w:val="24"/>
        </w:rPr>
      </w:pPr>
      <w:r w:rsidRPr="005B2DFB">
        <w:rPr>
          <w:rFonts w:ascii="Times New Roman" w:hAnsi="Times New Roman" w:cs="Times New Roman"/>
          <w:sz w:val="24"/>
          <w:szCs w:val="24"/>
        </w:rPr>
        <w:t xml:space="preserve">2.2.2 </w:t>
      </w:r>
      <w:r w:rsidRPr="005B2DFB">
        <w:rPr>
          <w:rFonts w:ascii="Times New Roman" w:hAnsi="Times New Roman" w:cs="Times New Roman"/>
          <w:i/>
          <w:sz w:val="24"/>
          <w:szCs w:val="24"/>
        </w:rPr>
        <w:t>The Impact of College Promise on</w:t>
      </w:r>
      <w:r w:rsidRPr="005B2DFB">
        <w:rPr>
          <w:rFonts w:ascii="Times New Roman" w:hAnsi="Times New Roman" w:cs="Times New Roman"/>
          <w:sz w:val="24"/>
          <w:szCs w:val="24"/>
        </w:rPr>
        <w:t xml:space="preserve"> </w:t>
      </w:r>
      <w:r w:rsidRPr="005B2DFB">
        <w:rPr>
          <w:rFonts w:ascii="Times New Roman" w:hAnsi="Times New Roman" w:cs="Times New Roman"/>
          <w:i/>
          <w:sz w:val="24"/>
          <w:szCs w:val="24"/>
        </w:rPr>
        <w:t>Post-secondary Outcomes</w:t>
      </w:r>
    </w:p>
    <w:p w14:paraId="723F1738" w14:textId="77777777" w:rsidR="00742587" w:rsidRPr="005B2DFB" w:rsidRDefault="00742587" w:rsidP="00742587">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Evaluations have also begun investigating whether Promise programs end up increasing the probability of enrolling, persisting and completing college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{"citationID":"G7qO6kOE","properties":{"formattedCitation":"(Andrews, DesJardins, &amp; Ranchhod, 2010; T. J. Bartik, Hershbein, &amp; Lachowska, 2015; Carruthers &amp; Fox, 2016; Daugherty &amp; Gonzalez, 2016; Gurantz, 2018)","plainCitation":"(Andrews, DesJardins, &amp; Ranchhod, 2010; T. J. Bartik, Hershbein, &amp; Lachowska, 2015; Carruthers &amp; Fox, 2016; Daugherty &amp; Gonzalez, 2016; Gurantz, 2018)","noteIndex":0},"citationItems":[{"id":5826,"uris":["http://zotero.org/users/2595715/items/HJCY2H7E"],"uri":["http://zotero.org/users/2595715/items/HJCY2H7E"],"itemData":{"id":5826,"type":"article-journal","title":"The effects of the Kalamazoo Promise on college choice","container-title":"Economics of Education Review","page":"722-737","volume":"29","issue":"5","source":"ScienceDirect","abstract":"On November 10, 2005, then Superintendent of the Kalamazoo Public School System, Janice Brown announced—to the surprise of Kalamazoo’s residents—the beginning of the Kalamazoo Promise. Fully funded by a set of anonymous donors, the Kalamazoo Promise is an urban revitalization program that offers up to four years of free tuition to any public college or university in the state of Michigan for graduates of the Kalamazoo Public School system who meet certain eligibility criteria. Using the subsidy as a source of exogenous variation in the price of college, we use quasi-experimental methods to evaluate the impact of the subsidy on college choice. We find that the Kalamazoo Promise increases the likelihood that students from Kalamazoo Public Schools consider public institutions in Michigan. In addition, we find that the Kalamazoo Promise especially impacts the college choice set of students from families who earn less than $50,000 in annual income.","DOI":"10.1016/j.econedurev.2010.05.004","ISSN":"0272-7757","journalAbbreviation":"Economics of Education Review","author":[{"family":"Andrews","given":"Rodney J."},{"family":"DesJardins","given":"Stephen"},{"family":"Ranchhod","given":"Vimal"}],"issued":{"date-parts":[["2010",10,1]]}}},{"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C."}],"issued":{"date-parts":[["2016"]]},"accessed":{"date-parts":[["2018",5,12]]}}},{"id":6288,"uris":["http://zotero.org/users/2595715/items/CM5AVVA6"],"uri":["http://zotero.org/users/2595715/items/CM5AVVA6"],"itemData":{"id":6288,"type":"manuscript","title":"The Oregon Promise and college attendance","publisher-place":"College Board","event-place":"College Board","author":[{"family":"Gurantz","given":"Oded"}],"issued":{"date-parts":[["2018"]]}}}],"schema":"https://github.com/citation-style-language/schema/raw/master/csl-citation.json"}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(Andrews, DesJardins, &amp; Ranchhod, 2010; Bartik, Hershbein, &amp; Lachowska, 2015; Carruthers &amp; Fox, 2016; Daugherty &amp; Gonzalez, 2016; Gurantz, 2018; Swanson and Ritter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 main take-away from these evaluations is that no program leads to exactly the same outcomes, with policy design and local </w:t>
      </w:r>
      <w:r w:rsidRPr="005B2DFB">
        <w:rPr>
          <w:rFonts w:ascii="Times New Roman" w:hAnsi="Times New Roman" w:cs="Times New Roman"/>
          <w:sz w:val="24"/>
          <w:szCs w:val="24"/>
        </w:rPr>
        <w:lastRenderedPageBreak/>
        <w:t>context as the main moderating factor in the relationship between promise and student postsecondary outcomes.</w:t>
      </w:r>
    </w:p>
    <w:p w14:paraId="796AA265" w14:textId="77777777" w:rsidR="00742587" w:rsidRPr="005B2DFB" w:rsidRDefault="00742587" w:rsidP="00742587">
      <w:pPr>
        <w:spacing w:after="0" w:line="480" w:lineRule="auto"/>
        <w:ind w:firstLine="720"/>
        <w:textAlignment w:val="center"/>
        <w:rPr>
          <w:rFonts w:ascii="Times New Roman" w:eastAsia="Times New Roman" w:hAnsi="Times New Roman" w:cs="Times New Roman"/>
          <w:sz w:val="24"/>
          <w:szCs w:val="24"/>
        </w:rPr>
      </w:pPr>
      <w:r w:rsidRPr="005B2DFB">
        <w:rPr>
          <w:rFonts w:ascii="Times New Roman" w:hAnsi="Times New Roman" w:cs="Times New Roman"/>
          <w:sz w:val="24"/>
          <w:szCs w:val="24"/>
        </w:rPr>
        <w:t xml:space="preserve">For instance, the generous first-dollar Kalamazoo promise program led to large and significant impacts on college enrollment, credit hours earned, and the probability of obtaining a bachelor’s degree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{"citationID":"xAEPNfDo","properties":{"formattedCitation":"(T. J. Bartik, Hershbein, &amp; Lachowska, 2015)","plainCitation":"(T. J. Bartik, Hershbein, &amp; Lachowska, 2015)","dontUpdate":true,"noteIndex":0},"citationItems":[{"id":5815,"uris":["http://zotero.org/users/2595715/items/DE9KLT9P"],"uri":["http://zotero.org/users/2595715/items/DE9KLT9P"],"itemData":{"id":5815,"type":"report","title":"The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(Bartik, Hershbein, &amp; Lachowska,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Additionally, unlike some other programs like Knox Achieves which only help fund students’ tuition and fees at community colleges, the Kalamazoo promise actually increased the likelihood of enrolling in a 4-year college (Bartik, Hershbein &amp; Lachowska 2015).  When scholars utilize the dissemination of ACT test score results as a proxy for college choice, they find that students are not only more likely to enroll in 4-year colleges but are also </w:t>
      </w:r>
      <w:r w:rsidRPr="005B2DFB">
        <w:rPr>
          <w:rFonts w:ascii="Times New Roman" w:eastAsia="Times New Roman" w:hAnsi="Times New Roman" w:cs="Times New Roman"/>
          <w:sz w:val="24"/>
          <w:szCs w:val="24"/>
        </w:rPr>
        <w:t xml:space="preserve">more likely to consider public colleges in Michigan, with the results especially pronounced for student from families making less than $50,000 in annual income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{"citationID":"9g6skwsv","properties":{"formattedCitation":"(Andrews et al., 2010)","plainCitation":"(Andrews et al., 2010)","noteIndex":0},"citationItems":[{"id":5826,"uris":["http://zotero.org/users/2595715/items/HJCY2H7E"],"uri":["http://zotero.org/users/2595715/items/HJCY2H7E"],"itemData":{"id":5826,"type":"article-journal","title":"The effects of the Kalamazoo Promise on college choice","container-title":"Economics of Education Review","page":"722-737","volume":"29","issue":"5","source":"ScienceDirect","abstract":"On November 10, 2005, then Superintendent of the Kalamazoo Public School System, Janice Brown announced—to the surprise of Kalamazoo’s residents—the beginning of the Kalamazoo Promise. Fully funded by a set of anonymous donors, the Kalamazoo Promise is an urban revitalization program that offers up to four years of free tuition to any public college or university in the state of Michigan for graduates of the Kalamazoo Public School system who meet certain eligibility criteria. Using the subsidy as a source of exogenous variation in the price of college, we use quasi-experimental methods to evaluate the impact of the subsidy on college choice. We find that the Kalamazoo Promise increases the likelihood that students from Kalamazoo Public Schools consider public institutions in Michigan. In addition, we find that the Kalamazoo Promise especially impacts the college choice set of students from families who earn less than $50,000 in annual income.","DOI":"10.1016/j.econedurev.2010.05.004","ISSN":"0272-7757","journalAbbreviation":"Economics of Education Review","author":[{"family":"Andrews","given":"Rodney J."},{"family":"DesJardins","given":"Stephen"},{"family":"Ranchhod","given":"Vimal"}],"issued":{"date-parts":[["2010",10,1]]}}}],"schema":"https://github.com/citation-style-language/schema/raw/master/csl-citation.json"}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(Andrews et al., 2010; Miller-Adams and Temmeney 2013)</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Together, the evidence on the Kalamazoo promise is definitely positive for a range of postsecondary outcomes including college choice, enrollment, persistence, and degree completion. </w:t>
      </w:r>
    </w:p>
    <w:p w14:paraId="0AE501FE" w14:textId="77777777" w:rsidR="00742587" w:rsidRPr="005B2DFB" w:rsidRDefault="00742587" w:rsidP="00742587">
      <w:pPr>
        <w:spacing w:after="0"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 xml:space="preserve">Other programs reveal similar, although heterogeneous results. </w:t>
      </w:r>
      <w:r w:rsidRPr="005B2DFB">
        <w:rPr>
          <w:rFonts w:ascii="Times New Roman" w:eastAsia="Times New Roman" w:hAnsi="Times New Roman" w:cs="Times New Roman"/>
          <w:sz w:val="24"/>
          <w:szCs w:val="24"/>
        </w:rPr>
        <w:t xml:space="preserve">For example, in the El Dorado Promise, which is first-dollar and covers up to the total cost of attendance, preliminary analyses suggest that the promise led to an 11.4 percent increase in college enrollment and a 10.7 percent increase in bachelor’s degree completion (Swanson and Ritter 2018). Additionally, this analysis reveals that the results were heterogenous across different types of students. Students of color and students with below-average GPAs experienced the largest gains in college enrollment while students of color with above-average GPAs experienced the biggest gains in bachelor’s degree completion (Swanson and Ritter 2018). In this context, the results suggest that generous promise programs in rural areas will likely have a positive impact on postsecondary outcomes. </w:t>
      </w:r>
    </w:p>
    <w:p w14:paraId="0E8A2626" w14:textId="77777777" w:rsidR="00742587" w:rsidRPr="005B2DFB" w:rsidRDefault="00742587" w:rsidP="00742587">
      <w:pPr>
        <w:spacing w:after="0" w:line="480" w:lineRule="auto"/>
        <w:ind w:firstLine="720"/>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lastRenderedPageBreak/>
        <w:t xml:space="preserve">Moreover, preliminary results for the New Haven promise suggest that there is a positive impact on public college enrollment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{"citationID":"DrCt8979","properties":{"formattedCitation":"(Daugherty &amp; Gonzalez, 2016)","plainCitation":"(Daugherty &amp; Gonzalez, 2016)","noteIndex":0},"citationItems":[{"id":6223,"uris":["http://zotero.org/users/2595715/items/TMXWWMKM"],"uri":["http://zotero.org/users/2595715/items/TMXWWMKM"],"itemData":{"id":6223,"type":"paper-conference","title":"The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(Daugherty &amp; Gonzalez, 2016)</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Additionally, the New Haven promise is associated with increasing college going culture and community cohesion (Gonzalez et al. 2014). Next, evaluations of the Pittsburgh Promise reveal that students were more likely to attend four-year colleges and go to college in-state and were more likely to persist through the first two years of college and were less likely to undermatch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{"citationID":"Q0nvqJCY","properties":{"formattedCitation":"(Bozick, Gonzalez, &amp; Engberg, 2015)","plainCitation":"(Bozick, Gonzalez, &amp; Engberg, 2015)","noteIndex":0},"citationItems":[{"id":6317,"uris":["http://zotero.org/users/2595715/items/SBWSKEQM"],"uri":["http://zotero.org/users/2595715/items/SBWSKEQM"],"itemData":{"id":6317,"type":"article-journal","title":"Using a Merit-Based Scholarship Program to Increase Rates of College Enrollment in an Urban School District: The Case of the Pittsburgh Promise","container-title":"Journal of Student Financial Aid","volume":"45","issue":"2","URL":"https://publications.nasfaa.org/jsfa/vol45/iss2/2","ISSN":"0884-9153","shortTitle":"Using a Merit-Based Scholarship Program to Increase Rates of College Enrollment in an Urban School District","author":[{"family":"Bozick","given":"Robert"},{"family":"Gonzalez","given":"Gabriella"},{"family":"Engberg","given":"John"}],"issued":{"date-parts":[["2015",7,27]]}}}],"schema":"https://github.com/citation-style-language/schema/raw/master/csl-citation.json"}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(Bozick, Gonzalez, &amp; Engberg, 2015; Page and Iriti 2016)</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In addition, a recent evaluation of the Pittsburgh Promise reveals that graduates of Pittsburgh Public Schools are more likely to enroll in college (5 percent), more likely to select a Pennsylvania institution (10 percent), more likely to enroll and persist (4-7 percent)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{"citationID":"tGwlPi1c","properties":{"formattedCitation":"(Page, Iriti, Lowry, &amp; Anthony, 2018)","plainCitation":"(Page, Iriti, Lowry, &amp; Anthony, 2018)","noteIndex":0},"citationItems":[{"id":6303,"uris":["http://zotero.org/users/2595715/items/MLNCBUYP"],"uri":["http://zotero.org/users/2595715/items/MLNCBUYP"],"itemData":{"id":6303,"type":"article-journal","title":"The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(Page, Iriti, Lowry, &amp; Anthony, 2018)</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Finally, in an anonymous program in which a low-income inner city school offered a universal scholarship for the local community college, researchers observed a massive increase in college going behavior and an approximately 20 percent increase in the number of students matriculating to community college </w:t>
      </w:r>
      <w:r w:rsidRPr="005B2DFB">
        <w:rPr>
          <w:rFonts w:ascii="Times New Roman" w:eastAsia="Times New Roman" w:hAnsi="Times New Roman" w:cs="Times New Roman"/>
          <w:sz w:val="24"/>
          <w:szCs w:val="24"/>
        </w:rPr>
        <w:fldChar w:fldCharType="begin"/>
      </w:r>
      <w:r w:rsidRPr="005B2DFB">
        <w:rPr>
          <w:rFonts w:ascii="Times New Roman" w:eastAsia="Times New Roman" w:hAnsi="Times New Roman" w:cs="Times New Roman"/>
          <w:sz w:val="24"/>
          <w:szCs w:val="24"/>
        </w:rPr>
        <w:instrText xml:space="preserve"> ADDIN ZOTERO_ITEM CSL_CITATION {"citationID":"esUkgxKu","properties":{"formattedCitation":"(Pluhta &amp; Penny, 2013)","plainCitation":"(Pluhta &amp; Penny, 2013)","noteIndex":0},"citationItems":[{"id":5814,"uris":["http://zotero.org/users/2595715/items/94Z3RQ8X"],"uri":["http://zotero.org/users/2595715/items/94Z3RQ8X"],"itemData":{"id":5814,"type":"article-journal","title":"The Effect of a Community College Promise Scholarship on Access and Success","container-title":"Community College Journal of Research and Practice","page":"723-734","volume":"37","issue":"10","source":"naspa.tandfonline.com (Atypon)","abstract":"Based on a mixed methods case study design, the current study reports on a Promise Scholarship program offered by a community college and its affiliated foundation to graduating students at a nearby high school located in a low-income neighborhood of a large city and with a high proportion of African American and other students of color. Using a mix of government and private funding, all graduating students, regardless of financial need or academic achievement, were offered free tuition at the community college for one year. The promise of a scholarship plus an intensive outreach effort resulted in the majority of graduating seniors submitting scholarship applications and a four-fold increase in the proportion of graduates from the high school who subsequently matriculated at the community college. Once at college, the student recipients demonstrated a high rate of quarter-to-quarter retention. However, few placed into college-level courses in English and math, and their academic progress at the end of the first year was modest.","DOI":"10.1080/10668926.2011.592412","ISSN":"1066-8926","journalAbbreviation":"Community College Journal of Research and Practice","author":[{"family":"Pluhta","given":"Elizabeth A."},{"family":"Penny","given":"G.   Richard"}],"issued":{"date-parts":[["2013",10,1]]}}}],"schema":"https://github.com/citation-style-language/schema/raw/master/csl-citation.json"} </w:instrText>
      </w:r>
      <w:r w:rsidRPr="005B2DFB">
        <w:rPr>
          <w:rFonts w:ascii="Times New Roman" w:eastAsia="Times New Roman" w:hAnsi="Times New Roman" w:cs="Times New Roman"/>
          <w:sz w:val="24"/>
          <w:szCs w:val="24"/>
        </w:rPr>
        <w:fldChar w:fldCharType="separate"/>
      </w:r>
      <w:r w:rsidRPr="005B2DFB">
        <w:rPr>
          <w:rFonts w:ascii="Times New Roman" w:hAnsi="Times New Roman" w:cs="Times New Roman"/>
          <w:sz w:val="24"/>
          <w:szCs w:val="24"/>
        </w:rPr>
        <w:t>(Pluhta &amp; Penny, 2013)</w:t>
      </w:r>
      <w:r w:rsidRPr="005B2DFB">
        <w:rPr>
          <w:rFonts w:ascii="Times New Roman" w:eastAsia="Times New Roman" w:hAnsi="Times New Roman" w:cs="Times New Roman"/>
          <w:sz w:val="24"/>
          <w:szCs w:val="24"/>
        </w:rPr>
        <w:fldChar w:fldCharType="end"/>
      </w:r>
      <w:r w:rsidRPr="005B2DFB">
        <w:rPr>
          <w:rFonts w:ascii="Times New Roman" w:eastAsia="Times New Roman" w:hAnsi="Times New Roman" w:cs="Times New Roman"/>
          <w:sz w:val="24"/>
          <w:szCs w:val="24"/>
        </w:rPr>
        <w:t xml:space="preserve">. Moreover, promise scholarships for community colleges are mainly utilized by students of color and students who were considered academically disadvantaged (Pluhta 2015). However, this evidence also revealed that many of these disadvantaged students had trouble making substantial progress toward a degree, which the author primarily attributes to the lack of support services for students in the program (Pluhta 2015).  </w:t>
      </w:r>
    </w:p>
    <w:p w14:paraId="64E62E1C" w14:textId="77777777" w:rsidR="00742587" w:rsidRPr="005B2DFB" w:rsidRDefault="00742587" w:rsidP="00742587">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the case of Knox Achieves, the regional version of the Tennessee Promise, the program led to increased enrollment among low-income students in particular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{"citationID":"pXl9Z7B2","properties":{"formattedCitation":"(Carruthers &amp; Fox, 2016)","plainCitation":"(Carruthers &amp; Fox, 2016)","noteIndex":0},"citationItems":[{"id":4526,"uris":["http://zotero.org/users/2595715/items/IT328IB3"],"uri":["http://zotero.org/users/2595715/items/IT328IB3"],"itemData":{"id":4526,"type":"article-journal","title":"Aid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(Carruthers &amp; Fox, 2016)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Knox Achieves scholars were significantly more likely to persist for the first two years and earned more credit hours than comparable non-recipients. However, as a function of the limited institutional eligibility in the policy design, the Knox Achieves program </w:t>
      </w:r>
      <w:r w:rsidRPr="005B2DFB">
        <w:rPr>
          <w:rFonts w:ascii="Times New Roman" w:hAnsi="Times New Roman" w:cs="Times New Roman"/>
          <w:sz w:val="24"/>
          <w:szCs w:val="24"/>
        </w:rPr>
        <w:lastRenderedPageBreak/>
        <w:t xml:space="preserve">was also associated with a 6% reduction in the probability of enrolling at a 4-year college (Carruthers &amp; Fox 2016). Therefore, while the program encouraged more low-income students to attend and persist through two years of college, the impact of bachelor’s degree completion is unknown and may be negatively impacted if more students are choosing to not transfer to four-year colleges and may be associated with an increasing rate of undermatch. </w:t>
      </w:r>
    </w:p>
    <w:p w14:paraId="1EB84EE6" w14:textId="7C61B99E" w:rsidR="00742587" w:rsidRPr="00690847" w:rsidRDefault="00742587" w:rsidP="00690847">
      <w:pPr>
        <w:spacing w:after="0" w:line="480" w:lineRule="auto"/>
        <w:textAlignment w:val="center"/>
        <w:rPr>
          <w:rFonts w:ascii="Times New Roman" w:eastAsia="Times New Roman" w:hAnsi="Times New Roman" w:cs="Times New Roman"/>
          <w:b/>
          <w:sz w:val="24"/>
          <w:szCs w:val="24"/>
        </w:rPr>
      </w:pPr>
      <w:r w:rsidRPr="00690847">
        <w:rPr>
          <w:rFonts w:ascii="Times New Roman" w:eastAsia="Times New Roman" w:hAnsi="Times New Roman" w:cs="Times New Roman"/>
          <w:b/>
          <w:sz w:val="24"/>
          <w:szCs w:val="24"/>
        </w:rPr>
        <w:t>2.2.3 The Strengths and Weaknesses of Current College Promise Literature</w:t>
      </w:r>
    </w:p>
    <w:p w14:paraId="1DFD662D" w14:textId="0045E8A8" w:rsidR="005B6160" w:rsidRPr="0038119F" w:rsidRDefault="00742587" w:rsidP="0038119F">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First, policy evaluation and education policy scholars do an excellent job providing causal identification, which leads to the isolation of treatment effects that help us to understand whether a single program, like the Kalamazoo Promise, is helping, hurting or having no effect on students or local communities. This literature utilizes advanced econometric analyses such as regression discontinuity, difference-in-difference analysis and cost-benefit analysis to not only better understand the precise impacts of policies like college promise on outcomes like college enrollment but also to measure the return on investment through cost benefit analyses. This singular focus on the impact of policies on societal outcomes makes policy analysis/evaluation scholars particularly effective at measuring efficiency trade-offs and implications of particular tools for student outcomes and policy effectiveness. Indeed, the main strength of this approach are the practically relevant insights on the most efficient and effective policy option for maximizing measurable societal outcomes. </w:t>
      </w:r>
    </w:p>
    <w:p w14:paraId="770722A6" w14:textId="5EB0EBC6" w:rsidR="00B94FDA" w:rsidRPr="005B2DFB" w:rsidRDefault="00742587" w:rsidP="00B94FD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However, the evaluation literature also suffers from weaknesses that limit the utility of these studies for theoretical development. </w:t>
      </w:r>
      <w:r w:rsidR="0038119F">
        <w:rPr>
          <w:rFonts w:ascii="Times New Roman" w:hAnsi="Times New Roman" w:cs="Times New Roman"/>
          <w:sz w:val="24"/>
          <w:szCs w:val="24"/>
        </w:rPr>
        <w:t>For instance,</w:t>
      </w:r>
      <w:r w:rsidR="005B6160">
        <w:rPr>
          <w:rFonts w:ascii="Times New Roman" w:hAnsi="Times New Roman" w:cs="Times New Roman"/>
          <w:sz w:val="24"/>
          <w:szCs w:val="24"/>
        </w:rPr>
        <w:t xml:space="preserve"> the current college promise literature</w:t>
      </w:r>
      <w:r w:rsidR="005F1BE1">
        <w:rPr>
          <w:rFonts w:ascii="Times New Roman" w:hAnsi="Times New Roman" w:cs="Times New Roman"/>
          <w:sz w:val="24"/>
          <w:szCs w:val="24"/>
        </w:rPr>
        <w:t xml:space="preserve"> only addresses the relationship between statutory design and outcomes, ignoring the political and implementation processes that are concurrently working to influence outcomes. </w:t>
      </w:r>
      <w:r w:rsidR="005B6160">
        <w:rPr>
          <w:rFonts w:ascii="Times New Roman" w:hAnsi="Times New Roman" w:cs="Times New Roman"/>
          <w:sz w:val="24"/>
          <w:szCs w:val="24"/>
        </w:rPr>
        <w:t xml:space="preserve"> Nowhere in the college promise literature do researchers investigate the political dynamics that shape statutory </w:t>
      </w:r>
      <w:r w:rsidR="005B6160">
        <w:rPr>
          <w:rFonts w:ascii="Times New Roman" w:hAnsi="Times New Roman" w:cs="Times New Roman"/>
          <w:sz w:val="24"/>
          <w:szCs w:val="24"/>
        </w:rPr>
        <w:lastRenderedPageBreak/>
        <w:t xml:space="preserve">design. This limits scholarly understanding of the political constraints on college promise statutory designs, leading to </w:t>
      </w:r>
      <w:r w:rsidR="005F1BE1">
        <w:rPr>
          <w:rFonts w:ascii="Times New Roman" w:hAnsi="Times New Roman" w:cs="Times New Roman"/>
          <w:sz w:val="24"/>
          <w:szCs w:val="24"/>
        </w:rPr>
        <w:t xml:space="preserve">a simplified understanding of policy design as simply the eligibility requirements, tools etc. when policy design is also functioning as a political tool for policymakers. </w:t>
      </w:r>
      <w:r w:rsidR="005B6160">
        <w:rPr>
          <w:rFonts w:ascii="Times New Roman" w:hAnsi="Times New Roman" w:cs="Times New Roman"/>
          <w:sz w:val="24"/>
          <w:szCs w:val="24"/>
        </w:rPr>
        <w:t xml:space="preserve">Likewise, </w:t>
      </w:r>
      <w:r w:rsidR="00CB5099">
        <w:rPr>
          <w:rFonts w:ascii="Times New Roman" w:hAnsi="Times New Roman" w:cs="Times New Roman"/>
          <w:sz w:val="24"/>
          <w:szCs w:val="24"/>
        </w:rPr>
        <w:t xml:space="preserve">college promise literature has completely ignored the importance of bureaucratic discretion and implementation of programs in shaping outcomes. Better understanding the ways in which implementation shapes outcomes is essential for building a comprehensive understanding of the ways in which policy design shapes outcomes. </w:t>
      </w:r>
    </w:p>
    <w:p w14:paraId="0028DABD" w14:textId="64C08297" w:rsidR="00742587" w:rsidRPr="005B2DFB" w:rsidRDefault="00742587"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This dissertation builds on the policy evaluation literature by exploring the previously overlooked dynamics between politics, policy design and implementation. By bringing the study of politics and public management into the literature on college promise policies, this dissertation advances the study of promise policies from both a theoretical and a practical perspective.</w:t>
      </w:r>
    </w:p>
    <w:p w14:paraId="57DFBA62" w14:textId="77777777" w:rsidR="00742587" w:rsidRPr="005B2DFB" w:rsidRDefault="00742587" w:rsidP="00742587">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Integrating Politics</w:t>
      </w:r>
    </w:p>
    <w:p w14:paraId="3CFE3165" w14:textId="490BA079" w:rsidR="00742587" w:rsidRPr="005B2DFB" w:rsidRDefault="00CB5099" w:rsidP="00742587">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w:t>
      </w:r>
      <w:r w:rsidR="00742587" w:rsidRPr="005B2DFB">
        <w:rPr>
          <w:rFonts w:ascii="Times New Roman" w:hAnsi="Times New Roman" w:cs="Times New Roman"/>
          <w:sz w:val="24"/>
          <w:szCs w:val="24"/>
        </w:rPr>
        <w:t xml:space="preserve"> major weakness</w:t>
      </w:r>
      <w:r>
        <w:rPr>
          <w:rFonts w:ascii="Times New Roman" w:hAnsi="Times New Roman" w:cs="Times New Roman"/>
          <w:sz w:val="24"/>
          <w:szCs w:val="24"/>
        </w:rPr>
        <w:t>es</w:t>
      </w:r>
      <w:r w:rsidR="00742587" w:rsidRPr="005B2DFB">
        <w:rPr>
          <w:rFonts w:ascii="Times New Roman" w:hAnsi="Times New Roman" w:cs="Times New Roman"/>
          <w:sz w:val="24"/>
          <w:szCs w:val="24"/>
        </w:rPr>
        <w:t xml:space="preserve"> </w:t>
      </w:r>
      <w:r>
        <w:rPr>
          <w:rFonts w:ascii="Times New Roman" w:hAnsi="Times New Roman" w:cs="Times New Roman"/>
          <w:sz w:val="24"/>
          <w:szCs w:val="24"/>
        </w:rPr>
        <w:t>of</w:t>
      </w:r>
      <w:r w:rsidR="00742587" w:rsidRPr="005B2DFB">
        <w:rPr>
          <w:rFonts w:ascii="Times New Roman" w:hAnsi="Times New Roman" w:cs="Times New Roman"/>
          <w:sz w:val="24"/>
          <w:szCs w:val="24"/>
        </w:rPr>
        <w:t xml:space="preserve"> the policy evaluation approach</w:t>
      </w:r>
      <w:r>
        <w:rPr>
          <w:rFonts w:ascii="Times New Roman" w:hAnsi="Times New Roman" w:cs="Times New Roman"/>
          <w:sz w:val="24"/>
          <w:szCs w:val="24"/>
        </w:rPr>
        <w:t xml:space="preserve"> </w:t>
      </w:r>
      <w:r w:rsidR="00742587" w:rsidRPr="005B2DFB">
        <w:rPr>
          <w:rFonts w:ascii="Times New Roman" w:hAnsi="Times New Roman" w:cs="Times New Roman"/>
          <w:sz w:val="24"/>
          <w:szCs w:val="24"/>
        </w:rPr>
        <w:t xml:space="preserve">to understanding policy design and college promise policies is the exclusion of political analysis. This major omission has led to an oversimplified understanding of the relationship between policy designs in the college promise movement and student outcomes.  For example, policy evaluation scholars have neglected political feasibility considerations as well as the political manipulation of policy design highlighted by policy process and political science scholars </w:t>
      </w:r>
      <w:r w:rsidR="00742587" w:rsidRPr="005B2DFB">
        <w:rPr>
          <w:rFonts w:ascii="Times New Roman" w:hAnsi="Times New Roman" w:cs="Times New Roman"/>
          <w:sz w:val="24"/>
          <w:szCs w:val="24"/>
        </w:rPr>
        <w:fldChar w:fldCharType="begin"/>
      </w:r>
      <w:r w:rsidR="00742587" w:rsidRPr="005B2DFB">
        <w:rPr>
          <w:rFonts w:ascii="Times New Roman" w:hAnsi="Times New Roman" w:cs="Times New Roman"/>
          <w:sz w:val="24"/>
          <w:szCs w:val="24"/>
        </w:rPr>
        <w:instrText xml:space="preserve"> ADDIN ZOTERO_ITEM CSL_CITATION {"citationID":"vPw1FHFi","properties":{"formattedCitation":"(McCann, 2016; Mettler, 2011; A. Schneider &amp; Ingram, 1993)","plainCitation":"(McCann, 2016; Mettler, 2011; A. Schneider &amp; Ingram, 1993)","dontUpdate":true,"noteIndex":0},"citationItems":[{"id":5798,"uris":["http://zotero.org/users/2595715/items/984URGLA"],"uri":["http://zotero.org/users/2595715/items/984URGLA"],"itemData":{"id":5798,"type":"book","title":"The Federal Design Dilemma: Congress and Intergovernmental Delegation","publisher":"Cambridge University Press","publisher-place":"New York, NY","number-of-pages":"286","source":"Amazon","event-place":"New York, NY","abstract":"The level of government responsible for implementing policies affects intent, services provided, and ultimate outcomes. The decision about where to locate such responsibility is the federal design dilemma faced by Congress. Taking a new approach to this delegation and decentralization, The Federal Design Dilemma focuses on individual members of Congress. Not only are these legislators elected by constituents from their states, they also consider the outcomes that will result from state-level versus national executive branch implementation of policies. Here, Pamela J. Clouser McCann documents congressional intergovernmental delegation between 1973 and 2010, and how individual legislators voted on decentralization and centralization choices. Clouser McCann traces the path of the Affordable Care Act from legislative proposals in each chamber to its final enactment, focusing on how legislators wrestled with their own intergovernmental context and the federal design of health insurance reform in the face of political challenges.","ISBN":"978-1-107-11046-5","shortTitle":"The Federal Design Dilemma","language":"English","author":[{"family":"McCann","given":"Pamela J. Clouser"}],"issued":{"date-parts":[["2016",9,8]]}}},{"id":95,"uris":["http://zotero.org/users/2595715/items/G3W8S27I"],"uri":["http://zotero.org/users/2595715/items/G3W8S27I"],"itemData":{"id":95,"type":"book","title":"The Submerged State: How Invisible Government Policies Undermine American Democracy","publisher":"University of Chicago Press","number-of-pages":"172","source":"Google Books","abstract":"“Keep your government hands off my Medicare!” Such comments spotlight a central question animating Suzanne Mettler’s provocative and timely book: why are many Americans unaware of government social benefits and so hostile to them in principle, even though they receive them? The Obama administration has been roundly criticized for its inability to convey how much it has accomplished for ordinary citizens. Mettler argues that this difficulty is not merely a failure of communication; rather it is endemic to the formidable presence of the “submerged state.”  In recent decades, federal policymakers have increasingly shunned the outright disbursing of benefits to individuals and families and favored instead less visible and more indirect incentives and subsidies, from tax breaks to payments for services to private companies. These submerged policies, Mettler shows, obscure the role of government and exaggerate that of the market. As a result, citizens are unaware not only of the benefits they receive, but of the massive advantages given to powerful interests, such as insurance companies and the financial industry. Neither do they realize that the policies of the submerged state shower their largest benefits on the most affluent Americans, exacerbating inequality. Mettler analyzes three Obama reforms—student aid, tax relief, and health care—to reveal the submerged state and its consequences, demonstrating how structurally difficult it is to enact policy reforms and even to obtain public recognition for achieving them. She concludes with recommendations for reform to help make hidden policies more visible and governance more comprehensible to all Americans.  The sad truth is that many American citizens do not know how major social programs work—or even whether they benefit from them. Suzanne Mettler’s important new book will bring government policies back to the surface and encourage citizens to reclaim their voice in the political process.","ISBN":"978-0-226-52166-4","shortTitle":"The Submerged State","language":"en","author":[{"family":"Mettler","given":"Suzanne"}],"issued":{"date-parts":[["2011",8,31]]}}},{"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Populations","author":[{"family":"Schneider","given":"Anne"},{"family":"Ingram","given":"Helen"}],"issued":{"date-parts":[["1993",6]]}}}],"schema":"https://github.com/citation-style-language/schema/raw/master/csl-citation.json"} </w:instrText>
      </w:r>
      <w:r w:rsidR="00742587" w:rsidRPr="005B2DFB">
        <w:rPr>
          <w:rFonts w:ascii="Times New Roman" w:hAnsi="Times New Roman" w:cs="Times New Roman"/>
          <w:sz w:val="24"/>
          <w:szCs w:val="24"/>
        </w:rPr>
        <w:fldChar w:fldCharType="separate"/>
      </w:r>
      <w:r w:rsidR="00742587" w:rsidRPr="005B2DFB">
        <w:rPr>
          <w:rFonts w:ascii="Times New Roman" w:hAnsi="Times New Roman" w:cs="Times New Roman"/>
          <w:sz w:val="24"/>
          <w:szCs w:val="24"/>
        </w:rPr>
        <w:t>(McCann, 2016; Mettler, 2011; Schneider &amp; Ingram, 1993)</w:t>
      </w:r>
      <w:r w:rsidR="00742587" w:rsidRPr="005B2DFB">
        <w:rPr>
          <w:rFonts w:ascii="Times New Roman" w:hAnsi="Times New Roman" w:cs="Times New Roman"/>
          <w:sz w:val="24"/>
          <w:szCs w:val="24"/>
        </w:rPr>
        <w:fldChar w:fldCharType="end"/>
      </w:r>
      <w:r w:rsidR="00742587" w:rsidRPr="005B2DFB">
        <w:rPr>
          <w:rFonts w:ascii="Times New Roman" w:hAnsi="Times New Roman" w:cs="Times New Roman"/>
          <w:sz w:val="24"/>
          <w:szCs w:val="24"/>
        </w:rPr>
        <w:t>. In this way, this literature overlooks the underlying reason why policymakers sometimes choose the more inefficient policy tool for political reasons such as re-election calculus and social constructions of target populations.</w:t>
      </w:r>
    </w:p>
    <w:p w14:paraId="7EB9C9D4" w14:textId="45BE65D9" w:rsidR="00742587" w:rsidRPr="005B2DFB" w:rsidRDefault="00742587"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To illustrate this oversight, consider the debate among policy analysis/evaluation scholars and political scientists regarding the optimal policy design for people in poverty. On one hand, when determining the optimal design of many social welfare policies, policy analysts/evaluators often advocate for policies that are targeted and incorporate tools that benefit the neediest populations because they consider them to be most efficient at accomplishing intended goals for disadvantaged groups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{"citationID":"OA5XNr7m","properties":{"formattedCitation":"(Finkelstein &amp; Notowidigdo, 2018; Greenberg, 2018; Hanushek, Leung, &amp; Yilmaz, 2014; Heller &amp; Marin, 2002)","plainCitation":"(Finkelstein &amp; Notowidigdo, 2018; Greenberg, 2018; Hanushek, Leung, &amp; Yilmaz, 2014; Heller &amp; Marin, 2002)","noteIndex":0},"citationItems":[{"id":6252,"uris":["http://zotero.org/users/2595715/items/7CFYLR3J"],"uri":["http://zotero.org/users/2595715/items/7CFYLR3J"],"itemData":{"id":6252,"type":"report","title":"Take-up and Targeting: Experimental Evidence from SNAP","publisher":"National Bureau of Economic Research","genre":"Working Paper","source":"National Bureau of Economic Research","abstract":"This paper develops a framework for evaluating the welfare impact of various interventions designed to increase take-up of social safety net programs in the presence of potential behavioral biases. We calibrate the key parameters using a randomized field experiment in which 30,000 elderly individuals not enrolled in – but likely eligible for – the Supplemental Nutrition Assistance Program (SNAP) are either provided with information that they are likely eligible, provided with this information and also offered assistance in applying, or are in a “status quo” control group. Only 6 percent of the control group enrolls in SNAP over the next 9 months, compared to 11 percent of the Information Only group and 18 percent of the Information Plus Assistance group. The individuals who apply or enroll in response to either intervention receive lower benefits and are less sick than the average enrollee in the control group. The results are consistent with the existence of optimization frictions that are greater for needier individuals, suggesting that the poor targeting properties of the interventions reduce their welfare gains.","URL":"http://www.nber.org/papers/w24652","note":"DOI: 10.3386/w24652","number":"24652","shortTitle":"Take-up and Targeting","author":[{"family":"Finkelstein","given":"Amy"},{"family":"Notowidigdo","given":"Matthew J."}],"issued":{"date-parts":[["2018",5]]},"accessed":{"date-parts":[["2018",5,28]]}}},{"id":6108,"uris":["http://zotero.org/users/2595715/items/UKCQTRXM"],"uri":["http://zotero.org/users/2595715/items/UKCQTRXM"],"itemData":{"id":6108,"type":"article-journal","title":"Public Preferences for Targeted and Universal Preschool","container-title":"AERA Open","page":"2332858417753125","volume":"4","issue":"1","source":"SAGE Journals","abstract":"For the past half century, debate over income-targeted and universal approaches to American preschool policy has divided advocates, policymakers, and practitioners. This is the first paper to inform the debate with evidence from public opinion. It begins with the design and fielding of a nationally representative poll of preferences for targeted and universal preschool (N = 1,000). This poll yields rich data with which to assess the causes and correlates of support for each approach. Results indicate that preschool preferences are conditioned by financial self-interest and egalitarian values and that a savvy policymaker should not necessarily endorse universal over targeted preschool. In fact, Americans facing the possibility of tax increases to fund public preschool and those who prioritize equality of opportunity prefer a targeted approach.","DOI":"10.1177/2332858417753125","ISSN":"2332-8584","journalAbbreviation":"AERA Open","language":"en","author":[{"family":"Greenberg","given":"Erica H."}],"issued":{"date-parts":[["2018",1,1]]}}},{"id":5982,"uris":["http://zotero.org/users/2595715/items/4HB2FAX7"],"uri":["http://zotero.org/users/2595715/items/4HB2FAX7"],"itemData":{"id":5982,"type":"article-journal","title":"Borrowing Constraints, College Aid, and Intergenerational Mobility","container-title":"Journal of Human Capital","page":"1-41","volume":"8","issue":"1","source":"journals.uchicago.edu (Atypon)","abstract":"This paper provides a consistent comparison of general tuition subsidies, need-based student aid, merit-based student aid, and income-contingent loans (ICL). Each of these policies is analyzed through a dynamic general equilibrium model in which individuals differ in family wealth and opportunities of completing college. The overlapping-generation structure of the model permits evaluation of different aid schemes in their implications on the aggregate outcomes, income distribution, and intergenerational mobility. Compared to current US tuition and loan policies, the ICL and need-based policies are most effective in promoting aggregate efficiency and income equality, while merit-based policies are least effective.","DOI":"10.1086/675501","ISSN":"1932-8575","journalAbbreviation":"Journal of Human Capital","author":[{"family":"Hanushek","given":"Eric A."},{"family":"Leung","given":"Charles Ka Yui"},{"family":"Yilmaz","given":"Kuzey"}],"issued":{"date-parts":[["2014",3,1]]}}},{"id":5984,"uris":["http://zotero.org/users/2595715/items/2WH2P2N7"],"uri":["http://zotero.org/users/2595715/items/2WH2P2N7"],"itemData":{"id":5984,"type":"book","title":"Who Should We Help? The Negative Social Consequences of Merit Scholarships","publisher":"Civil Rights Project, Harvard University, 124 Mt","source":"ERIC","abstract":"This is a collection of papers from a 2001 symposium at Harvard University entitled \"State Merit Aid Programs: College Access and Equity.\" After a Foreword by Gary Orfield, the seven papers are (1) \"State Merit Scholarship Programs: An Introduction\" (Donald E. Heller); (2) \"Merit Scholarships and College Access: Evidence from Florida and Michigan\" (Donald E. Heller and Christopher J. Rasmussen); (3) \"Incentive Effects of New Mexico's Merit-Based Scholarship Program: Who Responds and How?\" (Melissa Binder, Philip T. Ganderton, and Kristin Hutchens); (4) \"Race and the Effects of Georgia's HOPE Scholarship\" (Christopher Cornwell and David B. Mustard); (5) \"Race, Income, and the Impact of Merit Aid\" (Susan Dynarski); (6) \"Do State Financial Aid Programs Cause Colleges To Raise  Prices? The Case of the Georgia HOPE Scholarship\" (Bridget Terry Long); and (7) \"Merit Scholarships and the Outlook for Equal Opportunities in Higher Education\" (Patricia Marin). (Individual papers contain references.) (SM)","URL":"https://eric.ed.gov/?id=ED468845","shortTitle":"Who Should We Help?","language":"en","author":[{"family":"Heller","given":"Donald E."},{"family":"Marin","given":"Patricia"}],"issued":{"date-parts":[["2002",8,23]]},"accessed":{"date-parts":[["2018",1,15]]}}}],"schema":"https://github.com/citation-style-language/schema/raw/master/csl-citation.json"}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(Finkelstein &amp; Notowidigdo, 2018; Greenberg, 2018; Hanushek, Leung, &amp; Yilmaz, 2014; Heller &amp; Marin, 2002)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the context of education, Hanushek, Yilmaz and Leung (2004) argue that “in a world with budget constraints, the overall efficiency of the economy can clearly be helped by finding mechanisms that allow high ability but poor children to attend school. In most respects, this is easiest and most efficiently done with need-based policies” (31). </w:t>
      </w:r>
      <w:r w:rsidR="00CB5099">
        <w:rPr>
          <w:rFonts w:ascii="Times New Roman" w:hAnsi="Times New Roman" w:cs="Times New Roman"/>
          <w:sz w:val="24"/>
          <w:szCs w:val="24"/>
        </w:rPr>
        <w:t xml:space="preserve">Similar arguments have been made </w:t>
      </w:r>
      <w:r w:rsidR="007A51B8">
        <w:rPr>
          <w:rFonts w:ascii="Times New Roman" w:hAnsi="Times New Roman" w:cs="Times New Roman"/>
          <w:sz w:val="24"/>
          <w:szCs w:val="24"/>
        </w:rPr>
        <w:t xml:space="preserve">with college promise policies, with prominent scholars arguing that merit-requirements may undermine the ability of these policies to expand college access and success (Harris et al. 2018). </w:t>
      </w:r>
    </w:p>
    <w:p w14:paraId="3880B790" w14:textId="34C2AB0F" w:rsidR="00742587" w:rsidRPr="005B2DFB" w:rsidRDefault="00742587" w:rsidP="00742587">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However, scholars trained in political science and policy process theory have insightfully argued that targeted policies with tools and implementation structures that benefit only the working class will not help disadvantaged populations due to their lack of political feasibility and susceptibility to policy drift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{"citationID":"iFNqXQ0q","properties":{"formattedCitation":"(Hacker, 2004)","plainCitation":"(Hacker, 2004)","noteIndex":0},"citationItems":[{"id":3742,"uris":["http://zotero.org/users/2595715/items/SWUKPSVJ"],"uri":["http://zotero.org/users/2595715/items/SWUKPSVJ"],"itemData":{"id":3742,"type":"article-journal","title":"Privatizing Risk without Privatizing the Welfare State: The Hidden Politics of Social Policy Retrenchment in the United States","container-title":"American Political Science Review","page":"243-260","volume":"98","issue":"2","source":"Cambridge Core","abstract":"Over the last decade, students of the welfare state have produced an impressive body of research on retrenchment, the dominant thrust of which is that remarkably few welfare states have experienced fundamental shifts. This article questions this now-conventional wisdom by reconsidering the post-1970s trajectory of the American welfare state, long considered the quintessential case of social policy stability. I demonstrate that although most programs have indeed resisted retrenchment, U.S. social policy has also offered increasingly incomplete risk protection in an era of dramatic social change. Although some of this disjuncture is inadvertent—an unintended consequence of the very political stickiness that has stymied retrenchment—I argue that the declining scope of risk protection also reflects deliberate and theoretically explicable strategies of reform adopted by welfare state opponents in the face of popular and change-resistant policies, a finding that has significant implications for the study of institutional change more broadly.","DOI":"10.1017/S0003055404001121","ISSN":"1537-5943, 0003-0554","shortTitle":"Privatizing Risk without Privatizing the Welfare State","author":[{"family":"Hacker","given":"Jacob S."}],"issued":{"date-parts":[["2004",5]]}}}],"schema":"https://github.com/citation-style-language/schema/raw/master/csl-citation.json"}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(Hacker, 2004)</w:t>
      </w:r>
      <w:r w:rsidRPr="005B2DFB">
        <w:rPr>
          <w:rFonts w:ascii="Times New Roman" w:hAnsi="Times New Roman" w:cs="Times New Roman"/>
          <w:sz w:val="24"/>
          <w:szCs w:val="24"/>
        </w:rPr>
        <w:fldChar w:fldCharType="end"/>
      </w:r>
      <w:bookmarkStart w:id="8" w:name="_Hlk503871117"/>
      <w:r w:rsidRPr="005B2DFB">
        <w:rPr>
          <w:rFonts w:ascii="Times New Roman" w:hAnsi="Times New Roman" w:cs="Times New Roman"/>
          <w:sz w:val="24"/>
          <w:szCs w:val="24"/>
        </w:rPr>
        <w:t xml:space="preserve">. In fact, a significant amount of research shows that the design of welfare policies impacts political attitudes and support for programs; when welfare policies are designed as inclusive and universal they build larger constituencies and shift the focus from redistribution to common market insecurities that affect both the working and middle class (Edlund 1999; Jakobsen 2011; Larsen 2008; May 1991). In effect, researchers claim that “universal eligibility criteria may help incorporate beneficiaries as full members of society, bestowing dignity and respect on them. Conversely, means-tested programs may convey stigma </w:t>
      </w:r>
      <w:r w:rsidRPr="005B2DFB">
        <w:rPr>
          <w:rFonts w:ascii="Times New Roman" w:hAnsi="Times New Roman" w:cs="Times New Roman"/>
          <w:sz w:val="24"/>
          <w:szCs w:val="24"/>
        </w:rPr>
        <w:lastRenderedPageBreak/>
        <w:t xml:space="preserve">and thus reinforce or expand beneficiaries’ isolation” (Mettler &amp; Stonecash, 2008, 275). </w:t>
      </w:r>
      <w:bookmarkEnd w:id="8"/>
      <w:r w:rsidR="007A51B8">
        <w:rPr>
          <w:rFonts w:ascii="Times New Roman" w:hAnsi="Times New Roman" w:cs="Times New Roman"/>
          <w:sz w:val="24"/>
          <w:szCs w:val="24"/>
        </w:rPr>
        <w:t xml:space="preserve">Therefore, understanding the political dynamics of college promise policies in addition to the statutory design and outcomes can aid in </w:t>
      </w:r>
      <w:r w:rsidR="00795DE6">
        <w:rPr>
          <w:rFonts w:ascii="Times New Roman" w:hAnsi="Times New Roman" w:cs="Times New Roman"/>
          <w:sz w:val="24"/>
          <w:szCs w:val="24"/>
        </w:rPr>
        <w:t>research aiming to uncover the most politically feasible and effective policy design.</w:t>
      </w:r>
    </w:p>
    <w:p w14:paraId="3D0ED85E" w14:textId="3193F710" w:rsidR="00742587" w:rsidRPr="005B2DFB" w:rsidRDefault="00795DE6" w:rsidP="0079104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chapter 3, this</w:t>
      </w:r>
      <w:r w:rsidR="00742587" w:rsidRPr="005B2DFB">
        <w:rPr>
          <w:rFonts w:ascii="Times New Roman" w:hAnsi="Times New Roman" w:cs="Times New Roman"/>
          <w:sz w:val="24"/>
          <w:szCs w:val="24"/>
        </w:rPr>
        <w:t xml:space="preserve"> dissertation incorporates an entire chapter on the role of politics in constraining the design of college promise policies. In effect, I expand the conceptualization of the relationship between public policy and citizen outcomes by moving beyond rational choice assumptions to nuanced discussions of design as a venue of political decision making. </w:t>
      </w:r>
      <w:r w:rsidR="00791042">
        <w:rPr>
          <w:rFonts w:ascii="Times New Roman" w:hAnsi="Times New Roman" w:cs="Times New Roman"/>
          <w:sz w:val="24"/>
          <w:szCs w:val="24"/>
        </w:rPr>
        <w:t>T</w:t>
      </w:r>
      <w:r w:rsidR="00791042" w:rsidRPr="005B2DFB">
        <w:rPr>
          <w:rFonts w:ascii="Times New Roman" w:hAnsi="Times New Roman" w:cs="Times New Roman"/>
          <w:sz w:val="24"/>
          <w:szCs w:val="24"/>
        </w:rPr>
        <w:t xml:space="preserve">his integration </w:t>
      </w:r>
      <w:r>
        <w:rPr>
          <w:rFonts w:ascii="Times New Roman" w:hAnsi="Times New Roman" w:cs="Times New Roman"/>
          <w:sz w:val="24"/>
          <w:szCs w:val="24"/>
        </w:rPr>
        <w:t>benefits</w:t>
      </w:r>
      <w:r w:rsidR="00791042" w:rsidRPr="005B2DFB">
        <w:rPr>
          <w:rFonts w:ascii="Times New Roman" w:hAnsi="Times New Roman" w:cs="Times New Roman"/>
          <w:sz w:val="24"/>
          <w:szCs w:val="24"/>
        </w:rPr>
        <w:t xml:space="preserve"> the ability of policy analysis/evaluation scholars to move beyond efficiency assessments and assumptions regarding rational policymaking processes to better characterize the highly subjective, symbolic, and value laden process of political decision making </w:t>
      </w:r>
      <w:r w:rsidR="00791042" w:rsidRPr="005B2DFB">
        <w:rPr>
          <w:rFonts w:ascii="Times New Roman" w:hAnsi="Times New Roman" w:cs="Times New Roman"/>
          <w:sz w:val="24"/>
          <w:szCs w:val="24"/>
        </w:rPr>
        <w:fldChar w:fldCharType="begin"/>
      </w:r>
      <w:r w:rsidR="00791042" w:rsidRPr="005B2DFB">
        <w:rPr>
          <w:rFonts w:ascii="Times New Roman" w:hAnsi="Times New Roman" w:cs="Times New Roman"/>
          <w:sz w:val="24"/>
          <w:szCs w:val="24"/>
        </w:rPr>
        <w:instrText xml:space="preserve"> ADDIN ZOTERO_ITEM CSL_CITATION {"citationID":"NWvFC4PV","properties":{"formattedCitation":"(A. Schneider &amp; Sidney, 2009; Stone, 2001)","plainCitation":"(A. Schneider &amp; Sidney, 2009; Stone, 2001)","dontUpdate":true,"noteIndex":0},"citationItems":[{"id":98,"uris":["http://zotero.org/users/2595715/items/Z9CZHE4U"],"uri":["http://zotero.org/users/2595715/items/Z9CZHE4U"],"itemData":{"id":98,"type":"article-journal","title":"What Is Next for Policy Design and Social Construction Theory?1","container-title":"Policy Studies Journal","page":"103-119","volume":"37","issue":"1","source":"Wiley Online Library","abstract":"The study of policy design has made great progress over the past decade in leading scholars to understand why the American political system produces certain kinds of designs rather than others, and the consequences that policy designs have for democracy. This article outlines the distinctive and important elements of policy design theory—the centrality of policy design, the attention to social constructions, the attention to policy consequences (or feed-forward effects), and the integration of normative and empirical research and theory. It then suggests how policy design theory can complement other policy theories in guiding research and evaluating the conditions of U.S. democracy, and how in its own right it can be further developed and used to guide important inquiry about public policy's politics and social impacts.","DOI":"10.1111/j.1541-0072.2008.00298.x","ISSN":"1541-0072","shortTitle":"What Is Next for Policy Design and Social Construction Theory?","language":"en","author":[{"family":"Schneider","given":"Anne"},{"family":"Sidney","given":"Mara"}],"issued":{"date-parts":[["2009",2,1]]}}},{"id":8,"uris":["http://zotero.org/users/2595715/items/WSCEJJBN"],"uri":["http://zotero.org/users/2595715/items/WSCEJJBN"],"itemData":{"id":8,"type":"book","title":"Policy Paradox: The Art of Political Decision Making","publisher":"W. W. Norton &amp; Company","publisher-place":"New York","number-of-pages":"448","edition":"Revised edition","source":"Amazon","event-place":"New York","abstract":"Since its debut, Policy Paradox has been widely acclaimed as the most accessible policy text available. Unlike most texts, which treat policy analysis and policy making as different enterprises, Policy Paradox demonstrates that \"you can’t take politics out of analysis.\" Through a uniquely rich and comprehensive model, this revised edition continues to show how real-world policy grows out of differing ideals, even definitions, of basic societal goals like security, equality, and liberty. The book also demonstrates how these ideals often conflict in policy implementation. In this revised edition, Stone has added a full-length case study as an appendix, taking up the issue of affirmative action. Clear, provocative, and engaging, Policy Paradox conveys the richness of public policy making and analysis.","ISBN":"978-0-393-97625-0","shortTitle":"Policy Paradox","language":"English","author":[{"family":"Stone","given":"Deborah"}],"issued":{"date-parts":[["2001",7,20]]}}}],"schema":"https://github.com/citation-style-language/schema/raw/master/csl-citation.json"} </w:instrText>
      </w:r>
      <w:r w:rsidR="00791042" w:rsidRPr="005B2DFB">
        <w:rPr>
          <w:rFonts w:ascii="Times New Roman" w:hAnsi="Times New Roman" w:cs="Times New Roman"/>
          <w:sz w:val="24"/>
          <w:szCs w:val="24"/>
        </w:rPr>
        <w:fldChar w:fldCharType="separate"/>
      </w:r>
      <w:r w:rsidR="00791042" w:rsidRPr="005B2DFB">
        <w:rPr>
          <w:rFonts w:ascii="Times New Roman" w:hAnsi="Times New Roman" w:cs="Times New Roman"/>
          <w:sz w:val="24"/>
          <w:szCs w:val="24"/>
        </w:rPr>
        <w:t>(Schneider &amp; Sidney, 2009; Stone, 2001)</w:t>
      </w:r>
      <w:r w:rsidR="00791042" w:rsidRPr="005B2DFB">
        <w:rPr>
          <w:rFonts w:ascii="Times New Roman" w:hAnsi="Times New Roman" w:cs="Times New Roman"/>
          <w:sz w:val="24"/>
          <w:szCs w:val="24"/>
        </w:rPr>
        <w:fldChar w:fldCharType="end"/>
      </w:r>
      <w:r w:rsidR="00791042" w:rsidRPr="005B2DFB">
        <w:rPr>
          <w:rFonts w:ascii="Times New Roman" w:hAnsi="Times New Roman" w:cs="Times New Roman"/>
          <w:sz w:val="24"/>
          <w:szCs w:val="24"/>
        </w:rPr>
        <w:t xml:space="preserve">. </w:t>
      </w:r>
      <w:r w:rsidR="00742587" w:rsidRPr="005B2DFB">
        <w:rPr>
          <w:rFonts w:ascii="Times New Roman" w:hAnsi="Times New Roman" w:cs="Times New Roman"/>
          <w:sz w:val="24"/>
          <w:szCs w:val="24"/>
        </w:rPr>
        <w:t xml:space="preserve">In particular, I leverage literature on the social construction of target populations to explain the underlying reasons for variation in public support for college promise policies. </w:t>
      </w:r>
    </w:p>
    <w:p w14:paraId="76BE0B4A" w14:textId="357F45C3" w:rsidR="00973D7A" w:rsidRDefault="00973D7A" w:rsidP="00742587">
      <w:pPr>
        <w:spacing w:line="480" w:lineRule="auto"/>
        <w:rPr>
          <w:rFonts w:ascii="Times New Roman" w:hAnsi="Times New Roman" w:cs="Times New Roman"/>
          <w:i/>
          <w:sz w:val="24"/>
          <w:szCs w:val="24"/>
        </w:rPr>
      </w:pPr>
      <w:r>
        <w:rPr>
          <w:rFonts w:ascii="Times New Roman" w:hAnsi="Times New Roman" w:cs="Times New Roman"/>
          <w:i/>
          <w:sz w:val="24"/>
          <w:szCs w:val="24"/>
        </w:rPr>
        <w:t>Integrating Implementation</w:t>
      </w:r>
    </w:p>
    <w:p w14:paraId="58093141" w14:textId="7B4B3D70" w:rsidR="00717529" w:rsidRDefault="00717529" w:rsidP="00713C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Often, scholars in higher education policy remind us the importance of people like high school counselors in shaping </w:t>
      </w:r>
      <w:r w:rsidR="005E753D">
        <w:rPr>
          <w:rFonts w:ascii="Times New Roman" w:hAnsi="Times New Roman" w:cs="Times New Roman"/>
          <w:sz w:val="24"/>
          <w:szCs w:val="24"/>
        </w:rPr>
        <w:t>student experiences and take up of financial aid programs</w:t>
      </w:r>
      <w:r w:rsidR="006B7F0B">
        <w:rPr>
          <w:rFonts w:ascii="Times New Roman" w:hAnsi="Times New Roman" w:cs="Times New Roman"/>
          <w:sz w:val="24"/>
          <w:szCs w:val="24"/>
        </w:rPr>
        <w:t xml:space="preserve"> (see Harris et al. 2018)</w:t>
      </w:r>
      <w:r w:rsidR="005E753D">
        <w:rPr>
          <w:rFonts w:ascii="Times New Roman" w:hAnsi="Times New Roman" w:cs="Times New Roman"/>
          <w:sz w:val="24"/>
          <w:szCs w:val="24"/>
        </w:rPr>
        <w:t>. However, these scholar</w:t>
      </w:r>
      <w:r w:rsidR="00A81B19">
        <w:rPr>
          <w:rFonts w:ascii="Times New Roman" w:hAnsi="Times New Roman" w:cs="Times New Roman"/>
          <w:sz w:val="24"/>
          <w:szCs w:val="24"/>
        </w:rPr>
        <w:t>s are not trained to study implementation processes and public management and thus omit this element of the process from the analysis</w:t>
      </w:r>
      <w:r w:rsidR="005E753D">
        <w:rPr>
          <w:rFonts w:ascii="Times New Roman" w:hAnsi="Times New Roman" w:cs="Times New Roman"/>
          <w:sz w:val="24"/>
          <w:szCs w:val="24"/>
        </w:rPr>
        <w:t xml:space="preserve">. </w:t>
      </w:r>
      <w:r w:rsidR="00A81B19">
        <w:rPr>
          <w:rFonts w:ascii="Times New Roman" w:hAnsi="Times New Roman" w:cs="Times New Roman"/>
          <w:sz w:val="24"/>
          <w:szCs w:val="24"/>
        </w:rPr>
        <w:t>Scholars in college promise literature so far have made the argument</w:t>
      </w:r>
      <w:r w:rsidR="005E753D">
        <w:rPr>
          <w:rFonts w:ascii="Times New Roman" w:hAnsi="Times New Roman" w:cs="Times New Roman"/>
          <w:sz w:val="24"/>
          <w:szCs w:val="24"/>
        </w:rPr>
        <w:t xml:space="preserve"> that counselors matter, but this dissertation takes this a step further. </w:t>
      </w:r>
    </w:p>
    <w:p w14:paraId="70E9E698" w14:textId="0CB12833" w:rsidR="005E753D" w:rsidRDefault="005E753D" w:rsidP="005E75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my integration of administrative burden and public management literature into the study of college promise</w:t>
      </w:r>
      <w:r w:rsidR="006B7F0B">
        <w:rPr>
          <w:rFonts w:ascii="Times New Roman" w:hAnsi="Times New Roman" w:cs="Times New Roman"/>
          <w:sz w:val="24"/>
          <w:szCs w:val="24"/>
        </w:rPr>
        <w:t xml:space="preserve"> in Chapter 4</w:t>
      </w:r>
      <w:r>
        <w:rPr>
          <w:rFonts w:ascii="Times New Roman" w:hAnsi="Times New Roman" w:cs="Times New Roman"/>
          <w:sz w:val="24"/>
          <w:szCs w:val="24"/>
        </w:rPr>
        <w:t xml:space="preserve">, I establish how counselors matter for student access to </w:t>
      </w:r>
      <w:r>
        <w:rPr>
          <w:rFonts w:ascii="Times New Roman" w:hAnsi="Times New Roman" w:cs="Times New Roman"/>
          <w:sz w:val="24"/>
          <w:szCs w:val="24"/>
        </w:rPr>
        <w:lastRenderedPageBreak/>
        <w:t xml:space="preserve">promise programs in the context of the Oklahoma Promise policy. </w:t>
      </w:r>
      <w:r w:rsidR="006B7F0B">
        <w:rPr>
          <w:rFonts w:ascii="Times New Roman" w:hAnsi="Times New Roman" w:cs="Times New Roman"/>
          <w:sz w:val="24"/>
          <w:szCs w:val="24"/>
        </w:rPr>
        <w:t>In this way, this dissertation extends the college promise literature by investigating how the use of discretion by street-level bureaucrats in a program with complex eligibility requirements, or administrative burden, impacts the level of program access in local high schools</w:t>
      </w:r>
      <w:r w:rsidR="00742587" w:rsidRPr="005B2DFB">
        <w:rPr>
          <w:rFonts w:ascii="Times New Roman" w:hAnsi="Times New Roman" w:cs="Times New Roman"/>
          <w:sz w:val="24"/>
          <w:szCs w:val="24"/>
        </w:rPr>
        <w:t xml:space="preserve">. </w:t>
      </w:r>
      <w:r>
        <w:rPr>
          <w:rFonts w:ascii="Times New Roman" w:hAnsi="Times New Roman" w:cs="Times New Roman"/>
          <w:sz w:val="24"/>
          <w:szCs w:val="24"/>
        </w:rPr>
        <w:t xml:space="preserve">In many promise programs and financial aid programs there are rules and requirements that might be conceptualized as administrative burden. In these programs, I investigate the role of high school counselors in shaping the experience of </w:t>
      </w:r>
      <w:r w:rsidR="0056734A">
        <w:rPr>
          <w:rFonts w:ascii="Times New Roman" w:hAnsi="Times New Roman" w:cs="Times New Roman"/>
          <w:sz w:val="24"/>
          <w:szCs w:val="24"/>
        </w:rPr>
        <w:t xml:space="preserve">burdens. </w:t>
      </w:r>
    </w:p>
    <w:p w14:paraId="70CBA85B" w14:textId="334C35AC" w:rsidR="00E10849" w:rsidRDefault="00E10849" w:rsidP="00E10849">
      <w:pPr>
        <w:spacing w:after="0" w:line="480" w:lineRule="auto"/>
        <w:rPr>
          <w:rFonts w:ascii="Times New Roman" w:hAnsi="Times New Roman" w:cs="Times New Roman"/>
          <w:b/>
          <w:sz w:val="24"/>
          <w:szCs w:val="24"/>
        </w:rPr>
      </w:pPr>
      <w:r w:rsidRPr="00E10849">
        <w:rPr>
          <w:rFonts w:ascii="Times New Roman" w:hAnsi="Times New Roman" w:cs="Times New Roman"/>
          <w:b/>
          <w:sz w:val="24"/>
          <w:szCs w:val="24"/>
        </w:rPr>
        <w:t>Applying Holistic Policy Design Framework to College Promise</w:t>
      </w:r>
    </w:p>
    <w:p w14:paraId="0DB3D616" w14:textId="393AD999" w:rsidR="00DB50FF" w:rsidRPr="00DB50FF" w:rsidRDefault="00DA3F6D" w:rsidP="00E1084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Figure below, I present my integration of politics and public management into understanding the process of designing and implementing college promise policies. In this framework, I include all of the statutory designs that have been the focus of the current literature investigating college promise. However, I also include essential insights on the role of politics in shaping these statutory designs and implementation in translating design into outcomes. </w:t>
      </w:r>
    </w:p>
    <w:p w14:paraId="152A21C3" w14:textId="77777777" w:rsidR="00E10849" w:rsidRDefault="00E10849" w:rsidP="00E10849">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0D89CF09" wp14:editId="7AD8480F">
                <wp:simplePos x="0" y="0"/>
                <wp:positionH relativeFrom="column">
                  <wp:posOffset>4678680</wp:posOffset>
                </wp:positionH>
                <wp:positionV relativeFrom="paragraph">
                  <wp:posOffset>1383030</wp:posOffset>
                </wp:positionV>
                <wp:extent cx="281940" cy="419100"/>
                <wp:effectExtent l="0" t="38100" r="41910" b="57150"/>
                <wp:wrapNone/>
                <wp:docPr id="37" name="Arrow: Right 37"/>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B2568B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7" o:spid="_x0000_s1026" type="#_x0000_t13" style="position:absolute;margin-left:368.4pt;margin-top:108.9pt;width:22.2pt;height:33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565165B4" wp14:editId="0BB786C8">
                <wp:simplePos x="0" y="0"/>
                <wp:positionH relativeFrom="column">
                  <wp:posOffset>3048000</wp:posOffset>
                </wp:positionH>
                <wp:positionV relativeFrom="paragraph">
                  <wp:posOffset>1390650</wp:posOffset>
                </wp:positionV>
                <wp:extent cx="281940" cy="419100"/>
                <wp:effectExtent l="0" t="38100" r="41910" b="57150"/>
                <wp:wrapNone/>
                <wp:docPr id="38" name="Arrow: Right 38"/>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1333CF" id="Arrow: Right 38" o:spid="_x0000_s1026" type="#_x0000_t13" style="position:absolute;margin-left:240pt;margin-top:109.5pt;width:22.2pt;height:33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1ABA58B6" wp14:editId="79E9FE7A">
                <wp:simplePos x="0" y="0"/>
                <wp:positionH relativeFrom="column">
                  <wp:posOffset>1417320</wp:posOffset>
                </wp:positionH>
                <wp:positionV relativeFrom="paragraph">
                  <wp:posOffset>1436370</wp:posOffset>
                </wp:positionV>
                <wp:extent cx="281940" cy="419100"/>
                <wp:effectExtent l="0" t="38100" r="41910" b="57150"/>
                <wp:wrapNone/>
                <wp:docPr id="39" name="Arrow: Right 39"/>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99B91B" id="Arrow: Right 39" o:spid="_x0000_s1026" type="#_x0000_t13" style="position:absolute;margin-left:111.6pt;margin-top:113.1pt;width:22.2pt;height:33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" adj="10800" fillcolor="black [3213]" strokecolor="black [3213]" strokeweight="1pt"/>
            </w:pict>
          </mc:Fallback>
        </mc:AlternateContent>
      </w:r>
      <w:r w:rsidRPr="005B2DFB">
        <w:rPr>
          <w:rFonts w:ascii="Times New Roman" w:hAnsi="Times New Roman" w:cs="Times New Roman"/>
          <w:noProof/>
          <w:sz w:val="24"/>
          <w:szCs w:val="24"/>
        </w:rPr>
        <w:drawing>
          <wp:inline distT="0" distB="0" distL="0" distR="0" wp14:anchorId="20D48FA6" wp14:editId="15979A90">
            <wp:extent cx="6339840" cy="3200400"/>
            <wp:effectExtent l="0" t="0" r="3810" b="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0C5E0245" w14:textId="0C04063D" w:rsidR="00E10849" w:rsidRPr="005B2DFB" w:rsidRDefault="00E10849" w:rsidP="00E10849">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t xml:space="preserve">Figure </w:t>
      </w:r>
      <w:r w:rsidR="0054379F">
        <w:rPr>
          <w:rFonts w:ascii="Times New Roman" w:hAnsi="Times New Roman" w:cs="Times New Roman"/>
          <w:sz w:val="24"/>
          <w:szCs w:val="24"/>
        </w:rPr>
        <w:t>2-1</w:t>
      </w:r>
      <w:r w:rsidRPr="005B2DFB">
        <w:rPr>
          <w:rFonts w:ascii="Times New Roman" w:hAnsi="Times New Roman" w:cs="Times New Roman"/>
          <w:sz w:val="24"/>
          <w:szCs w:val="24"/>
        </w:rPr>
        <w:t>. Policy Design Framework</w:t>
      </w:r>
      <w:r>
        <w:rPr>
          <w:rFonts w:ascii="Times New Roman" w:hAnsi="Times New Roman" w:cs="Times New Roman"/>
          <w:sz w:val="24"/>
          <w:szCs w:val="24"/>
        </w:rPr>
        <w:t xml:space="preserve"> Applied to College Promise Policies</w:t>
      </w:r>
    </w:p>
    <w:p w14:paraId="17C291E8" w14:textId="77777777" w:rsidR="00E10849" w:rsidRPr="00E10849" w:rsidRDefault="00E10849" w:rsidP="00E10849">
      <w:pPr>
        <w:spacing w:after="0" w:line="480" w:lineRule="auto"/>
        <w:rPr>
          <w:rFonts w:ascii="Times New Roman" w:hAnsi="Times New Roman" w:cs="Times New Roman"/>
          <w:b/>
          <w:sz w:val="24"/>
          <w:szCs w:val="24"/>
        </w:rPr>
      </w:pPr>
    </w:p>
    <w:p w14:paraId="4D8C63EB" w14:textId="1DE209B6" w:rsidR="001C204E" w:rsidRDefault="00DA3F6D" w:rsidP="00BC2E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First, I integrate the </w:t>
      </w:r>
      <w:r w:rsidR="00E5053E">
        <w:rPr>
          <w:rFonts w:ascii="Times New Roman" w:hAnsi="Times New Roman" w:cs="Times New Roman"/>
          <w:sz w:val="24"/>
          <w:szCs w:val="24"/>
        </w:rPr>
        <w:t xml:space="preserve">use of statutory design in political deliberations as a strategic tool for striking a balance between political feasibility and efficiency. Specifically, policymakers, whether consciously or unconsciously, are determining who will be the socially constructed target population through making decision like the inclusion of merit requirements and the decision to target benefits for low-income students or keep it universally accessible for all residents. </w:t>
      </w:r>
      <w:r w:rsidR="00AD02B1">
        <w:rPr>
          <w:rFonts w:ascii="Times New Roman" w:hAnsi="Times New Roman" w:cs="Times New Roman"/>
          <w:sz w:val="24"/>
          <w:szCs w:val="24"/>
        </w:rPr>
        <w:t>These decisions, as I demonstrate in Chapter 3, are consequential for the ability of tuition-free college policies to create sustainable constituencies</w:t>
      </w:r>
      <w:r w:rsidR="00400550">
        <w:rPr>
          <w:rFonts w:ascii="Times New Roman" w:hAnsi="Times New Roman" w:cs="Times New Roman"/>
          <w:sz w:val="24"/>
          <w:szCs w:val="24"/>
        </w:rPr>
        <w:t xml:space="preserve"> and are, in turn, important in shaping political feasibility. </w:t>
      </w:r>
    </w:p>
    <w:p w14:paraId="495C9C82" w14:textId="08F4DF5A" w:rsidR="00AD02B1" w:rsidRPr="00DA3F6D" w:rsidRDefault="00AD02B1" w:rsidP="001C204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Next, </w:t>
      </w:r>
      <w:r w:rsidR="001C204E">
        <w:rPr>
          <w:rFonts w:ascii="Times New Roman" w:hAnsi="Times New Roman" w:cs="Times New Roman"/>
          <w:sz w:val="24"/>
          <w:szCs w:val="24"/>
        </w:rPr>
        <w:t xml:space="preserve">I include what have already been identified in the college promise literature as some of the most important elements of statutory design variation. These statutory designs are considered the direct result of political deliberations regarding what will bode well for elected leaders’ re-election chances. </w:t>
      </w:r>
      <w:r w:rsidR="004A27D6">
        <w:rPr>
          <w:rFonts w:ascii="Times New Roman" w:hAnsi="Times New Roman" w:cs="Times New Roman"/>
          <w:sz w:val="24"/>
          <w:szCs w:val="24"/>
        </w:rPr>
        <w:t>Then,</w:t>
      </w:r>
      <w:r w:rsidR="001C204E">
        <w:rPr>
          <w:rFonts w:ascii="Times New Roman" w:hAnsi="Times New Roman" w:cs="Times New Roman"/>
          <w:sz w:val="24"/>
          <w:szCs w:val="24"/>
        </w:rPr>
        <w:t xml:space="preserve"> once politics has shaped statutory design, it is now public managers’ turn to </w:t>
      </w:r>
      <w:r w:rsidR="000C34C6">
        <w:rPr>
          <w:rFonts w:ascii="Times New Roman" w:hAnsi="Times New Roman" w:cs="Times New Roman"/>
          <w:sz w:val="24"/>
          <w:szCs w:val="24"/>
        </w:rPr>
        <w:t xml:space="preserve">interpret and administer the policy. In this process, both public managers and street-level bureaucrats strategically utilize discretion in ways that either align or do not align with elected leaders. These processes, in the context of tuition-free college, range from advertising the program to students to helping students understand and complete the requirements for enrolling in the program. </w:t>
      </w:r>
      <w:r w:rsidR="004A27D6">
        <w:rPr>
          <w:rFonts w:ascii="Times New Roman" w:hAnsi="Times New Roman" w:cs="Times New Roman"/>
          <w:sz w:val="24"/>
          <w:szCs w:val="24"/>
        </w:rPr>
        <w:t>The way in which bureaucrats</w:t>
      </w:r>
      <w:r w:rsidR="006A5A36">
        <w:rPr>
          <w:rFonts w:ascii="Times New Roman" w:hAnsi="Times New Roman" w:cs="Times New Roman"/>
          <w:sz w:val="24"/>
          <w:szCs w:val="24"/>
        </w:rPr>
        <w:t xml:space="preserve"> perceive policy design and</w:t>
      </w:r>
      <w:r w:rsidR="004A27D6">
        <w:rPr>
          <w:rFonts w:ascii="Times New Roman" w:hAnsi="Times New Roman" w:cs="Times New Roman"/>
          <w:sz w:val="24"/>
          <w:szCs w:val="24"/>
        </w:rPr>
        <w:t xml:space="preserve"> go about these duties </w:t>
      </w:r>
      <w:r w:rsidR="006A5A36">
        <w:rPr>
          <w:rFonts w:ascii="Times New Roman" w:hAnsi="Times New Roman" w:cs="Times New Roman"/>
          <w:sz w:val="24"/>
          <w:szCs w:val="24"/>
        </w:rPr>
        <w:t>affects students’ ability to overcome barriers and enroll in tuition-free college programs and in college. Together, this framework predicts that even if we get the politics right, the statutory design could fail, and even if public managers are doing their best, the politics may have dictated an ineffective policy design</w:t>
      </w:r>
      <w:r w:rsidR="00691992">
        <w:rPr>
          <w:rFonts w:ascii="Times New Roman" w:hAnsi="Times New Roman" w:cs="Times New Roman"/>
          <w:sz w:val="24"/>
          <w:szCs w:val="24"/>
        </w:rPr>
        <w:t xml:space="preserve">. Therefore, all three components—politics, statutory design, and public management—are essential in crafting effective tuition-free college policies. </w:t>
      </w:r>
    </w:p>
    <w:p w14:paraId="7E914C09" w14:textId="035FD2BF" w:rsidR="00BC2EA1" w:rsidRPr="008506F2" w:rsidRDefault="00BC2EA1" w:rsidP="00BC2EA1">
      <w:pPr>
        <w:spacing w:line="480" w:lineRule="auto"/>
        <w:rPr>
          <w:rFonts w:ascii="Times New Roman" w:hAnsi="Times New Roman" w:cs="Times New Roman"/>
          <w:b/>
          <w:sz w:val="24"/>
          <w:szCs w:val="24"/>
        </w:rPr>
      </w:pPr>
      <w:r w:rsidRPr="008506F2">
        <w:rPr>
          <w:rFonts w:ascii="Times New Roman" w:hAnsi="Times New Roman" w:cs="Times New Roman"/>
          <w:b/>
          <w:sz w:val="24"/>
          <w:szCs w:val="24"/>
        </w:rPr>
        <w:lastRenderedPageBreak/>
        <w:t xml:space="preserve">1.1 </w:t>
      </w:r>
      <w:r>
        <w:rPr>
          <w:rFonts w:ascii="Times New Roman" w:hAnsi="Times New Roman" w:cs="Times New Roman"/>
          <w:b/>
          <w:sz w:val="24"/>
          <w:szCs w:val="24"/>
        </w:rPr>
        <w:t>Summary</w:t>
      </w:r>
      <w:r w:rsidRPr="008506F2">
        <w:rPr>
          <w:rFonts w:ascii="Times New Roman" w:hAnsi="Times New Roman" w:cs="Times New Roman"/>
          <w:b/>
          <w:sz w:val="24"/>
          <w:szCs w:val="24"/>
        </w:rPr>
        <w:t xml:space="preserve"> of Chapter</w:t>
      </w:r>
    </w:p>
    <w:p w14:paraId="271EE2F7" w14:textId="77777777" w:rsidR="00BC2EA1" w:rsidRPr="008506F2" w:rsidRDefault="00BC2EA1" w:rsidP="00BC2EA1">
      <w:pPr>
        <w:spacing w:after="0" w:line="480" w:lineRule="auto"/>
        <w:ind w:firstLine="720"/>
        <w:textAlignment w:val="center"/>
        <w:rPr>
          <w:rFonts w:ascii="Times New Roman" w:hAnsi="Times New Roman" w:cs="Times New Roman"/>
          <w:sz w:val="24"/>
          <w:szCs w:val="24"/>
        </w:rPr>
      </w:pPr>
      <w:r w:rsidRPr="008506F2">
        <w:rPr>
          <w:rFonts w:ascii="Times New Roman" w:hAnsi="Times New Roman" w:cs="Times New Roman"/>
          <w:sz w:val="24"/>
          <w:szCs w:val="24"/>
        </w:rPr>
        <w:t xml:space="preserve">Access to quality higher education opportunities is a contemporary cornerstone of American society, serving as the ladder that families can climb in order to achieve meaningful social mobility and accomplish the American Dream. However, in its current form, our system of higher education is vastly unequal, making that ladder out of reach for many hard-working Americans. This dissertation leverages public policy and public administration theories to better understand the conditions under which politically shaped governmental policies aimed at extending the ladder of opportunity will meaningfully reduce inequality in college access and success. This exploration reveals that in order to extend opportunity to those who can no longer afford higher education, policies must be designed in ways that alleviate inequality and break down the barriers that hold back so many from accessing higher education. However, political forces that shape policy design constrain the range of feasible public policies, which can function to exacerbate instead of alleviating the inequality in college access and success. </w:t>
      </w:r>
    </w:p>
    <w:p w14:paraId="4341511B" w14:textId="3C0EFD8C" w:rsidR="00742587" w:rsidRPr="00A81B19" w:rsidRDefault="00BC2EA1" w:rsidP="00A81B19">
      <w:pPr>
        <w:spacing w:after="0" w:line="480" w:lineRule="auto"/>
        <w:ind w:firstLine="720"/>
        <w:textAlignment w:val="center"/>
        <w:rPr>
          <w:rFonts w:ascii="Times New Roman" w:hAnsi="Times New Roman" w:cs="Times New Roman"/>
          <w:sz w:val="24"/>
          <w:szCs w:val="24"/>
        </w:rPr>
      </w:pPr>
      <w:r w:rsidRPr="008506F2">
        <w:rPr>
          <w:rFonts w:ascii="Times New Roman" w:hAnsi="Times New Roman" w:cs="Times New Roman"/>
          <w:sz w:val="24"/>
          <w:szCs w:val="24"/>
        </w:rPr>
        <w:t xml:space="preserve">In this dissertation I evaluate the extent to which college promise policies will work to alleviate inequality. My central contention is that while college promise policies have the potential to improve college affordability for disadvantaged students and families, policy design and public management will be the main determining factor predicting whether inequality is alleviated or exacerbated by these programs.  In this investigation, I leverage my expertise in public policy and public management to identify the ways in which public administration, public policy and politics can combine to create policy designs that align student supports to student needs and meaningfully close the gap in educational attainment between the rich and poor, effectively increasing access to social mobility and, in turn, the American Dream.  </w:t>
      </w:r>
    </w:p>
    <w:p w14:paraId="4844E5A5" w14:textId="35293199" w:rsidR="00E10849" w:rsidRDefault="00E10849">
      <w:pPr>
        <w:rPr>
          <w:rFonts w:ascii="Times New Roman" w:hAnsi="Times New Roman" w:cs="Times New Roman"/>
          <w:b/>
          <w:sz w:val="36"/>
          <w:szCs w:val="24"/>
        </w:rPr>
      </w:pPr>
      <w:bookmarkStart w:id="9" w:name="_Hlk536435009"/>
    </w:p>
    <w:p w14:paraId="0F46AACA" w14:textId="7FE67C8B" w:rsidR="00E45E88" w:rsidRPr="00742587" w:rsidRDefault="00267839" w:rsidP="00E45E88">
      <w:pPr>
        <w:spacing w:line="480" w:lineRule="auto"/>
        <w:jc w:val="center"/>
        <w:rPr>
          <w:rFonts w:ascii="Times New Roman" w:hAnsi="Times New Roman" w:cs="Times New Roman"/>
          <w:b/>
          <w:sz w:val="36"/>
          <w:szCs w:val="24"/>
        </w:rPr>
      </w:pPr>
      <w:r w:rsidRPr="00742587">
        <w:rPr>
          <w:rFonts w:ascii="Times New Roman" w:hAnsi="Times New Roman" w:cs="Times New Roman"/>
          <w:b/>
          <w:sz w:val="36"/>
          <w:szCs w:val="24"/>
        </w:rPr>
        <w:lastRenderedPageBreak/>
        <w:t xml:space="preserve">Chapter 3: </w:t>
      </w:r>
      <w:r w:rsidR="00E45E88" w:rsidRPr="00742587">
        <w:rPr>
          <w:rFonts w:ascii="Times New Roman" w:hAnsi="Times New Roman" w:cs="Times New Roman"/>
          <w:b/>
          <w:sz w:val="36"/>
          <w:szCs w:val="24"/>
        </w:rPr>
        <w:t>The Politics of Designing Tuition-Free College: How Socially Constructed Target Populations Influence Policy Support</w:t>
      </w:r>
    </w:p>
    <w:bookmarkEnd w:id="9"/>
    <w:p w14:paraId="2512CCEB" w14:textId="325059D1" w:rsidR="00E45E88" w:rsidRPr="00B35567" w:rsidRDefault="00B35567" w:rsidP="00004BED">
      <w:pPr>
        <w:spacing w:line="480" w:lineRule="auto"/>
        <w:ind w:firstLine="720"/>
        <w:rPr>
          <w:rFonts w:ascii="Times New Roman" w:hAnsi="Times New Roman" w:cs="Times New Roman"/>
          <w:sz w:val="24"/>
          <w:szCs w:val="24"/>
        </w:rPr>
      </w:pPr>
      <w:r w:rsidRPr="00B35567">
        <w:rPr>
          <w:rFonts w:ascii="Times New Roman" w:hAnsi="Times New Roman" w:cs="Times New Roman"/>
          <w:sz w:val="24"/>
          <w:szCs w:val="24"/>
        </w:rPr>
        <w:t>In this chapter, I investigate the political dynamics of designing tuition-free college. Connecting back to the theoretical framework, this means that this empirical chapter explores the first element of the theoretical framework below—the political dynamics that shape the statutory design of promise policies.</w:t>
      </w:r>
      <w:r w:rsidR="00612848">
        <w:rPr>
          <w:rFonts w:ascii="Times New Roman" w:hAnsi="Times New Roman" w:cs="Times New Roman"/>
          <w:sz w:val="24"/>
          <w:szCs w:val="24"/>
        </w:rPr>
        <w:t xml:space="preserve"> This chapter draws on political science and public policy theories to explain the systematic variation in statutory designs of college promise policies as a function of the political dynamics of socially constructed target groups. </w:t>
      </w:r>
    </w:p>
    <w:p w14:paraId="4BDFA802" w14:textId="66EEDD1B" w:rsidR="00B35567" w:rsidRPr="005B2DFB" w:rsidRDefault="00B35567" w:rsidP="00B35567">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t xml:space="preserve">Figure </w:t>
      </w:r>
      <w:r w:rsidR="0054379F">
        <w:rPr>
          <w:rFonts w:ascii="Times New Roman" w:hAnsi="Times New Roman" w:cs="Times New Roman"/>
          <w:sz w:val="24"/>
          <w:szCs w:val="24"/>
        </w:rPr>
        <w:t>3-</w:t>
      </w:r>
      <w:r w:rsidRPr="005B2DFB">
        <w:rPr>
          <w:rFonts w:ascii="Times New Roman" w:hAnsi="Times New Roman" w:cs="Times New Roman"/>
          <w:sz w:val="24"/>
          <w:szCs w:val="24"/>
        </w:rPr>
        <w:t xml:space="preserve">1. </w:t>
      </w:r>
      <w:r w:rsidR="00BE77EE">
        <w:rPr>
          <w:rFonts w:ascii="Times New Roman" w:hAnsi="Times New Roman" w:cs="Times New Roman"/>
          <w:sz w:val="24"/>
          <w:szCs w:val="24"/>
        </w:rPr>
        <w:t xml:space="preserve">The Political Pathway: How Politics Shapes Statutory Designs </w:t>
      </w:r>
    </w:p>
    <w:p w14:paraId="5E3D4558" w14:textId="77777777" w:rsidR="00B35567" w:rsidRPr="005B2DFB" w:rsidRDefault="00B35567" w:rsidP="00B35567">
      <w:pPr>
        <w:spacing w:after="0" w:line="240" w:lineRule="auto"/>
        <w:textAlignment w:val="center"/>
        <w:rPr>
          <w:rFonts w:ascii="Times New Roman" w:eastAsia="Times New Roman" w:hAnsi="Times New Roman" w:cs="Times New Roman"/>
          <w:sz w:val="24"/>
          <w:szCs w:val="24"/>
        </w:rPr>
      </w:pPr>
    </w:p>
    <w:p w14:paraId="72052EC1" w14:textId="70C7EC38" w:rsidR="00B35567" w:rsidRDefault="00B35567" w:rsidP="00B35567">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FA64A1F" wp14:editId="4AEF65B9">
                <wp:simplePos x="0" y="0"/>
                <wp:positionH relativeFrom="column">
                  <wp:posOffset>3032760</wp:posOffset>
                </wp:positionH>
                <wp:positionV relativeFrom="paragraph">
                  <wp:posOffset>643890</wp:posOffset>
                </wp:positionV>
                <wp:extent cx="281940" cy="419100"/>
                <wp:effectExtent l="0" t="38100" r="41910" b="57150"/>
                <wp:wrapNone/>
                <wp:docPr id="23" name="Arrow: Right 23"/>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0DAF77" id="Arrow: Right 23" o:spid="_x0000_s1026" type="#_x0000_t13" style="position:absolute;margin-left:238.8pt;margin-top:50.7pt;width:22.2pt;height:33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" adj="10800" fillcolor="black [3213]" strokecolor="black [3213]" strokeweight="1pt"/>
            </w:pict>
          </mc:Fallback>
        </mc:AlternateContent>
      </w:r>
      <w:r w:rsidRPr="005B2DFB">
        <w:rPr>
          <w:rFonts w:ascii="Times New Roman" w:hAnsi="Times New Roman" w:cs="Times New Roman"/>
          <w:noProof/>
          <w:sz w:val="24"/>
          <w:szCs w:val="24"/>
        </w:rPr>
        <w:drawing>
          <wp:inline distT="0" distB="0" distL="0" distR="0" wp14:anchorId="47EF8B23" wp14:editId="6AAC8F58">
            <wp:extent cx="6339840" cy="1524000"/>
            <wp:effectExtent l="0" t="38100" r="3810" b="0"/>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6E1F888B" w14:textId="77777777" w:rsidR="00B35567" w:rsidRPr="00B35567" w:rsidRDefault="00B35567" w:rsidP="00B35567">
      <w:pPr>
        <w:spacing w:after="0" w:line="240" w:lineRule="auto"/>
        <w:textAlignment w:val="center"/>
        <w:rPr>
          <w:rFonts w:ascii="Times New Roman" w:eastAsia="Times New Roman" w:hAnsi="Times New Roman" w:cs="Times New Roman"/>
          <w:sz w:val="24"/>
          <w:szCs w:val="24"/>
        </w:rPr>
      </w:pPr>
    </w:p>
    <w:p w14:paraId="6CD4D5A6" w14:textId="77777777" w:rsidR="00B35567" w:rsidRDefault="00B35567">
      <w:pPr>
        <w:rPr>
          <w:rFonts w:ascii="Times New Roman" w:hAnsi="Times New Roman" w:cs="Times New Roman"/>
          <w:b/>
          <w:sz w:val="24"/>
          <w:szCs w:val="24"/>
        </w:rPr>
      </w:pPr>
      <w:r>
        <w:rPr>
          <w:rFonts w:ascii="Times New Roman" w:hAnsi="Times New Roman" w:cs="Times New Roman"/>
          <w:b/>
          <w:sz w:val="24"/>
          <w:szCs w:val="24"/>
        </w:rPr>
        <w:br w:type="page"/>
      </w:r>
    </w:p>
    <w:p w14:paraId="5D4C1C6D" w14:textId="5D1E41F2" w:rsidR="00E45E88" w:rsidRPr="003B2204" w:rsidRDefault="00E45E88" w:rsidP="00E45E88">
      <w:pPr>
        <w:jc w:val="center"/>
        <w:rPr>
          <w:rFonts w:ascii="Times New Roman" w:hAnsi="Times New Roman" w:cs="Times New Roman"/>
          <w:b/>
          <w:sz w:val="24"/>
          <w:szCs w:val="24"/>
        </w:rPr>
      </w:pPr>
      <w:r>
        <w:rPr>
          <w:rFonts w:ascii="Times New Roman" w:hAnsi="Times New Roman" w:cs="Times New Roman"/>
          <w:b/>
          <w:sz w:val="24"/>
          <w:szCs w:val="24"/>
        </w:rPr>
        <w:lastRenderedPageBreak/>
        <w:t>A</w:t>
      </w:r>
      <w:r w:rsidRPr="003B2204">
        <w:rPr>
          <w:rFonts w:ascii="Times New Roman" w:hAnsi="Times New Roman" w:cs="Times New Roman"/>
          <w:b/>
          <w:sz w:val="24"/>
          <w:szCs w:val="24"/>
        </w:rPr>
        <w:t>bstract</w:t>
      </w:r>
    </w:p>
    <w:p w14:paraId="4BEB5F42" w14:textId="60907F71" w:rsidR="00E45E88" w:rsidRDefault="00E45E88" w:rsidP="00E45E88">
      <w:pPr>
        <w:spacing w:line="480" w:lineRule="auto"/>
        <w:rPr>
          <w:rFonts w:ascii="Times New Roman" w:hAnsi="Times New Roman" w:cs="Times New Roman"/>
          <w:sz w:val="24"/>
          <w:szCs w:val="24"/>
        </w:rPr>
      </w:pPr>
      <w:r>
        <w:rPr>
          <w:rFonts w:ascii="Times New Roman" w:hAnsi="Times New Roman" w:cs="Times New Roman"/>
          <w:sz w:val="24"/>
          <w:szCs w:val="24"/>
        </w:rPr>
        <w:t xml:space="preserve">As tuition-free college policies spread across the states, an increasingly important policy debate has emerged regarding the optimal policy design of tuition-free college. </w:t>
      </w:r>
      <w:r w:rsidRPr="003B2204">
        <w:rPr>
          <w:rFonts w:ascii="Times New Roman" w:hAnsi="Times New Roman" w:cs="Times New Roman"/>
          <w:sz w:val="24"/>
          <w:szCs w:val="24"/>
        </w:rPr>
        <w:t xml:space="preserve">Utilizing a nationally representative survey experiment and a novel </w:t>
      </w:r>
      <w:r>
        <w:rPr>
          <w:rFonts w:ascii="Times New Roman" w:hAnsi="Times New Roman" w:cs="Times New Roman"/>
          <w:sz w:val="24"/>
          <w:szCs w:val="24"/>
        </w:rPr>
        <w:t xml:space="preserve">theoretical </w:t>
      </w:r>
      <w:r w:rsidRPr="003B2204">
        <w:rPr>
          <w:rFonts w:ascii="Times New Roman" w:hAnsi="Times New Roman" w:cs="Times New Roman"/>
          <w:sz w:val="24"/>
          <w:szCs w:val="24"/>
        </w:rPr>
        <w:t xml:space="preserve">framework, this </w:t>
      </w:r>
      <w:r w:rsidR="00E327EA">
        <w:rPr>
          <w:rFonts w:ascii="Times New Roman" w:hAnsi="Times New Roman" w:cs="Times New Roman"/>
          <w:sz w:val="24"/>
          <w:szCs w:val="24"/>
        </w:rPr>
        <w:t>chapter</w:t>
      </w:r>
      <w:r w:rsidRPr="003B2204">
        <w:rPr>
          <w:rFonts w:ascii="Times New Roman" w:hAnsi="Times New Roman" w:cs="Times New Roman"/>
          <w:sz w:val="24"/>
          <w:szCs w:val="24"/>
        </w:rPr>
        <w:t xml:space="preserve"> provides evidence on how variation in </w:t>
      </w:r>
      <w:r>
        <w:rPr>
          <w:rFonts w:ascii="Times New Roman" w:hAnsi="Times New Roman" w:cs="Times New Roman"/>
          <w:sz w:val="24"/>
          <w:szCs w:val="24"/>
        </w:rPr>
        <w:t xml:space="preserve">policy design </w:t>
      </w:r>
      <w:r w:rsidRPr="003B2204">
        <w:rPr>
          <w:rFonts w:ascii="Times New Roman" w:hAnsi="Times New Roman" w:cs="Times New Roman"/>
          <w:sz w:val="24"/>
          <w:szCs w:val="24"/>
        </w:rPr>
        <w:t>impacts</w:t>
      </w:r>
      <w:r>
        <w:rPr>
          <w:rFonts w:ascii="Times New Roman" w:hAnsi="Times New Roman" w:cs="Times New Roman"/>
          <w:sz w:val="24"/>
          <w:szCs w:val="24"/>
        </w:rPr>
        <w:t xml:space="preserve"> support for</w:t>
      </w:r>
      <w:r w:rsidRPr="003B2204">
        <w:rPr>
          <w:rFonts w:ascii="Times New Roman" w:hAnsi="Times New Roman" w:cs="Times New Roman"/>
          <w:sz w:val="24"/>
          <w:szCs w:val="24"/>
        </w:rPr>
        <w:t xml:space="preserv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By integrating the social construction of target populations theory—an underutilized theoretical framework in the study of higher education policymaking—this analysis provides increased explanatory power on the role of policy design in shaping a cornerstone of </w:t>
      </w:r>
      <w:r w:rsidRPr="003B2204">
        <w:rPr>
          <w:rFonts w:ascii="Times New Roman" w:hAnsi="Times New Roman" w:cs="Times New Roman"/>
          <w:sz w:val="24"/>
          <w:szCs w:val="24"/>
        </w:rPr>
        <w:t xml:space="preserve">politically feasible </w:t>
      </w:r>
      <w:r>
        <w:rPr>
          <w:rFonts w:ascii="Times New Roman" w:hAnsi="Times New Roman" w:cs="Times New Roman"/>
          <w:sz w:val="24"/>
          <w:szCs w:val="24"/>
        </w:rPr>
        <w:t>tuition-free college—public opinion. In line with theoretical expectations, the analysis</w:t>
      </w:r>
      <w:r w:rsidRPr="003B2204">
        <w:rPr>
          <w:rFonts w:ascii="Times New Roman" w:hAnsi="Times New Roman" w:cs="Times New Roman"/>
          <w:sz w:val="24"/>
          <w:szCs w:val="24"/>
        </w:rPr>
        <w:t xml:space="preserve"> reveals that</w:t>
      </w:r>
      <w:r>
        <w:rPr>
          <w:rFonts w:ascii="Times New Roman" w:hAnsi="Times New Roman" w:cs="Times New Roman"/>
          <w:sz w:val="24"/>
          <w:szCs w:val="24"/>
        </w:rPr>
        <w:t xml:space="preserve"> universal, merit-based tuition-free college is the most supported by the public, and that the salient target population was especially important in predicting policy support for conservatives. These findings demonstrate the importance of social construction of target populations theory for the study of higher education policy processes and shed light on the political dynamics of designing tuition-free college. </w:t>
      </w:r>
    </w:p>
    <w:p w14:paraId="14B8203D" w14:textId="77777777" w:rsidR="00E45E88" w:rsidRDefault="00E45E88" w:rsidP="00E45E88">
      <w:pPr>
        <w:rPr>
          <w:rFonts w:ascii="Times New Roman" w:hAnsi="Times New Roman" w:cs="Times New Roman"/>
          <w:sz w:val="24"/>
          <w:szCs w:val="24"/>
        </w:rPr>
      </w:pPr>
      <w:r>
        <w:rPr>
          <w:rFonts w:ascii="Times New Roman" w:hAnsi="Times New Roman" w:cs="Times New Roman"/>
          <w:sz w:val="24"/>
          <w:szCs w:val="24"/>
        </w:rPr>
        <w:br w:type="page"/>
      </w:r>
    </w:p>
    <w:p w14:paraId="76B97F20" w14:textId="77777777" w:rsidR="00E45E88" w:rsidRDefault="00E45E88" w:rsidP="00E45E8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College affordability concerns dominate discussions of higher education policy, with over</w:t>
      </w:r>
      <w:r w:rsidRPr="00D36500">
        <w:rPr>
          <w:rFonts w:ascii="Times New Roman" w:hAnsi="Times New Roman" w:cs="Times New Roman"/>
          <w:sz w:val="24"/>
          <w:szCs w:val="24"/>
        </w:rPr>
        <w:t xml:space="preserve"> 7</w:t>
      </w:r>
      <w:r>
        <w:rPr>
          <w:rFonts w:ascii="Times New Roman" w:hAnsi="Times New Roman" w:cs="Times New Roman"/>
          <w:sz w:val="24"/>
          <w:szCs w:val="24"/>
        </w:rPr>
        <w:t>0 percent of parents</w:t>
      </w:r>
      <w:r w:rsidRPr="00D36500">
        <w:rPr>
          <w:rFonts w:ascii="Times New Roman" w:hAnsi="Times New Roman" w:cs="Times New Roman"/>
          <w:sz w:val="24"/>
          <w:szCs w:val="24"/>
        </w:rPr>
        <w:t xml:space="preserve"> </w:t>
      </w:r>
      <w:r>
        <w:rPr>
          <w:rFonts w:ascii="Times New Roman" w:hAnsi="Times New Roman" w:cs="Times New Roman"/>
          <w:sz w:val="24"/>
          <w:szCs w:val="24"/>
        </w:rPr>
        <w:t>expressing concern</w:t>
      </w:r>
      <w:r w:rsidRPr="00D36500">
        <w:rPr>
          <w:rFonts w:ascii="Times New Roman" w:hAnsi="Times New Roman" w:cs="Times New Roman"/>
          <w:sz w:val="24"/>
          <w:szCs w:val="24"/>
        </w:rPr>
        <w:t xml:space="preserve"> about how to finance their child’s college education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{"citationID":"kDJUlodD","properties":{"formattedCitation":"(Callahan, Perna, Yamashita, Wright, &amp; Santillan, 2018; Jones, 2015)","plainCitation":"(Callahan, Perna, Yamashita, Wright, &amp; Santillan, 2018; Jones, 2015)","noteIndex":0},"citationItems":[{"id":6949,"uris":["http://zotero.org/users/2595715/items/PVM4TP32"],"uri":["http://zotero.org/users/2595715/items/PVM4TP32"],"itemData":{"id":6949,"type":"report","title":"2018 Indicators of Higher Education Equity in the United States: Historical Trend Report","publisher":"The Pell Institute for the Study of Opportunity in Higher Education, Council for Opportunity in Education and Alliance for Higher Education and Democracy of the University of Pennsylvania","publisher-place":"Washington, DC","event-place":"Washington, DC","URL":"http://pellinstitute.org/downloads/publications-Indicators_of_Higher_Education_Equity_in_the_US_2018_Historical_Trend_Report.pdf","author":[{"family":"Callahan","given":"M"},{"family":"Perna","given":"Laura W."},{"family":"Yamashita","given":"M"},{"family":"Wright","given":"J"},{"family":"Santillan","given":"S"}],"issued":{"date-parts":[["2018"]]},"accessed":{"date-parts":[["2018",11,11]]}}},{"id":6946,"uris":["http://zotero.org/users/2595715/items/FZELRRV7"],"uri":["http://zotero.org/users/2595715/items/FZELRRV7"],"itemData":{"id":6946,"type":"article-newspaper","title":"U.S. Parents' College Funding Worries Are Top Money Concern","container-title":"Gallup","abstract":"Seventy-three percent of U.S. parents worry about not having enough money for their children's college. Parents worry more about this even more than financially vulnerable low-income Americans worry about any financial matter.","URL":"https://news.gallup.com/poll/182537/parents-college-funding-worries-top-money-concern.aspx","language":"en-us","author":[{"family":"Jones","given":"Jeffrey"}],"issued":{"date-parts":[["2015"]]},"accessed":{"date-parts":[["2018",11,11]]}}}],"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(Callahan, Perna, Yamashita, Wright, &amp; Santillan, 2018; Jones, 2015)</w:t>
      </w:r>
      <w:r>
        <w:rPr>
          <w:rFonts w:ascii="Times New Roman" w:hAnsi="Times New Roman" w:cs="Times New Roman"/>
          <w:sz w:val="24"/>
          <w:szCs w:val="24"/>
        </w:rPr>
        <w:fldChar w:fldCharType="end"/>
      </w:r>
      <w:r>
        <w:rPr>
          <w:rFonts w:ascii="Times New Roman" w:hAnsi="Times New Roman" w:cs="Times New Roman"/>
          <w:sz w:val="24"/>
          <w:szCs w:val="24"/>
        </w:rPr>
        <w:t xml:space="preserve">. In response to this growing concern, </w:t>
      </w:r>
      <w:r w:rsidRPr="003B2204">
        <w:rPr>
          <w:rFonts w:ascii="Times New Roman" w:hAnsi="Times New Roman" w:cs="Times New Roman"/>
          <w:sz w:val="24"/>
          <w:szCs w:val="24"/>
        </w:rPr>
        <w:t>the tuition-free college</w:t>
      </w:r>
      <w:r>
        <w:rPr>
          <w:rFonts w:ascii="Times New Roman" w:hAnsi="Times New Roman" w:cs="Times New Roman"/>
          <w:sz w:val="24"/>
          <w:szCs w:val="24"/>
        </w:rPr>
        <w:t>—or college promise—</w:t>
      </w:r>
      <w:r w:rsidRPr="003B2204">
        <w:rPr>
          <w:rFonts w:ascii="Times New Roman" w:hAnsi="Times New Roman" w:cs="Times New Roman"/>
          <w:sz w:val="24"/>
          <w:szCs w:val="24"/>
        </w:rPr>
        <w:t xml:space="preserve">movement, has gained traction in recent years with 16 states implementing some form of tuition-free college </w:t>
      </w:r>
      <w:r>
        <w:rPr>
          <w:rFonts w:ascii="Times New Roman" w:hAnsi="Times New Roman" w:cs="Times New Roman"/>
          <w:sz w:val="24"/>
          <w:szCs w:val="24"/>
        </w:rPr>
        <w:t>policy (</w:t>
      </w:r>
      <w:r w:rsidRPr="003B2204">
        <w:rPr>
          <w:rFonts w:ascii="Times New Roman" w:hAnsi="Times New Roman" w:cs="Times New Roman"/>
          <w:sz w:val="24"/>
          <w:szCs w:val="24"/>
        </w:rPr>
        <w:t>Perna &amp; Leigh, 2017)</w:t>
      </w:r>
      <w:r>
        <w:rPr>
          <w:rFonts w:ascii="Times New Roman" w:hAnsi="Times New Roman" w:cs="Times New Roman"/>
          <w:sz w:val="24"/>
          <w:szCs w:val="24"/>
        </w:rPr>
        <w:t xml:space="preserve">. While each of these policies have the shared goal of expanding college access and affordability, they employ substantially different approaches to policy design, with some states—such as Oregon—facing considerable difficulty in establishing </w:t>
      </w:r>
      <w:r w:rsidRPr="003B2204">
        <w:rPr>
          <w:rFonts w:ascii="Times New Roman" w:hAnsi="Times New Roman" w:cs="Times New Roman"/>
          <w:sz w:val="24"/>
          <w:szCs w:val="24"/>
        </w:rPr>
        <w:t>political feasibility</w:t>
      </w:r>
      <w:r>
        <w:rPr>
          <w:rFonts w:ascii="Times New Roman" w:hAnsi="Times New Roman" w:cs="Times New Roman"/>
          <w:sz w:val="24"/>
          <w:szCs w:val="24"/>
        </w:rPr>
        <w:t xml:space="preserve"> and sustainability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{"citationID":"sOFSiMva","properties":{"formattedCitation":"(Lobosco, 2017; Perna &amp; Leigh, 2017)","plainCitation":"(Lobosco, 2017; Perna &amp; Leigh, 2017)","noteIndex":0},"citationItems":[{"id":6086,"uris":["http://zotero.org/users/2595715/items/JJNEEZGZ"],"uri":["http://zotero.org/users/2595715/items/JJNEEZGZ"],"itemData":{"id":6086,"type":"article-journal","title":"Understanding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W."}],"issued":{"date-parts":[["2017",11,22]]}}},{"id":6936,"uris":["http://zotero.org/users/2595715/items/PH34BGEF"],"uri":["http://zotero.org/users/2595715/items/PH34BGEF"],"itemData":{"id":6936,"type":"article-newspaper","title":"Oregon promised free tuition. Now it's cutting back","container-title":"CNNMoney","abstract":"Oregon made tuition free at community colleges last year, but the state had to change eligibility requirements this fall due to high turnout and limited funding.","URL":"https://money.cnn.com/2017/08/22/pf/college/oregon-free-tuition-promise-scholarship/index.html","author":[{"family":"Lobosco","given":"Katie"}],"issued":{"date-parts":[["2017",8,22]]},"accessed":{"date-parts":[["2018",11,10]]}}}],"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(Lobosco, 2017; Perna &amp; Leigh, 2017)</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w:t>
      </w:r>
      <w:r>
        <w:rPr>
          <w:rFonts w:ascii="Times New Roman" w:hAnsi="Times New Roman" w:cs="Times New Roman"/>
          <w:sz w:val="24"/>
          <w:szCs w:val="24"/>
        </w:rPr>
        <w:t xml:space="preserve"> Despite the importance of politics in shaping the design, adoption, and sustainability of tuition-free college, studies investigating promise programs have focused almost entirely on student outcomes </w:t>
      </w:r>
      <w:r w:rsidRPr="00C82111">
        <w:rPr>
          <w:rFonts w:ascii="Times New Roman" w:hAnsi="Times New Roman" w:cs="Times New Roman"/>
          <w:sz w:val="24"/>
        </w:rPr>
        <w:t>(Andrews, DesJardins, &amp; Ranchhod, 2010; Bartik et al., 2015; Bozick, Gonzalez, &amp; Engberg, 2015; Carruthers &amp; Fox, 2016; Gonzalez et al., 2014; Page, Iriti, Lowry, &amp; Anthony, 2018</w:t>
      </w:r>
      <w:r>
        <w:rPr>
          <w:rFonts w:ascii="Times New Roman" w:hAnsi="Times New Roman" w:cs="Times New Roman"/>
          <w:sz w:val="24"/>
          <w:szCs w:val="24"/>
        </w:rPr>
        <w:t xml:space="preserve">), which is an essential area of study, but leaves the political dynamics of promise policy adoption and design understudied. </w:t>
      </w:r>
    </w:p>
    <w:p w14:paraId="454EECF4"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This article diverges from previous literature by putting politics in the spotlight, leveraging a novel theoretical framework</w:t>
      </w:r>
      <w:r>
        <w:rPr>
          <w:rFonts w:ascii="Times New Roman" w:hAnsi="Times New Roman" w:cs="Times New Roman"/>
          <w:sz w:val="24"/>
          <w:szCs w:val="24"/>
        </w:rPr>
        <w:t xml:space="preserve"> from public policy literature</w:t>
      </w:r>
      <w:r w:rsidRPr="003B2204">
        <w:rPr>
          <w:rFonts w:ascii="Times New Roman" w:hAnsi="Times New Roman" w:cs="Times New Roman"/>
          <w:sz w:val="24"/>
          <w:szCs w:val="24"/>
        </w:rPr>
        <w:t xml:space="preserve"> and a nationally representative survey experiment of 2,850 respondents to uncover the causal impact of variation in policy design</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on public </w:t>
      </w:r>
      <w:r>
        <w:rPr>
          <w:rFonts w:ascii="Times New Roman" w:hAnsi="Times New Roman" w:cs="Times New Roman"/>
          <w:sz w:val="24"/>
          <w:szCs w:val="24"/>
        </w:rPr>
        <w:t>support for</w:t>
      </w:r>
      <w:r w:rsidRPr="003B2204">
        <w:rPr>
          <w:rFonts w:ascii="Times New Roman" w:hAnsi="Times New Roman" w:cs="Times New Roman"/>
          <w:sz w:val="24"/>
          <w:szCs w:val="24"/>
        </w:rPr>
        <w:t xml:space="preserv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In doing so, this article </w:t>
      </w:r>
      <w:r>
        <w:rPr>
          <w:rFonts w:ascii="Times New Roman" w:hAnsi="Times New Roman" w:cs="Times New Roman"/>
          <w:sz w:val="24"/>
          <w:szCs w:val="24"/>
        </w:rPr>
        <w:t xml:space="preserve">answers a salient question on the mind of many policymakers around the nation: How do we craft politically feasible tuition-free college? As such, this paper answers the call to address questions that are both practically important for policymakers and theoretically important for scholars in higher education policy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{"citationID":"jVmtKKSs","properties":{"formattedCitation":"(Hillman, Tandberg, &amp; Sponsler, 2015; McLendon, 2003)","plainCitation":"(Hillman, Tandberg, &amp; Sponsler, 2015; McLendon, 2003)","noteIndex":0},"citationItems":[{"id":7122,"uris":["http://zotero.org/users/2595715/items/NZ5ESAT3"],"uri":["http://zotero.org/users/2595715/items/NZ5ESAT3"],"itemData":{"id":7122,"type":"article-journal","title":"Public Policy and Higher Education: Strategies for Framing a Research Agenda","container-title":"ASHE Higher Education Report","page":"1-98","volume":"41","issue":"2","source":"Wiley Online Library","DOI":"10.1002/aehe.20020","ISSN":"1554-6306","shortTitle":"Public Policy and Higher Education","language":"en","author":[{"family":"Hillman","given":"Nicholas W."},{"family":"Tandberg","given":"David A."},{"family":"Sponsler","given":"Brian A."}],"issued":{"date-parts":[["2015"]]}}},{"id":4142,"uris":["http://zotero.org/users/2595715/items/Y66ZFI45"],"uri":["http://zotero.org/users/2595715/items/Y66ZFI45"],"itemData":{"id":4142,"type":"article-journal","title":"The Politics of Higher Education: Toward an Expanded Research Agenda","container-title":"Educational Policy","page":"165-191","volume":"17","issue":"1","source":"SAGE Journals","abstract":"The politics of higher education as a field of study suffers from acute underdevelopment. The challenge confronting politics of higher education researchers is one of stimulating a systematic and sustained scholarship that is topically, theoretically, and methodologically multidimensional. The purpose of this article is to suggest prospective research directions that correspond with each of three broad recommendations for organizing future research in this important area of inquiry: the need for a wider range of issue coverage, the need for a broadened and enriched theoretical perspective, and the need for improved analytic sophistication and rigor. Substantial emphasis in the article is placed on comparative approaches to research so as to take maximal advantage of the multiple political and policy “laboratories” afforded by American federalism.","DOI":"10.1177/0895904802239291","ISSN":"0895-9048","shortTitle":"The Politics of Higher Education","journalAbbreviation":"Educational Policy","language":"en","author":[{"family":"McLendon","given":"Michael K."}],"issued":{"date-parts":[["2003",1,1]]}}}],"schema":"https://github.com/citation-style-language/schema/raw/master/csl-citation.json"}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(Hillman, Tandberg, &amp; Sponsler, 2015; McLendon, 2003)</w:t>
      </w:r>
      <w:r>
        <w:rPr>
          <w:rFonts w:ascii="Times New Roman" w:hAnsi="Times New Roman" w:cs="Times New Roman"/>
          <w:sz w:val="24"/>
          <w:szCs w:val="24"/>
        </w:rPr>
        <w:fldChar w:fldCharType="end"/>
      </w:r>
      <w:r>
        <w:rPr>
          <w:rFonts w:ascii="Times New Roman" w:hAnsi="Times New Roman" w:cs="Times New Roman"/>
          <w:sz w:val="24"/>
          <w:szCs w:val="24"/>
        </w:rPr>
        <w:t xml:space="preserve">. To retain the practical importance while also contributing to theoretical development, I leverage the social </w:t>
      </w:r>
      <w:r>
        <w:rPr>
          <w:rFonts w:ascii="Times New Roman" w:hAnsi="Times New Roman" w:cs="Times New Roman"/>
          <w:sz w:val="24"/>
          <w:szCs w:val="24"/>
        </w:rPr>
        <w:lastRenderedPageBreak/>
        <w:t>construction of target populations theory—an underutilized theoretical framework in the study of higher education policymaking—and strategically chose the most salient policy design debates among policymakers and pundits. In turn, the key research questions in this study include</w:t>
      </w:r>
      <w:r w:rsidRPr="003B2204">
        <w:rPr>
          <w:rFonts w:ascii="Times New Roman" w:hAnsi="Times New Roman" w:cs="Times New Roman"/>
          <w:sz w:val="24"/>
          <w:szCs w:val="24"/>
        </w:rPr>
        <w:t xml:space="preserve">: </w:t>
      </w:r>
    </w:p>
    <w:p w14:paraId="7FE53011" w14:textId="77777777" w:rsidR="00E45E88" w:rsidRPr="003B2204" w:rsidRDefault="00E45E88" w:rsidP="00E45E88">
      <w:pPr>
        <w:spacing w:line="480" w:lineRule="auto"/>
        <w:ind w:left="720"/>
        <w:rPr>
          <w:rFonts w:ascii="Times New Roman" w:hAnsi="Times New Roman" w:cs="Times New Roman"/>
          <w:sz w:val="24"/>
          <w:szCs w:val="24"/>
        </w:rPr>
      </w:pPr>
      <w:r w:rsidRPr="003B2204">
        <w:rPr>
          <w:rFonts w:ascii="Times New Roman" w:hAnsi="Times New Roman" w:cs="Times New Roman"/>
          <w:sz w:val="24"/>
          <w:szCs w:val="24"/>
        </w:rPr>
        <w:t xml:space="preserve">1) </w:t>
      </w:r>
      <w:r>
        <w:rPr>
          <w:rFonts w:ascii="Times New Roman" w:hAnsi="Times New Roman" w:cs="Times New Roman"/>
          <w:sz w:val="24"/>
          <w:szCs w:val="24"/>
        </w:rPr>
        <w:t>How does targeting tuition-free college benefits for low-income families shape</w:t>
      </w:r>
      <w:r w:rsidRPr="003B2204">
        <w:rPr>
          <w:rFonts w:ascii="Times New Roman" w:hAnsi="Times New Roman" w:cs="Times New Roman"/>
          <w:sz w:val="24"/>
          <w:szCs w:val="24"/>
        </w:rPr>
        <w:t xml:space="preserve"> public </w:t>
      </w:r>
      <w:r>
        <w:rPr>
          <w:rFonts w:ascii="Times New Roman" w:hAnsi="Times New Roman" w:cs="Times New Roman"/>
          <w:sz w:val="24"/>
          <w:szCs w:val="24"/>
        </w:rPr>
        <w:t>perceptions of tuition-free college</w:t>
      </w:r>
      <w:r w:rsidRPr="003B2204">
        <w:rPr>
          <w:rFonts w:ascii="Times New Roman" w:hAnsi="Times New Roman" w:cs="Times New Roman"/>
          <w:sz w:val="24"/>
          <w:szCs w:val="24"/>
        </w:rPr>
        <w:t xml:space="preserve">? </w:t>
      </w:r>
    </w:p>
    <w:p w14:paraId="1671FDCE" w14:textId="77777777" w:rsidR="00E45E88" w:rsidRPr="003B2204" w:rsidRDefault="00E45E88" w:rsidP="00E45E88">
      <w:pPr>
        <w:spacing w:line="480" w:lineRule="auto"/>
        <w:ind w:left="720"/>
        <w:rPr>
          <w:rFonts w:ascii="Times New Roman" w:hAnsi="Times New Roman" w:cs="Times New Roman"/>
          <w:sz w:val="24"/>
          <w:szCs w:val="24"/>
        </w:rPr>
      </w:pPr>
      <w:r w:rsidRPr="003B2204">
        <w:rPr>
          <w:rFonts w:ascii="Times New Roman" w:hAnsi="Times New Roman" w:cs="Times New Roman"/>
          <w:sz w:val="24"/>
          <w:szCs w:val="24"/>
        </w:rPr>
        <w:t xml:space="preserve">2) </w:t>
      </w:r>
      <w:r>
        <w:rPr>
          <w:rFonts w:ascii="Times New Roman" w:hAnsi="Times New Roman" w:cs="Times New Roman"/>
          <w:sz w:val="24"/>
          <w:szCs w:val="24"/>
        </w:rPr>
        <w:t xml:space="preserve">How does the inclusion of academic merit requirements shape </w:t>
      </w:r>
      <w:r w:rsidRPr="003B2204">
        <w:rPr>
          <w:rFonts w:ascii="Times New Roman" w:hAnsi="Times New Roman" w:cs="Times New Roman"/>
          <w:sz w:val="24"/>
          <w:szCs w:val="24"/>
        </w:rPr>
        <w:t xml:space="preserve">public </w:t>
      </w:r>
      <w:r>
        <w:rPr>
          <w:rFonts w:ascii="Times New Roman" w:hAnsi="Times New Roman" w:cs="Times New Roman"/>
          <w:sz w:val="24"/>
          <w:szCs w:val="24"/>
        </w:rPr>
        <w:t>perceptions of</w:t>
      </w:r>
      <w:r w:rsidRPr="003B2204">
        <w:rPr>
          <w:rFonts w:ascii="Times New Roman" w:hAnsi="Times New Roman" w:cs="Times New Roman"/>
          <w:sz w:val="24"/>
          <w:szCs w:val="24"/>
        </w:rPr>
        <w:t xml:space="preserv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w:t>
      </w:r>
    </w:p>
    <w:p w14:paraId="2E22849B" w14:textId="77777777" w:rsidR="00E45E88" w:rsidRPr="003B2204" w:rsidRDefault="00E45E88" w:rsidP="00E45E88">
      <w:pPr>
        <w:pStyle w:val="CommentText"/>
        <w:spacing w:line="480" w:lineRule="auto"/>
        <w:rPr>
          <w:rFonts w:ascii="Times New Roman" w:hAnsi="Times New Roman" w:cs="Times New Roman"/>
          <w:sz w:val="24"/>
          <w:szCs w:val="24"/>
        </w:rPr>
      </w:pPr>
      <w:r w:rsidRPr="003B2204">
        <w:rPr>
          <w:rFonts w:ascii="Times New Roman" w:hAnsi="Times New Roman" w:cs="Times New Roman"/>
          <w:sz w:val="24"/>
          <w:szCs w:val="24"/>
        </w:rPr>
        <w:t xml:space="preserve">To answer these questions, I conduct a survey experiment in which each respondent was randomly assigned </w:t>
      </w:r>
      <w:r>
        <w:rPr>
          <w:rFonts w:ascii="Times New Roman" w:hAnsi="Times New Roman" w:cs="Times New Roman"/>
          <w:sz w:val="24"/>
          <w:szCs w:val="24"/>
        </w:rPr>
        <w:t>to</w:t>
      </w:r>
      <w:r w:rsidRPr="003B2204">
        <w:rPr>
          <w:rFonts w:ascii="Times New Roman" w:hAnsi="Times New Roman" w:cs="Times New Roman"/>
          <w:sz w:val="24"/>
          <w:szCs w:val="24"/>
        </w:rPr>
        <w:t xml:space="preserve"> one of four potential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w:t>
      </w:r>
      <w:r>
        <w:rPr>
          <w:rFonts w:ascii="Times New Roman" w:hAnsi="Times New Roman" w:cs="Times New Roman"/>
          <w:sz w:val="24"/>
          <w:szCs w:val="24"/>
        </w:rPr>
        <w:t>y prompts</w:t>
      </w:r>
      <w:r w:rsidRPr="003B2204">
        <w:rPr>
          <w:rFonts w:ascii="Times New Roman" w:hAnsi="Times New Roman" w:cs="Times New Roman"/>
          <w:sz w:val="24"/>
          <w:szCs w:val="24"/>
        </w:rPr>
        <w:t>. These treatments vary along two dimensions:</w:t>
      </w:r>
      <w:r>
        <w:rPr>
          <w:rFonts w:ascii="Times New Roman" w:hAnsi="Times New Roman" w:cs="Times New Roman"/>
          <w:sz w:val="24"/>
          <w:szCs w:val="24"/>
        </w:rPr>
        <w:t xml:space="preserve"> whether the policy includes </w:t>
      </w:r>
      <w:r w:rsidRPr="003B2204">
        <w:rPr>
          <w:rFonts w:ascii="Times New Roman" w:hAnsi="Times New Roman" w:cs="Times New Roman"/>
          <w:sz w:val="24"/>
          <w:szCs w:val="24"/>
        </w:rPr>
        <w:t>a family income cap</w:t>
      </w:r>
      <w:r>
        <w:rPr>
          <w:rFonts w:ascii="Times New Roman" w:hAnsi="Times New Roman" w:cs="Times New Roman"/>
          <w:sz w:val="24"/>
          <w:szCs w:val="24"/>
        </w:rPr>
        <w:t xml:space="preserve"> and</w:t>
      </w:r>
      <w:r w:rsidRPr="003B2204">
        <w:rPr>
          <w:rFonts w:ascii="Times New Roman" w:hAnsi="Times New Roman" w:cs="Times New Roman"/>
          <w:sz w:val="24"/>
          <w:szCs w:val="24"/>
        </w:rPr>
        <w:t xml:space="preserve"> a minimum GPA requirement. After being </w:t>
      </w:r>
      <w:r w:rsidRPr="00800039">
        <w:rPr>
          <w:rFonts w:ascii="Times New Roman" w:hAnsi="Times New Roman" w:cs="Times New Roman"/>
          <w:sz w:val="24"/>
          <w:szCs w:val="24"/>
        </w:rPr>
        <w:t>exposed to the treatments, respondents were asked to answer follow-up questions regarding their preferences and beliefs about the tuition-free college policy</w:t>
      </w:r>
      <w:r>
        <w:rPr>
          <w:rFonts w:ascii="Times New Roman" w:hAnsi="Times New Roman" w:cs="Times New Roman"/>
          <w:sz w:val="24"/>
          <w:szCs w:val="24"/>
        </w:rPr>
        <w:t xml:space="preserve">. </w:t>
      </w:r>
    </w:p>
    <w:p w14:paraId="7D45EDB2" w14:textId="77777777" w:rsidR="00E45E88" w:rsidRPr="003B2204" w:rsidRDefault="00E45E88" w:rsidP="00E45E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analysis reveals strong </w:t>
      </w:r>
      <w:r w:rsidRPr="003B2204">
        <w:rPr>
          <w:rFonts w:ascii="Times New Roman" w:hAnsi="Times New Roman" w:cs="Times New Roman"/>
          <w:sz w:val="24"/>
          <w:szCs w:val="24"/>
        </w:rPr>
        <w:t xml:space="preserve">support for </w:t>
      </w:r>
      <w:r>
        <w:rPr>
          <w:rFonts w:ascii="Times New Roman" w:hAnsi="Times New Roman" w:cs="Times New Roman"/>
          <w:sz w:val="24"/>
          <w:szCs w:val="24"/>
        </w:rPr>
        <w:t>the key theoretical hypotheses— support for tuition-free college</w:t>
      </w:r>
      <w:r w:rsidRPr="003B2204">
        <w:rPr>
          <w:rFonts w:ascii="Times New Roman" w:hAnsi="Times New Roman" w:cs="Times New Roman"/>
          <w:sz w:val="24"/>
          <w:szCs w:val="24"/>
        </w:rPr>
        <w:t xml:space="preserve"> is significantly impacted by variation in</w:t>
      </w:r>
      <w:r>
        <w:rPr>
          <w:rFonts w:ascii="Times New Roman" w:hAnsi="Times New Roman" w:cs="Times New Roman"/>
          <w:sz w:val="24"/>
          <w:szCs w:val="24"/>
        </w:rPr>
        <w:t xml:space="preserve"> policy design and the salient target population</w:t>
      </w:r>
      <w:r w:rsidRPr="003B2204">
        <w:rPr>
          <w:rFonts w:ascii="Times New Roman" w:hAnsi="Times New Roman" w:cs="Times New Roman"/>
          <w:sz w:val="24"/>
          <w:szCs w:val="24"/>
        </w:rPr>
        <w:t xml:space="preserve">. </w:t>
      </w:r>
      <w:r>
        <w:rPr>
          <w:rFonts w:ascii="Times New Roman" w:hAnsi="Times New Roman" w:cs="Times New Roman"/>
          <w:sz w:val="24"/>
          <w:szCs w:val="24"/>
        </w:rPr>
        <w:t>First, r</w:t>
      </w:r>
      <w:r w:rsidRPr="003B2204">
        <w:rPr>
          <w:rFonts w:ascii="Times New Roman" w:hAnsi="Times New Roman" w:cs="Times New Roman"/>
          <w:sz w:val="24"/>
          <w:szCs w:val="24"/>
        </w:rPr>
        <w:t xml:space="preserve">espondents were more willing to support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when the</w:t>
      </w:r>
      <w:r>
        <w:rPr>
          <w:rFonts w:ascii="Times New Roman" w:hAnsi="Times New Roman" w:cs="Times New Roman"/>
          <w:sz w:val="24"/>
          <w:szCs w:val="24"/>
        </w:rPr>
        <w:t xml:space="preserve"> policy</w:t>
      </w:r>
      <w:r w:rsidRPr="003B2204">
        <w:rPr>
          <w:rFonts w:ascii="Times New Roman" w:hAnsi="Times New Roman" w:cs="Times New Roman"/>
          <w:sz w:val="24"/>
          <w:szCs w:val="24"/>
        </w:rPr>
        <w:t xml:space="preserve"> incorporate</w:t>
      </w:r>
      <w:r>
        <w:rPr>
          <w:rFonts w:ascii="Times New Roman" w:hAnsi="Times New Roman" w:cs="Times New Roman"/>
          <w:sz w:val="24"/>
          <w:szCs w:val="24"/>
        </w:rPr>
        <w:t>d</w:t>
      </w:r>
      <w:r w:rsidRPr="003B2204">
        <w:rPr>
          <w:rFonts w:ascii="Times New Roman" w:hAnsi="Times New Roman" w:cs="Times New Roman"/>
          <w:sz w:val="24"/>
          <w:szCs w:val="24"/>
        </w:rPr>
        <w:t xml:space="preserve"> a minimum high school GPA requirement. This finding aligns with the theoretical framework, suggesting that</w:t>
      </w:r>
      <w:r>
        <w:rPr>
          <w:rFonts w:ascii="Times New Roman" w:hAnsi="Times New Roman" w:cs="Times New Roman"/>
          <w:sz w:val="24"/>
          <w:szCs w:val="24"/>
        </w:rPr>
        <w:t xml:space="preserve"> the public is more supportive of tuition-free college when the target population is perceived as more deserving or “college ready”</w:t>
      </w:r>
      <w:r w:rsidRPr="003B2204">
        <w:rPr>
          <w:rFonts w:ascii="Times New Roman" w:hAnsi="Times New Roman" w:cs="Times New Roman"/>
          <w:sz w:val="24"/>
          <w:szCs w:val="24"/>
        </w:rPr>
        <w:t xml:space="preserve">. </w:t>
      </w:r>
      <w:r>
        <w:rPr>
          <w:rFonts w:ascii="Times New Roman" w:hAnsi="Times New Roman" w:cs="Times New Roman"/>
          <w:sz w:val="24"/>
          <w:szCs w:val="24"/>
        </w:rPr>
        <w:t>Next, t</w:t>
      </w:r>
      <w:r w:rsidRPr="003B2204">
        <w:rPr>
          <w:rFonts w:ascii="Times New Roman" w:hAnsi="Times New Roman" w:cs="Times New Roman"/>
          <w:sz w:val="24"/>
          <w:szCs w:val="24"/>
        </w:rPr>
        <w:t xml:space="preserve">he findings reveal that the public is more likely to view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as fair when they are accessible to all families regardless of income rather than </w:t>
      </w:r>
      <w:r>
        <w:rPr>
          <w:rFonts w:ascii="Times New Roman" w:hAnsi="Times New Roman" w:cs="Times New Roman"/>
          <w:sz w:val="24"/>
          <w:szCs w:val="24"/>
        </w:rPr>
        <w:t>means-tested.</w:t>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In the context of social construction of target populations theory, this finding </w:t>
      </w:r>
      <w:r w:rsidRPr="003B2204">
        <w:rPr>
          <w:rFonts w:ascii="Times New Roman" w:hAnsi="Times New Roman" w:cs="Times New Roman"/>
          <w:sz w:val="24"/>
          <w:szCs w:val="24"/>
        </w:rPr>
        <w:t xml:space="preserve">suggests </w:t>
      </w:r>
      <w:r>
        <w:rPr>
          <w:rFonts w:ascii="Times New Roman" w:hAnsi="Times New Roman" w:cs="Times New Roman"/>
          <w:sz w:val="24"/>
          <w:szCs w:val="24"/>
        </w:rPr>
        <w:t xml:space="preserve">that the public is less supportive of tuition-free college when the target population is restricted to low-income families with less political power. </w:t>
      </w:r>
    </w:p>
    <w:p w14:paraId="7EBCB920" w14:textId="77777777" w:rsidR="00E45E88" w:rsidRPr="003B2204" w:rsidRDefault="00E45E88" w:rsidP="00E45E8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t</w:t>
      </w:r>
      <w:r w:rsidRPr="003B2204">
        <w:rPr>
          <w:rFonts w:ascii="Times New Roman" w:hAnsi="Times New Roman" w:cs="Times New Roman"/>
          <w:sz w:val="24"/>
          <w:szCs w:val="24"/>
        </w:rPr>
        <w:t>he analysis reveals that the effect of policy design</w:t>
      </w:r>
      <w:r>
        <w:rPr>
          <w:rFonts w:ascii="Times New Roman" w:hAnsi="Times New Roman" w:cs="Times New Roman"/>
          <w:sz w:val="24"/>
          <w:szCs w:val="24"/>
        </w:rPr>
        <w:t xml:space="preserve"> on public opinion</w:t>
      </w:r>
      <w:r w:rsidRPr="003B2204">
        <w:rPr>
          <w:rFonts w:ascii="Times New Roman" w:hAnsi="Times New Roman" w:cs="Times New Roman"/>
          <w:sz w:val="24"/>
          <w:szCs w:val="24"/>
        </w:rPr>
        <w:t xml:space="preserve"> is heterogeneous based on the respondents’ ideological identification. Specifically, while conservatives are more likely to view universal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as fair and more likely to support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that includes merit requirements, these effects are not present for non-conservatives. This is in line with the theoretical hypotheses and previous evidence suggesting that conservatives are more likely to distinguish between target populations on the basis of perceived deservingness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{"citationID":"KqzOlWfN","properties":{"formattedCitation":"(Lawrence, Stoker, &amp; Wolman, 2013)","plainCitation":"(Lawrence, Stoker, &amp; Wolman, 2013)","noteIndex":0},"citationItems":[{"id":5945,"uris":["http://zotero.org/users/2595715/items/6BTVZCFA"],"uri":["http://zotero.org/users/2595715/items/6BTVZCFA"],"itemData":{"id":5945,"type":"article-journal","title":"The Effects of Beneficiary Targeting on Public Support for Social Policies","container-title":"Policy Studies Journal","page":"199-216","volume":"41","issue":"2","source":"Wiley Online Library","abstract":"We assess the tendency for the public to use group-centric policy evaluations with evidence from a survey experiment concerning two issues within the social policy domain, health care and aid to cities. By randomly varying target group identity within each issue and using both negatively and positively regarded groups our evidence shows that differences exist in the tendency for members of the public to use group-centric heuristics. Group-centric evaluations are related to party identification and political ideology. Across both issues conservatives and Republicans are more likely than liberals or Democrats to adopt a group-centric heuristic. Partisan and ideological differences suggest that established theories miss the mark by emphasizing how universal policy designs are preferred to designs that target unpopular groups.","DOI":"10.1111/psj.12014","ISSN":"1541-0072","journalAbbreviation":"Policy Stud J","language":"en","author":[{"family":"Lawrence","given":"Eric"},{"family":"Stoker","given":"Robert"},{"family":"Wolman","given":"Harold"}],"issued":{"date-parts":[["2013",5,1]]}}}],"schema":"https://github.com/citation-style-language/schema/raw/master/csl-citation.json"}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(Lawrence, Stoker, &amp; Wolman, 2013)</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Together, </w:t>
      </w:r>
      <w:r w:rsidRPr="003B2204">
        <w:rPr>
          <w:rFonts w:ascii="Times New Roman" w:hAnsi="Times New Roman" w:cs="Times New Roman"/>
          <w:sz w:val="24"/>
          <w:szCs w:val="24"/>
        </w:rPr>
        <w:t xml:space="preserve">these findings shed light on the current discussion regarding the most effective, feasible and sustainable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policy design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{"citationID":"QNGMfUb7","properties":{"formattedCitation":"(Garcia, 2018; Millett, 2017; Tisch, 2018)","plainCitation":"(Garcia, 2018; Millett, 2017; Tisch, 2018)","noteIndex":0},"citationItems":[{"id":6560,"uris":["http://zotero.org/users/2595715/items/MJFTZGXT"],"uri":["http://zotero.org/users/2595715/items/MJFTZGXT"],"itemData":{"id":6560,"type":"report","title":"4 Principles for a Free Community College Program That Works for All","abstract":"In order to ensure free community college proposals are equitable and work for all students, state policymakers should keep four key principles in mind.","URL":"https://www.americanprogress.org/issues/education-postsecondary/news/2018/05/24/451337/4-principles-free-community-college-program-works/","language":"en-US","author":[{"family":"Garcia","given":"Sara"}],"issued":{"date-parts":[["2018",5,24]]},"accessed":{"date-parts":[["2018",7,26]]}}},{"id":6200,"uris":["http://zotero.org/users/2595715/items/W3WBTC9R"],"uri":["http://zotero.org/users/2595715/items/W3WBTC9R"],"itemData":{"id":6200,"type":"article-journal","title":"Designing Sustainable Funding for College Promise Initiatives","container-title":"ETS Research Report Series","page":"1-55","volume":"2017","issue":"1","source":"Wiley Online Library","abstract":"College promise programs are spreading throughout this United States. These programs fund tuition and/or fees for eligible students who are actively progressing toward earning postsecondary certificates and undergraduate degrees. While existing college promise programs have varying designs, each one appears to be seeking continuous and long-term financial sustainability. The existing programs appear to be aimed toward ensuring that the promise of college tuition and fees can be fulfilled for future generations of students. Towards that end, ETS and the College Promise Campaign convened the “Designing Sustainable Funding for College Promise Initiatives” conference on June 2 and 3, 2016, for the primary purpose of reviewing and refining five models. This report contains the five papers that the appointed design teams presented.","DOI":"10.1002/ets2.12161","ISSN":"2330-8516","language":"en","author":[{"family":"Millett","given":"Catherine"}],"issued":{"date-parts":[["2017",12,1]]}}},{"id":6562,"uris":["http://zotero.org/users/2595715/items/PTFVNLT6"],"uri":["http://zotero.org/users/2595715/items/PTFVNLT6"],"itemData":{"id":6562,"type":"webpage","title":"Free-college programs are valuable, but must be done right","container-title":"TheHill","genre":"Text","abstract":"Wisely-designed programs can change the odds for high school grads in need of assistance and, in turn, significantly benefit state and local economies.","URL":"http://thehill.com/opinion/education/389399-free-college-programs-are-valuable-but-must-be-done-right","language":"en","author":[{"family":"Tisch","given":"Merryl"}],"issued":{"date-parts":[["2018",5,29]]},"accessed":{"date-parts":[["2018",7,26]]}}}],"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(Garcia, 2018; Millett, 2017; Tisch, 2018)</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Specifically, this finding suggest that the political feasibility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initiatives will depend on the ideological makeup of the constituency, with policy design playing a key role in shaping the base of support among conservatives. </w:t>
      </w:r>
      <w:r w:rsidRPr="003B2204">
        <w:rPr>
          <w:rFonts w:ascii="Times New Roman" w:eastAsia="Times New Roman" w:hAnsi="Times New Roman" w:cs="Times New Roman"/>
          <w:sz w:val="24"/>
          <w:szCs w:val="24"/>
        </w:rPr>
        <w:t xml:space="preserve">Together, these findings support the key hypotheses regarding the role of social constructions in shaping public opinions of </w:t>
      </w:r>
      <w:r>
        <w:rPr>
          <w:rFonts w:ascii="Times New Roman" w:eastAsia="Times New Roman" w:hAnsi="Times New Roman" w:cs="Times New Roman"/>
          <w:sz w:val="24"/>
          <w:szCs w:val="24"/>
        </w:rPr>
        <w:t>tuition-free college</w:t>
      </w:r>
      <w:r w:rsidRPr="003B2204">
        <w:rPr>
          <w:rFonts w:ascii="Times New Roman" w:eastAsia="Times New Roman" w:hAnsi="Times New Roman" w:cs="Times New Roman"/>
          <w:sz w:val="24"/>
          <w:szCs w:val="24"/>
        </w:rPr>
        <w:t xml:space="preserve"> and provide theoretical insight for future discussions into the politics of designing </w:t>
      </w:r>
      <w:r>
        <w:rPr>
          <w:rFonts w:ascii="Times New Roman" w:eastAsia="Times New Roman" w:hAnsi="Times New Roman" w:cs="Times New Roman"/>
          <w:sz w:val="24"/>
          <w:szCs w:val="24"/>
        </w:rPr>
        <w:t>tuition-free college</w:t>
      </w:r>
      <w:r w:rsidRPr="003B2204">
        <w:rPr>
          <w:rFonts w:ascii="Times New Roman" w:eastAsia="Times New Roman" w:hAnsi="Times New Roman" w:cs="Times New Roman"/>
          <w:sz w:val="24"/>
          <w:szCs w:val="24"/>
        </w:rPr>
        <w:t xml:space="preserve">. </w:t>
      </w:r>
    </w:p>
    <w:p w14:paraId="2916FD62" w14:textId="77777777" w:rsidR="00E45E88" w:rsidRPr="007D4455"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The following sections begin with a description of the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movement including a discussion of the variation in </w:t>
      </w:r>
      <w:r>
        <w:rPr>
          <w:rFonts w:ascii="Times New Roman" w:hAnsi="Times New Roman" w:cs="Times New Roman"/>
          <w:sz w:val="24"/>
          <w:szCs w:val="24"/>
        </w:rPr>
        <w:t>policy</w:t>
      </w:r>
      <w:r w:rsidRPr="003B2204">
        <w:rPr>
          <w:rFonts w:ascii="Times New Roman" w:hAnsi="Times New Roman" w:cs="Times New Roman"/>
          <w:sz w:val="24"/>
          <w:szCs w:val="24"/>
        </w:rPr>
        <w:t xml:space="preserve"> design</w:t>
      </w:r>
      <w:r>
        <w:rPr>
          <w:rFonts w:ascii="Times New Roman" w:hAnsi="Times New Roman" w:cs="Times New Roman"/>
          <w:sz w:val="24"/>
          <w:szCs w:val="24"/>
        </w:rPr>
        <w:t xml:space="preserve"> and scholarly research to date</w:t>
      </w:r>
      <w:r w:rsidRPr="003B2204">
        <w:rPr>
          <w:rFonts w:ascii="Times New Roman" w:hAnsi="Times New Roman" w:cs="Times New Roman"/>
          <w:sz w:val="24"/>
          <w:szCs w:val="24"/>
        </w:rPr>
        <w:t xml:space="preserve">. Then, I leverage the insights from </w:t>
      </w:r>
      <w:r>
        <w:rPr>
          <w:rFonts w:ascii="Times New Roman" w:hAnsi="Times New Roman" w:cs="Times New Roman"/>
          <w:sz w:val="24"/>
          <w:szCs w:val="24"/>
        </w:rPr>
        <w:t>social construction of target populations</w:t>
      </w:r>
      <w:r w:rsidRPr="003B2204">
        <w:rPr>
          <w:rFonts w:ascii="Times New Roman" w:hAnsi="Times New Roman" w:cs="Times New Roman"/>
          <w:sz w:val="24"/>
          <w:szCs w:val="24"/>
        </w:rPr>
        <w:t xml:space="preserve"> theory to </w:t>
      </w:r>
      <w:r w:rsidRPr="007D4455">
        <w:rPr>
          <w:rFonts w:ascii="Times New Roman" w:hAnsi="Times New Roman" w:cs="Times New Roman"/>
          <w:sz w:val="24"/>
          <w:szCs w:val="24"/>
        </w:rPr>
        <w:t xml:space="preserve">formulate a set of hypotheses to test in the analysis. Following this discussion is the description of the survey experiment, data, analytical approach, and results. Finally, </w:t>
      </w:r>
      <w:r w:rsidRPr="007D4455">
        <w:rPr>
          <w:rFonts w:ascii="Times New Roman" w:eastAsia="Times New Roman" w:hAnsi="Times New Roman" w:cs="Times New Roman"/>
          <w:sz w:val="24"/>
          <w:szCs w:val="24"/>
        </w:rPr>
        <w:t xml:space="preserve">in light of the call to engage in more policy-relevant research that can be of use to policymakers (Hillman et al. 2015), I conclude by discussing the </w:t>
      </w:r>
      <w:r>
        <w:rPr>
          <w:rFonts w:ascii="Times New Roman" w:eastAsia="Times New Roman" w:hAnsi="Times New Roman" w:cs="Times New Roman"/>
          <w:sz w:val="24"/>
          <w:szCs w:val="24"/>
        </w:rPr>
        <w:t xml:space="preserve">policy </w:t>
      </w:r>
      <w:r w:rsidRPr="007D4455">
        <w:rPr>
          <w:rFonts w:ascii="Times New Roman" w:eastAsia="Times New Roman" w:hAnsi="Times New Roman" w:cs="Times New Roman"/>
          <w:sz w:val="24"/>
          <w:szCs w:val="24"/>
        </w:rPr>
        <w:t>implications of the findings</w:t>
      </w:r>
      <w:r w:rsidRPr="007D4455">
        <w:rPr>
          <w:rFonts w:ascii="Times New Roman" w:hAnsi="Times New Roman" w:cs="Times New Roman"/>
          <w:sz w:val="24"/>
          <w:szCs w:val="24"/>
        </w:rPr>
        <w:t xml:space="preserve">. </w:t>
      </w:r>
    </w:p>
    <w:p w14:paraId="72035CB5" w14:textId="77777777" w:rsidR="00E45E88" w:rsidRPr="003B2204" w:rsidRDefault="00E45E88" w:rsidP="00E45E88">
      <w:pPr>
        <w:spacing w:line="480" w:lineRule="auto"/>
        <w:jc w:val="center"/>
        <w:rPr>
          <w:rFonts w:ascii="Times New Roman" w:hAnsi="Times New Roman" w:cs="Times New Roman"/>
          <w:b/>
          <w:sz w:val="24"/>
          <w:szCs w:val="24"/>
        </w:rPr>
      </w:pPr>
      <w:r w:rsidRPr="003B2204">
        <w:rPr>
          <w:rFonts w:ascii="Times New Roman" w:hAnsi="Times New Roman" w:cs="Times New Roman"/>
          <w:b/>
          <w:sz w:val="24"/>
          <w:szCs w:val="24"/>
        </w:rPr>
        <w:t xml:space="preserve">Background on </w:t>
      </w:r>
      <w:r>
        <w:rPr>
          <w:rFonts w:ascii="Times New Roman" w:hAnsi="Times New Roman" w:cs="Times New Roman"/>
          <w:b/>
          <w:sz w:val="24"/>
          <w:szCs w:val="24"/>
        </w:rPr>
        <w:t>College Promise/</w:t>
      </w:r>
      <w:r w:rsidRPr="003B2204">
        <w:rPr>
          <w:rFonts w:ascii="Times New Roman" w:hAnsi="Times New Roman" w:cs="Times New Roman"/>
          <w:b/>
          <w:sz w:val="24"/>
          <w:szCs w:val="24"/>
        </w:rPr>
        <w:t>Tuition-Free College Movement</w:t>
      </w:r>
    </w:p>
    <w:p w14:paraId="0608903B" w14:textId="77777777" w:rsidR="00E45E88" w:rsidRPr="003B2204" w:rsidRDefault="00E45E88" w:rsidP="00E45E88">
      <w:pPr>
        <w:spacing w:line="480" w:lineRule="auto"/>
        <w:rPr>
          <w:rFonts w:ascii="Times New Roman" w:hAnsi="Times New Roman" w:cs="Times New Roman"/>
          <w:sz w:val="24"/>
          <w:szCs w:val="24"/>
        </w:rPr>
      </w:pPr>
      <w:r w:rsidRPr="003B2204">
        <w:rPr>
          <w:rFonts w:ascii="Times New Roman" w:hAnsi="Times New Roman" w:cs="Times New Roman"/>
          <w:sz w:val="24"/>
          <w:szCs w:val="24"/>
        </w:rPr>
        <w:lastRenderedPageBreak/>
        <w:tab/>
        <w:t xml:space="preserve">In 2015, the Obama Administration proposed the America’s College Promise program through a $60 million-dollar matching grant program aimed at eliminating tuition and fee expenses for students in the first two years of community college (Executive Office of the President 2015). This program was modeled after the Tennessee Promise program, implemented by Republican Governor Bill Haslam in 2014 for all students in the state. Ever since the implementation of the Tennessee Promise, the policies have been spreading like wildfire across states. As of 2018, 16 states have enacted and funded </w:t>
      </w:r>
      <w:r>
        <w:rPr>
          <w:rFonts w:ascii="Times New Roman" w:hAnsi="Times New Roman" w:cs="Times New Roman"/>
          <w:sz w:val="24"/>
          <w:szCs w:val="24"/>
        </w:rPr>
        <w:t>tuition-free college/college promise</w:t>
      </w:r>
      <w:r w:rsidRPr="003B2204">
        <w:rPr>
          <w:rFonts w:ascii="Times New Roman" w:hAnsi="Times New Roman" w:cs="Times New Roman"/>
          <w:sz w:val="24"/>
          <w:szCs w:val="24"/>
        </w:rPr>
        <w:t xml:space="preserve"> programs</w:t>
      </w:r>
      <w:r>
        <w:rPr>
          <w:rFonts w:ascii="Times New Roman" w:hAnsi="Times New Roman" w:cs="Times New Roman"/>
          <w:sz w:val="24"/>
          <w:szCs w:val="24"/>
        </w:rPr>
        <w:t xml:space="preserve"> with</w:t>
      </w:r>
      <w:r w:rsidRPr="003B2204">
        <w:rPr>
          <w:rFonts w:ascii="Times New Roman" w:hAnsi="Times New Roman" w:cs="Times New Roman"/>
          <w:sz w:val="24"/>
          <w:szCs w:val="24"/>
        </w:rPr>
        <w:t xml:space="preserve"> over 289 estimated </w:t>
      </w:r>
      <w:r>
        <w:rPr>
          <w:rFonts w:ascii="Times New Roman" w:hAnsi="Times New Roman" w:cs="Times New Roman"/>
          <w:sz w:val="24"/>
          <w:szCs w:val="24"/>
        </w:rPr>
        <w:t>policies</w:t>
      </w:r>
      <w:r w:rsidRPr="003B2204">
        <w:rPr>
          <w:rFonts w:ascii="Times New Roman" w:hAnsi="Times New Roman" w:cs="Times New Roman"/>
          <w:sz w:val="24"/>
          <w:szCs w:val="24"/>
        </w:rPr>
        <w:t xml:space="preserve"> total across states, regions, and localities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{"citationID":"DZRURs4b","properties":{"formattedCitation":"(Mishory, 2018a; Perna &amp; Leigh, 2017)","plainCitation":"(Mishory, 2018a; Perna &amp; Leigh, 2017)","noteIndex":0},"citationItems":[{"id":6253,"uris":["http://zotero.org/users/2595715/items/VTKRSTVR"],"uri":["http://zotero.org/users/2595715/items/VTKRSTVR"],"itemData":{"id":6253,"type":"report","title":"The Future of Statewide College Promise Programs","publisher":"The Century Foundation","abstract":"In the past few years, dozens of states, localities, and schools have proposed or enacted “free college” policies, also known as College Promise programs.","URL":"https://tcf.org/content/report/future-statewide-college-promise-programs/","language":"en","author":[{"family":"Mishory","given":"Jen"}],"issued":{"date-parts":[["2018"]]},"accessed":{"date-parts":[["2018",5,28]]}}},{"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sidRPr="003B2204">
        <w:rPr>
          <w:rFonts w:ascii="Times New Roman" w:hAnsi="Times New Roman" w:cs="Times New Roman"/>
          <w:sz w:val="24"/>
          <w:szCs w:val="24"/>
        </w:rPr>
        <w:fldChar w:fldCharType="separate"/>
      </w:r>
      <w:r w:rsidRPr="00ED1F91">
        <w:rPr>
          <w:rFonts w:ascii="Times New Roman" w:hAnsi="Times New Roman" w:cs="Times New Roman"/>
          <w:sz w:val="24"/>
        </w:rPr>
        <w:t>(Mishory, 2018a; Perna &amp; Leigh, 2017)</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w:t>
      </w:r>
    </w:p>
    <w:p w14:paraId="1191E04F"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For state and local officials, these policies address multiple interconnected public issues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{"citationID":"zsdJt2yF","properties":{"formattedCitation":"(Swanson, Watson, Ritter, &amp; Nichols, 2017)","plainCitation":"(Swanson, Watson, Ritter, &amp; Nichols, 2017)","noteIndex":0},"citationItems":[{"id":6942,"uris":["http://zotero.org/users/2595715/items/88PYZ66V"],"uri":["http://zotero.org/users/2595715/items/88PYZ66V"],"itemData":{"id":6942,"type":"report","title":"Promises Fulfilled? A Systematic Review of the Impacts of Promise Programs","publisher":"Social Science Research Network","publisher-place":"Rochester, NY","genre":"SSRN Scholarly Paper","source":"papers.ssrn.com","event-place":"Rochester, NY","abstract":"This review examines the existing evidence on the impacts of Promise Programs on community development, K-12 academic achievement, and student postsecondary outcomes. Promise Programs are place-based, guaranteed college scholarships offered to all students who graduate from a certain school or district while meeting the minimum thresholds of the program. We delineate Promise Programs by their design—whether the scholarships are available to all students, are awarded based on merit, or are awarded based on need. We also note the applicability of Promise Programs—whether the funds be used at a wide range of postsecondary institutions, or if they are narrowly targeted towards certain institutions. We find suggestive evidence that Promise Programs are successful at improving housing prices, attracting residents to Promise zones, improving student K-12 academic outcomes, and increasing postsecondary enrollment. However, the number of studies examining Promise Programs remains limited, and skewed towards particular programs.","URL":"https://papers.ssrn.com/abstract=2849194","number":"ID 2849194","shortTitle":"Promises Fulfilled?","language":"en","author":[{"family":"Swanson","given":"Elise"},{"family":"Watson","given":"Angela"},{"family":"Ritter","given":"Gary"},{"family":"Nichols","given":"Malachi"}],"issued":{"date-parts":[["2017",10,26]]},"accessed":{"date-parts":[["2018",11,11]]}}}],"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(Swanson, Watson, Ritter, &amp; Nichols, 2017)</w:t>
      </w:r>
      <w:r>
        <w:rPr>
          <w:rFonts w:ascii="Times New Roman" w:hAnsi="Times New Roman" w:cs="Times New Roman"/>
          <w:sz w:val="24"/>
          <w:szCs w:val="24"/>
        </w:rPr>
        <w:fldChar w:fldCharType="end"/>
      </w:r>
      <w:r w:rsidRPr="003B2204">
        <w:rPr>
          <w:rFonts w:ascii="Times New Roman" w:hAnsi="Times New Roman" w:cs="Times New Roman"/>
          <w:sz w:val="24"/>
          <w:szCs w:val="24"/>
        </w:rPr>
        <w:t>. First, tuition-free college policies are seen as a way to address the rising cost of college and the increasing proportion of the population that face crippling student loan debt. Second, these policies are also seen as an economic development initiative that will keep students in local or state geographic areas and will contribute the health and growth of industry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{"citationID":"fGNqckOg","properties":{"formattedCitation":"(Miller-Adams, 2015)","plainCitation":"(Miller-Adams, 2015)","noteIndex":0},"citationItems":[{"id":5820,"uris":["http://zotero.org/users/2595715/items/YUPUXUWA"],"uri":["http://zotero.org/users/2595715/items/YUPUXUWA"],"itemData":{"id":5820,"type":"article-journal","title":"Promise Nation: Transforming Communities through Place-Based Scholarships","container-title":"Upjohn Press","URL":"http://research.upjohn.org/up_press/235","DOI":"10.17848/9780880995061","shortTitle":"Promise Nation","author":[{"family":"Miller-Adams","given":"Michelle"}],"issued":{"date-parts":[["2015",1,1]]}}}],"schema":"https://github.com/citation-style-language/schema/raw/master/csl-citation.json"}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(Miller-Adams, 2015)</w:t>
      </w:r>
      <w:r>
        <w:rPr>
          <w:rFonts w:ascii="Times New Roman" w:hAnsi="Times New Roman" w:cs="Times New Roman"/>
          <w:sz w:val="24"/>
          <w:szCs w:val="24"/>
        </w:rPr>
        <w:fldChar w:fldCharType="end"/>
      </w:r>
      <w:r w:rsidRPr="003B2204">
        <w:rPr>
          <w:rFonts w:ascii="Times New Roman" w:hAnsi="Times New Roman" w:cs="Times New Roman"/>
          <w:sz w:val="24"/>
          <w:szCs w:val="24"/>
        </w:rPr>
        <w:t xml:space="preserve">. Finally, many tuition-free college policies, as opposed to previous forms of financial aid, are easily understood </w:t>
      </w:r>
      <w:r>
        <w:rPr>
          <w:rFonts w:ascii="Times New Roman" w:hAnsi="Times New Roman" w:cs="Times New Roman"/>
          <w:sz w:val="24"/>
          <w:szCs w:val="24"/>
        </w:rPr>
        <w:t>with</w:t>
      </w:r>
      <w:r w:rsidRPr="003B2204">
        <w:rPr>
          <w:rFonts w:ascii="Times New Roman" w:hAnsi="Times New Roman" w:cs="Times New Roman"/>
          <w:sz w:val="24"/>
          <w:szCs w:val="24"/>
        </w:rPr>
        <w:t xml:space="preserve"> a clear affordability message which may encourage more students to consider going to college</w:t>
      </w:r>
      <w:r>
        <w:rPr>
          <w:rFonts w:ascii="Times New Roman" w:hAnsi="Times New Roman" w:cs="Times New Roman"/>
          <w:sz w:val="24"/>
          <w:szCs w:val="24"/>
        </w:rPr>
        <w:t xml:space="preserve"> and increase educational attainment in the community</w:t>
      </w:r>
      <w:r w:rsidRPr="003B2204">
        <w:rPr>
          <w:rFonts w:ascii="Times New Roman" w:hAnsi="Times New Roman" w:cs="Times New Roman"/>
          <w:sz w:val="24"/>
          <w:szCs w:val="24"/>
        </w:rPr>
        <w:t xml:space="preserve">. So far, the evidence shows that some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are successful in accomplishing these goals, with scholars findings increasing housing prices </w:t>
      </w:r>
      <w:r>
        <w:rPr>
          <w:rFonts w:ascii="Times New Roman" w:hAnsi="Times New Roman" w:cs="Times New Roman"/>
          <w:sz w:val="24"/>
          <w:szCs w:val="24"/>
        </w:rPr>
        <w:t xml:space="preserve">and population </w:t>
      </w:r>
      <w:r w:rsidRPr="003B2204">
        <w:rPr>
          <w:rFonts w:ascii="Times New Roman" w:hAnsi="Times New Roman" w:cs="Times New Roman"/>
          <w:sz w:val="24"/>
          <w:szCs w:val="24"/>
        </w:rPr>
        <w:t xml:space="preserve">in local areas affected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{"citationID":"TGtOAjiI","properties":{"formattedCitation":"(T. Bartik, Eberts, &amp; Huang, 2010; T. J. Bartik, Hershbein, &amp; Lachowska, 2015; LeGower &amp; Walsh, 2017; Sohn, Rubenstein, Murchie, &amp; Bifulco, 2017)","plainCitation":"(T. Bartik, Eberts, &amp; Huang, 2010; T. J. Bartik, Hershbein, &amp; Lachowska, 2015; LeGower &amp; Walsh, 2017; Sohn, Rubenstein, Murchie, &amp; Bifulco, 2017)","dontUpdate":true,"noteIndex":0},"citationItems":[{"id":6217,"uris":["http://zotero.org/users/2595715/items/7JZAXUHF"],"uri":["http://zotero.org/users/2595715/items/7JZAXUHF"],"itemData":{"id":6217,"type":"article-journal","title":"The Kalamazoo Promise, and Enrollment and Achievement Trends in Kalamazoo Public Schools","container-title":"Upjohn Institute","URL":"http://research.upjohn.org/confpapers/15","author":[{"family":"Bartik","given":"Timothy"},{"family":"Eberts","given":"Randall"},{"family":"Huang","given":"Wei-Jang"}],"issued":{"date-parts":[["2010",1,1]]}}},{"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5812,"uris":["http://zotero.org/users/2595715/items/CCIIACVD"],"uri":["http://zotero.org/users/2595715/items/CCIIACVD"],"itemData":{"id":5812,"type":"article-journal","title":"Promise scholarship programs as place-making policy: Evidence from school enrollment and housing prices","container-title":"Journal of Urban Economics","page":"74-89","volume":"101","issue":"Supplement C","source":"ScienceDirect","abstract":"Place-based “Promise” scholarship programs—which guarantee financial aid for qualifying graduates of a school district—have proliferated in recent years. Using data from multiple sites, we compare the evolution of school enrollment and residential real estate prices around program announcement dates within Promise-eligible and surrounding areas. While our estimates indicate that enrollment increased following Promise announcements, merit-based programs generated relative increases in white enrollment. Housing prices respond strongly in neighborhoods with better primary schools and in the upper half of the housing price distribution. We conclude that these programs have important and under-studied distributional considerations.","DOI":"10.1016/j.jue.2017.06.001","ISSN":"0094-1190","shortTitle":"Promise scholarship programs as place-making policy","journalAbbreviation":"Journal of Urban Economics","author":[{"family":"LeGower","given":"Michael"},{"family":"Walsh","given":"Randall"}],"issued":{"date-parts":[["2017",9,1]]}}},{"id":6206,"uris":["http://zotero.org/users/2595715/items/HF9URRTV"],"uri":["http://zotero.org/users/2595715/items/HF9URRTV"],"itemData":{"id":6206,"type":"article-journal","title":"Assessing the Effects of Place-Based Scholarships on Urban Revitalization: The Case of Say Yes to Education","container-title":"Educational Evaluation and Policy Analysis","page":"198-222","volume":"39","issue":"2","source":"SAGE Journals","abstract":"We find evidence of enrollment increases in both Syracuse and Buffalo following the announcement of a placed-based scholarship program, Say Yes to Education. While the Syracuse increases were accompanied by enrollment declines in surrounding suburban districts, the Buffalo increases coincided with declines in private school enrollments. Buffalo and Rochester also saw enrollment increases relative to trends following the announcement of Say Yes in Syracuse, suggesting that part of the increase in Syracuse might be attributable to factors other than Say Yes. We also find evidence of increases in home prices in Syracuse after the program’s announcement, as well as decreases in the surrounding suburbs. We do not find evidence of similar housing price changes in Buffalo.","DOI":"10.3102/0162373716675727","ISSN":"0162-3737","shortTitle":"Assessing the Effects of Place-Based Scholarships on Urban Revitalization","journalAbbreviation":"Educational Evaluation and Policy Analysis","language":"en","author":[{"family":"Sohn","given":"Hosung"},{"family":"Rubenstein","given":"Ross"},{"family":"Murchie","given":"Judson"},{"family":"Bifulco","given":"Robert"}],"issued":{"date-parts":[["2017",6,1]]}}}],"schema":"https://github.com/citation-style-language/schema/raw/master/csl-citation.json"} </w:instrText>
      </w:r>
      <w:r w:rsidRPr="003B2204">
        <w:rPr>
          <w:rFonts w:ascii="Times New Roman" w:hAnsi="Times New Roman" w:cs="Times New Roman"/>
          <w:sz w:val="24"/>
          <w:szCs w:val="24"/>
        </w:rPr>
        <w:fldChar w:fldCharType="separate"/>
      </w:r>
      <w:r w:rsidRPr="009E2DA9">
        <w:rPr>
          <w:rFonts w:ascii="Times New Roman" w:hAnsi="Times New Roman" w:cs="Times New Roman"/>
          <w:sz w:val="24"/>
        </w:rPr>
        <w:t>(Bartik, Eberts, &amp; Huang, 2010; Bartik, Hershbein, &amp; Lachowska, 2015; LeGower &amp; Walsh, 2017; Sohn, Rubenstein, Murchie, &amp; Bifulco, 2017)</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increasing student performance and likelihood of graduating from high school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{"citationID":"5Yt1gUuV","properties":{"formattedCitation":"(Carruthers &amp; Fox, 2016; Gonzalez et al., 2014; Lachowska &amp; Bartik, 2013)","plainCitation":"(Carruthers &amp; Fox, 2016; Gonzalez et al., 2014; Lachowska &amp; Bartik, 2013)","noteIndex":0},"citationItems":[{"id":4526,"uris":["http://zotero.org/users/2595715/items/IT328IB3"],"uri":["http://zotero.org/users/2595715/items/IT328IB3"],"itemData":{"id":4526,"type":"article-journal","title":"Aid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F."}],"issued":{"date-parts":[["2016",4,1]]}}},{"id":6213,"uris":["http://zotero.org/users/2595715/items/5EA5XHFY"],"uri":["http://zotero.org/users/2595715/items/5EA5XHFY"],"itemData":{"id":6213,"type":"book","title":"Transforming an Urban School System - Progress of New Haven School Change and New Haven Promise Education Reforms (2010–2013)","publisher":"RAND Corporation","source":"ou-primo.com","abstract":"In the 2010–2011 school year, two educational programs launched in New Haven, Connecticut: New Haven School Change, a sweeping K–12 educational reform to improve the learning of educational outcomes of its students, and New Haven Promise, a scholarship program intended to improve college-going culture and encourage graduates to attend college. This report documents a study of early progress in these programs.","ISBN":"978-0-8330-8738-6","language":"eng","author":[{"family":"Gonzalez","given":"Gabriella C."},{"family":"Bozick","given":"Robert"},{"family":"Daugherty","given":"Lindsay"},{"family":"Scherer","given":"Ethan"},{"family":"Singh","given":"Reema"},{"family":"Suárez","given":"Mónica Jacobo"},{"family":"Ryan","given":"Sarah"}],"issued":{"date-parts":[["2014",11,20]]}}},{"id":5818,"uris":["http://zotero.org/users/2595715/items/FQ4NVJ27"],"uri":["http://zotero.org/users/2595715/items/FQ4NVJ27"],"itemData":{"id":5818,"type":"chapter","title":"The Short-Term Effects of the Kalamazoo Promise Scholarship on Student Outcomes","container-title":"New Analyses of Worker Well-Being","collection-title":"Research in Labor Economics","collection-number":"38","publisher":"Emerald Group Publishing Limited","page":"37-76","volume":"38","number-of-volumes":"0","source":"emeraldinsight.com (Atypon)","URL":"http://www.emeraldinsight.com/doi/abs/10.1108/S0147-9121(2013)0000038002","note":"DOI: 10.1108/S0147-9121(2013)0000038002","author":[{"family":"Lachowska","given":"Marta"},{"family":"Bartik","given":"Timothy J."}],"issued":{"date-parts":[["2013",12,20]]},"accessed":{"date-parts":[["2017",10,22]]}}}],"schema":"https://github.com/citation-style-language/schema/raw/master/csl-citation.json"}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(Carruthers &amp; Fox, 2016; Gonzalez et al., 2014; Lachowska &amp; Bartik,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and increasing </w:t>
      </w:r>
      <w:r w:rsidRPr="003B2204">
        <w:rPr>
          <w:rFonts w:ascii="Times New Roman" w:hAnsi="Times New Roman" w:cs="Times New Roman"/>
          <w:sz w:val="24"/>
          <w:szCs w:val="24"/>
        </w:rPr>
        <w:lastRenderedPageBreak/>
        <w:t>levels of college enrollment</w:t>
      </w:r>
      <w:r>
        <w:rPr>
          <w:rFonts w:ascii="Times New Roman" w:hAnsi="Times New Roman" w:cs="Times New Roman"/>
          <w:sz w:val="24"/>
          <w:szCs w:val="24"/>
        </w:rPr>
        <w:t>,</w:t>
      </w:r>
      <w:r w:rsidRPr="003B2204">
        <w:rPr>
          <w:rFonts w:ascii="Times New Roman" w:hAnsi="Times New Roman" w:cs="Times New Roman"/>
          <w:sz w:val="24"/>
          <w:szCs w:val="24"/>
        </w:rPr>
        <w:t xml:space="preserve"> persistence</w:t>
      </w:r>
      <w:r>
        <w:rPr>
          <w:rFonts w:ascii="Times New Roman" w:hAnsi="Times New Roman" w:cs="Times New Roman"/>
          <w:sz w:val="24"/>
          <w:szCs w:val="24"/>
        </w:rPr>
        <w:t>, and graduation</w:t>
      </w:r>
      <w:r w:rsidRPr="003B2204">
        <w:rPr>
          <w:rFonts w:ascii="Times New Roman" w:hAnsi="Times New Roman" w:cs="Times New Roman"/>
          <w:sz w:val="24"/>
          <w:szCs w:val="24"/>
        </w:rPr>
        <w:t xml:space="preserve"> for recipients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scholarships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{"citationID":"yztVrH7a","properties":{"formattedCitation":"(Andrews, DesJardins, &amp; Ranchhod, 2010; T. J. Bartik et al., 2015; Bozick, Gonzalez, &amp; Engberg, 2015; Carruthers &amp; Fox, 2016; Gonzalez et al., 2014; Page, Iriti, Lowry, &amp; Anthony, 2018)","plainCitation":"(Andrews, DesJardins, &amp; Ranchhod, 2010; T. J. Bartik et al., 2015; Bozick, Gonzalez, &amp; Engberg, 2015; Carruthers &amp; Fox, 2016; Gonzalez et al., 2014; Page, Iriti, Lowry, &amp; Anthony, 2018)","dontUpdate":true,"noteIndex":0},"citationItems":[{"id":5826,"uris":["http://zotero.org/users/2595715/items/HJCY2H7E"],"uri":["http://zotero.org/users/2595715/items/HJCY2H7E"],"itemData":{"id":5826,"type":"article-journal","title":"The effects of the Kalamazoo Promise on college choice","container-title":"Economics of Education Review","page":"722-737","volume":"29","issue":"5","source":"ScienceDirect","abstract":"On November 10, 2005, then Superintendent of the Kalamazoo Public School System, Janice Brown announced—to the surprise of Kalamazoo’s residents—the beginning of the Kalamazoo Promise. Fully funded by a set of anonymous donors, the Kalamazoo Promise is an urban revitalization program that offers up to four years of free tuition to any public college or university in the state of Michigan for graduates of the Kalamazoo Public School system who meet certain eligibility criteria. Using the subsidy as a source of exogenous variation in the price of college, we use quasi-experimental methods to evaluate the impact of the subsidy on college choice. We find that the Kalamazoo Promise increases the likelihood that students from Kalamazoo Public Schools consider public institutions in Michigan. In addition, we find that the Kalamazoo Promise especially impacts the college choice set of students from families who earn less than $50,000 in annual income.","DOI":"10.1016/j.econedurev.2010.05.004","ISSN":"0272-7757","journalAbbreviation":"Economics of Education Review","author":[{"family":"Andrews","given":"Rodney J."},{"family":"DesJardins","given":"Stephen"},{"family":"Ranchhod","given":"Vimal"}],"issued":{"date-parts":[["2010",10,1]]}}},{"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6317,"uris":["http://zotero.org/users/2595715/items/SBWSKEQM"],"uri":["http://zotero.org/users/2595715/items/SBWSKEQM"],"itemData":{"id":6317,"type":"article-journal","title":"Using a Merit-Based Scholarship Program to Increase Rates of College Enrollment in an Urban School District: The Case of the Pittsburgh Promise","container-title":"Journal of Student Financial Aid","volume":"45","issue":"2","URL":"https://publications.nasfaa.org/jsfa/vol45/iss2/2","ISSN":"0884-9153","shortTitle":"Using a Merit-Based Scholarship Program to Increase Rates of College Enrollment in an Urban School District","author":[{"family":"Bozick","given":"Robert"},{"family":"Gonzalez","given":"Gabriella"},{"family":"Engberg","given":"John"}],"issued":{"date-parts":[["2015",7,27]]}}},{"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F."}],"issued":{"date-parts":[["2016",4,1]]}}},{"id":6213,"uris":["http://zotero.org/users/2595715/items/5EA5XHFY"],"uri":["http://zotero.org/users/2595715/items/5EA5XHFY"],"itemData":{"id":6213,"type":"book","title":"Transforming an Urban School System - Progress of New Haven School Change and New Haven Promise Education Reforms (2010–2013)","publisher":"RAND Corporation","source":"ou-primo.com","abstract":"In the 2010–2011 school year, two educational programs launched in New Haven, Connecticut: New Haven School Change, a sweeping K–12 educational reform to improve the learning of educational outcomes of its students, and New Haven Promise, a scholarship program intended to improve college-going culture and encourage graduates to attend college. This report documents a study of early progress in these programs.","ISBN":"978-0-8330-8738-6","language":"eng","author":[{"family":"Gonzalez","given":"Gabriella C."},{"family":"Bozick","given":"Robert"},{"family":"Daugherty","given":"Lindsay"},{"family":"Scherer","given":"Ethan"},{"family":"Singh","given":"Reema"},{"family":"Suárez","given":"Mónica Jacobo"},{"family":"Ryan","given":"Sarah"}],"issued":{"date-parts":[["2014",11,20]]}}},{"id":6303,"uris":["http://zotero.org/users/2595715/items/MLNCBUYP"],"uri":["http://zotero.org/users/2595715/items/MLNCBUYP"],"itemData":{"id":6303,"type":"article-journal","title":"The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M."}],"issued":{"date-parts":[["2018",1,18]]}}}],"schema":"https://github.com/citation-style-language/schema/raw/master/csl-citation.json"} </w:instrText>
      </w:r>
      <w:r w:rsidRPr="003B2204">
        <w:rPr>
          <w:rFonts w:ascii="Times New Roman" w:hAnsi="Times New Roman" w:cs="Times New Roman"/>
          <w:sz w:val="24"/>
          <w:szCs w:val="24"/>
        </w:rPr>
        <w:fldChar w:fldCharType="separate"/>
      </w:r>
      <w:r w:rsidRPr="00C82111">
        <w:rPr>
          <w:rFonts w:ascii="Times New Roman" w:hAnsi="Times New Roman" w:cs="Times New Roman"/>
          <w:sz w:val="24"/>
        </w:rPr>
        <w:t>(Andrews, DesJardins, &amp; Ranchhod, 2010; Bartik et al., 2015; Bozick, Gonzalez, &amp; Engberg, 2015; Carruthers &amp; Fox, 2016; Gonzalez et al., 2014; Page</w:t>
      </w:r>
      <w:r>
        <w:rPr>
          <w:rFonts w:ascii="Times New Roman" w:hAnsi="Times New Roman" w:cs="Times New Roman"/>
          <w:sz w:val="24"/>
        </w:rPr>
        <w:t xml:space="preserve"> et al.</w:t>
      </w:r>
      <w:r w:rsidRPr="00C82111">
        <w:rPr>
          <w:rFonts w:ascii="Times New Roman" w:hAnsi="Times New Roman" w:cs="Times New Roman"/>
          <w:sz w:val="24"/>
        </w:rPr>
        <w:t xml:space="preserve"> , 2018)</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However, this is not to say that these goals will be achieved in every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program—these studies investigate different types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with each policy containing unique variation in the design that are </w:t>
      </w:r>
      <w:r>
        <w:rPr>
          <w:rFonts w:ascii="Times New Roman" w:hAnsi="Times New Roman" w:cs="Times New Roman"/>
          <w:sz w:val="24"/>
          <w:szCs w:val="24"/>
        </w:rPr>
        <w:t xml:space="preserve">likely </w:t>
      </w:r>
      <w:r w:rsidRPr="003B2204">
        <w:rPr>
          <w:rFonts w:ascii="Times New Roman" w:hAnsi="Times New Roman" w:cs="Times New Roman"/>
          <w:sz w:val="24"/>
          <w:szCs w:val="24"/>
        </w:rPr>
        <w:t xml:space="preserve">key determinants of effectiveness. </w:t>
      </w:r>
    </w:p>
    <w:p w14:paraId="2456E502"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For instance, most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programs have some merit or need component in the eligibility requirements. These requirements most often come in the form of an income limit, like in the New-York Excelsior Scholarship, where families making over $125,000 are not eligible for the scholarship. Merit requirements are often in the form of minimum high school GPA or a minimum ACT/SAT. In fact, 8 of the 16 state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programs have a merit requirement in the eligibility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{"citationID":"m4tzELY7","properties":{"formattedCitation":"(Mishory, 2018b)","plainCitation":"(Mishory, 2018b)","noteIndex":0},"citationItems":[{"id":6512,"uris":["http://zotero.org/users/2595715/items/PIZJDSQV"],"uri":["http://zotero.org/users/2595715/items/PIZJDSQV"],"itemData":{"id":6512,"type":"webpage","title":"“Free College:” Here to Stay?","container-title":"The Century Foundation","abstract":"Free college, or “Promise” programs—a model of student aid that covers at least full tuition costs for a subset of a given state’s residents—have received","URL":"https://tcf.org/content/report/free-college-stay/","shortTitle":"“Free College","language":"en","author":[{"family":"Mishory","given":"Jen"}],"issued":{"date-parts":[["2018",7,12]]},"accessed":{"date-parts":[["2018",7,12]]}}}],"schema":"https://github.com/citation-style-language/schema/raw/master/csl-citation.json"}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(Mishory, 2018b)</w:t>
      </w:r>
      <w:r>
        <w:rPr>
          <w:rFonts w:ascii="Times New Roman" w:hAnsi="Times New Roman" w:cs="Times New Roman"/>
          <w:sz w:val="24"/>
          <w:szCs w:val="24"/>
        </w:rPr>
        <w:fldChar w:fldCharType="end"/>
      </w:r>
      <w:r w:rsidRPr="003B2204">
        <w:rPr>
          <w:rFonts w:ascii="Times New Roman" w:hAnsi="Times New Roman" w:cs="Times New Roman"/>
          <w:sz w:val="24"/>
          <w:szCs w:val="24"/>
        </w:rPr>
        <w:t xml:space="preserve">. By limiting eligibility for the programs through these two mechanisms, state officials can keep the cost of the program down and ensure that the financial aid is going to students that either come from middle or working-class families or have demonstrated a degree of college readiness. </w:t>
      </w:r>
    </w:p>
    <w:p w14:paraId="349C3AF2" w14:textId="77777777" w:rsidR="00E45E88"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In addition to eligibility requirements,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programs vary in terms of whether they are publicly or privately funded, whether they are last-dollar or first-dollar, whether they apply only to two-year colleges instead of all in-state colleges, whether they include student supports, post-graduation residency requirements, and whether they cover just tuition and fees or the</w:t>
      </w:r>
      <w:r>
        <w:rPr>
          <w:rFonts w:ascii="Times New Roman" w:hAnsi="Times New Roman" w:cs="Times New Roman"/>
          <w:sz w:val="24"/>
          <w:szCs w:val="24"/>
        </w:rPr>
        <w:t xml:space="preserve"> full</w:t>
      </w:r>
      <w:r w:rsidRPr="003B2204">
        <w:rPr>
          <w:rFonts w:ascii="Times New Roman" w:hAnsi="Times New Roman" w:cs="Times New Roman"/>
          <w:sz w:val="24"/>
          <w:szCs w:val="24"/>
        </w:rPr>
        <w:t xml:space="preserve"> cost of attending college.</w:t>
      </w:r>
      <w:r w:rsidRPr="00E3535F">
        <w:rPr>
          <w:rStyle w:val="FootnoteReference"/>
        </w:rPr>
        <w:footnoteReference w:id="2"/>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Each of these design components—and especially the </w:t>
      </w:r>
      <w:r>
        <w:rPr>
          <w:rFonts w:ascii="Times New Roman" w:hAnsi="Times New Roman" w:cs="Times New Roman"/>
          <w:sz w:val="24"/>
          <w:szCs w:val="24"/>
        </w:rPr>
        <w:lastRenderedPageBreak/>
        <w:t xml:space="preserve">eligibility requirements—represents a strategic political choice by policymakers on who will get what, when, and how. </w:t>
      </w:r>
    </w:p>
    <w:p w14:paraId="688E18BF" w14:textId="77777777" w:rsidR="00E45E88" w:rsidRPr="003B2204" w:rsidRDefault="00E45E88" w:rsidP="00E45E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Theoretical</w:t>
      </w:r>
      <w:r w:rsidRPr="003B2204">
        <w:rPr>
          <w:rFonts w:ascii="Times New Roman" w:hAnsi="Times New Roman" w:cs="Times New Roman"/>
          <w:b/>
          <w:sz w:val="24"/>
          <w:szCs w:val="24"/>
        </w:rPr>
        <w:t xml:space="preserve"> Framework</w:t>
      </w:r>
    </w:p>
    <w:p w14:paraId="13937B78" w14:textId="1BF460FF" w:rsidR="003413EC" w:rsidRDefault="00E45E88" w:rsidP="00E45E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Higher education scholars have previously investigated the policy processes that produce financial aid policy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{"citationID":"54qik16s","properties":{"formattedCitation":"(E. C. Ness 2010; E. Ness 2008; Doyle 2012)","plainCitation":"(E. C. Ness 2010; E. Ness 2008; Doyle 2012)","dontUpdate":true,"noteIndex":0},"citationItems":[{"id":314,"uris":["http://zotero.org/users/2595715/items/ADBGNWTB"],"uri":["http://zotero.org/users/2595715/items/ADBGNWTB"],"itemData":{"id":314,"type":"article-journal","title":"The Politics of Determining Merit Aid Eligibility Criteria: An Analysis of the Policy Process","container-title":"The Journal of Higher Education","page":"33-60","volume":"81","issue":"1","source":"Taylor and Francis+NEJM","DOI":"10.1080/00221546.2010.11778969","ISSN":"0022-1546","shortTitle":"The Politics of Determining Merit Aid Eligibility Criteria","author":[{"family":"Ness","given":"Erik C."}],"issued":{"date-parts":[["2010",1,1]]}}},{"id":7117,"uris":["http://zotero.org/users/2595715/items/GVE9WDHJ"],"uri":["http://zotero.org/users/2595715/items/GVE9WDHJ"],"itemData":{"id":7117,"type":"book","title":"Merit aid and the politics of education","collection-title":"Studies in higher education","publisher":"Routledge","publisher-place":"New York","number-of-pages":"xiv+183","source":"ou-primo.com","event-place":"New York","abstract":"Deciding who earns merit aid : a comparative case study approach -- Public policy frameworks : advocacy coalition, multiple streams, and electoral connection -- Three episodes of criteria determination -- New Mexico lottery success scholarship program -- West Virginia PROMISE scholarship program -- Tennessee HOPE scholarship program -- Analysis of and implications for education policy -- Comparative case analysis : between episodes and across frameworks -- A revised model of merit aid policy formulation.","ISBN":"978-0-415-96100-4","call-number":"LB 2338 .N377 2008","language":"eng","author":[{"family":"Ness","given":"EriK"}],"issued":{"date-parts":[["2008"]]}}},{"id":7134,"uris":["http://zotero.org/users/2595715/items/4P3EJL4X"],"uri":["http://zotero.org/users/2595715/items/4P3EJL4X"],"itemData":{"id":7134,"type":"article-journal","title":"The Politics of Public College Tuition and State Financial Aid","container-title":"The Journal of Higher Education","page":"617-647","volume":"83","issue":"5","source":"Project MUSE","abstract":"ARRAY(0x55d162d6b408)","DOI":"10.1353/jhe.2012.0033","ISSN":"1538-4640","language":"en","author":[{"family":"Doyle","given":"William R."}],"issued":{"date-parts":[["2012",8,18]]}}}],"schema":"https://github.com/citation-style-language/schema/raw/master/csl-citation.json"} </w:instrText>
      </w:r>
      <w:r>
        <w:rPr>
          <w:rFonts w:ascii="Times New Roman" w:hAnsi="Times New Roman" w:cs="Times New Roman"/>
          <w:sz w:val="24"/>
          <w:szCs w:val="24"/>
        </w:rPr>
        <w:fldChar w:fldCharType="separate"/>
      </w:r>
      <w:r w:rsidRPr="00BC47C7">
        <w:rPr>
          <w:rFonts w:ascii="Times New Roman" w:hAnsi="Times New Roman" w:cs="Times New Roman"/>
          <w:sz w:val="24"/>
        </w:rPr>
        <w:t>(Ness 2010; Ness 2008; Doyle 2012)</w:t>
      </w:r>
      <w:r>
        <w:rPr>
          <w:rFonts w:ascii="Times New Roman" w:hAnsi="Times New Roman" w:cs="Times New Roman"/>
          <w:sz w:val="24"/>
          <w:szCs w:val="24"/>
        </w:rPr>
        <w:fldChar w:fldCharType="end"/>
      </w:r>
      <w:r>
        <w:rPr>
          <w:rFonts w:ascii="Times New Roman" w:hAnsi="Times New Roman" w:cs="Times New Roman"/>
          <w:sz w:val="24"/>
          <w:szCs w:val="24"/>
        </w:rPr>
        <w:t xml:space="preserve">, demonstrating the explanatory power of theories such as the advocacy coalition framework, punctuated equilibrium, multiple streams, and policy diffusion for explaining policy change in higher education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{"citationID":"LLkLREgp","properties":{"formattedCitation":"(McClendon, Cohen-Vogel, &amp; Wachen, 2003; E. C. Ness &amp; G\\uc0\\u225{}ndara, 2014)","plainCitation":"(McClendon, Cohen-Vogel, &amp; Wachen, 2003; E. C. Ness &amp; Gándara, 2014)","noteIndex":0},"citationItems":[{"id":7127,"uris":["http://zotero.org/users/2595715/items/N76NJ23F"],"uri":["http://zotero.org/users/2595715/items/N76NJ23F"],"itemData":{"id":7127,"type":"chapter","title":"Understanding education policymaking and policy change in the American states: Learning from contemporary policy theory","container-title":"Handbook of Education Politics and Policy","page":"86-117","edition":"2","author":[{"family":"McClendon","given":"Michael"},{"family":"Cohen-Vogel","given":"Lora"},{"family":"Wachen","given":"Jon"}],"issued":{"date-parts":[["2003"]]}}},{"id":4657,"uris":["http://zotero.org/users/2595715/items/N36QM2Y4"],"uri":["http://zotero.org/users/2595715/items/N36QM2Y4"],"itemData":{"id":4657,"type":"article-journal","title":"Ideological Think Tanks in the States: An Inventory of Their Prevalence, Networks, and Higher Education Policy Activity","container-title":"Educational Policy","page":"258-280","volume":"28","issue":"2","source":"SAGE Journals","abstract":"This study takes an inventory of a particular type of intermediary organization ascendant within the state-level higher education policy: ideological think tanks. Our inventory identifies 99 think tanks: 59 affiliated with the conservative State Policy Network and 40 with the Progressive States Network. The analysis shows that state-level conservative think tanks (CTTs) are more tightly connected to national networks than are progressive think tanks (PTTs). By narrow margins, CTTs are also better funded and have more robust higher education policy activity than PTTs. The two most common policy issues—state funding and costs and affordability—represent higher education issues of equal salience to conservative and progressive organizations but from contrasting ideological perspectives. This inventory of the landscape of ideological think tanks’ activity and their supply of information has implications for future research that might examine policymakers’ demand for and utilization of ideological think tank information and services.","DOI":"10.1177/0895904813515328","ISSN":"0895-9048","shortTitle":"Ideological Think Tanks in the States","journalAbbreviation":"Educational Policy","language":"en","author":[{"family":"Ness","given":"Erik C."},{"family":"Gándara","given":"Denisa"}],"issued":{"date-parts":[["2014",3,1]]}}}],"schema":"https://github.com/citation-style-language/schema/raw/master/csl-citation.json"}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szCs w:val="24"/>
        </w:rPr>
        <w:t>(McClendon, Cohen-Vogel, &amp; Wachen, 2003; E. C. Ness &amp; Gándara, 2014)</w:t>
      </w:r>
      <w:r>
        <w:rPr>
          <w:rFonts w:ascii="Times New Roman" w:hAnsi="Times New Roman" w:cs="Times New Roman"/>
          <w:sz w:val="24"/>
          <w:szCs w:val="24"/>
        </w:rPr>
        <w:fldChar w:fldCharType="end"/>
      </w:r>
      <w:r>
        <w:rPr>
          <w:rFonts w:ascii="Times New Roman" w:hAnsi="Times New Roman" w:cs="Times New Roman"/>
          <w:sz w:val="24"/>
          <w:szCs w:val="24"/>
        </w:rPr>
        <w:t xml:space="preserve">. For instance, Ness (2008, 2010) leverages these policy theories to construct a framework for determining the eligibility criteria, or policy design, of merit-based financial aid. </w:t>
      </w:r>
    </w:p>
    <w:p w14:paraId="6AA21E06" w14:textId="77777777" w:rsidR="003413EC" w:rsidRDefault="003413EC" w:rsidP="003413EC">
      <w:pPr>
        <w:spacing w:after="120" w:line="240" w:lineRule="auto"/>
        <w:jc w:val="center"/>
        <w:textAlignment w:val="center"/>
        <w:rPr>
          <w:rFonts w:ascii="Palatino Linotype" w:hAnsi="Palatino Linotype" w:cs="Times New Roman"/>
          <w:b/>
          <w:sz w:val="24"/>
          <w:szCs w:val="24"/>
        </w:rPr>
      </w:pPr>
      <w:r>
        <w:rPr>
          <w:rFonts w:ascii="Times New Roman" w:eastAsia="Times New Roman" w:hAnsi="Times New Roman" w:cs="Times New Roman"/>
          <w:noProof/>
          <w:sz w:val="24"/>
          <w:szCs w:val="24"/>
        </w:rPr>
        <w:drawing>
          <wp:inline distT="0" distB="0" distL="0" distR="0" wp14:anchorId="4A821FDC" wp14:editId="7D0D1A01">
            <wp:extent cx="5943600" cy="3116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a:extLst>
                        <a:ext uri="{28A0092B-C50C-407E-A947-70E740481C1C}">
                          <a14:useLocalDpi xmlns:a14="http://schemas.microsoft.com/office/drawing/2010/main" val="0"/>
                        </a:ext>
                      </a:extLst>
                    </a:blip>
                    <a:srcRect b="10109"/>
                    <a:stretch/>
                  </pic:blipFill>
                  <pic:spPr bwMode="auto">
                    <a:xfrm>
                      <a:off x="0" y="0"/>
                      <a:ext cx="5943600" cy="3116580"/>
                    </a:xfrm>
                    <a:prstGeom prst="rect">
                      <a:avLst/>
                    </a:prstGeom>
                    <a:noFill/>
                    <a:ln>
                      <a:noFill/>
                    </a:ln>
                    <a:extLst>
                      <a:ext uri="{53640926-AAD7-44D8-BBD7-CCE9431645EC}">
                        <a14:shadowObscured xmlns:a14="http://schemas.microsoft.com/office/drawing/2010/main"/>
                      </a:ext>
                    </a:extLst>
                  </pic:spPr>
                </pic:pic>
              </a:graphicData>
            </a:graphic>
          </wp:inline>
        </w:drawing>
      </w:r>
    </w:p>
    <w:p w14:paraId="0939C52C" w14:textId="3625BE48" w:rsidR="003413EC" w:rsidRPr="003413EC" w:rsidRDefault="003413EC" w:rsidP="003413EC">
      <w:pPr>
        <w:spacing w:after="120" w:line="240" w:lineRule="auto"/>
        <w:textAlignment w:val="center"/>
        <w:rPr>
          <w:rFonts w:ascii="Palatino Linotype" w:hAnsi="Palatino Linotype" w:cs="Times New Roman"/>
          <w:b/>
          <w:sz w:val="24"/>
          <w:szCs w:val="24"/>
        </w:rPr>
      </w:pPr>
      <w:r>
        <w:rPr>
          <w:rFonts w:ascii="Palatino Linotype" w:hAnsi="Palatino Linotype" w:cs="Times New Roman"/>
          <w:b/>
          <w:sz w:val="24"/>
          <w:szCs w:val="24"/>
        </w:rPr>
        <w:t xml:space="preserve">Figure </w:t>
      </w:r>
      <w:r w:rsidR="00004BED">
        <w:rPr>
          <w:rFonts w:ascii="Palatino Linotype" w:hAnsi="Palatino Linotype" w:cs="Times New Roman"/>
          <w:b/>
          <w:sz w:val="24"/>
          <w:szCs w:val="24"/>
        </w:rPr>
        <w:t>3-</w:t>
      </w:r>
      <w:r w:rsidR="00EA70D0">
        <w:rPr>
          <w:rFonts w:ascii="Palatino Linotype" w:hAnsi="Palatino Linotype" w:cs="Times New Roman"/>
          <w:b/>
          <w:sz w:val="24"/>
          <w:szCs w:val="24"/>
        </w:rPr>
        <w:t>2</w:t>
      </w:r>
      <w:r>
        <w:rPr>
          <w:rFonts w:ascii="Palatino Linotype" w:hAnsi="Palatino Linotype" w:cs="Times New Roman"/>
          <w:b/>
          <w:sz w:val="24"/>
          <w:szCs w:val="24"/>
        </w:rPr>
        <w:t xml:space="preserve">. </w:t>
      </w:r>
      <w:r w:rsidRPr="00846A84">
        <w:rPr>
          <w:rFonts w:ascii="Palatino Linotype" w:hAnsi="Palatino Linotype" w:cs="Times New Roman"/>
          <w:sz w:val="24"/>
          <w:szCs w:val="24"/>
        </w:rPr>
        <w:t xml:space="preserve">Multiple Streams Model of </w:t>
      </w:r>
      <w:r>
        <w:rPr>
          <w:rFonts w:ascii="Palatino Linotype" w:hAnsi="Palatino Linotype" w:cs="Times New Roman"/>
          <w:sz w:val="24"/>
          <w:szCs w:val="24"/>
        </w:rPr>
        <w:t xml:space="preserve">Merit-Based </w:t>
      </w:r>
      <w:r w:rsidRPr="00846A84">
        <w:rPr>
          <w:rFonts w:ascii="Palatino Linotype" w:hAnsi="Palatino Linotype" w:cs="Times New Roman"/>
          <w:sz w:val="24"/>
          <w:szCs w:val="24"/>
        </w:rPr>
        <w:t>Scholarship Criteria Determination—</w:t>
      </w:r>
      <w:r w:rsidRPr="00846A84">
        <w:rPr>
          <w:rFonts w:ascii="Palatino Linotype" w:hAnsi="Palatino Linotype" w:cs="Times New Roman"/>
          <w:i/>
          <w:sz w:val="24"/>
          <w:szCs w:val="24"/>
        </w:rPr>
        <w:t>source</w:t>
      </w:r>
      <w:r w:rsidRPr="00846A84">
        <w:rPr>
          <w:rFonts w:ascii="Palatino Linotype" w:hAnsi="Palatino Linotype" w:cs="Times New Roman"/>
          <w:sz w:val="24"/>
          <w:szCs w:val="24"/>
        </w:rPr>
        <w:t xml:space="preserve">: Ness </w:t>
      </w:r>
      <w:r>
        <w:rPr>
          <w:rFonts w:ascii="Palatino Linotype" w:hAnsi="Palatino Linotype" w:cs="Times New Roman"/>
          <w:sz w:val="24"/>
          <w:szCs w:val="24"/>
        </w:rPr>
        <w:t>(</w:t>
      </w:r>
      <w:r w:rsidRPr="00846A84">
        <w:rPr>
          <w:rFonts w:ascii="Palatino Linotype" w:hAnsi="Palatino Linotype" w:cs="Times New Roman"/>
          <w:sz w:val="24"/>
          <w:szCs w:val="24"/>
        </w:rPr>
        <w:t>2010)</w:t>
      </w:r>
    </w:p>
    <w:p w14:paraId="2E58587D" w14:textId="1F2A2E15" w:rsidR="00E45E88" w:rsidRDefault="00E45E88" w:rsidP="00E45E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framework, displayed in Figure </w:t>
      </w:r>
      <w:r w:rsidR="00004BED">
        <w:rPr>
          <w:rFonts w:ascii="Times New Roman" w:hAnsi="Times New Roman" w:cs="Times New Roman"/>
          <w:sz w:val="24"/>
          <w:szCs w:val="24"/>
        </w:rPr>
        <w:t>3-</w:t>
      </w:r>
      <w:r w:rsidR="00EA70D0">
        <w:rPr>
          <w:rFonts w:ascii="Times New Roman" w:hAnsi="Times New Roman" w:cs="Times New Roman"/>
          <w:sz w:val="24"/>
          <w:szCs w:val="24"/>
        </w:rPr>
        <w:t>2</w:t>
      </w:r>
      <w:r>
        <w:rPr>
          <w:rFonts w:ascii="Times New Roman" w:hAnsi="Times New Roman" w:cs="Times New Roman"/>
          <w:sz w:val="24"/>
          <w:szCs w:val="24"/>
        </w:rPr>
        <w:t xml:space="preserve">, is an important development in the understanding of higher education policy processes, but misses an essential mechanism that </w:t>
      </w:r>
      <w:r>
        <w:rPr>
          <w:rFonts w:ascii="Times New Roman" w:hAnsi="Times New Roman" w:cs="Times New Roman"/>
          <w:sz w:val="24"/>
          <w:szCs w:val="24"/>
        </w:rPr>
        <w:lastRenderedPageBreak/>
        <w:t xml:space="preserve">shapes both the politics stream and the political strategy used by policy entrepreneurs and policymakers: policy design and the social construction of target populations.  </w:t>
      </w:r>
      <w:r w:rsidRPr="00AC2910">
        <w:rPr>
          <w:rFonts w:ascii="Times New Roman" w:eastAsia="Times New Roman" w:hAnsi="Times New Roman" w:cs="Times New Roman"/>
          <w:sz w:val="24"/>
          <w:szCs w:val="24"/>
        </w:rPr>
        <w:t>This framework, described in detail below, provides substantially more explanatory power for the determination of who gets what</w:t>
      </w:r>
      <w:r>
        <w:rPr>
          <w:rFonts w:ascii="Times New Roman" w:eastAsia="Times New Roman" w:hAnsi="Times New Roman" w:cs="Times New Roman"/>
          <w:sz w:val="24"/>
          <w:szCs w:val="24"/>
        </w:rPr>
        <w:t>,</w:t>
      </w:r>
      <w:r w:rsidRPr="00AC2910">
        <w:rPr>
          <w:rFonts w:ascii="Times New Roman" w:eastAsia="Times New Roman" w:hAnsi="Times New Roman" w:cs="Times New Roman"/>
          <w:sz w:val="24"/>
          <w:szCs w:val="24"/>
        </w:rPr>
        <w:t xml:space="preserve"> when</w:t>
      </w:r>
      <w:r>
        <w:rPr>
          <w:rFonts w:ascii="Times New Roman" w:eastAsia="Times New Roman" w:hAnsi="Times New Roman" w:cs="Times New Roman"/>
          <w:sz w:val="24"/>
          <w:szCs w:val="24"/>
        </w:rPr>
        <w:t>,</w:t>
      </w:r>
      <w:r w:rsidRPr="00AC2910">
        <w:rPr>
          <w:rFonts w:ascii="Times New Roman" w:eastAsia="Times New Roman" w:hAnsi="Times New Roman" w:cs="Times New Roman"/>
          <w:sz w:val="24"/>
          <w:szCs w:val="24"/>
        </w:rPr>
        <w:t xml:space="preserve"> and how in financial aid policy. </w:t>
      </w:r>
      <w:r>
        <w:rPr>
          <w:rFonts w:ascii="Times New Roman" w:hAnsi="Times New Roman" w:cs="Times New Roman"/>
          <w:sz w:val="24"/>
          <w:szCs w:val="24"/>
        </w:rPr>
        <w:t xml:space="preserve"> </w:t>
      </w:r>
    </w:p>
    <w:p w14:paraId="69D1C41E" w14:textId="77777777" w:rsidR="00E45E88" w:rsidRPr="00FA0F0A" w:rsidRDefault="00E45E88" w:rsidP="00E45E88">
      <w:pPr>
        <w:spacing w:line="480" w:lineRule="auto"/>
        <w:jc w:val="center"/>
        <w:rPr>
          <w:rFonts w:ascii="Times New Roman" w:hAnsi="Times New Roman" w:cs="Times New Roman"/>
          <w:i/>
          <w:sz w:val="24"/>
          <w:szCs w:val="24"/>
        </w:rPr>
      </w:pPr>
      <w:r w:rsidRPr="00FA0F0A">
        <w:rPr>
          <w:rFonts w:ascii="Times New Roman" w:hAnsi="Times New Roman" w:cs="Times New Roman"/>
          <w:i/>
          <w:sz w:val="24"/>
          <w:szCs w:val="24"/>
        </w:rPr>
        <w:t xml:space="preserve">The Politics of </w:t>
      </w:r>
      <w:r>
        <w:rPr>
          <w:rFonts w:ascii="Times New Roman" w:hAnsi="Times New Roman" w:cs="Times New Roman"/>
          <w:i/>
          <w:sz w:val="24"/>
          <w:szCs w:val="24"/>
        </w:rPr>
        <w:t xml:space="preserve">Socially Constructed </w:t>
      </w:r>
      <w:r w:rsidRPr="00FA0F0A">
        <w:rPr>
          <w:rFonts w:ascii="Times New Roman" w:hAnsi="Times New Roman" w:cs="Times New Roman"/>
          <w:i/>
          <w:sz w:val="24"/>
          <w:szCs w:val="24"/>
        </w:rPr>
        <w:t>Target Populations</w:t>
      </w:r>
    </w:p>
    <w:p w14:paraId="2F5DABFC"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Variation in the design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eligibility establishes the most important element of political decision making by providing the guidelines for who gets what, when and how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{"citationID":"9cB9kXX6","properties":{"formattedCitation":"(Lasswell, 1971)","plainCitation":"(Lasswell, 1971)","noteIndex":0},"citationItems":[{"id":331,"uris":["http://zotero.org/users/2595715/items/CFEZSW7S"],"uri":["http://zotero.org/users/2595715/items/CFEZSW7S"],"itemData":{"id":331,"type":"book","title":"A pre-view of policy sciences","publisher":"American Elsevier Pub. Co.","number-of-pages":"202","source":"Google Books","ISBN":"978-0-444-00112-2","note":"Google-Books-ID: MY1RAAAAMAAJ","language":"en","author":[{"family":"Lasswell","given":"Harold Dwight"}],"issued":{"date-parts":[["1971"]]}}}],"schema":"https://github.com/citation-style-language/schema/raw/master/csl-citation.json"}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(Lasswell, 1971)</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—effectively, by structuring the allocation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policy benefits to target groups, the variation in design creates the winners and the losers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For instance, a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policy such as the Oklahoma Promise that includes a $50,000 family income cap creates a substantial benefit for low-income students but excludes many middle-class families that may also be struggling to pay for college. This target group is very different from the beneficiary of a program in which eligibility is open to all in-state students</w:t>
      </w:r>
      <w:r>
        <w:rPr>
          <w:rFonts w:ascii="Times New Roman" w:hAnsi="Times New Roman" w:cs="Times New Roman"/>
          <w:sz w:val="24"/>
          <w:szCs w:val="24"/>
        </w:rPr>
        <w:t xml:space="preserve"> who demonstrated academic merit.</w:t>
      </w:r>
      <w:r w:rsidRPr="003B2204">
        <w:rPr>
          <w:rFonts w:ascii="Times New Roman" w:hAnsi="Times New Roman" w:cs="Times New Roman"/>
          <w:sz w:val="24"/>
          <w:szCs w:val="24"/>
        </w:rPr>
        <w:t xml:space="preserve"> In opposition to the first means-tested policy design, the latter program expands the beneficiary population to a broader subset of students that have demonstrated some degree of college readiness. As a result of the various beneficiary groups in these different forms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the level of public support also likely varies. In fact, in other policy areas, the relationship between target populations</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and policy support has been explained in detail by policy scholars interested in the role of power and social constructions in shaping public and elite decision making. </w:t>
      </w:r>
    </w:p>
    <w:p w14:paraId="379BAA67" w14:textId="0A1E68A4" w:rsidR="00E45E88" w:rsidRPr="003B2204" w:rsidRDefault="00E45E88" w:rsidP="00E45E88">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P</w:t>
      </w:r>
      <w:r w:rsidRPr="003B2204">
        <w:rPr>
          <w:rFonts w:ascii="Times New Roman" w:hAnsi="Times New Roman" w:cs="Times New Roman"/>
          <w:sz w:val="24"/>
          <w:szCs w:val="24"/>
        </w:rPr>
        <w:t xml:space="preserve">olicy design scholars argue that social constructions, or powerful rhetorical images and stereotypes that are associated with groups of people, will substantially impact public preferences for policies across issue domains </w:t>
      </w:r>
      <w:r w:rsidRPr="003B2204">
        <w:rPr>
          <w:rFonts w:ascii="Times New Roman" w:hAnsi="Times New Roman" w:cs="Times New Roman"/>
          <w:sz w:val="24"/>
          <w:szCs w:val="24"/>
        </w:rPr>
        <w:fldChar w:fldCharType="begin"/>
      </w:r>
      <w:r w:rsidRPr="003B2204">
        <w:rPr>
          <w:rFonts w:ascii="Times New Roman" w:hAnsi="Times New Roman" w:cs="Times New Roman"/>
          <w:sz w:val="24"/>
          <w:szCs w:val="24"/>
        </w:rPr>
        <w:instrText xml:space="preserve"> ADDIN ZOTERO_ITEM CSL_CITATION {"citationID":"q2jdNWkN","properties":{"formattedCitation":"(Lawrence, Stoker, &amp; Wolman, 2013; A. Schneider &amp; Ingram, 1993)","plainCitation":"(Lawrence, Stoker, &amp; Wolman, 2013; A. Schneider &amp; Ingram, 1993)","dontUpdate":true,"noteIndex":0},"citationItems":[{"id":5945,"uris":["http://zotero.org/users/2595715/items/6BTVZCFA"],"uri":["http://zotero.org/users/2595715/items/6BTVZCFA"],"itemData":{"id":5945,"type":"article-journal","title":"The Effects of Beneficiary Targeting on Public Support for Social Policies","container-title":"Policy Studies Journal","page":"199-216","volume":"41","issue":"2","source":"Wiley Online Library","abstract":"We assess the tendency for the public to use group-centric policy evaluations with evidence from a survey experiment concerning two issues within the social policy domain, health care and aid to cities. By randomly varying target group identity within each issue and using both negatively and positively regarded groups our evidence shows that differences exist in the tendency for members of the public to use group-centric heuristics. Group-centric evaluations are related to party identification and political ideology. Across both issues conservatives and Republicans are more likely than liberals or Democrats to adopt a group-centric heuristic. Partisan and ideological differences suggest that established theories miss the mark by emphasizing how universal policy designs are preferred to designs that target unpopular groups.","DOI":"10.1111/psj.12014","ISSN":"1541-0072","journalAbbreviation":"Policy Stud J","language":"en","author":[{"family":"Lawrence","given":"Eric"},{"family":"Stoker","given":"Robert"},{"family":"Wolman","given":"Harold"}],"issued":{"date-parts":[["2013",5,1]]}}},{"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Populations","author":[{"family":"Schneider","given":"Anne"},{"family":"Ingram","given":"Helen"}],"issued":{"date-parts":[["1993",6]]}}}],"schema":"https://github.com/citation-style-language/schema/raw/master/csl-citation.json"} </w:instrText>
      </w:r>
      <w:r w:rsidRPr="003B2204">
        <w:rPr>
          <w:rFonts w:ascii="Times New Roman" w:hAnsi="Times New Roman" w:cs="Times New Roman"/>
          <w:sz w:val="24"/>
          <w:szCs w:val="24"/>
        </w:rPr>
        <w:fldChar w:fldCharType="separate"/>
      </w:r>
      <w:r w:rsidRPr="003B2204">
        <w:rPr>
          <w:rFonts w:ascii="Times New Roman" w:hAnsi="Times New Roman" w:cs="Times New Roman"/>
          <w:sz w:val="24"/>
          <w:szCs w:val="24"/>
        </w:rPr>
        <w:t xml:space="preserve">(Lawrence, Stoker, &amp; Wolman, 2013; Schneider &amp; </w:t>
      </w:r>
      <w:r w:rsidRPr="003B2204">
        <w:rPr>
          <w:rFonts w:ascii="Times New Roman" w:hAnsi="Times New Roman" w:cs="Times New Roman"/>
          <w:sz w:val="24"/>
          <w:szCs w:val="24"/>
        </w:rPr>
        <w:lastRenderedPageBreak/>
        <w:t>Ingram, 1993)</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These social constructions of target populations convey meaning to the public and to political officials that send signals of deservingness and political power which substantially influence the types of policies that these groups are subject to </w:t>
      </w:r>
      <w:r w:rsidRPr="003B2204">
        <w:rPr>
          <w:rFonts w:ascii="Times New Roman" w:hAnsi="Times New Roman" w:cs="Times New Roman"/>
          <w:sz w:val="24"/>
          <w:szCs w:val="24"/>
        </w:rPr>
        <w:fldChar w:fldCharType="begin"/>
      </w:r>
      <w:r w:rsidRPr="003B2204">
        <w:rPr>
          <w:rFonts w:ascii="Times New Roman" w:hAnsi="Times New Roman" w:cs="Times New Roman"/>
          <w:sz w:val="24"/>
          <w:szCs w:val="24"/>
        </w:rPr>
        <w:instrText xml:space="preserve"> ADDIN ZOTERO_ITEM CSL_CITATION {"citationID":"AcnA90ow","properties":{"formattedCitation":"(Anne L. Schneider &amp; Ingram, 2012)","plainCitation":"(Anne L. Schneider &amp; Ingram, 2012)","dontUpdate":true,"noteIndex":0},"citationItems":[{"id":66,"uris":["http://zotero.org/users/2595715/items/AED4AXRZ"],"uri":["http://zotero.org/users/2595715/items/AED4AXRZ"],"itemData":{"id":66,"type":"book","title":"Deserving and Entitled: Social Constructions and Public Policy","publisher":"SUNY Press","number-of-pages":"387","source":"Google Books","abstract":"Public policy in the United States is marked by a contradiction between the American ideal of equality and the reality of an underclass of marginalized and disadvantaged people who are widely viewed as undeserving and incapable. Deserving and Entitled provides a close inspection of many different policy arenas, showing how the use of power and the manipulation of images have made it appear both natural and appropriate that some target populations benefit from policy, while others do not. These social constructions of deservedness and entitlement, unless challenged, become amplified over time and institutionalized into permanent lines of social, economic, and political cleavage. The contributors here express concern that too often public policy sends messages harmful to democracy and contributes significantly to the pattern of uneven political participation in the United States.","ISBN":"978-0-7914-8383-1","note":"Google-Books-ID: E7UcOIbFo_sC","shortTitle":"Deserving and Entitled","language":"en","author":[{"family":"Schneider","given":"Anne L."},{"family":"Ingram","given":"Helen M."}],"issued":{"date-parts":[["2012",2]]}}}],"schema":"https://github.com/citation-style-language/schema/raw/master/csl-citation.json"} </w:instrText>
      </w:r>
      <w:r w:rsidRPr="003B2204">
        <w:rPr>
          <w:rFonts w:ascii="Times New Roman" w:hAnsi="Times New Roman" w:cs="Times New Roman"/>
          <w:sz w:val="24"/>
          <w:szCs w:val="24"/>
        </w:rPr>
        <w:fldChar w:fldCharType="separate"/>
      </w:r>
      <w:r w:rsidRPr="003B2204">
        <w:rPr>
          <w:rFonts w:ascii="Times New Roman" w:hAnsi="Times New Roman" w:cs="Times New Roman"/>
          <w:sz w:val="24"/>
          <w:szCs w:val="24"/>
        </w:rPr>
        <w:t>(Schneider &amp; Ingram, 2012)</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Social constructions are normative and evaluative, portraying groups as positive or negative with symbolic language that labels groups as deserving or undeserving </w:t>
      </w:r>
      <w:r w:rsidRPr="003B2204">
        <w:rPr>
          <w:rFonts w:ascii="Times New Roman" w:hAnsi="Times New Roman" w:cs="Times New Roman"/>
          <w:sz w:val="24"/>
          <w:szCs w:val="24"/>
        </w:rPr>
        <w:fldChar w:fldCharType="begin"/>
      </w:r>
      <w:r w:rsidRPr="003B2204">
        <w:rPr>
          <w:rFonts w:ascii="Times New Roman" w:hAnsi="Times New Roman" w:cs="Times New Roman"/>
          <w:sz w:val="24"/>
          <w:szCs w:val="24"/>
        </w:rPr>
        <w:instrText xml:space="preserve"> ADDIN ZOTERO_ITEM CSL_CITATION {"citationID":"qmfhM59g","properties":{"formattedCitation":"(Edelman, 1988; A. Schneider &amp; Ingram, 1993)","plainCitation":"(Edelman, 1988; A. Schneider &amp; Ingram, 1993)","dontUpdate":true,"noteIndex":0},"citationItems":[{"id":5612,"uris":["http://zotero.org/users/2595715/items/8Q2DCCJZ"],"uri":["http://zotero.org/users/2595715/items/8Q2DCCJZ"],"itemData":{"id":5612,"type":"book","title":"Constructing the Political Spectacle","publisher":"University of Chicago Press","source":"PhilPapers","author":[{"family":"Edelman","given":"Murray"}],"issued":{"date-parts":[["1988"]]}}},{"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Populations","author":[{"family":"Schneider","given":"Anne"},{"family":"Ingram","given":"Helen"}],"issued":{"date-parts":[["1993",6]]}}}],"schema":"https://github.com/citation-style-language/schema/raw/master/csl-citation.json"} </w:instrText>
      </w:r>
      <w:r w:rsidRPr="003B2204">
        <w:rPr>
          <w:rFonts w:ascii="Times New Roman" w:hAnsi="Times New Roman" w:cs="Times New Roman"/>
          <w:sz w:val="24"/>
          <w:szCs w:val="24"/>
        </w:rPr>
        <w:fldChar w:fldCharType="separate"/>
      </w:r>
      <w:r w:rsidRPr="003B2204">
        <w:rPr>
          <w:rFonts w:ascii="Times New Roman" w:hAnsi="Times New Roman" w:cs="Times New Roman"/>
          <w:sz w:val="24"/>
          <w:szCs w:val="24"/>
        </w:rPr>
        <w:t>(Edelman, 1988; Schneider &amp; Ingram, 1993)</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The typology for socially constructed target groups can be simplified into four main categories summarized in Table </w:t>
      </w:r>
      <w:r w:rsidR="0058077C">
        <w:rPr>
          <w:rFonts w:ascii="Times New Roman" w:hAnsi="Times New Roman" w:cs="Times New Roman"/>
          <w:sz w:val="24"/>
          <w:szCs w:val="24"/>
        </w:rPr>
        <w:t>3-</w:t>
      </w:r>
      <w:r w:rsidRPr="003B2204">
        <w:rPr>
          <w:rFonts w:ascii="Times New Roman" w:hAnsi="Times New Roman" w:cs="Times New Roman"/>
          <w:sz w:val="24"/>
          <w:szCs w:val="24"/>
        </w:rPr>
        <w:t xml:space="preserve">1 based on their level of deservingness and political power: advantaged, contenders, dependents or deviants. </w:t>
      </w:r>
    </w:p>
    <w:p w14:paraId="2FD712BC" w14:textId="4D49853B" w:rsidR="00361EB6" w:rsidRPr="008E33B8" w:rsidRDefault="00361EB6" w:rsidP="00361EB6">
      <w:pPr>
        <w:spacing w:after="120" w:line="240" w:lineRule="auto"/>
        <w:jc w:val="center"/>
        <w:textAlignment w:val="center"/>
        <w:rPr>
          <w:rFonts w:ascii="Palatino Linotype" w:hAnsi="Palatino Linotype" w:cs="Times New Roman"/>
          <w:szCs w:val="24"/>
        </w:rPr>
      </w:pPr>
      <w:r w:rsidRPr="00962931">
        <w:rPr>
          <w:rFonts w:ascii="Palatino Linotype" w:hAnsi="Palatino Linotype" w:cs="Times New Roman"/>
          <w:b/>
          <w:szCs w:val="24"/>
        </w:rPr>
        <w:t xml:space="preserve">Table </w:t>
      </w:r>
      <w:r w:rsidR="00C14AB6">
        <w:rPr>
          <w:rFonts w:ascii="Palatino Linotype" w:hAnsi="Palatino Linotype" w:cs="Times New Roman"/>
          <w:b/>
          <w:szCs w:val="24"/>
        </w:rPr>
        <w:t>3-</w:t>
      </w:r>
      <w:r w:rsidR="0058077C">
        <w:rPr>
          <w:rFonts w:ascii="Palatino Linotype" w:hAnsi="Palatino Linotype" w:cs="Times New Roman"/>
          <w:b/>
          <w:szCs w:val="24"/>
        </w:rPr>
        <w:t>1</w:t>
      </w:r>
      <w:r w:rsidRPr="00962931">
        <w:rPr>
          <w:rFonts w:ascii="Palatino Linotype" w:hAnsi="Palatino Linotype" w:cs="Times New Roman"/>
          <w:b/>
          <w:szCs w:val="24"/>
        </w:rPr>
        <w:t>.</w:t>
      </w:r>
      <w:r w:rsidRPr="008E33B8">
        <w:rPr>
          <w:rFonts w:ascii="Palatino Linotype" w:hAnsi="Palatino Linotype" w:cs="Times New Roman"/>
          <w:szCs w:val="24"/>
        </w:rPr>
        <w:t xml:space="preserve"> Typology of Target Populations—</w:t>
      </w:r>
      <w:r w:rsidRPr="008E33B8">
        <w:rPr>
          <w:rFonts w:ascii="Palatino Linotype" w:hAnsi="Palatino Linotype" w:cs="Times New Roman"/>
          <w:i/>
          <w:szCs w:val="24"/>
        </w:rPr>
        <w:t>Source</w:t>
      </w:r>
      <w:r w:rsidRPr="008E33B8">
        <w:rPr>
          <w:rFonts w:ascii="Palatino Linotype" w:hAnsi="Palatino Linotype" w:cs="Times New Roman"/>
          <w:szCs w:val="24"/>
        </w:rPr>
        <w:t>: Schneider and Ingram (1993)</w:t>
      </w:r>
    </w:p>
    <w:tbl>
      <w:tblPr>
        <w:tblW w:w="0" w:type="auto"/>
        <w:jc w:val="center"/>
        <w:tblCellMar>
          <w:left w:w="0" w:type="dxa"/>
          <w:right w:w="0" w:type="dxa"/>
        </w:tblCellMar>
        <w:tblLook w:val="04A0" w:firstRow="1" w:lastRow="0" w:firstColumn="1" w:lastColumn="0" w:noHBand="0" w:noVBand="1"/>
      </w:tblPr>
      <w:tblGrid>
        <w:gridCol w:w="1350"/>
        <w:gridCol w:w="654"/>
        <w:gridCol w:w="3396"/>
        <w:gridCol w:w="3120"/>
      </w:tblGrid>
      <w:tr w:rsidR="00361EB6" w:rsidRPr="008E33B8" w14:paraId="4E0A0869" w14:textId="77777777" w:rsidTr="00361EB6">
        <w:trPr>
          <w:trHeight w:val="270"/>
          <w:jc w:val="center"/>
        </w:trPr>
        <w:tc>
          <w:tcPr>
            <w:tcW w:w="2004" w:type="dxa"/>
            <w:gridSpan w:val="2"/>
            <w:vMerge w:val="restart"/>
          </w:tcPr>
          <w:p w14:paraId="68F68472" w14:textId="77777777" w:rsidR="00361EB6" w:rsidRPr="008E33B8" w:rsidRDefault="00361EB6" w:rsidP="00361EB6">
            <w:pPr>
              <w:spacing w:after="0" w:line="240" w:lineRule="auto"/>
              <w:jc w:val="center"/>
              <w:rPr>
                <w:rFonts w:ascii="Palatino Linotype" w:eastAsia="Times New Roman" w:hAnsi="Palatino Linotype" w:cs="Times New Roman"/>
                <w:b/>
                <w:bCs/>
                <w:color w:val="000000"/>
                <w:sz w:val="20"/>
              </w:rPr>
            </w:pPr>
          </w:p>
        </w:tc>
        <w:tc>
          <w:tcPr>
            <w:tcW w:w="6516" w:type="dxa"/>
            <w:gridSpan w:val="2"/>
            <w:tcMar>
              <w:top w:w="80" w:type="dxa"/>
              <w:left w:w="80" w:type="dxa"/>
              <w:bottom w:w="80" w:type="dxa"/>
              <w:right w:w="80" w:type="dxa"/>
            </w:tcMar>
            <w:vAlign w:val="center"/>
          </w:tcPr>
          <w:p w14:paraId="5443F490" w14:textId="77777777" w:rsidR="00361EB6" w:rsidRPr="008E33B8" w:rsidRDefault="00361EB6" w:rsidP="00361EB6">
            <w:pPr>
              <w:spacing w:after="0" w:line="240" w:lineRule="auto"/>
              <w:jc w:val="center"/>
              <w:rPr>
                <w:rFonts w:ascii="Palatino Linotype" w:eastAsia="Times New Roman" w:hAnsi="Palatino Linotype" w:cs="Times New Roman"/>
                <w:b/>
                <w:bCs/>
                <w:color w:val="000000"/>
                <w:sz w:val="20"/>
              </w:rPr>
            </w:pPr>
            <w:r w:rsidRPr="008E33B8">
              <w:rPr>
                <w:rFonts w:ascii="Palatino Linotype" w:eastAsia="Times New Roman" w:hAnsi="Palatino Linotype" w:cs="Times New Roman"/>
                <w:b/>
                <w:bCs/>
                <w:color w:val="000000"/>
                <w:sz w:val="20"/>
              </w:rPr>
              <w:t>Social Construction/Deservingness</w:t>
            </w:r>
          </w:p>
        </w:tc>
      </w:tr>
      <w:tr w:rsidR="00361EB6" w:rsidRPr="008E33B8" w14:paraId="06905371" w14:textId="77777777" w:rsidTr="00361EB6">
        <w:trPr>
          <w:trHeight w:val="198"/>
          <w:jc w:val="center"/>
        </w:trPr>
        <w:tc>
          <w:tcPr>
            <w:tcW w:w="2004" w:type="dxa"/>
            <w:gridSpan w:val="2"/>
            <w:vMerge/>
            <w:vAlign w:val="center"/>
          </w:tcPr>
          <w:p w14:paraId="71F184A6" w14:textId="77777777" w:rsidR="00361EB6" w:rsidRPr="008E33B8" w:rsidRDefault="00361EB6" w:rsidP="00361EB6">
            <w:pPr>
              <w:spacing w:after="0" w:line="240" w:lineRule="auto"/>
              <w:jc w:val="center"/>
              <w:rPr>
                <w:rFonts w:ascii="Palatino Linotype" w:eastAsia="Times New Roman" w:hAnsi="Palatino Linotype" w:cs="Times New Roman"/>
                <w:bCs/>
                <w:color w:val="000000"/>
                <w:sz w:val="20"/>
              </w:rPr>
            </w:pPr>
          </w:p>
        </w:tc>
        <w:tc>
          <w:tcPr>
            <w:tcW w:w="3396" w:type="dxa"/>
            <w:tcBorders>
              <w:bottom w:val="single" w:sz="12" w:space="0" w:color="auto"/>
            </w:tcBorders>
            <w:tcMar>
              <w:top w:w="80" w:type="dxa"/>
              <w:left w:w="80" w:type="dxa"/>
              <w:bottom w:w="80" w:type="dxa"/>
              <w:right w:w="80" w:type="dxa"/>
            </w:tcMar>
            <w:vAlign w:val="center"/>
          </w:tcPr>
          <w:p w14:paraId="597AD2B5" w14:textId="77777777" w:rsidR="00361EB6" w:rsidRPr="008E33B8" w:rsidRDefault="00361EB6" w:rsidP="00361EB6">
            <w:pPr>
              <w:spacing w:after="0" w:line="240" w:lineRule="auto"/>
              <w:jc w:val="center"/>
              <w:rPr>
                <w:rFonts w:ascii="Palatino Linotype" w:eastAsia="Times New Roman" w:hAnsi="Palatino Linotype" w:cs="Times New Roman"/>
                <w:bCs/>
                <w:color w:val="000000"/>
                <w:sz w:val="20"/>
              </w:rPr>
            </w:pPr>
            <w:r w:rsidRPr="008E33B8">
              <w:rPr>
                <w:rFonts w:ascii="Palatino Linotype" w:eastAsia="Times New Roman" w:hAnsi="Palatino Linotype" w:cs="Times New Roman"/>
                <w:bCs/>
                <w:color w:val="000000"/>
                <w:sz w:val="20"/>
              </w:rPr>
              <w:t>Positive</w:t>
            </w:r>
          </w:p>
        </w:tc>
        <w:tc>
          <w:tcPr>
            <w:tcW w:w="3120" w:type="dxa"/>
            <w:tcBorders>
              <w:bottom w:val="single" w:sz="12" w:space="0" w:color="auto"/>
            </w:tcBorders>
            <w:tcMar>
              <w:top w:w="80" w:type="dxa"/>
              <w:left w:w="80" w:type="dxa"/>
              <w:bottom w:w="80" w:type="dxa"/>
              <w:right w:w="80" w:type="dxa"/>
            </w:tcMar>
            <w:vAlign w:val="center"/>
          </w:tcPr>
          <w:p w14:paraId="57F25413" w14:textId="77777777" w:rsidR="00361EB6" w:rsidRPr="008E33B8" w:rsidRDefault="00361EB6" w:rsidP="00361EB6">
            <w:pPr>
              <w:spacing w:after="0" w:line="240" w:lineRule="auto"/>
              <w:jc w:val="center"/>
              <w:rPr>
                <w:rFonts w:ascii="Palatino Linotype" w:eastAsia="Times New Roman" w:hAnsi="Palatino Linotype" w:cs="Times New Roman"/>
                <w:bCs/>
                <w:color w:val="000000"/>
                <w:sz w:val="20"/>
              </w:rPr>
            </w:pPr>
            <w:r w:rsidRPr="008E33B8">
              <w:rPr>
                <w:rFonts w:ascii="Palatino Linotype" w:eastAsia="Times New Roman" w:hAnsi="Palatino Linotype" w:cs="Times New Roman"/>
                <w:bCs/>
                <w:color w:val="000000"/>
                <w:sz w:val="20"/>
              </w:rPr>
              <w:t>Negative</w:t>
            </w:r>
          </w:p>
        </w:tc>
      </w:tr>
      <w:tr w:rsidR="00361EB6" w:rsidRPr="008E33B8" w14:paraId="5AE93748" w14:textId="77777777" w:rsidTr="00361EB6">
        <w:trPr>
          <w:jc w:val="center"/>
        </w:trPr>
        <w:tc>
          <w:tcPr>
            <w:tcW w:w="1350" w:type="dxa"/>
            <w:vMerge w:val="restart"/>
            <w:vAlign w:val="center"/>
          </w:tcPr>
          <w:p w14:paraId="69DDD729" w14:textId="77777777" w:rsidR="00361EB6" w:rsidRPr="008E33B8" w:rsidRDefault="00361EB6" w:rsidP="00361EB6">
            <w:pPr>
              <w:spacing w:after="0" w:line="240" w:lineRule="auto"/>
              <w:jc w:val="center"/>
              <w:rPr>
                <w:rFonts w:ascii="Palatino Linotype" w:eastAsia="Times New Roman" w:hAnsi="Palatino Linotype" w:cs="Times New Roman"/>
                <w:b/>
                <w:bCs/>
                <w:color w:val="000000"/>
                <w:sz w:val="20"/>
              </w:rPr>
            </w:pPr>
            <w:r w:rsidRPr="008E33B8">
              <w:rPr>
                <w:rFonts w:ascii="Palatino Linotype" w:eastAsia="Times New Roman" w:hAnsi="Palatino Linotype" w:cs="Times New Roman"/>
                <w:b/>
                <w:bCs/>
                <w:color w:val="000000"/>
                <w:sz w:val="20"/>
              </w:rPr>
              <w:t>Political Power</w:t>
            </w:r>
          </w:p>
        </w:tc>
        <w:tc>
          <w:tcPr>
            <w:tcW w:w="654" w:type="dxa"/>
            <w:tcBorders>
              <w:right w:val="single" w:sz="12" w:space="0" w:color="auto"/>
            </w:tcBorders>
            <w:vAlign w:val="center"/>
          </w:tcPr>
          <w:p w14:paraId="7E943A2D" w14:textId="77777777" w:rsidR="00361EB6" w:rsidRPr="008E33B8" w:rsidRDefault="00361EB6" w:rsidP="00361EB6">
            <w:pPr>
              <w:spacing w:after="0" w:line="240" w:lineRule="auto"/>
              <w:jc w:val="center"/>
              <w:rPr>
                <w:rFonts w:ascii="Palatino Linotype" w:eastAsia="Times New Roman" w:hAnsi="Palatino Linotype" w:cs="Times New Roman"/>
                <w:bCs/>
                <w:color w:val="000000"/>
                <w:sz w:val="20"/>
              </w:rPr>
            </w:pPr>
            <w:r w:rsidRPr="008E33B8">
              <w:rPr>
                <w:rFonts w:ascii="Palatino Linotype" w:eastAsia="Times New Roman" w:hAnsi="Palatino Linotype" w:cs="Times New Roman"/>
                <w:bCs/>
                <w:color w:val="000000"/>
                <w:sz w:val="20"/>
              </w:rPr>
              <w:t>High</w:t>
            </w:r>
          </w:p>
        </w:tc>
        <w:tc>
          <w:tcPr>
            <w:tcW w:w="3396" w:type="dxa"/>
            <w:tcBorders>
              <w:top w:val="single" w:sz="12" w:space="0" w:color="auto"/>
              <w:left w:val="single" w:sz="12" w:space="0" w:color="auto"/>
            </w:tcBorders>
            <w:tcMar>
              <w:top w:w="80" w:type="dxa"/>
              <w:left w:w="80" w:type="dxa"/>
              <w:bottom w:w="80" w:type="dxa"/>
              <w:right w:w="80" w:type="dxa"/>
            </w:tcMar>
            <w:hideMark/>
          </w:tcPr>
          <w:p w14:paraId="1788BAF9"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b/>
                <w:bCs/>
                <w:color w:val="000000"/>
                <w:sz w:val="20"/>
              </w:rPr>
              <w:t>Advantaged</w:t>
            </w:r>
          </w:p>
          <w:p w14:paraId="7379A836"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Powerful, positively constructed</w:t>
            </w:r>
          </w:p>
          <w:p w14:paraId="1D3723F1" w14:textId="77777777" w:rsidR="00361EB6"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Ex: elderly, business interests</w:t>
            </w:r>
          </w:p>
          <w:p w14:paraId="676AA5FF" w14:textId="77777777" w:rsidR="00361EB6" w:rsidRDefault="00361EB6" w:rsidP="00361EB6">
            <w:pPr>
              <w:spacing w:after="0" w:line="240" w:lineRule="auto"/>
              <w:rPr>
                <w:rFonts w:ascii="Palatino Linotype" w:eastAsia="Times New Roman" w:hAnsi="Palatino Linotype" w:cs="Times New Roman"/>
                <w:color w:val="000000"/>
                <w:sz w:val="20"/>
              </w:rPr>
            </w:pPr>
          </w:p>
          <w:p w14:paraId="016F127D"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Pr>
                <w:rFonts w:ascii="Palatino Linotype" w:eastAsia="Times New Roman" w:hAnsi="Palatino Linotype" w:cs="Times New Roman"/>
                <w:color w:val="000000"/>
                <w:sz w:val="20"/>
              </w:rPr>
              <w:t>Benefits: salient, abundant</w:t>
            </w:r>
          </w:p>
        </w:tc>
        <w:tc>
          <w:tcPr>
            <w:tcW w:w="3120" w:type="dxa"/>
            <w:tcBorders>
              <w:top w:val="single" w:sz="12" w:space="0" w:color="auto"/>
            </w:tcBorders>
            <w:tcMar>
              <w:top w:w="80" w:type="dxa"/>
              <w:left w:w="80" w:type="dxa"/>
              <w:bottom w:w="80" w:type="dxa"/>
              <w:right w:w="80" w:type="dxa"/>
            </w:tcMar>
            <w:hideMark/>
          </w:tcPr>
          <w:p w14:paraId="1D24F9A3"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b/>
                <w:bCs/>
                <w:color w:val="000000"/>
                <w:sz w:val="20"/>
              </w:rPr>
              <w:t>Contenders</w:t>
            </w:r>
          </w:p>
          <w:p w14:paraId="2E89ACD9"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Powerful, negatively constructed</w:t>
            </w:r>
          </w:p>
          <w:p w14:paraId="72B8BC82" w14:textId="77777777" w:rsidR="00361EB6"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 xml:space="preserve">Ex: very wealthy, </w:t>
            </w:r>
            <w:bookmarkStart w:id="10" w:name="_Hlk517015004"/>
            <w:r w:rsidRPr="008E33B8">
              <w:rPr>
                <w:rFonts w:ascii="Palatino Linotype" w:eastAsia="Times New Roman" w:hAnsi="Palatino Linotype" w:cs="Times New Roman"/>
                <w:color w:val="000000"/>
                <w:sz w:val="20"/>
              </w:rPr>
              <w:t>big unions</w:t>
            </w:r>
            <w:bookmarkEnd w:id="10"/>
          </w:p>
          <w:p w14:paraId="3424CE36" w14:textId="77777777" w:rsidR="00361EB6" w:rsidRDefault="00361EB6" w:rsidP="00361EB6">
            <w:pPr>
              <w:spacing w:after="0" w:line="240" w:lineRule="auto"/>
              <w:rPr>
                <w:rFonts w:ascii="Palatino Linotype" w:eastAsia="Times New Roman" w:hAnsi="Palatino Linotype" w:cs="Times New Roman"/>
                <w:color w:val="000000"/>
                <w:sz w:val="20"/>
              </w:rPr>
            </w:pPr>
          </w:p>
          <w:p w14:paraId="0307BCF8"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Pr>
                <w:rFonts w:ascii="Palatino Linotype" w:eastAsia="Times New Roman" w:hAnsi="Palatino Linotype" w:cs="Times New Roman"/>
                <w:color w:val="000000"/>
                <w:sz w:val="20"/>
              </w:rPr>
              <w:t>Benefits: hidden, submerged</w:t>
            </w:r>
          </w:p>
        </w:tc>
      </w:tr>
      <w:tr w:rsidR="00361EB6" w:rsidRPr="008E33B8" w14:paraId="7DB9A24C" w14:textId="77777777" w:rsidTr="00361EB6">
        <w:trPr>
          <w:trHeight w:val="710"/>
          <w:jc w:val="center"/>
        </w:trPr>
        <w:tc>
          <w:tcPr>
            <w:tcW w:w="1350" w:type="dxa"/>
            <w:vMerge/>
          </w:tcPr>
          <w:p w14:paraId="3FFAA00C" w14:textId="77777777" w:rsidR="00361EB6" w:rsidRPr="008E33B8" w:rsidRDefault="00361EB6" w:rsidP="00361EB6">
            <w:pPr>
              <w:spacing w:after="0" w:line="240" w:lineRule="auto"/>
              <w:rPr>
                <w:rFonts w:ascii="Palatino Linotype" w:eastAsia="Times New Roman" w:hAnsi="Palatino Linotype" w:cs="Times New Roman"/>
                <w:b/>
                <w:bCs/>
                <w:color w:val="000000"/>
                <w:sz w:val="20"/>
              </w:rPr>
            </w:pPr>
          </w:p>
        </w:tc>
        <w:tc>
          <w:tcPr>
            <w:tcW w:w="654" w:type="dxa"/>
            <w:tcBorders>
              <w:right w:val="single" w:sz="12" w:space="0" w:color="auto"/>
            </w:tcBorders>
            <w:vAlign w:val="center"/>
          </w:tcPr>
          <w:p w14:paraId="0CDAC381" w14:textId="77777777" w:rsidR="00361EB6" w:rsidRPr="008E33B8" w:rsidRDefault="00361EB6" w:rsidP="00361EB6">
            <w:pPr>
              <w:spacing w:after="0" w:line="240" w:lineRule="auto"/>
              <w:jc w:val="center"/>
              <w:rPr>
                <w:rFonts w:ascii="Palatino Linotype" w:eastAsia="Times New Roman" w:hAnsi="Palatino Linotype" w:cs="Times New Roman"/>
                <w:bCs/>
                <w:color w:val="000000"/>
                <w:sz w:val="20"/>
              </w:rPr>
            </w:pPr>
            <w:r w:rsidRPr="008E33B8">
              <w:rPr>
                <w:rFonts w:ascii="Palatino Linotype" w:eastAsia="Times New Roman" w:hAnsi="Palatino Linotype" w:cs="Times New Roman"/>
                <w:bCs/>
                <w:color w:val="000000"/>
                <w:sz w:val="20"/>
              </w:rPr>
              <w:t>Low</w:t>
            </w:r>
          </w:p>
        </w:tc>
        <w:tc>
          <w:tcPr>
            <w:tcW w:w="3396" w:type="dxa"/>
            <w:tcBorders>
              <w:left w:val="single" w:sz="12" w:space="0" w:color="auto"/>
            </w:tcBorders>
            <w:tcMar>
              <w:top w:w="80" w:type="dxa"/>
              <w:left w:w="80" w:type="dxa"/>
              <w:bottom w:w="80" w:type="dxa"/>
              <w:right w:w="80" w:type="dxa"/>
            </w:tcMar>
            <w:hideMark/>
          </w:tcPr>
          <w:p w14:paraId="3F8AE8DB"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b/>
                <w:bCs/>
                <w:color w:val="000000"/>
                <w:sz w:val="20"/>
              </w:rPr>
              <w:t>Dependents</w:t>
            </w:r>
          </w:p>
          <w:p w14:paraId="4F13EDDA"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Politically weak, positively constructed</w:t>
            </w:r>
          </w:p>
          <w:p w14:paraId="4A98AB4C" w14:textId="77777777" w:rsidR="00361EB6"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Ex: children, mothers</w:t>
            </w:r>
          </w:p>
          <w:p w14:paraId="5DF05A0D" w14:textId="77777777" w:rsidR="00361EB6" w:rsidRDefault="00361EB6" w:rsidP="00361EB6">
            <w:pPr>
              <w:spacing w:after="0" w:line="240" w:lineRule="auto"/>
              <w:rPr>
                <w:rFonts w:ascii="Palatino Linotype" w:eastAsia="Times New Roman" w:hAnsi="Palatino Linotype" w:cs="Times New Roman"/>
                <w:color w:val="000000"/>
                <w:sz w:val="20"/>
              </w:rPr>
            </w:pPr>
          </w:p>
          <w:p w14:paraId="68BB7D96"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Pr>
                <w:rFonts w:ascii="Palatino Linotype" w:eastAsia="Times New Roman" w:hAnsi="Palatino Linotype" w:cs="Times New Roman"/>
                <w:color w:val="000000"/>
                <w:sz w:val="20"/>
              </w:rPr>
              <w:t>Benefits: demeaning, means-tested, stigmatizing</w:t>
            </w:r>
          </w:p>
        </w:tc>
        <w:tc>
          <w:tcPr>
            <w:tcW w:w="3120" w:type="dxa"/>
            <w:tcMar>
              <w:top w:w="80" w:type="dxa"/>
              <w:left w:w="80" w:type="dxa"/>
              <w:bottom w:w="80" w:type="dxa"/>
              <w:right w:w="80" w:type="dxa"/>
            </w:tcMar>
            <w:hideMark/>
          </w:tcPr>
          <w:p w14:paraId="7BCDCDAA"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b/>
                <w:bCs/>
                <w:color w:val="000000"/>
                <w:sz w:val="20"/>
              </w:rPr>
              <w:t>Deviants</w:t>
            </w:r>
          </w:p>
          <w:p w14:paraId="2157DB5C"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Politically weak, negatively constructed</w:t>
            </w:r>
          </w:p>
          <w:p w14:paraId="428721C7" w14:textId="77777777" w:rsidR="00361EB6" w:rsidRDefault="00361EB6" w:rsidP="00361EB6">
            <w:pPr>
              <w:spacing w:after="0" w:line="240" w:lineRule="auto"/>
              <w:rPr>
                <w:rFonts w:ascii="Palatino Linotype" w:eastAsia="Times New Roman" w:hAnsi="Palatino Linotype" w:cs="Times New Roman"/>
                <w:color w:val="000000"/>
                <w:sz w:val="20"/>
              </w:rPr>
            </w:pPr>
            <w:r w:rsidRPr="008E33B8">
              <w:rPr>
                <w:rFonts w:ascii="Palatino Linotype" w:eastAsia="Times New Roman" w:hAnsi="Palatino Linotype" w:cs="Times New Roman"/>
                <w:color w:val="000000"/>
                <w:sz w:val="20"/>
              </w:rPr>
              <w:t>Ex: criminals</w:t>
            </w:r>
          </w:p>
          <w:p w14:paraId="5527A276" w14:textId="77777777" w:rsidR="00361EB6" w:rsidRDefault="00361EB6" w:rsidP="00361EB6">
            <w:pPr>
              <w:spacing w:after="0" w:line="240" w:lineRule="auto"/>
              <w:rPr>
                <w:rFonts w:ascii="Palatino Linotype" w:eastAsia="Times New Roman" w:hAnsi="Palatino Linotype" w:cs="Times New Roman"/>
                <w:color w:val="000000"/>
                <w:sz w:val="20"/>
              </w:rPr>
            </w:pPr>
          </w:p>
          <w:p w14:paraId="6C907A88" w14:textId="77777777" w:rsidR="00361EB6" w:rsidRPr="008E33B8" w:rsidRDefault="00361EB6" w:rsidP="00361EB6">
            <w:pPr>
              <w:spacing w:after="0" w:line="240" w:lineRule="auto"/>
              <w:rPr>
                <w:rFonts w:ascii="Palatino Linotype" w:eastAsia="Times New Roman" w:hAnsi="Palatino Linotype" w:cs="Times New Roman"/>
                <w:color w:val="000000"/>
                <w:sz w:val="20"/>
              </w:rPr>
            </w:pPr>
            <w:r>
              <w:rPr>
                <w:rFonts w:ascii="Palatino Linotype" w:eastAsia="Times New Roman" w:hAnsi="Palatino Linotype" w:cs="Times New Roman"/>
                <w:color w:val="000000"/>
                <w:sz w:val="20"/>
              </w:rPr>
              <w:t>Benefits: none, instead burdens</w:t>
            </w:r>
          </w:p>
        </w:tc>
      </w:tr>
    </w:tbl>
    <w:p w14:paraId="69E512AC" w14:textId="7DE4066A" w:rsidR="00E45E88" w:rsidRPr="003B2204" w:rsidRDefault="00E45E88" w:rsidP="00361EB6">
      <w:pPr>
        <w:spacing w:after="0" w:line="480" w:lineRule="auto"/>
        <w:rPr>
          <w:rFonts w:ascii="Times New Roman" w:hAnsi="Times New Roman" w:cs="Times New Roman"/>
          <w:sz w:val="24"/>
          <w:szCs w:val="24"/>
        </w:rPr>
      </w:pPr>
    </w:p>
    <w:p w14:paraId="140A47D9" w14:textId="77777777" w:rsidR="00E45E88" w:rsidRPr="003B2204" w:rsidRDefault="00E45E88" w:rsidP="00E45E88">
      <w:pPr>
        <w:spacing w:after="0"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The substantial body of literature on the social construction of target populations has provided empirical and theoretical insight into this phenomenon, providing evidence that the allocation of policy benefits and burdens is systematically related to the target populations’ perceived level of political power and deservingness by political elites and the public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{"citationID":"g4X7e4tp","properties":{"formattedCitation":"(Boushey 2016; Chanley 2005; Donovan 1993; Lawrence, Stoker, and Wolman 2013; Reich and Barth 2010; A. Schneider and Ingram 1993; A. L. Schneider and Ingram 2012)","plainCitation":"(Boushey 2016; Chanley 2005; Donovan 1993; Lawrence, Stoker, and Wolman 2013; Reich and Barth 2010; A. Schneider and Ingram 1993; A. L. Schneider and Ingram 2012)","dontUpdate":true,"noteIndex":0},"citationItems":[{"id":4340,"uris":["http://zotero.org/users/2595715/items/G77HW9RF"],"uri":["http://zotero.org/users/2595715/items/G77HW9RF"],"itemData":{"id":4340,"type":"article-journal","title":"Targeted for Diffusion? How the Use and Acceptance of Stereotypes Shape the Diffusion of Criminal Justice Policy Innovations in the American States","container-title":"American Political Science Review","page":"198-214","volume":"110","issue":"1","source":"Cambridge Core","abstract":"This article explores the diffusion of criminal justice policy in the American states. Drawing on policy design theory, I code newspaper coverage of 44 criminal justice policies adopted across state governments from 1960–2008, identifying the image and power of target populations—the group singled out for special treatment under law. I test whether electoral pressure leads governments to disproportionally emulate innovations that reinforce popular stereotypes regarding who is entitled to policy benefits or deserving of policy burdens. I find strong support for this theory: State governments are more likely to adopt innovations that extend benefits to strong, popular, and powerful target populations or that impose burdens on weak and politically marginalized groups. This bias can be explained by pressures for responsive policy making, as my findings indicate that it is the national salience of the crime problem—but not the competitiveness or timing of state elections—that influences state adoption of popular “law and order” policy innovations.","DOI":"10.1017/S0003055415000532","ISSN":"0003-0554, 1537-5943","shortTitle":"Targeted for Diffusion?","author":[{"family":"Boushey","given":"Graeme"}],"issued":{"date-parts":[["2016",2]]}}},{"id":4996,"uris":["http://zotero.org/users/2595715/items/P8WBY4JJ"],"uri":["http://zotero.org/users/2595715/items/P8WBY4JJ"],"itemData":{"id":4996,"type":"article-journal","title":"An analysis of civic education policy-making in Arizona using the advocacy coalition framework and policy design theory.","source":"eLibrary.ru","language":"английский","author":[{"family":"Chanley","given":"J. J. J."}],"issued":{"date-parts":[["2005"]]}}},{"id":5613,"uris":["http://zotero.org/users/2595715/items/8E6IZ67H"],"uri":["http://zotero.org/users/2595715/items/8E6IZ67H"],"itemData":{"id":5613,"type":"article-journal","title":"Social Constructions of People with AIDS: Target Populations and United States Policy, 1981–1990","container-title":"Review of Policy Research","page":"3-29","volume":"12","issue":"3-4","source":"Wiley Online Library","abstract":"This paper examines the United States policy toward people with AIDS (PWAs) using a theory of the social construction of target populations (Schneider and Ingram, 1993). A policy narrative is developed which focuses on the ways PWAs have been categorized throughout the epidemic and how the characterization of these constructed target populations has influenced the design of policies aimed at these groups. The Ryan White Act of 1990 and the debate surrounding its passage is examined and found to be consistent with the expectations of the theory. Propositions which extend the framework are offered as a guide for future research.","DOI":"10.1111/j.1541-1338.1993.tb00548.x","ISSN":"1541-1338","shortTitle":"Social Constructions of People with AIDS","language":"en","author":[{"family":"Donovan","given":"Mark C."}],"issued":{"date-parts":[["1993",9,1]]}}},{"id":5945,"uris":["http://zotero.org/users/2595715/items/6BTVZCFA"],"uri":["http://zotero.org/users/2595715/items/6BTVZCFA"],"itemData":{"id":5945,"type":"article-journal","title":"The Effects of Beneficiary Targeting on Public Support for Social Policies","container-title":"Policy Studies Journal","page":"199-216","volume":"41","issue":"2","source":"Wiley Online Library","abstract":"We assess the tendency for the public to use group-centric policy evaluations with evidence from a survey experiment concerning two issues within the social policy domain, health care and aid to cities. By randomly varying target group identity within each issue and using both negatively and positively regarded groups our evidence shows that differences exist in the tendency for members of the public to use group-centric heuristics. Group-centric evaluations are related to party identification and political ideology. Across both issues conservatives and Republicans are more likely than liberals or Democrats to adopt a group-centric heuristic. Partisan and ideological differences suggest that established theories miss the mark by emphasizing how universal policy designs are preferred to designs that target unpopular groups.","DOI":"10.1111/psj.12014","ISSN":"1541-0072","journalAbbreviation":"Policy Stud J","language":"en","author":[{"family":"Lawrence","given":"Eric"},{"family":"Stoker","given":"Robert"},{"family":"Wolman","given":"Harold"}],"issued":{"date-parts":[["2013",5,1]]}}},{"id":304,"uris":["http://zotero.org/users/2595715/items/KSSKXABP"],"uri":["http://zotero.org/users/2595715/items/KSSKXABP"],"itemData":{"id":304,"type":"article-journal","title":"Educating Citizens or Defying Federal Authority? A Comparative Study of In-State Tuition for Undocumented Students","container-title":"Policy Studies Journal","page":"419-445","volume":"38","issue":"3","source":"Wiley Online Library","abstract":"Recent years have witnessed a proliferation of state government policies addressing immigration-related issues. This article addresses an example of state policy regarding immigration: since 2001, 11 state legislatures have granted undocumented high school graduates in-state tuition status should they wish to attend public post-secondary schools, while 18 others have considered, and rejected, the same policy. We argue that these outcomes are largely explicable by the manner in which the policy is presented and debated within state legislatures, especially the terms in which policy targets are socially constructed and state jurisdictional authority is framed. We apply this framework to two states (Kansas and Arkansas) that, in spite of demographic institutional similarities, reached different outcomes on in-state tuition bills. The different outcomes can be traced to the manner in which policy deliberations in Kansas focused on positive evaluations of undocumented high school students, portraying them as “proto-citizens,” while in Arkansas debate became centered on the state's jurisdictional authority to enact such a policy, an issue frame that effectively killed the legislation. This article suggests the importance of both social constructions and issue framing when state legislatures become the lead actors in crafting immigration policies.","DOI":"10.1111/j.1541-0072.2010.00368.x","ISSN":"1541-0072","shortTitle":"Educating Citizens or Defying Federal Authority?","language":"en","author":[{"family":"Reich","given":"Gary"},{"family":"Barth","given":"Jay"}],"issued":{"date-parts":[["2010",8,1]]}}},{"id":294,"uris":["http://zotero.org/users/2595715/items/KGBVA2VP"],"uri":["http://zotero.org/users/2595715/items/KGBVA2VP"],"itemData":{"id":294,"type":"article-journal","title":"Social Construction of Target Populations: Implications for Politics and Policy","container-title":"American Political Science Review","page":"334-347","volume":"87","issue":"2","source":"Cambridge Core","abstract":"We argue that the social construction of target populations is an important, albeit overlooked, political phenomenon that should take its place in the study of public policy by political scientists. The theory contends that social constructions influence the policy agenda and the selection of policy tools, as well as the rationales that legitimate policy choices. Constructions become embedded in policy as messages that are absorbed by citizens and affect their orientations and participation. The theory is important because it helps explain why some groups are advantaged more than others independently of traditional notions of political power and how policy designs reinforce or alter such advantages. An understanding of social constructions of target populations augments conventional hypotheses about the dynamics of policy change, the determination of beneficiaries and losers, the reasons for differing levels and types of participation among target groups, and the role of policy in democracy.","DOI":"10.2307/2939044","ISSN":"1537-5943, 0003-0554","shortTitle":"Social Construction of Target Populations","author":[{"family":"Schneider","given":"Anne"},{"family":"Ingram","given":"Helen"}],"issued":{"date-parts":[["1993",6]]}}},{"id":66,"uris":["http://zotero.org/users/2595715/items/AED4AXRZ"],"uri":["http://zotero.org/users/2595715/items/AED4AXRZ"],"itemData":{"id":66,"type":"book","title":"Deserving and Entitled: Social Constructions and Public Policy","publisher":"SUNY Press","number-of-pages":"387","source":"Google Books","abstract":"Public policy in the United States is marked by a contradiction between the American ideal of equality and the reality of an underclass of marginalized and disadvantaged people who are widely viewed as undeserving and incapable. Deserving and Entitled provides a close inspection of many different policy arenas, showing how the use of power and the manipulation of images have made it appear both natural and appropriate that some target populations benefit from policy, while others do not. These social constructions of deservedness and entitlement, unless challenged, become amplified over time and institutionalized into permanent lines of social, economic, and political cleavage. The contributors here express concern that too often public policy sends messages harmful to democracy and contributes significantly to the pattern of uneven political participation in the United States.","ISBN":"978-0-7914-8383-1","note":"Google-Books-ID: E7UcOIbFo_sC","shortTitle":"Deserving and Entitled","language":"en","author":[{"family":"Schneider","given":"Anne L."},{"family":"Ingram","given":"Helen M."}],"issued":{"date-parts":[["2012",2]]}}}],"schema":"https://github.com/citation-style-language/schema/raw/master/csl-citation.json"} </w:instrText>
      </w:r>
      <w:r w:rsidRPr="003B2204">
        <w:rPr>
          <w:rFonts w:ascii="Times New Roman" w:hAnsi="Times New Roman" w:cs="Times New Roman"/>
          <w:sz w:val="24"/>
          <w:szCs w:val="24"/>
        </w:rPr>
        <w:fldChar w:fldCharType="separate"/>
      </w:r>
      <w:r w:rsidRPr="00FE617B">
        <w:rPr>
          <w:rFonts w:ascii="Times New Roman" w:hAnsi="Times New Roman" w:cs="Times New Roman"/>
          <w:sz w:val="24"/>
        </w:rPr>
        <w:t>(Boushey 2016; Chanley 2005; Donovan 1993; Lawrence, Stoker, and Wolman 2013; Reich and Barth 2010;</w:t>
      </w:r>
      <w:r>
        <w:rPr>
          <w:rFonts w:ascii="Times New Roman" w:hAnsi="Times New Roman" w:cs="Times New Roman"/>
          <w:sz w:val="24"/>
        </w:rPr>
        <w:t xml:space="preserve"> </w:t>
      </w:r>
      <w:r w:rsidRPr="00FE617B">
        <w:rPr>
          <w:rFonts w:ascii="Times New Roman" w:hAnsi="Times New Roman" w:cs="Times New Roman"/>
          <w:sz w:val="24"/>
        </w:rPr>
        <w:t>Schneider and Ingram 1993; Schneider and Ingram 2012)</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These studies reveal that in </w:t>
      </w:r>
      <w:r w:rsidRPr="003B2204">
        <w:rPr>
          <w:rFonts w:ascii="Times New Roman" w:hAnsi="Times New Roman" w:cs="Times New Roman"/>
          <w:sz w:val="24"/>
          <w:szCs w:val="24"/>
        </w:rPr>
        <w:lastRenderedPageBreak/>
        <w:t xml:space="preserve">order to maximize the probability of re-election, elected officials strategically </w:t>
      </w:r>
      <w:r>
        <w:rPr>
          <w:rFonts w:ascii="Times New Roman" w:hAnsi="Times New Roman" w:cs="Times New Roman"/>
          <w:sz w:val="24"/>
          <w:szCs w:val="24"/>
        </w:rPr>
        <w:t xml:space="preserve">design policies </w:t>
      </w:r>
      <w:r w:rsidRPr="003B2204">
        <w:rPr>
          <w:rFonts w:ascii="Times New Roman" w:hAnsi="Times New Roman" w:cs="Times New Roman"/>
          <w:sz w:val="24"/>
          <w:szCs w:val="24"/>
        </w:rPr>
        <w:t xml:space="preserve">that </w:t>
      </w:r>
      <w:r>
        <w:rPr>
          <w:rFonts w:ascii="Times New Roman" w:hAnsi="Times New Roman" w:cs="Times New Roman"/>
          <w:sz w:val="24"/>
          <w:szCs w:val="24"/>
        </w:rPr>
        <w:t>benefit positively constructed constituents and burden negatively constructed target populations; this ensures that a broad swath of the public will support the policy and become a</w:t>
      </w:r>
      <w:r w:rsidRPr="003B2204">
        <w:rPr>
          <w:rFonts w:ascii="Times New Roman" w:hAnsi="Times New Roman" w:cs="Times New Roman"/>
          <w:sz w:val="24"/>
          <w:szCs w:val="24"/>
        </w:rPr>
        <w:t xml:space="preserve"> mobilized </w:t>
      </w:r>
      <w:r>
        <w:rPr>
          <w:rFonts w:ascii="Times New Roman" w:hAnsi="Times New Roman" w:cs="Times New Roman"/>
          <w:sz w:val="24"/>
          <w:szCs w:val="24"/>
        </w:rPr>
        <w:t>constituency</w:t>
      </w:r>
      <w:r w:rsidRPr="003B2204">
        <w:rPr>
          <w:rFonts w:ascii="Times New Roman" w:hAnsi="Times New Roman" w:cs="Times New Roman"/>
          <w:sz w:val="24"/>
          <w:szCs w:val="24"/>
        </w:rPr>
        <w:t>. As a result, policymakers are more likely to allocate benefits to advantaged groups (Ex: business interests) and implement hidden or submerged benefits for contenders (Ex: unions). Dependents (Ex: children, mothers) are likely to also be allocated benefits, but the benefits are often inadequate and demeaning due to the stringent eligibility requirements that convey stigma to target populations (Schneider &amp; Ingram, 2012). Finally, deviants (Ex: criminals, illegal immigrants) are most likely to be allocated burdens and are much less likely to</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receive a policy benefit like a tuition-free college </w:t>
      </w:r>
      <w:r>
        <w:rPr>
          <w:rFonts w:ascii="Times New Roman" w:hAnsi="Times New Roman" w:cs="Times New Roman"/>
          <w:sz w:val="24"/>
          <w:szCs w:val="24"/>
        </w:rPr>
        <w:t>scholarship</w:t>
      </w:r>
      <w:r w:rsidRPr="003B2204">
        <w:rPr>
          <w:rFonts w:ascii="Times New Roman" w:hAnsi="Times New Roman" w:cs="Times New Roman"/>
          <w:sz w:val="24"/>
          <w:szCs w:val="24"/>
        </w:rPr>
        <w:t xml:space="preserve">. </w:t>
      </w:r>
    </w:p>
    <w:p w14:paraId="697310DE"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In the context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this framework would predict that public support for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would substantially shift as a result of eligibility requirements such as the family income cap or a minimum academic merit requirement due to the</w:t>
      </w:r>
      <w:r>
        <w:rPr>
          <w:rFonts w:ascii="Times New Roman" w:hAnsi="Times New Roman" w:cs="Times New Roman"/>
          <w:sz w:val="24"/>
          <w:szCs w:val="24"/>
        </w:rPr>
        <w:t xml:space="preserve"> salient</w:t>
      </w:r>
      <w:r w:rsidRPr="003B2204">
        <w:rPr>
          <w:rFonts w:ascii="Times New Roman" w:hAnsi="Times New Roman" w:cs="Times New Roman"/>
          <w:sz w:val="24"/>
          <w:szCs w:val="24"/>
        </w:rPr>
        <w:t xml:space="preserve"> socially constructed target population of interest</w:t>
      </w:r>
      <w:r>
        <w:rPr>
          <w:rFonts w:ascii="Times New Roman" w:hAnsi="Times New Roman" w:cs="Times New Roman"/>
          <w:sz w:val="24"/>
          <w:szCs w:val="24"/>
        </w:rPr>
        <w:t>—the key causal mechanism</w:t>
      </w:r>
      <w:r w:rsidRPr="003B2204">
        <w:rPr>
          <w:rFonts w:ascii="Times New Roman" w:hAnsi="Times New Roman" w:cs="Times New Roman"/>
          <w:sz w:val="24"/>
          <w:szCs w:val="24"/>
        </w:rPr>
        <w:t xml:space="preserve">. For instance, limiting eligibility to students that meet merit requirements creates a positively constructed, meritorious or “college-ready” target population that may be more likely to be perceived as deserving of the tuition-free college policy benefit. In fact, </w:t>
      </w:r>
      <w:r>
        <w:rPr>
          <w:rFonts w:ascii="Times New Roman" w:hAnsi="Times New Roman" w:cs="Times New Roman"/>
          <w:sz w:val="24"/>
          <w:szCs w:val="24"/>
        </w:rPr>
        <w:t>recent surveys indicate that</w:t>
      </w:r>
      <w:r w:rsidRPr="003B2204">
        <w:rPr>
          <w:rFonts w:ascii="Times New Roman" w:hAnsi="Times New Roman" w:cs="Times New Roman"/>
          <w:sz w:val="24"/>
          <w:szCs w:val="24"/>
        </w:rPr>
        <w:t xml:space="preserve"> one of the main reasons that respondents have supported tuition-free college was a desire for </w:t>
      </w:r>
      <w:r w:rsidRPr="003B2204">
        <w:rPr>
          <w:rFonts w:ascii="Times New Roman" w:hAnsi="Times New Roman" w:cs="Times New Roman"/>
          <w:i/>
          <w:sz w:val="24"/>
          <w:szCs w:val="24"/>
        </w:rPr>
        <w:t xml:space="preserve">qualified </w:t>
      </w:r>
      <w:r w:rsidRPr="003B2204">
        <w:rPr>
          <w:rFonts w:ascii="Times New Roman" w:hAnsi="Times New Roman" w:cs="Times New Roman"/>
          <w:sz w:val="24"/>
          <w:szCs w:val="24"/>
        </w:rPr>
        <w:t xml:space="preserve">students to go to college regardless of family income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{"citationID":"wK9GNyL4","properties":{"formattedCitation":"(Gerchick, 2018)","plainCitation":"(Gerchick, 2018)","noteIndex":0},"citationItems":[{"id":6281,"uris":["http://zotero.org/users/2595715/items/4EUS27SS"],"uri":["http://zotero.org/users/2595715/items/4EUS27SS"],"itemData":{"id":6281,"type":"post-weblog","title":"Americans Overwhelmingly Embrace Free College Tuition's Promise of Economic Opportunity","container-title":"The Campaign for Free College Tuition","abstract":",","URL":"https://www.freecollegenow.org/poll_econopp_feb","author":[{"family":"Gerchick","given":"Adam"}],"issued":{"date-parts":[["2018"]]},"accessed":{"date-parts":[["2018",5,29]]}}}],"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(Gerchick, 2018)</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This suggests that students meeting academic merit standards are positively constructed as deserving and therefore, policies that target students that are required to meet academic merit standards are likely to elicit higher levels of public support. </w:t>
      </w:r>
    </w:p>
    <w:p w14:paraId="7E5B07F6" w14:textId="77777777" w:rsidR="00E45E88" w:rsidRPr="003B2204" w:rsidRDefault="00E45E88" w:rsidP="00E45E88">
      <w:pPr>
        <w:spacing w:line="480" w:lineRule="auto"/>
        <w:rPr>
          <w:rFonts w:ascii="Times New Roman" w:hAnsi="Times New Roman" w:cs="Times New Roman"/>
          <w:i/>
          <w:sz w:val="24"/>
          <w:szCs w:val="24"/>
        </w:rPr>
      </w:pPr>
      <w:r w:rsidRPr="003B2204">
        <w:rPr>
          <w:rFonts w:ascii="Times New Roman" w:hAnsi="Times New Roman" w:cs="Times New Roman"/>
          <w:i/>
          <w:sz w:val="24"/>
          <w:szCs w:val="24"/>
        </w:rPr>
        <w:lastRenderedPageBreak/>
        <w:t>Hypothesis</w:t>
      </w:r>
      <w:r>
        <w:rPr>
          <w:rFonts w:ascii="Times New Roman" w:hAnsi="Times New Roman" w:cs="Times New Roman"/>
          <w:i/>
          <w:sz w:val="24"/>
          <w:szCs w:val="24"/>
        </w:rPr>
        <w:t xml:space="preserve"> 1</w:t>
      </w:r>
      <w:r w:rsidRPr="003B2204">
        <w:rPr>
          <w:rFonts w:ascii="Times New Roman" w:hAnsi="Times New Roman" w:cs="Times New Roman"/>
          <w:i/>
          <w:sz w:val="24"/>
          <w:szCs w:val="24"/>
        </w:rPr>
        <w:t xml:space="preserv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that require students to meet merit requirements will </w:t>
      </w:r>
      <w:r>
        <w:rPr>
          <w:rFonts w:ascii="Times New Roman" w:hAnsi="Times New Roman" w:cs="Times New Roman"/>
          <w:sz w:val="24"/>
          <w:szCs w:val="24"/>
        </w:rPr>
        <w:t>elicit</w:t>
      </w:r>
      <w:r w:rsidRPr="003B2204">
        <w:rPr>
          <w:rFonts w:ascii="Times New Roman" w:hAnsi="Times New Roman" w:cs="Times New Roman"/>
          <w:sz w:val="24"/>
          <w:szCs w:val="24"/>
        </w:rPr>
        <w:t xml:space="preserve"> higher levels of public support.</w:t>
      </w:r>
    </w:p>
    <w:p w14:paraId="054D571D" w14:textId="77777777" w:rsidR="00E45E88" w:rsidRPr="003B2204" w:rsidRDefault="00E45E88" w:rsidP="00E45E88">
      <w:pPr>
        <w:spacing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 xml:space="preserve">Additionally, limiting eligibility to students that meet a $50,000 family income cap likely also significantly shifts public perceptions of tuition-free college policies. This is due to the negative stigma of means-tested policies relative to programs </w:t>
      </w:r>
      <w:r>
        <w:rPr>
          <w:rFonts w:ascii="Times New Roman" w:hAnsi="Times New Roman" w:cs="Times New Roman"/>
          <w:sz w:val="24"/>
          <w:szCs w:val="24"/>
        </w:rPr>
        <w:t xml:space="preserve">with </w:t>
      </w:r>
      <w:r w:rsidRPr="003B2204">
        <w:rPr>
          <w:rFonts w:ascii="Times New Roman" w:hAnsi="Times New Roman" w:cs="Times New Roman"/>
          <w:sz w:val="24"/>
          <w:szCs w:val="24"/>
        </w:rPr>
        <w:t xml:space="preserve">universally designed eligibility. In the context of welfare policies, previous research reveals that universally designed programs, as opposed to targeted means-tested programs shift the focus away from the controversial redistribution and instead invoke a uniting purpose that appeals to the market insecurities in both working and middle class families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{"citationID":"ziBi9Z0F","properties":{"formattedCitation":"(Jakobsen, 2011; May, 1991)","plainCitation":"(Jakobsen, 2011; May, 1991)","noteIndex":0},"citationItems":[{"id":4251,"uris":["http://zotero.org/users/2595715/items/EHFRP98L"],"uri":["http://zotero.org/users/2595715/items/EHFRP98L"],"itemData":{"id":4251,"type":"article-journal","title":"Welfare Attitudes and Social Expenditure: Do Regimes Shape Public Opinion?","container-title":"Social Indicators Research","page":"323-340","volume":"101","issue":"3","source":"link-springer-com.ezproxy.lib.ou.edu","abstract":"This article examines the link between regime types, social expenditure, and welfare attitudes. By employing data on 19 countries taken from the World Values Survey, the main aim is to see to what deg","DOI":"10.1007/s11205-010-9666-8","ISSN":"0303-8300, 1573-0921","shortTitle":"Welfare Attitudes and Social Expenditure","journalAbbreviation":"Soc Indic Res","language":"en","author":[{"family":"Jakobsen","given":"Tor Georg"}],"issued":{"date-parts":[["2011",5,1]]}}},{"id":97,"uris":["http://zotero.org/users/2595715/items/SF4D7285"],"uri":["http://zotero.org/users/2595715/items/SF4D7285"],"itemData":{"id":97,"type":"article-journal","title":"Reconsidering Policy Design: Policies and Publics","container-title":"Journal of Public Policy","page":"187-206","volume":"11","issue":"2","source":"JSTOR","abstract":"One of the emerging areas in the public policy literature concerns new modes of thought about the construction and analysis of public policy. This article extends notions about politics within the 'policy design' literature by considering the implications of different political environments for policy design and implementation. Two different political environments -- policies with and without publics -- that form ends of a continuum of policy publics are discussed. A contrast is drawn between these two polar political environments with respect to differing policy design and implementation challenges, as well as with respect to differing opportunities for policy learning.","ISSN":"0143-814X","shortTitle":"Reconsidering Policy Design","author":[{"family":"May","given":"Peter J."}],"issued":{"date-parts":[["1991"]]}}}],"schema":"https://github.com/citation-style-language/schema/raw/master/csl-citation.json"}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(Jakobsen, 2011; May, 1991)</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In this way, universal designs “help incorporate beneficiaries as full members of society, bestowing dignity and respect on them. Conversely, means-tested programs may convey stigma and thus reinforce or expand beneficiaries’ isolation”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{"citationID":"Br4CqkOi","properties":{"formattedCitation":"(Mettler &amp; Stonecash, 2008)","plainCitation":"(Mettler &amp; Stonecash, 2008)","noteIndex":0},"citationItems":[{"id":3462,"uris":["http://zotero.org/users/2595715/items/8HSRJ7E8"],"uri":["http://zotero.org/users/2595715/items/8HSRJ7E8"],"itemData":{"id":3462,"type":"article-journal","title":"Government Program Usage and Political Voice*","container-title":"Social Science Quarterly","page":"273-293","volume":"89","issue":"2","source":"Wiley Online Library","abstract":"Objectives.  Despite the scope of U.S. social spending, we know little about cumulative program usage among individuals or how it may influence their political attitudes or behavior. This article examines program usage among citizens and probes the association of usage with program assessment and the likelihood of voting. Methods.  We examine these issues using the 2005 Maxwell Poll, which uniquely asked respondents about both usage of 18 social programs as well as attitudes about such programs and rates of political involvement. Results.  The data indicate that direct experience of social programs is fairly common and widespread across the population, but beneficiaries of programs differ in their assessments compared to nonbeneficiaries. Most significant, after controlling for various demographic factors, we find that the greater the number of universal programs citizens have used, the greater the likelihood that they vote; conversely, the greater the number of means-tested programs they have used, the lower their likelihood of voting. Conclusion.  Experiences of social programs may influence voter turnout and may help explain why young and less advantaged citizens vote less than older citizens. Trends in social provision may be fostering inequality of political voice, particularly among younger generations.","DOI":"10.1111/j.1540-6237.2008.00532.x","ISSN":"1540-6237","language":"en","author":[{"family":"Mettler","given":"Suzanne"},{"family":"Stonecash","given":"Jeffrey M."}],"issued":{"date-parts":[["2008",6,1]]}}}],"schema":"https://github.com/citation-style-language/schema/raw/master/csl-citation.json"}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(Mettler &amp; Stonecash, 2008)</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In the context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universally designed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unlike those that are only available for families making less than $50,000 such as the Oklahoma’s Promise, may </w:t>
      </w:r>
      <w:r>
        <w:rPr>
          <w:rFonts w:ascii="Times New Roman" w:hAnsi="Times New Roman" w:cs="Times New Roman"/>
          <w:sz w:val="24"/>
          <w:szCs w:val="24"/>
        </w:rPr>
        <w:t>elicit</w:t>
      </w:r>
      <w:r w:rsidRPr="003B2204">
        <w:rPr>
          <w:rFonts w:ascii="Times New Roman" w:hAnsi="Times New Roman" w:cs="Times New Roman"/>
          <w:sz w:val="24"/>
          <w:szCs w:val="24"/>
        </w:rPr>
        <w:t xml:space="preserve"> higher levels of public support. Universal policy designs, therefore</w:t>
      </w:r>
      <w:r>
        <w:rPr>
          <w:rFonts w:ascii="Times New Roman" w:hAnsi="Times New Roman" w:cs="Times New Roman"/>
          <w:sz w:val="24"/>
          <w:szCs w:val="24"/>
        </w:rPr>
        <w:t>,</w:t>
      </w:r>
      <w:r w:rsidRPr="003B2204">
        <w:rPr>
          <w:rFonts w:ascii="Times New Roman" w:hAnsi="Times New Roman" w:cs="Times New Roman"/>
          <w:sz w:val="24"/>
          <w:szCs w:val="24"/>
        </w:rPr>
        <w:t xml:space="preserve"> may expand the constituency of the program and may convey less stigma and isolation, instead knitting the fabric of communities together. In fact, this proposition</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was put forth by recent analysis at the Century Foundation, in which the author argues that if more people benefit from the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program, the broad swath of beneficiaries will sustain public support for the program over time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{"citationID":"mRYanrd3","properties":{"formattedCitation":"(Mishory, 2018b)","plainCitation":"(Mishory, 2018b)","noteIndex":0},"citationItems":[{"id":6512,"uris":["http://zotero.org/users/2595715/items/PIZJDSQV"],"uri":["http://zotero.org/users/2595715/items/PIZJDSQV"],"itemData":{"id":6512,"type":"webpage","title":"“Free College:” Here to Stay?","container-title":"The Century Foundation","abstract":"Free college, or “Promise” programs—a model of student aid that covers at least full tuition costs for a subset of a given state’s residents—have received","URL":"https://tcf.org/content/report/free-college-stay/","shortTitle":"“Free College","language":"en","author":[{"family":"Mishory","given":"Jen"}],"issued":{"date-parts":[["2018",7,12]]},"accessed":{"date-parts":[["2018",7,12]]}}}],"schema":"https://github.com/citation-style-language/schema/raw/master/csl-citation.json"}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(Mishory, 2018b)</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w:t>
      </w:r>
      <w:r>
        <w:rPr>
          <w:rFonts w:ascii="Times New Roman" w:hAnsi="Times New Roman" w:cs="Times New Roman"/>
          <w:sz w:val="24"/>
          <w:szCs w:val="24"/>
        </w:rPr>
        <w:t xml:space="preserve"> This paper provides the first empirical assessment of this proposition, predicting higher levels of support for universally targeted tuition-free college.</w:t>
      </w:r>
    </w:p>
    <w:p w14:paraId="0313B8FF" w14:textId="77777777" w:rsidR="00E45E88" w:rsidRPr="003B2204" w:rsidRDefault="00E45E88" w:rsidP="00E45E88">
      <w:pPr>
        <w:spacing w:line="480" w:lineRule="auto"/>
        <w:rPr>
          <w:rFonts w:ascii="Times New Roman" w:hAnsi="Times New Roman" w:cs="Times New Roman"/>
          <w:i/>
          <w:sz w:val="24"/>
          <w:szCs w:val="24"/>
        </w:rPr>
      </w:pPr>
      <w:r w:rsidRPr="003B2204">
        <w:rPr>
          <w:rFonts w:ascii="Times New Roman" w:hAnsi="Times New Roman" w:cs="Times New Roman"/>
          <w:i/>
          <w:sz w:val="24"/>
          <w:szCs w:val="24"/>
        </w:rPr>
        <w:t>Hypothesis</w:t>
      </w:r>
      <w:r>
        <w:rPr>
          <w:rFonts w:ascii="Times New Roman" w:hAnsi="Times New Roman" w:cs="Times New Roman"/>
          <w:i/>
          <w:sz w:val="24"/>
          <w:szCs w:val="24"/>
        </w:rPr>
        <w:t xml:space="preserve"> 2</w:t>
      </w:r>
      <w:r w:rsidRPr="003B2204">
        <w:rPr>
          <w:rFonts w:ascii="Times New Roman" w:hAnsi="Times New Roman" w:cs="Times New Roman"/>
          <w:i/>
          <w:sz w:val="24"/>
          <w:szCs w:val="24"/>
        </w:rPr>
        <w:t xml:space="preserve">: </w:t>
      </w:r>
      <w:r>
        <w:rPr>
          <w:rFonts w:ascii="Times New Roman" w:hAnsi="Times New Roman" w:cs="Times New Roman"/>
          <w:sz w:val="24"/>
          <w:szCs w:val="24"/>
        </w:rPr>
        <w:t>Universally targeted tuition-free college</w:t>
      </w:r>
      <w:r w:rsidRPr="003B2204">
        <w:rPr>
          <w:rFonts w:ascii="Times New Roman" w:hAnsi="Times New Roman" w:cs="Times New Roman"/>
          <w:sz w:val="24"/>
          <w:szCs w:val="24"/>
        </w:rPr>
        <w:t xml:space="preserve"> policies</w:t>
      </w:r>
      <w:r>
        <w:rPr>
          <w:rFonts w:ascii="Times New Roman" w:hAnsi="Times New Roman" w:cs="Times New Roman"/>
          <w:sz w:val="24"/>
          <w:szCs w:val="24"/>
        </w:rPr>
        <w:t>, relative to means-tested programs, will receive higher</w:t>
      </w:r>
      <w:r w:rsidRPr="003B2204">
        <w:rPr>
          <w:rFonts w:ascii="Times New Roman" w:hAnsi="Times New Roman" w:cs="Times New Roman"/>
          <w:sz w:val="24"/>
          <w:szCs w:val="24"/>
        </w:rPr>
        <w:t xml:space="preserve"> levels of public support.</w:t>
      </w:r>
      <w:r w:rsidRPr="003B2204">
        <w:rPr>
          <w:rFonts w:ascii="Times New Roman" w:hAnsi="Times New Roman" w:cs="Times New Roman"/>
          <w:i/>
          <w:sz w:val="24"/>
          <w:szCs w:val="24"/>
        </w:rPr>
        <w:t xml:space="preserve"> </w:t>
      </w:r>
    </w:p>
    <w:p w14:paraId="26ACD0BA" w14:textId="77777777" w:rsidR="00E45E88" w:rsidRPr="003B2204" w:rsidRDefault="00E45E88" w:rsidP="00E45E88">
      <w:pPr>
        <w:spacing w:line="480" w:lineRule="auto"/>
        <w:rPr>
          <w:rFonts w:ascii="Times New Roman" w:hAnsi="Times New Roman" w:cs="Times New Roman"/>
          <w:sz w:val="24"/>
          <w:szCs w:val="24"/>
        </w:rPr>
      </w:pPr>
      <w:r w:rsidRPr="003B2204">
        <w:rPr>
          <w:rFonts w:ascii="Times New Roman" w:hAnsi="Times New Roman" w:cs="Times New Roman"/>
          <w:sz w:val="24"/>
          <w:szCs w:val="24"/>
        </w:rPr>
        <w:lastRenderedPageBreak/>
        <w:tab/>
        <w:t xml:space="preserve">Finally, it is likely that factors such as political ideology shape </w:t>
      </w:r>
      <w:r>
        <w:rPr>
          <w:rFonts w:ascii="Times New Roman" w:hAnsi="Times New Roman" w:cs="Times New Roman"/>
          <w:sz w:val="24"/>
          <w:szCs w:val="24"/>
        </w:rPr>
        <w:t>how</w:t>
      </w:r>
      <w:r w:rsidRPr="003B2204">
        <w:rPr>
          <w:rFonts w:ascii="Times New Roman" w:hAnsi="Times New Roman" w:cs="Times New Roman"/>
          <w:sz w:val="24"/>
          <w:szCs w:val="24"/>
        </w:rPr>
        <w:t xml:space="preserve"> policy design impact</w:t>
      </w:r>
      <w:r>
        <w:rPr>
          <w:rFonts w:ascii="Times New Roman" w:hAnsi="Times New Roman" w:cs="Times New Roman"/>
          <w:sz w:val="24"/>
          <w:szCs w:val="24"/>
        </w:rPr>
        <w:t>s</w:t>
      </w:r>
      <w:r w:rsidRPr="003B2204">
        <w:rPr>
          <w:rFonts w:ascii="Times New Roman" w:hAnsi="Times New Roman" w:cs="Times New Roman"/>
          <w:sz w:val="24"/>
          <w:szCs w:val="24"/>
        </w:rPr>
        <w:t xml:space="preserve"> perceptions of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In fact, previous research has found that the public relies on credible information from party elites when formulating decisions about policies, which means that the messaging by political elites on policies significantly shapes the formulation of policy beliefs among the public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{"citationID":"fcoJT4Vd","properties":{"formattedCitation":"(Druckman, 2001; Feldman &amp; Zaller, 1992)","plainCitation":"(Druckman, 2001; Feldman &amp; Zaller, 1992)","noteIndex":0},"citationItems":[{"id":5980,"uris":["http://zotero.org/users/2595715/items/MHHQFTXP"],"uri":["http://zotero.org/users/2595715/items/MHHQFTXP"],"itemData":{"id":5980,"type":"article-journal","title":"On the Limits of Framing Effects: Who Can Frame?","container-title":"Journal of Politics","page":"1041-1066","volume":"63","issue":"4","source":"Wiley Online Library","abstract":"Public opinion often depends on which frames elites choose to use. For example, citizens’ opinions about a Ku Klux Klan rally may depend on whether elites frame it as a free speech issue or a public safety issue. An important concern is that elites face few constraints to using frames to influence and manipulate citizens’ opinions. Indeed, virtually no work has investigated the limits of framing effects. In this article, I explore these limits by focusing on one particular constraint—the credibility of the frame’s source. I present two laboratory experiments that suggest that elites face a clear and systematic constraint to using frames to influence and manipulate public opinion.","DOI":"10.1111/0022-3816.00100","ISSN":"1468-2508","shortTitle":"On the Limits of Framing Effects","language":"en","author":[{"family":"Druckman","given":"James N."}],"issued":{"date-parts":[["2001",11,1]]}}},{"id":5959,"uris":["http://zotero.org/users/2595715/items/UNGNMU2U"],"uri":["http://zotero.org/users/2595715/items/UNGNMU2U"],"itemData":{"id":5959,"type":"article-journal","title":"The Political Culture of Ambivalence: Ideological Responses to the Welfare State","container-title":"American Journal of Political Science","page":"268-307","volume":"36","issue":"1","source":"JSTOR","abstract":"This paper explores the principles that people draw upon to justify their support for social welfare policy in the United States. The data for this study were produced by open-ended questions asked of a representative sample of the U.S. public. The results show that most people readily use values and principles central to the political culture when discussing their policy preferences. The wide diffusion of diverse values--individualism, humanitarianism, and opposition to big government--leads to significant ambivalence in people's discussions of their issue positions. The implications of these patterns of belief for popular support of the welfare state are discussed.","DOI":"10.2307/2111433","ISSN":"0092-5853","shortTitle":"The Political Culture of Ambivalence","author":[{"family":"Feldman","given":"Stanley"},{"family":"Zaller","given":"John"}],"issued":{"date-parts":[["1992"]]}}}],"schema":"https://github.com/citation-style-language/schema/raw/master/csl-citation.json"}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(Druckman, 2001; Feldman &amp; Zaller, 1992)</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In addition, previous studies have found that these dynamics are not the same across </w:t>
      </w:r>
      <w:r>
        <w:rPr>
          <w:rFonts w:ascii="Times New Roman" w:hAnsi="Times New Roman" w:cs="Times New Roman"/>
          <w:sz w:val="24"/>
          <w:szCs w:val="24"/>
        </w:rPr>
        <w:t>l</w:t>
      </w:r>
      <w:r w:rsidRPr="003B2204">
        <w:rPr>
          <w:rFonts w:ascii="Times New Roman" w:hAnsi="Times New Roman" w:cs="Times New Roman"/>
          <w:sz w:val="24"/>
          <w:szCs w:val="24"/>
        </w:rPr>
        <w:t xml:space="preserve">iberals and </w:t>
      </w:r>
      <w:r>
        <w:rPr>
          <w:rFonts w:ascii="Times New Roman" w:hAnsi="Times New Roman" w:cs="Times New Roman"/>
          <w:sz w:val="24"/>
          <w:szCs w:val="24"/>
        </w:rPr>
        <w:t>c</w:t>
      </w:r>
      <w:r w:rsidRPr="003B2204">
        <w:rPr>
          <w:rFonts w:ascii="Times New Roman" w:hAnsi="Times New Roman" w:cs="Times New Roman"/>
          <w:sz w:val="24"/>
          <w:szCs w:val="24"/>
        </w:rPr>
        <w:t>onservatives</w:t>
      </w:r>
      <w:r>
        <w:rPr>
          <w:rFonts w:ascii="Times New Roman" w:hAnsi="Times New Roman" w:cs="Times New Roman"/>
          <w:sz w:val="24"/>
          <w:szCs w:val="24"/>
        </w:rPr>
        <w:t xml:space="preserve">—conservative </w:t>
      </w:r>
      <w:r w:rsidRPr="003B2204">
        <w:rPr>
          <w:rFonts w:ascii="Times New Roman" w:hAnsi="Times New Roman" w:cs="Times New Roman"/>
          <w:sz w:val="24"/>
          <w:szCs w:val="24"/>
        </w:rPr>
        <w:t xml:space="preserve">republicans have been found to distinguish between target populations on the basis of perceived deservingness in their designing of and marking of public policies much more than liberal democrats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{"citationID":"OGhGvMoo","properties":{"formattedCitation":"(Bell, Forthcoming; Lawrence et al., 2013)","plainCitation":"(Bell, Forthcoming; Lawrence et al., 2013)","noteIndex":0},"citationItems":[{"id":5945,"uris":["http://zotero.org/users/2595715/items/6BTVZCFA"],"uri":["http://zotero.org/users/2595715/items/6BTVZCFA"],"itemData":{"id":5945,"type":"article-journal","title":"The Effects of Beneficiary Targeting on Public Support for Social Policies","container-title":"Policy Studies Journal","page":"199-216","volume":"41","issue":"2","source":"Wiley Online Library","abstract":"We assess the tendency for the public to use group-centric policy evaluations with evidence from a survey experiment concerning two issues within the social policy domain, health care and aid to cities. By randomly varying target group identity within each issue and using both negatively and positively regarded groups our evidence shows that differences exist in the tendency for members of the public to use group-centric heuristics. Group-centric evaluations are related to party identification and political ideology. Across both issues conservatives and Republicans are more likely than liberals or Democrats to adopt a group-centric heuristic. Partisan and ideological differences suggest that established theories miss the mark by emphasizing how universal policy designs are preferred to designs that target unpopular groups.","DOI":"10.1111/psj.12014","ISSN":"1541-0072","journalAbbreviation":"Policy Stud J","language":"en","author":[{"family":"Lawrence","given":"Eric"},{"family":"Stoker","given":"Robert"},{"family":"Wolman","given":"Harold"}],"issued":{"date-parts":[["2013",5,1]]}}},{"id":7133,"uris":["http://zotero.org/users/2595715/items/EQXCG83I"],"uri":["http://zotero.org/users/2595715/items/EQXCG83I"],"itemData":{"id":7133,"type":"article-journal","title":"Deserving to Whom? The Heterogeneous Effects of Social Constructions on Mass Opinion","container-title":"Policy Studies Journal","author":[{"family":"Bell","given":"Elizabeth"}],"issued":{"literal":"Forthcoming"}}}],"schema":"https://github.com/citation-style-language/schema/raw/master/csl-citation.json"}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(Bell, Forthcoming; Lawrence et al., 2013)</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Therefore, conservative respondents may be more likely to be impacted by variation in the socially constructed target populations of tuition-free college policies across the design treatments.</w:t>
      </w:r>
    </w:p>
    <w:p w14:paraId="4ED02AFD" w14:textId="77777777" w:rsidR="00E45E88" w:rsidRPr="003B2204" w:rsidRDefault="00E45E88" w:rsidP="00E45E88">
      <w:pPr>
        <w:spacing w:after="0" w:line="480" w:lineRule="auto"/>
        <w:rPr>
          <w:rFonts w:ascii="Times New Roman" w:hAnsi="Times New Roman" w:cs="Times New Roman"/>
          <w:sz w:val="24"/>
          <w:szCs w:val="24"/>
        </w:rPr>
      </w:pPr>
      <w:r w:rsidRPr="003B2204">
        <w:rPr>
          <w:rFonts w:ascii="Times New Roman" w:hAnsi="Times New Roman" w:cs="Times New Roman"/>
          <w:i/>
          <w:sz w:val="24"/>
          <w:szCs w:val="24"/>
        </w:rPr>
        <w:t>Hypothesis</w:t>
      </w:r>
      <w:r>
        <w:rPr>
          <w:rFonts w:ascii="Times New Roman" w:hAnsi="Times New Roman" w:cs="Times New Roman"/>
          <w:i/>
          <w:sz w:val="24"/>
          <w:szCs w:val="24"/>
        </w:rPr>
        <w:t xml:space="preserve"> 3</w:t>
      </w:r>
      <w:r w:rsidRPr="003B2204">
        <w:rPr>
          <w:rFonts w:ascii="Times New Roman" w:hAnsi="Times New Roman" w:cs="Times New Roman"/>
          <w:i/>
          <w:sz w:val="24"/>
          <w:szCs w:val="24"/>
        </w:rPr>
        <w:t>:</w:t>
      </w:r>
      <w:r w:rsidRPr="003B2204">
        <w:rPr>
          <w:rFonts w:ascii="Times New Roman" w:hAnsi="Times New Roman" w:cs="Times New Roman"/>
          <w:sz w:val="24"/>
          <w:szCs w:val="24"/>
        </w:rPr>
        <w:t xml:space="preserve"> Conservatives will be more likely to be significantly impacted by variation in socially constructed target populations.</w:t>
      </w:r>
    </w:p>
    <w:p w14:paraId="230E1E54" w14:textId="77777777" w:rsidR="00E45E88" w:rsidRPr="00116CEF" w:rsidRDefault="00E45E88" w:rsidP="00E45E88">
      <w:pPr>
        <w:spacing w:line="480" w:lineRule="auto"/>
        <w:jc w:val="center"/>
        <w:rPr>
          <w:rFonts w:ascii="Times New Roman" w:hAnsi="Times New Roman" w:cs="Times New Roman"/>
          <w:b/>
          <w:sz w:val="24"/>
          <w:szCs w:val="24"/>
        </w:rPr>
      </w:pPr>
      <w:r w:rsidRPr="00116CEF">
        <w:rPr>
          <w:rFonts w:ascii="Times New Roman" w:hAnsi="Times New Roman" w:cs="Times New Roman"/>
          <w:b/>
          <w:sz w:val="24"/>
          <w:szCs w:val="24"/>
        </w:rPr>
        <w:t>A Window into Political Feasibility: Existing Evidence on Support for Tuition-Free College</w:t>
      </w:r>
    </w:p>
    <w:p w14:paraId="6FAE3E00" w14:textId="77777777" w:rsidR="00E45E88" w:rsidRPr="003B2204" w:rsidRDefault="00E45E88" w:rsidP="00E45E88">
      <w:pPr>
        <w:spacing w:line="480" w:lineRule="auto"/>
        <w:ind w:firstLine="540"/>
        <w:rPr>
          <w:rFonts w:ascii="Times New Roman" w:hAnsi="Times New Roman" w:cs="Times New Roman"/>
          <w:sz w:val="24"/>
          <w:szCs w:val="24"/>
        </w:rPr>
      </w:pPr>
      <w:r w:rsidRPr="003B2204">
        <w:rPr>
          <w:rFonts w:ascii="Times New Roman" w:hAnsi="Times New Roman" w:cs="Times New Roman"/>
          <w:sz w:val="24"/>
          <w:szCs w:val="24"/>
        </w:rPr>
        <w:t>Public opinion polls on support for tuition-free college policies have been increasingly common in the news media as an increasing number of</w:t>
      </w:r>
      <w:r>
        <w:rPr>
          <w:rFonts w:ascii="Times New Roman" w:hAnsi="Times New Roman" w:cs="Times New Roman"/>
          <w:sz w:val="24"/>
          <w:szCs w:val="24"/>
        </w:rPr>
        <w:t xml:space="preserve"> s</w:t>
      </w:r>
      <w:r w:rsidRPr="003B2204">
        <w:rPr>
          <w:rFonts w:ascii="Times New Roman" w:hAnsi="Times New Roman" w:cs="Times New Roman"/>
          <w:sz w:val="24"/>
          <w:szCs w:val="24"/>
        </w:rPr>
        <w:t xml:space="preserve">tates, local governments, non-profit organizations and institutions of higher education implement tuition-free college place-based scholarship programs. Existing evidence from public opinion polling data focuses on the demographic and political factors that are associated with support for tuition-free college, which provides insight into the characteristics associated with the propensity to support tuition-free college policies in the U.S. </w:t>
      </w:r>
    </w:p>
    <w:p w14:paraId="0A8D7CC4" w14:textId="77777777" w:rsidR="00E45E88" w:rsidRDefault="00E45E88" w:rsidP="00E45E88">
      <w:pPr>
        <w:spacing w:line="480" w:lineRule="auto"/>
        <w:ind w:firstLine="540"/>
        <w:rPr>
          <w:rFonts w:ascii="Times New Roman" w:hAnsi="Times New Roman" w:cs="Times New Roman"/>
          <w:sz w:val="24"/>
          <w:szCs w:val="24"/>
        </w:rPr>
      </w:pPr>
      <w:r w:rsidRPr="003B2204">
        <w:rPr>
          <w:rFonts w:ascii="Times New Roman" w:hAnsi="Times New Roman" w:cs="Times New Roman"/>
          <w:sz w:val="24"/>
          <w:szCs w:val="24"/>
        </w:rPr>
        <w:lastRenderedPageBreak/>
        <w:t xml:space="preserve">First, the demographics strongly associated with support for tuition-free college are race, income, and age. In a variety of public opinion polls, non-white respondents are more likely to support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{"citationID":"vDOzLL6Q","properties":{"formattedCitation":"(Moore, 2015)","plainCitation":"(Moore, 2015)","noteIndex":0},"citationItems":[{"id":6272,"uris":["http://zotero.org/users/2595715/items/GMA3ZDKX"],"uri":["http://zotero.org/users/2595715/items/GMA3ZDKX"],"itemData":{"id":6272,"type":"post-weblog","title":"Americans back free community college plan","container-title":"YouGov","abstract":"Most Americans support the President's free community college plan, but most would also rather prioritize four year college aid","URL":"https://today.yougov.com/topics/politics/articles-reports/2015/01/13/free-community-college","language":"en-us","author":[{"family":"Moore","given":"Peter"}],"issued":{"date-parts":[["2015",1,13]]},"accessed":{"date-parts":[["2018",5,29]]}}}],"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(Moore, 2015)</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Moreover, middle and working-class families are much more likely to support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In fact, the biggest determinant of public support for debt-free higher education initiatives was whether a respondent was in the working or middle-class, not whether they were a Republican or Democrat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{"citationID":"nQPIuAOi","properties":{"formattedCitation":"(Demos, 2016)","plainCitation":"(Demos, 2016)","noteIndex":0},"citationItems":[{"id":6020,"uris":["http://zotero.org/users/2595715/items/J78XNURK"],"uri":["http://zotero.org/users/2595715/items/J78XNURK"],"itemData":{"id":6020,"type":"article-newspaper","title":"New National Poll Shows 80% of Americans Support Addressing College Affordability Crisis","container-title":"Demos","abstract":"Washington D.C. –&amp;nbsp;Today Demos, a New York City based think tank and&amp;nbsp;leading&amp;nbsp;supporter of debt-free college, released new polling data that shows overwhelming support for making college","URL":"http://www.demos.org/press-release/new-national-poll-shows-80-americans-support-addressing-college-affordability-crisis","language":"en","author":[{"family":"Demos","given":""}],"issued":{"date-parts":[["2016"]]},"accessed":{"date-parts":[["2018",1,30]]}}}],"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(Demos, 2016)</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Finally, and unsurprisingly, younger people and millennials, in particular, are more likely to support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{"citationID":"RVHt5EBU","properties":{"formattedCitation":"(Pounds, 2016)","plainCitation":"(Pounds, 2016)","noteIndex":0},"citationItems":[{"id":6277,"uris":["http://zotero.org/users/2595715/items/6NP95DP2"],"uri":["http://zotero.org/users/2595715/items/6NP95DP2"],"itemData":{"id":6277,"type":"webpage","title":"Is College Worth It? 89% Believe College Is a Good Investment","container-title":"Bankrate","abstract":"And you won’t believe what we found when we asked about student debt forgiveness.","URL":"https://www.bankrate.com/finance/consumer-index/money-pulse-0816.aspx","shortTitle":"Is College Worth It?","language":"en-US","author":[{"family":"Pounds","given":"Stephen"}],"issued":{"date-parts":[["2016"]]},"accessed":{"date-parts":[["2018",5,29]]}}}],"schema":"https://github.com/citation-style-language/schema/raw/master/csl-citation.json"}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(Pounds, 2016)</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w:t>
      </w:r>
    </w:p>
    <w:p w14:paraId="70F81AEE" w14:textId="77777777" w:rsidR="00E45E88" w:rsidRPr="003B2204" w:rsidRDefault="00E45E88" w:rsidP="00E45E88">
      <w:pPr>
        <w:spacing w:line="480" w:lineRule="auto"/>
        <w:ind w:firstLine="540"/>
        <w:rPr>
          <w:rFonts w:ascii="Times New Roman" w:hAnsi="Times New Roman" w:cs="Times New Roman"/>
          <w:sz w:val="24"/>
          <w:szCs w:val="24"/>
        </w:rPr>
      </w:pPr>
      <w:r>
        <w:rPr>
          <w:rFonts w:ascii="Times New Roman" w:hAnsi="Times New Roman" w:cs="Times New Roman"/>
          <w:sz w:val="24"/>
          <w:szCs w:val="24"/>
        </w:rPr>
        <w:t xml:space="preserve">Political affiliation is also a significant determinant of support for tuition-free college, which is not surprising given the previous research demonstrating the importance of ideology and partisanship in predicting preferences for higher education policies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{"citationID":"iuFj6YIZ","properties":{"formattedCitation":"(Dar, 2012; Doyle, 2007, 2010)","plainCitation":"(Dar, 2012; Doyle, 2007, 2010)","noteIndex":0},"citationItems":[{"id":7096,"uris":["http://zotero.org/users/2595715/items/YD23EBCX"],"uri":["http://zotero.org/users/2595715/items/YD23EBCX"],"itemData":{"id":7096,"type":"article-journal","title":"The Political Dynamics of Higher Education Policy","container-title":"The Journal of Higher Education","page":"769-794","volume":"83","issue":"6","source":"Taylor and Francis+NEJM","DOI":"10.1080/00221546.2012.11777269","ISSN":"0022-1546","author":[{"family":"Dar","given":"Luciana"}],"issued":{"date-parts":[["2012",11,1]]}}},{"id":7098,"uris":["http://zotero.org/users/2595715/items/LCPLGWYC"],"uri":["http://zotero.org/users/2595715/items/LCPLGWYC"],"itemData":{"id":7098,"type":"article-journal","title":"Public Opinion, Partisan Identification, and Higher Education Policy","container-title":"The Journal of Higher Education","page":"369-401","volume":"78","issue":"4","source":"Taylor and Francis+NEJM","DOI":"10.1080/00221546.2007.11772321","ISSN":"0022-1546","author":[{"family":"Doyle","given":"William R."}],"issued":{"date-parts":[["2007",7,1]]}}},{"id":7140,"uris":["http://zotero.org/users/2595715/items/6DRQAQUG"],"uri":["http://zotero.org/users/2595715/items/6DRQAQUG"],"itemData":{"id":7140,"type":"article-journal","title":"U.S. Senator's Ideal Points for Higher Education: Documenting Partisanship, 1965–2004","container-title":"The Journal of Higher Education","page":"619-644","volume":"81","issue":"5","source":"Project MUSE","abstract":"ARRAY(0x55d160edb2b0)","DOI":"10.1353/jhe.2010.0006","ISSN":"1538-4640","shortTitle":"U.S. Senator's Ideal Points for Higher Education","language":"en","author":[{"family":"Doyle","given":"William R."}],"issued":{"date-parts":[["2010",10,6]]}}}],"schema":"https://github.com/citation-style-language/schema/raw/master/csl-citation.json"} </w:instrText>
      </w:r>
      <w:r>
        <w:rPr>
          <w:rFonts w:ascii="Times New Roman" w:hAnsi="Times New Roman" w:cs="Times New Roman"/>
          <w:sz w:val="24"/>
          <w:szCs w:val="24"/>
        </w:rPr>
        <w:fldChar w:fldCharType="separate"/>
      </w:r>
      <w:r w:rsidRPr="00022923">
        <w:rPr>
          <w:rFonts w:ascii="Times New Roman" w:hAnsi="Times New Roman" w:cs="Times New Roman"/>
          <w:sz w:val="24"/>
        </w:rPr>
        <w:t>(Dar, 2012; Doyle, 2007, 2010)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For instance, in 2015, YouGov polls revealed that 90% of Democrats supported President Obama’s plan to offer two years of community college free for students who maintain a C+ average and make progress toward a degree while only 42% of Republicans supported this policy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{"citationID":"qOyOra2f","properties":{"formattedCitation":"(Moore, 2015)","plainCitation":"(Moore, 2015)","noteIndex":0},"citationItems":[{"id":6272,"uris":["http://zotero.org/users/2595715/items/GMA3ZDKX"],"uri":["http://zotero.org/users/2595715/items/GMA3ZDKX"],"itemData":{"id":6272,"type":"post-weblog","title":"Americans back free community college plan","container-title":"YouGov","abstract":"Most Americans support the President's free community college plan, but most would also rather prioritize four year college aid","URL":"https://today.yougov.com/topics/politics/articles-reports/2015/01/13/free-community-college","language":"en-us","author":[{"family":"Moore","given":"Peter"}],"issued":{"date-parts":[["2015",1,13]]},"accessed":{"date-parts":[["2018",5,29]]}}}],"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(Moore, 2015)</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However, in more recent years</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support for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has become less polarized</w:t>
      </w:r>
      <w:r>
        <w:rPr>
          <w:rFonts w:ascii="Times New Roman" w:hAnsi="Times New Roman" w:cs="Times New Roman"/>
          <w:sz w:val="24"/>
          <w:szCs w:val="24"/>
        </w:rPr>
        <w:t xml:space="preserve"> by partisanship</w:t>
      </w:r>
      <w:r w:rsidRPr="003B2204">
        <w:rPr>
          <w:rFonts w:ascii="Times New Roman" w:hAnsi="Times New Roman" w:cs="Times New Roman"/>
          <w:sz w:val="24"/>
          <w:szCs w:val="24"/>
        </w:rPr>
        <w:t>.</w:t>
      </w:r>
      <w:r>
        <w:rPr>
          <w:rFonts w:ascii="Times New Roman" w:hAnsi="Times New Roman" w:cs="Times New Roman"/>
          <w:sz w:val="24"/>
          <w:szCs w:val="24"/>
        </w:rPr>
        <w:t xml:space="preserve"> A</w:t>
      </w:r>
      <w:r w:rsidRPr="003B2204">
        <w:rPr>
          <w:rFonts w:ascii="Times New Roman" w:hAnsi="Times New Roman" w:cs="Times New Roman"/>
          <w:sz w:val="24"/>
          <w:szCs w:val="24"/>
        </w:rPr>
        <w:t xml:space="preserve"> poll by Politico in 2017 found that a plurality (47%) of Republicans agreed with a proposal to make four-year public colleges tuition-free </w:t>
      </w:r>
      <w:r w:rsidRPr="00BA2957">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{"citationID":"qg7JMnFH","properties":{"formattedCitation":"(Jilani, 2017)","plainCitation":"(Jilani, 2017)","noteIndex":0},"citationItems":[{"id":6279,"uris":["http://zotero.org/users/2595715/items/7IKISYEB"],"uri":["http://zotero.org/users/2595715/items/7IKISYEB"],"itemData":{"id":6279,"type":"post-weblog","title":"More Republicans Now Support Free College Than Oppose It, Poll Finds","container-title":"The Intercept","URL":"https://theintercept.com/2017/09/21/free-college-tuition-republicans-bernie-sanders/","language":"en-US","author":[{"family":"Jilani","given":"Zaid"}],"issued":{"date-parts":[["2017",9,21]]},"accessed":{"date-parts":[["2018",5,29]]}}}],"schema":"https://github.com/citation-style-language/schema/raw/master/csl-citation.json"} </w:instrText>
      </w:r>
      <w:r w:rsidRPr="00BA2957">
        <w:rPr>
          <w:rFonts w:ascii="Times New Roman" w:hAnsi="Times New Roman" w:cs="Times New Roman"/>
          <w:sz w:val="24"/>
          <w:szCs w:val="24"/>
        </w:rPr>
        <w:fldChar w:fldCharType="separate"/>
      </w:r>
      <w:r w:rsidRPr="00022923">
        <w:rPr>
          <w:rFonts w:ascii="Times New Roman" w:hAnsi="Times New Roman" w:cs="Times New Roman"/>
          <w:sz w:val="24"/>
        </w:rPr>
        <w:t>(Jilani, 2017)</w:t>
      </w:r>
      <w:r w:rsidRPr="00BA2957">
        <w:rPr>
          <w:rFonts w:ascii="Times New Roman" w:hAnsi="Times New Roman" w:cs="Times New Roman"/>
          <w:sz w:val="24"/>
          <w:szCs w:val="24"/>
        </w:rPr>
        <w:fldChar w:fldCharType="end"/>
      </w:r>
      <w:r w:rsidRPr="00BA2957">
        <w:rPr>
          <w:rFonts w:ascii="Times New Roman" w:hAnsi="Times New Roman" w:cs="Times New Roman"/>
          <w:sz w:val="24"/>
          <w:szCs w:val="24"/>
        </w:rPr>
        <w:t xml:space="preserve">, and the Campaign for Free College polls in 2018 suggest that 67% of conservatives now support state-funded free-tuition </w:t>
      </w:r>
      <w:r w:rsidRPr="00BA2957">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{"citationID":"xQkyqH0w","properties":{"formattedCitation":"(Gerchick, 2018)","plainCitation":"(Gerchick, 2018)","noteIndex":0},"citationItems":[{"id":6281,"uris":["http://zotero.org/users/2595715/items/4EUS27SS"],"uri":["http://zotero.org/users/2595715/items/4EUS27SS"],"itemData":{"id":6281,"type":"post-weblog","title":"Americans Overwhelmingly Embrace Free College Tuition's Promise of Economic Opportunity","container-title":"The Campaign for Free College Tuition","abstract":",","URL":"https://www.freecollegenow.org/poll_econopp_feb","author":[{"family":"Gerchick","given":"Adam"}],"issued":{"date-parts":[["2018"]]},"accessed":{"date-parts":[["2018",5,29]]}}}],"schema":"https://github.com/citation-style-language/schema/raw/master/csl-citation.json"} </w:instrText>
      </w:r>
      <w:r w:rsidRPr="00BA2957">
        <w:rPr>
          <w:rFonts w:ascii="Times New Roman" w:hAnsi="Times New Roman" w:cs="Times New Roman"/>
          <w:sz w:val="24"/>
          <w:szCs w:val="24"/>
        </w:rPr>
        <w:fldChar w:fldCharType="separate"/>
      </w:r>
      <w:r w:rsidRPr="00022923">
        <w:rPr>
          <w:rFonts w:ascii="Times New Roman" w:hAnsi="Times New Roman" w:cs="Times New Roman"/>
          <w:sz w:val="24"/>
        </w:rPr>
        <w:t>(Gerchick, 2018)</w:t>
      </w:r>
      <w:r w:rsidRPr="00BA2957">
        <w:rPr>
          <w:rFonts w:ascii="Times New Roman" w:hAnsi="Times New Roman" w:cs="Times New Roman"/>
          <w:sz w:val="24"/>
          <w:szCs w:val="24"/>
        </w:rPr>
        <w:fldChar w:fldCharType="end"/>
      </w:r>
      <w:r w:rsidRPr="00BA2957">
        <w:rPr>
          <w:rFonts w:ascii="Times New Roman" w:hAnsi="Times New Roman" w:cs="Times New Roman"/>
          <w:sz w:val="24"/>
          <w:szCs w:val="24"/>
        </w:rPr>
        <w:t xml:space="preserve">. This poll also </w:t>
      </w:r>
      <w:r>
        <w:rPr>
          <w:rFonts w:ascii="Times New Roman" w:hAnsi="Times New Roman" w:cs="Times New Roman"/>
          <w:sz w:val="24"/>
          <w:szCs w:val="24"/>
        </w:rPr>
        <w:t xml:space="preserve">revealed that the main reason the majority of respondents </w:t>
      </w:r>
      <w:r w:rsidRPr="00BA2957">
        <w:rPr>
          <w:rFonts w:ascii="Times New Roman" w:hAnsi="Times New Roman" w:cs="Times New Roman"/>
          <w:sz w:val="24"/>
          <w:szCs w:val="24"/>
        </w:rPr>
        <w:t>support</w:t>
      </w:r>
      <w:r>
        <w:rPr>
          <w:rFonts w:ascii="Times New Roman" w:hAnsi="Times New Roman" w:cs="Times New Roman"/>
          <w:sz w:val="24"/>
          <w:szCs w:val="24"/>
        </w:rPr>
        <w:t>ed</w:t>
      </w:r>
      <w:r w:rsidRPr="00BA2957">
        <w:rPr>
          <w:rFonts w:ascii="Times New Roman" w:hAnsi="Times New Roman" w:cs="Times New Roman"/>
          <w:sz w:val="24"/>
          <w:szCs w:val="24"/>
        </w:rPr>
        <w:t xml:space="preserve"> making public colleges tuition-free was a desire for </w:t>
      </w:r>
      <w:r w:rsidRPr="00BA2957">
        <w:rPr>
          <w:rFonts w:ascii="Times New Roman" w:hAnsi="Times New Roman" w:cs="Times New Roman"/>
          <w:i/>
          <w:sz w:val="24"/>
          <w:szCs w:val="24"/>
          <w:u w:val="single"/>
        </w:rPr>
        <w:t xml:space="preserve">qualified </w:t>
      </w:r>
      <w:r w:rsidRPr="00BA2957">
        <w:rPr>
          <w:rFonts w:ascii="Times New Roman" w:hAnsi="Times New Roman" w:cs="Times New Roman"/>
          <w:sz w:val="24"/>
          <w:szCs w:val="24"/>
        </w:rPr>
        <w:t xml:space="preserve">students to go to college regardless of lacking financial resources and for young people to avoid facing substantial student debt when they finish school </w:t>
      </w:r>
      <w:r w:rsidRPr="00BA2957">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{"citationID":"0wK3q7yz","properties":{"formattedCitation":"(Gerchick, 2018)","plainCitation":"(Gerchick, 2018)","noteIndex":0},"citationItems":[{"id":6281,"uris":["http://zotero.org/users/2595715/items/4EUS27SS"],"uri":["http://zotero.org/users/2595715/items/4EUS27SS"],"itemData":{"id":6281,"type":"post-weblog","title":"Americans Overwhelmingly Embrace Free College Tuition's Promise of Economic Opportunity","container-title":"The Campaign for Free College Tuition","abstract":",","URL":"https://www.freecollegenow.org/poll_econopp_feb","author":[{"family":"Gerchick","given":"Adam"}],"issued":{"date-parts":[["2018"]]},"accessed":{"date-parts":[["2018",5,29]]}}}],"schema":"https://github.com/citation-style-language/schema/raw/master/csl-citation.json"} </w:instrText>
      </w:r>
      <w:r w:rsidRPr="00BA2957">
        <w:rPr>
          <w:rFonts w:ascii="Times New Roman" w:hAnsi="Times New Roman" w:cs="Times New Roman"/>
          <w:sz w:val="24"/>
          <w:szCs w:val="24"/>
        </w:rPr>
        <w:fldChar w:fldCharType="separate"/>
      </w:r>
      <w:r w:rsidRPr="00022923">
        <w:rPr>
          <w:rFonts w:ascii="Times New Roman" w:hAnsi="Times New Roman" w:cs="Times New Roman"/>
          <w:sz w:val="24"/>
        </w:rPr>
        <w:t>(Gerchick, 2018)</w:t>
      </w:r>
      <w:r w:rsidRPr="00BA2957">
        <w:rPr>
          <w:rFonts w:ascii="Times New Roman" w:hAnsi="Times New Roman" w:cs="Times New Roman"/>
          <w:sz w:val="24"/>
          <w:szCs w:val="24"/>
        </w:rPr>
        <w:fldChar w:fldCharType="end"/>
      </w:r>
      <w:r w:rsidRPr="00BA2957">
        <w:rPr>
          <w:rFonts w:ascii="Times New Roman" w:hAnsi="Times New Roman" w:cs="Times New Roman"/>
          <w:sz w:val="24"/>
          <w:szCs w:val="24"/>
        </w:rPr>
        <w:t>.</w:t>
      </w:r>
      <w:r w:rsidRPr="003B2204">
        <w:rPr>
          <w:rFonts w:ascii="Times New Roman" w:hAnsi="Times New Roman" w:cs="Times New Roman"/>
          <w:sz w:val="24"/>
          <w:szCs w:val="24"/>
        </w:rPr>
        <w:t xml:space="preserve"> </w:t>
      </w:r>
    </w:p>
    <w:p w14:paraId="792E1159" w14:textId="77777777" w:rsidR="00E45E88" w:rsidRPr="003B2204" w:rsidRDefault="00E45E88" w:rsidP="00E45E88">
      <w:pPr>
        <w:spacing w:line="480" w:lineRule="auto"/>
        <w:rPr>
          <w:rFonts w:ascii="Times New Roman" w:hAnsi="Times New Roman" w:cs="Times New Roman"/>
          <w:sz w:val="24"/>
          <w:szCs w:val="24"/>
        </w:rPr>
      </w:pPr>
      <w:r w:rsidRPr="003B2204">
        <w:rPr>
          <w:rFonts w:ascii="Times New Roman" w:hAnsi="Times New Roman" w:cs="Times New Roman"/>
          <w:sz w:val="24"/>
          <w:szCs w:val="24"/>
        </w:rPr>
        <w:lastRenderedPageBreak/>
        <w:tab/>
        <w:t xml:space="preserve">While these polling results provide insight into the potential factors that are descriptively related to support for the idea of tuition-free college, they overlook the variation in policy design across states and localities. Given that tuition-free college policies come in so many forms, the heterogeneity in program design likely influences public perceptions of tuition-free college as much, if not more, than the set of demographic and political factors identified in previous studies. Therefore, this study advances this line of inquiry by investigating how variation in policy design of tuition-free college policies impacts the propensity to support these policies. Moreover, this study diverges from previous public opinion polls by utilizing a survey experiment technique in which random assignment avoids the problems of selection bias and facilitates causal identification instead of descriptive correlations. </w:t>
      </w:r>
    </w:p>
    <w:p w14:paraId="775C6AF4" w14:textId="77777777" w:rsidR="00E45E88" w:rsidRPr="003B2204" w:rsidRDefault="00E45E88" w:rsidP="00E45E88">
      <w:pPr>
        <w:spacing w:after="0" w:line="480" w:lineRule="auto"/>
        <w:jc w:val="center"/>
        <w:textAlignment w:val="center"/>
        <w:rPr>
          <w:rFonts w:ascii="Times New Roman" w:hAnsi="Times New Roman" w:cs="Times New Roman"/>
          <w:b/>
          <w:sz w:val="24"/>
          <w:szCs w:val="24"/>
        </w:rPr>
      </w:pPr>
      <w:r w:rsidRPr="003B2204">
        <w:rPr>
          <w:rFonts w:ascii="Times New Roman" w:hAnsi="Times New Roman" w:cs="Times New Roman"/>
          <w:b/>
          <w:sz w:val="24"/>
          <w:szCs w:val="24"/>
        </w:rPr>
        <w:t>Research Design</w:t>
      </w:r>
    </w:p>
    <w:p w14:paraId="2F801AF0" w14:textId="77777777" w:rsidR="00E45E88" w:rsidRPr="003B2204"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The </w:t>
      </w:r>
      <w:r>
        <w:rPr>
          <w:rFonts w:ascii="Times New Roman" w:hAnsi="Times New Roman" w:cs="Times New Roman"/>
          <w:sz w:val="24"/>
          <w:szCs w:val="24"/>
        </w:rPr>
        <w:t xml:space="preserve">experimental survey </w:t>
      </w:r>
      <w:r w:rsidRPr="003B2204">
        <w:rPr>
          <w:rFonts w:ascii="Times New Roman" w:hAnsi="Times New Roman" w:cs="Times New Roman"/>
          <w:sz w:val="24"/>
          <w:szCs w:val="24"/>
        </w:rPr>
        <w:t xml:space="preserve">data utilized in this analysis </w:t>
      </w:r>
      <w:r>
        <w:rPr>
          <w:rFonts w:ascii="Times New Roman" w:hAnsi="Times New Roman" w:cs="Times New Roman"/>
          <w:sz w:val="24"/>
          <w:szCs w:val="24"/>
        </w:rPr>
        <w:t>was collected</w:t>
      </w:r>
      <w:r w:rsidRPr="003B2204">
        <w:rPr>
          <w:rFonts w:ascii="Times New Roman" w:hAnsi="Times New Roman" w:cs="Times New Roman"/>
          <w:sz w:val="24"/>
          <w:szCs w:val="24"/>
        </w:rPr>
        <w:t xml:space="preserve"> in November 2017. The nationally representative survey sample was recruited by Qualtrics via internet-based pools, with 2,850 respondents over the age of 18 and over 50% of respondents representing families with children aged 5-25. This quota ensured that at least half of the respondents had recent experience with education issues and had some stake in college access and affordability. Appendix Table 1 shows that the sample is representative of the demographic proportions in the national population according to data from the U.S. Census, with the exception of gender and age. To improve the generalizability of results, standard post-stratification weights are applied to the data</w:t>
      </w:r>
      <w:r>
        <w:rPr>
          <w:rFonts w:ascii="Times New Roman" w:hAnsi="Times New Roman" w:cs="Times New Roman"/>
          <w:sz w:val="24"/>
          <w:szCs w:val="24"/>
        </w:rPr>
        <w:t>, as described in detail in the Appendix</w:t>
      </w:r>
      <w:r w:rsidRPr="003B2204">
        <w:rPr>
          <w:rFonts w:ascii="Times New Roman" w:hAnsi="Times New Roman" w:cs="Times New Roman"/>
          <w:sz w:val="24"/>
          <w:szCs w:val="24"/>
        </w:rPr>
        <w:t>.</w:t>
      </w:r>
    </w:p>
    <w:p w14:paraId="60962C3F" w14:textId="64A759F8" w:rsidR="00E45E88" w:rsidRDefault="00E45E88" w:rsidP="00361EB6">
      <w:pPr>
        <w:spacing w:after="0" w:line="480" w:lineRule="auto"/>
        <w:ind w:firstLine="720"/>
        <w:textAlignment w:val="center"/>
        <w:rPr>
          <w:rFonts w:ascii="Times New Roman" w:hAnsi="Times New Roman" w:cs="Times New Roman"/>
          <w:sz w:val="24"/>
          <w:szCs w:val="24"/>
        </w:rPr>
      </w:pPr>
      <w:r>
        <w:rPr>
          <w:rFonts w:ascii="Times New Roman" w:hAnsi="Times New Roman" w:cs="Times New Roman"/>
          <w:sz w:val="24"/>
          <w:szCs w:val="24"/>
        </w:rPr>
        <w:t xml:space="preserve">The survey experiment began with </w:t>
      </w:r>
      <w:r w:rsidRPr="003B2204">
        <w:rPr>
          <w:rFonts w:ascii="Times New Roman" w:hAnsi="Times New Roman" w:cs="Times New Roman"/>
          <w:sz w:val="24"/>
          <w:szCs w:val="24"/>
        </w:rPr>
        <w:t xml:space="preserve">a general question where they ranked support for tuition-free college policies, more generally, before they were presented with the </w:t>
      </w:r>
      <w:r>
        <w:rPr>
          <w:rFonts w:ascii="Times New Roman" w:hAnsi="Times New Roman" w:cs="Times New Roman"/>
          <w:sz w:val="24"/>
          <w:szCs w:val="24"/>
        </w:rPr>
        <w:t>treatment prompts. Th</w:t>
      </w:r>
      <w:r w:rsidRPr="003B2204">
        <w:rPr>
          <w:rFonts w:ascii="Times New Roman" w:hAnsi="Times New Roman" w:cs="Times New Roman"/>
          <w:sz w:val="24"/>
          <w:szCs w:val="24"/>
        </w:rPr>
        <w:t xml:space="preserve">is pre-test measure helps to isolate the causal impact of policy design variation on </w:t>
      </w:r>
      <w:r w:rsidRPr="003B2204">
        <w:rPr>
          <w:rFonts w:ascii="Times New Roman" w:hAnsi="Times New Roman" w:cs="Times New Roman"/>
          <w:sz w:val="24"/>
          <w:szCs w:val="24"/>
        </w:rPr>
        <w:lastRenderedPageBreak/>
        <w:t xml:space="preserve">public support ratings by controlling for the level of baseline support for tuition-free college before respondents are exposed to the variation in program design. </w:t>
      </w:r>
      <w:r>
        <w:rPr>
          <w:rFonts w:ascii="Times New Roman" w:hAnsi="Times New Roman" w:cs="Times New Roman"/>
          <w:sz w:val="24"/>
          <w:szCs w:val="24"/>
        </w:rPr>
        <w:t>After completing the pre-test,</w:t>
      </w:r>
      <w:r w:rsidRPr="003B2204">
        <w:rPr>
          <w:rFonts w:ascii="Times New Roman" w:hAnsi="Times New Roman" w:cs="Times New Roman"/>
          <w:sz w:val="24"/>
          <w:szCs w:val="24"/>
        </w:rPr>
        <w:t xml:space="preserve"> respondents were randomly assigned to receive one of the four treatment groups summarized in 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2 </w:t>
      </w:r>
      <w:r>
        <w:rPr>
          <w:rFonts w:ascii="Times New Roman" w:hAnsi="Times New Roman" w:cs="Times New Roman"/>
          <w:sz w:val="24"/>
          <w:szCs w:val="24"/>
        </w:rPr>
        <w:t>and</w:t>
      </w:r>
      <w:r w:rsidRPr="003B2204">
        <w:rPr>
          <w:rFonts w:ascii="Times New Roman" w:hAnsi="Times New Roman" w:cs="Times New Roman"/>
          <w:sz w:val="24"/>
          <w:szCs w:val="24"/>
        </w:rPr>
        <w:t xml:space="preserve"> were asked to rank levels of support or opposition to the state-wide tuition-free college policy. </w:t>
      </w:r>
      <w:r w:rsidR="00361EB6" w:rsidRPr="003B2204">
        <w:rPr>
          <w:rFonts w:ascii="Times New Roman" w:hAnsi="Times New Roman" w:cs="Times New Roman"/>
          <w:sz w:val="24"/>
          <w:szCs w:val="24"/>
        </w:rPr>
        <w:t xml:space="preserve">The experiment was set up so that the treatments groups varied along two dimensions: the inclusion or exclusion of a family income cap and the inclusion or exclusion of a high school GPA requirement. This means that two groups of respondents were presented with a tuition-free college policy in which all in-state students regardless of family income are eligible. One of these two treatment groups incorporated a 2.0 minimum high school GPA requirement while the other treatment group explicitly excludes academic merit requirements. The next two groups of respondents received </w:t>
      </w:r>
      <w:r w:rsidR="00361EB6">
        <w:rPr>
          <w:rFonts w:ascii="Times New Roman" w:hAnsi="Times New Roman" w:cs="Times New Roman"/>
          <w:sz w:val="24"/>
          <w:szCs w:val="24"/>
        </w:rPr>
        <w:t>a treatment prompt</w:t>
      </w:r>
      <w:r w:rsidR="00361EB6" w:rsidRPr="003B2204">
        <w:rPr>
          <w:rFonts w:ascii="Times New Roman" w:hAnsi="Times New Roman" w:cs="Times New Roman"/>
          <w:sz w:val="24"/>
          <w:szCs w:val="24"/>
        </w:rPr>
        <w:t xml:space="preserve"> describ</w:t>
      </w:r>
      <w:r w:rsidR="00361EB6">
        <w:rPr>
          <w:rFonts w:ascii="Times New Roman" w:hAnsi="Times New Roman" w:cs="Times New Roman"/>
          <w:sz w:val="24"/>
          <w:szCs w:val="24"/>
        </w:rPr>
        <w:t>ing</w:t>
      </w:r>
      <w:r w:rsidR="00361EB6" w:rsidRPr="003B2204">
        <w:rPr>
          <w:rFonts w:ascii="Times New Roman" w:hAnsi="Times New Roman" w:cs="Times New Roman"/>
          <w:sz w:val="24"/>
          <w:szCs w:val="24"/>
        </w:rPr>
        <w:t xml:space="preserve"> a tuition-free college policy in which eligibility is restricted to students with family incomes less than $50,000. Again, one of the treatments includes a 2.0 high school GPA requirement while the second specifies that the policy does not have a GPA requirement. In this way, these four treatment groups capture experimental variation on the impact of including merit-requirements and family income requirements on public perceptions of tuition-free college. </w:t>
      </w:r>
    </w:p>
    <w:p w14:paraId="19E8FA5C" w14:textId="6611FDEA" w:rsidR="00361EB6" w:rsidRDefault="00361EB6" w:rsidP="00361EB6">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Furthermore, in order to overcome a lack of public awareness on the tuition-free college policy issue, the second section of each treatment prompt presents fictitious quotes from state officials expressing concerns and trade-offs of the policy design.</w:t>
      </w:r>
      <w:r w:rsidRPr="00361EB6">
        <w:rPr>
          <w:rFonts w:ascii="Times New Roman" w:hAnsi="Times New Roman" w:cs="Times New Roman"/>
          <w:sz w:val="24"/>
          <w:szCs w:val="24"/>
        </w:rPr>
        <w:t xml:space="preserve"> </w:t>
      </w:r>
      <w:r w:rsidRPr="003B2204">
        <w:rPr>
          <w:rFonts w:ascii="Times New Roman" w:hAnsi="Times New Roman" w:cs="Times New Roman"/>
          <w:sz w:val="24"/>
          <w:szCs w:val="24"/>
        </w:rPr>
        <w:t>This is an important element of the design as it approximates what the public might be exposed to in the public discourse on tuition-free college and provides credible information from stakeholders on both sides of the debate.</w:t>
      </w:r>
    </w:p>
    <w:p w14:paraId="5B46DABD" w14:textId="77777777" w:rsidR="00361EB6" w:rsidRPr="003B2204" w:rsidRDefault="00361EB6" w:rsidP="00361EB6">
      <w:pPr>
        <w:spacing w:after="0" w:line="480" w:lineRule="auto"/>
        <w:ind w:firstLine="720"/>
        <w:textAlignment w:val="center"/>
        <w:rPr>
          <w:rFonts w:ascii="Times New Roman" w:hAnsi="Times New Roman" w:cs="Times New Roman"/>
          <w:sz w:val="24"/>
          <w:szCs w:val="24"/>
        </w:rPr>
      </w:pPr>
    </w:p>
    <w:p w14:paraId="73CB087A" w14:textId="4C3E027F" w:rsidR="00361EB6" w:rsidRDefault="00361EB6" w:rsidP="00361EB6">
      <w:pPr>
        <w:rPr>
          <w:rFonts w:ascii="Garamond" w:hAnsi="Garamond" w:cs="Times New Roman"/>
          <w:sz w:val="24"/>
          <w:szCs w:val="24"/>
        </w:rPr>
      </w:pPr>
      <w:r w:rsidRPr="00361EB6">
        <w:rPr>
          <w:rFonts w:ascii="Palatino Linotype" w:hAnsi="Palatino Linotype" w:cs="Times New Roman"/>
          <w:b/>
        </w:rPr>
        <w:lastRenderedPageBreak/>
        <w:t xml:space="preserve">Table </w:t>
      </w:r>
      <w:r w:rsidR="001F2F50">
        <w:rPr>
          <w:rFonts w:ascii="Palatino Linotype" w:hAnsi="Palatino Linotype" w:cs="Times New Roman"/>
          <w:b/>
        </w:rPr>
        <w:t>3-</w:t>
      </w:r>
      <w:r w:rsidRPr="00361EB6">
        <w:rPr>
          <w:rFonts w:ascii="Palatino Linotype" w:hAnsi="Palatino Linotype" w:cs="Times New Roman"/>
          <w:b/>
        </w:rPr>
        <w:t>2.</w:t>
      </w:r>
      <w:r w:rsidRPr="0073616B">
        <w:rPr>
          <w:rFonts w:ascii="Palatino Linotype" w:hAnsi="Palatino Linotype" w:cs="Times New Roman"/>
        </w:rPr>
        <w:t xml:space="preserve"> </w:t>
      </w:r>
      <w:r>
        <w:rPr>
          <w:rFonts w:ascii="Palatino Linotype" w:hAnsi="Palatino Linotype" w:cs="Times New Roman"/>
        </w:rPr>
        <w:t>Randomly Assigned Policy Design Treatments</w:t>
      </w:r>
    </w:p>
    <w:tbl>
      <w:tblPr>
        <w:tblW w:w="10530" w:type="dxa"/>
        <w:jc w:val="center"/>
        <w:tblCellMar>
          <w:left w:w="0" w:type="dxa"/>
          <w:right w:w="0" w:type="dxa"/>
        </w:tblCellMar>
        <w:tblLook w:val="04A0" w:firstRow="1" w:lastRow="0" w:firstColumn="1" w:lastColumn="0" w:noHBand="0" w:noVBand="1"/>
      </w:tblPr>
      <w:tblGrid>
        <w:gridCol w:w="1230"/>
        <w:gridCol w:w="876"/>
        <w:gridCol w:w="4464"/>
        <w:gridCol w:w="3960"/>
      </w:tblGrid>
      <w:tr w:rsidR="00361EB6" w:rsidRPr="002F5D94" w14:paraId="3BE396DD" w14:textId="77777777" w:rsidTr="00361EB6">
        <w:trPr>
          <w:trHeight w:val="270"/>
          <w:jc w:val="center"/>
        </w:trPr>
        <w:tc>
          <w:tcPr>
            <w:tcW w:w="2106" w:type="dxa"/>
            <w:gridSpan w:val="2"/>
            <w:vMerge w:val="restart"/>
          </w:tcPr>
          <w:p w14:paraId="4F113145" w14:textId="77777777" w:rsidR="00361EB6" w:rsidRPr="002F5D94" w:rsidRDefault="00361EB6" w:rsidP="00361EB6">
            <w:pPr>
              <w:spacing w:after="0" w:line="240" w:lineRule="auto"/>
              <w:jc w:val="center"/>
              <w:rPr>
                <w:rFonts w:ascii="Times New Roman" w:eastAsia="Times New Roman" w:hAnsi="Times New Roman" w:cs="Times New Roman"/>
                <w:b/>
                <w:bCs/>
                <w:color w:val="000000"/>
                <w:sz w:val="20"/>
                <w:szCs w:val="20"/>
              </w:rPr>
            </w:pPr>
          </w:p>
        </w:tc>
        <w:tc>
          <w:tcPr>
            <w:tcW w:w="8424" w:type="dxa"/>
            <w:gridSpan w:val="2"/>
            <w:tcMar>
              <w:top w:w="80" w:type="dxa"/>
              <w:left w:w="80" w:type="dxa"/>
              <w:bottom w:w="80" w:type="dxa"/>
              <w:right w:w="80" w:type="dxa"/>
            </w:tcMar>
            <w:vAlign w:val="center"/>
          </w:tcPr>
          <w:p w14:paraId="619C1522" w14:textId="77777777" w:rsidR="00361EB6" w:rsidRPr="002F5D94" w:rsidRDefault="00361EB6" w:rsidP="00361EB6">
            <w:pPr>
              <w:spacing w:after="0" w:line="240" w:lineRule="auto"/>
              <w:jc w:val="center"/>
              <w:rPr>
                <w:rFonts w:ascii="Times New Roman" w:eastAsia="Times New Roman" w:hAnsi="Times New Roman" w:cs="Times New Roman"/>
                <w:b/>
                <w:bCs/>
                <w:color w:val="000000"/>
                <w:sz w:val="20"/>
                <w:szCs w:val="20"/>
              </w:rPr>
            </w:pPr>
            <w:r w:rsidRPr="002F5D94">
              <w:rPr>
                <w:rFonts w:ascii="Times New Roman" w:eastAsia="Times New Roman" w:hAnsi="Times New Roman" w:cs="Times New Roman"/>
                <w:b/>
                <w:bCs/>
                <w:color w:val="000000"/>
                <w:sz w:val="20"/>
                <w:szCs w:val="20"/>
              </w:rPr>
              <w:t>High School GPA Requirement</w:t>
            </w:r>
          </w:p>
        </w:tc>
      </w:tr>
      <w:tr w:rsidR="00361EB6" w:rsidRPr="002F5D94" w14:paraId="70C169C8" w14:textId="77777777" w:rsidTr="00361EB6">
        <w:trPr>
          <w:trHeight w:val="198"/>
          <w:jc w:val="center"/>
        </w:trPr>
        <w:tc>
          <w:tcPr>
            <w:tcW w:w="2106" w:type="dxa"/>
            <w:gridSpan w:val="2"/>
            <w:vMerge/>
            <w:vAlign w:val="center"/>
          </w:tcPr>
          <w:p w14:paraId="251F6A23" w14:textId="77777777" w:rsidR="00361EB6" w:rsidRPr="002F5D94" w:rsidRDefault="00361EB6" w:rsidP="00361EB6">
            <w:pPr>
              <w:spacing w:after="0" w:line="240" w:lineRule="auto"/>
              <w:jc w:val="center"/>
              <w:rPr>
                <w:rFonts w:ascii="Times New Roman" w:eastAsia="Times New Roman" w:hAnsi="Times New Roman" w:cs="Times New Roman"/>
                <w:bCs/>
                <w:color w:val="000000"/>
                <w:sz w:val="20"/>
                <w:szCs w:val="20"/>
              </w:rPr>
            </w:pPr>
          </w:p>
        </w:tc>
        <w:tc>
          <w:tcPr>
            <w:tcW w:w="4464" w:type="dxa"/>
            <w:tcBorders>
              <w:bottom w:val="single" w:sz="12" w:space="0" w:color="auto"/>
            </w:tcBorders>
            <w:tcMar>
              <w:top w:w="80" w:type="dxa"/>
              <w:left w:w="80" w:type="dxa"/>
              <w:bottom w:w="80" w:type="dxa"/>
              <w:right w:w="80" w:type="dxa"/>
            </w:tcMar>
            <w:vAlign w:val="center"/>
          </w:tcPr>
          <w:p w14:paraId="41378FFD" w14:textId="77777777" w:rsidR="00361EB6" w:rsidRPr="002F5D94" w:rsidRDefault="00361EB6" w:rsidP="00361EB6">
            <w:pPr>
              <w:spacing w:after="0" w:line="240" w:lineRule="auto"/>
              <w:jc w:val="center"/>
              <w:rPr>
                <w:rFonts w:ascii="Times New Roman" w:eastAsia="Times New Roman" w:hAnsi="Times New Roman" w:cs="Times New Roman"/>
                <w:bCs/>
                <w:color w:val="000000"/>
                <w:sz w:val="20"/>
                <w:szCs w:val="20"/>
              </w:rPr>
            </w:pPr>
            <w:r w:rsidRPr="002F5D94">
              <w:rPr>
                <w:rFonts w:ascii="Times New Roman" w:eastAsia="Times New Roman" w:hAnsi="Times New Roman" w:cs="Times New Roman"/>
                <w:bCs/>
                <w:color w:val="000000"/>
                <w:sz w:val="20"/>
                <w:szCs w:val="20"/>
              </w:rPr>
              <w:t>Yes</w:t>
            </w:r>
          </w:p>
        </w:tc>
        <w:tc>
          <w:tcPr>
            <w:tcW w:w="3960" w:type="dxa"/>
            <w:tcBorders>
              <w:bottom w:val="single" w:sz="12" w:space="0" w:color="auto"/>
            </w:tcBorders>
            <w:tcMar>
              <w:top w:w="80" w:type="dxa"/>
              <w:left w:w="80" w:type="dxa"/>
              <w:bottom w:w="80" w:type="dxa"/>
              <w:right w:w="80" w:type="dxa"/>
            </w:tcMar>
            <w:vAlign w:val="center"/>
          </w:tcPr>
          <w:p w14:paraId="0B9BBD7F" w14:textId="77777777" w:rsidR="00361EB6" w:rsidRPr="002F5D94" w:rsidRDefault="00361EB6" w:rsidP="00361EB6">
            <w:pPr>
              <w:spacing w:after="0" w:line="240" w:lineRule="auto"/>
              <w:jc w:val="center"/>
              <w:rPr>
                <w:rFonts w:ascii="Times New Roman" w:eastAsia="Times New Roman" w:hAnsi="Times New Roman" w:cs="Times New Roman"/>
                <w:bCs/>
                <w:color w:val="000000"/>
                <w:sz w:val="20"/>
                <w:szCs w:val="20"/>
              </w:rPr>
            </w:pPr>
            <w:r w:rsidRPr="002F5D94">
              <w:rPr>
                <w:rFonts w:ascii="Times New Roman" w:eastAsia="Times New Roman" w:hAnsi="Times New Roman" w:cs="Times New Roman"/>
                <w:bCs/>
                <w:color w:val="000000"/>
                <w:sz w:val="20"/>
                <w:szCs w:val="20"/>
              </w:rPr>
              <w:t>No</w:t>
            </w:r>
          </w:p>
        </w:tc>
      </w:tr>
      <w:tr w:rsidR="00361EB6" w:rsidRPr="002F5D94" w14:paraId="796F9437" w14:textId="77777777" w:rsidTr="00361EB6">
        <w:trPr>
          <w:jc w:val="center"/>
        </w:trPr>
        <w:tc>
          <w:tcPr>
            <w:tcW w:w="1230" w:type="dxa"/>
            <w:vMerge w:val="restart"/>
            <w:vAlign w:val="center"/>
          </w:tcPr>
          <w:p w14:paraId="470403C9" w14:textId="77777777" w:rsidR="00361EB6" w:rsidRPr="002F5D94" w:rsidRDefault="00361EB6" w:rsidP="00361EB6">
            <w:pPr>
              <w:spacing w:after="0" w:line="240" w:lineRule="auto"/>
              <w:jc w:val="center"/>
              <w:rPr>
                <w:rFonts w:ascii="Times New Roman" w:eastAsia="Times New Roman" w:hAnsi="Times New Roman" w:cs="Times New Roman"/>
                <w:b/>
                <w:bCs/>
                <w:color w:val="000000"/>
                <w:sz w:val="20"/>
                <w:szCs w:val="20"/>
              </w:rPr>
            </w:pPr>
            <w:r w:rsidRPr="002F5D94">
              <w:rPr>
                <w:rFonts w:ascii="Times New Roman" w:eastAsia="Times New Roman" w:hAnsi="Times New Roman" w:cs="Times New Roman"/>
                <w:b/>
                <w:bCs/>
                <w:color w:val="000000"/>
                <w:sz w:val="20"/>
                <w:szCs w:val="20"/>
              </w:rPr>
              <w:t>Family Income Cap</w:t>
            </w:r>
          </w:p>
        </w:tc>
        <w:tc>
          <w:tcPr>
            <w:tcW w:w="876" w:type="dxa"/>
            <w:tcBorders>
              <w:right w:val="single" w:sz="12" w:space="0" w:color="auto"/>
            </w:tcBorders>
            <w:vAlign w:val="center"/>
          </w:tcPr>
          <w:p w14:paraId="0011FFAE" w14:textId="77777777" w:rsidR="00361EB6" w:rsidRPr="002F5D94" w:rsidRDefault="00361EB6" w:rsidP="00361EB6">
            <w:pPr>
              <w:spacing w:after="0" w:line="240" w:lineRule="auto"/>
              <w:jc w:val="center"/>
              <w:rPr>
                <w:rFonts w:ascii="Times New Roman" w:eastAsia="Times New Roman" w:hAnsi="Times New Roman" w:cs="Times New Roman"/>
                <w:bCs/>
                <w:color w:val="000000"/>
                <w:sz w:val="20"/>
                <w:szCs w:val="20"/>
              </w:rPr>
            </w:pPr>
            <w:r w:rsidRPr="002F5D94">
              <w:rPr>
                <w:rFonts w:ascii="Times New Roman" w:eastAsia="Times New Roman" w:hAnsi="Times New Roman" w:cs="Times New Roman"/>
                <w:bCs/>
                <w:color w:val="000000"/>
                <w:sz w:val="20"/>
                <w:szCs w:val="20"/>
              </w:rPr>
              <w:t>Yes</w:t>
            </w:r>
          </w:p>
        </w:tc>
        <w:tc>
          <w:tcPr>
            <w:tcW w:w="4464" w:type="dxa"/>
            <w:tcBorders>
              <w:top w:val="single" w:sz="12" w:space="0" w:color="auto"/>
              <w:left w:val="single" w:sz="12" w:space="0" w:color="auto"/>
            </w:tcBorders>
            <w:tcMar>
              <w:top w:w="80" w:type="dxa"/>
              <w:left w:w="80" w:type="dxa"/>
              <w:bottom w:w="80" w:type="dxa"/>
              <w:right w:w="80" w:type="dxa"/>
            </w:tcMar>
            <w:vAlign w:val="center"/>
            <w:hideMark/>
          </w:tcPr>
          <w:p w14:paraId="4D8A5887"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r w:rsidRPr="002F5D94">
              <w:rPr>
                <w:rFonts w:ascii="Times New Roman" w:eastAsia="Times New Roman" w:hAnsi="Times New Roman" w:cs="Times New Roman"/>
                <w:b/>
                <w:color w:val="000000"/>
                <w:sz w:val="20"/>
                <w:szCs w:val="20"/>
              </w:rPr>
              <w:t>Target Population</w:t>
            </w:r>
            <w:r w:rsidRPr="002F5D94">
              <w:rPr>
                <w:rFonts w:ascii="Times New Roman" w:eastAsia="Times New Roman" w:hAnsi="Times New Roman" w:cs="Times New Roman"/>
                <w:color w:val="000000"/>
                <w:sz w:val="20"/>
                <w:szCs w:val="20"/>
              </w:rPr>
              <w:t>: Students with family incomes of $50,000 or less; maintaining a 2.0 GPA</w:t>
            </w:r>
          </w:p>
          <w:p w14:paraId="4F73143A"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p>
          <w:p w14:paraId="0CDBCCBD" w14:textId="77777777" w:rsidR="00361EB6" w:rsidRPr="002F5D94" w:rsidRDefault="00361EB6" w:rsidP="00361EB6">
            <w:pPr>
              <w:rPr>
                <w:rFonts w:ascii="Times New Roman" w:hAnsi="Times New Roman" w:cs="Times New Roman"/>
                <w:sz w:val="20"/>
                <w:szCs w:val="20"/>
              </w:rPr>
            </w:pPr>
            <w:r w:rsidRPr="002F5D94">
              <w:rPr>
                <w:rFonts w:ascii="Times New Roman" w:eastAsia="Times New Roman" w:hAnsi="Times New Roman" w:cs="Times New Roman"/>
                <w:b/>
                <w:color w:val="000000"/>
                <w:sz w:val="20"/>
                <w:szCs w:val="20"/>
              </w:rPr>
              <w:t>Prompt</w:t>
            </w:r>
            <w:r w:rsidRPr="002F5D94">
              <w:rPr>
                <w:rFonts w:ascii="Times New Roman" w:eastAsia="Times New Roman" w:hAnsi="Times New Roman" w:cs="Times New Roman"/>
                <w:color w:val="000000"/>
                <w:sz w:val="20"/>
                <w:szCs w:val="20"/>
              </w:rPr>
              <w:t xml:space="preserve">: </w:t>
            </w:r>
            <w:r w:rsidRPr="002F5D94">
              <w:rPr>
                <w:rFonts w:ascii="Times New Roman" w:hAnsi="Times New Roman" w:cs="Times New Roman"/>
                <w:sz w:val="20"/>
                <w:szCs w:val="20"/>
              </w:rPr>
              <w:t>Imagine the following situation: Your state has implemented a new policy that fully covers tuition and fees at any college in the state for resident students with family incomes less than $50,000. Students receiving this aid must maintain a 2.0 grade point average (GPA) (C average) or higher. Officials in your state are divided on the best design of the policy. On one hand, Rebecca Wilson, President of the flagship university argues that while she appreciates expanded state support for low-income students with high GPAs, she also believes that the current policy should be expanded to include middle-class families struggling to pay for college and low-income students below the current GPA threshold. On the other hand, State Department of Education Secretary, Emma McDaniel argues that the current policy targets those who need help the most and would not be financially sustainable if all students were eligible.</w:t>
            </w:r>
          </w:p>
        </w:tc>
        <w:tc>
          <w:tcPr>
            <w:tcW w:w="3960" w:type="dxa"/>
            <w:tcBorders>
              <w:top w:val="single" w:sz="12" w:space="0" w:color="auto"/>
            </w:tcBorders>
            <w:tcMar>
              <w:top w:w="80" w:type="dxa"/>
              <w:left w:w="80" w:type="dxa"/>
              <w:bottom w:w="80" w:type="dxa"/>
              <w:right w:w="80" w:type="dxa"/>
            </w:tcMar>
            <w:vAlign w:val="center"/>
            <w:hideMark/>
          </w:tcPr>
          <w:p w14:paraId="674A3611"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r w:rsidRPr="002F5D94">
              <w:rPr>
                <w:rFonts w:ascii="Times New Roman" w:eastAsia="Times New Roman" w:hAnsi="Times New Roman" w:cs="Times New Roman"/>
                <w:b/>
                <w:color w:val="000000"/>
                <w:sz w:val="20"/>
                <w:szCs w:val="20"/>
              </w:rPr>
              <w:t xml:space="preserve">Target Population: </w:t>
            </w:r>
            <w:r w:rsidRPr="002F5D94">
              <w:rPr>
                <w:rFonts w:ascii="Times New Roman" w:eastAsia="Times New Roman" w:hAnsi="Times New Roman" w:cs="Times New Roman"/>
                <w:color w:val="000000"/>
                <w:sz w:val="20"/>
                <w:szCs w:val="20"/>
              </w:rPr>
              <w:t>Students with family incomes of $50,000 or less</w:t>
            </w:r>
          </w:p>
          <w:p w14:paraId="250907FD"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p>
          <w:p w14:paraId="66843845" w14:textId="77777777" w:rsidR="00361EB6" w:rsidRPr="002F5D94" w:rsidRDefault="00361EB6" w:rsidP="00361EB6">
            <w:pPr>
              <w:rPr>
                <w:rFonts w:ascii="Times New Roman" w:hAnsi="Times New Roman" w:cs="Times New Roman"/>
                <w:sz w:val="20"/>
                <w:szCs w:val="20"/>
              </w:rPr>
            </w:pPr>
            <w:r w:rsidRPr="002F5D94">
              <w:rPr>
                <w:rFonts w:ascii="Times New Roman" w:eastAsia="Times New Roman" w:hAnsi="Times New Roman" w:cs="Times New Roman"/>
                <w:b/>
                <w:color w:val="000000"/>
                <w:sz w:val="20"/>
                <w:szCs w:val="20"/>
              </w:rPr>
              <w:t>Prompt</w:t>
            </w:r>
            <w:r w:rsidRPr="002F5D94">
              <w:rPr>
                <w:rFonts w:ascii="Times New Roman" w:eastAsia="Times New Roman" w:hAnsi="Times New Roman" w:cs="Times New Roman"/>
                <w:color w:val="000000"/>
                <w:sz w:val="20"/>
                <w:szCs w:val="20"/>
              </w:rPr>
              <w:t xml:space="preserve">: </w:t>
            </w:r>
            <w:r w:rsidRPr="002F5D94">
              <w:rPr>
                <w:rFonts w:ascii="Times New Roman" w:hAnsi="Times New Roman" w:cs="Times New Roman"/>
                <w:sz w:val="20"/>
                <w:szCs w:val="20"/>
              </w:rPr>
              <w:t>Imagine the following situation: Your state has implemented a new policy that fully covers tuition and fees at any college in the state for resident students with family incomes less than $50,000. There is no grade point average (GPA) requirement for students receiving financial aid through this program. Officials in your state are divided on the best design of the policy. On one hand, Rebecca Wilson, President of the flagship university argues that while she appreciates expanded state support for low-income students, she believes that the current policy should be expanded to include middle-class families also struggling to pay for college. On the other hand, State Department of Education Secretary, Emma McDaniel argues that the current policy targets those who need help the most and would not be financially sustainable if all students were eligible.</w:t>
            </w:r>
          </w:p>
        </w:tc>
      </w:tr>
      <w:tr w:rsidR="00361EB6" w:rsidRPr="002F5D94" w14:paraId="59DDC72C" w14:textId="77777777" w:rsidTr="00361EB6">
        <w:trPr>
          <w:trHeight w:val="710"/>
          <w:jc w:val="center"/>
        </w:trPr>
        <w:tc>
          <w:tcPr>
            <w:tcW w:w="1230" w:type="dxa"/>
            <w:vMerge/>
          </w:tcPr>
          <w:p w14:paraId="48960A6D" w14:textId="77777777" w:rsidR="00361EB6" w:rsidRPr="002F5D94" w:rsidRDefault="00361EB6" w:rsidP="00361EB6">
            <w:pPr>
              <w:spacing w:after="0" w:line="240" w:lineRule="auto"/>
              <w:rPr>
                <w:rFonts w:ascii="Times New Roman" w:eastAsia="Times New Roman" w:hAnsi="Times New Roman" w:cs="Times New Roman"/>
                <w:b/>
                <w:bCs/>
                <w:color w:val="000000"/>
                <w:sz w:val="20"/>
                <w:szCs w:val="20"/>
              </w:rPr>
            </w:pPr>
          </w:p>
        </w:tc>
        <w:tc>
          <w:tcPr>
            <w:tcW w:w="876" w:type="dxa"/>
            <w:tcBorders>
              <w:right w:val="single" w:sz="12" w:space="0" w:color="auto"/>
            </w:tcBorders>
            <w:vAlign w:val="center"/>
          </w:tcPr>
          <w:p w14:paraId="3F1AC898" w14:textId="77777777" w:rsidR="00361EB6" w:rsidRPr="002F5D94" w:rsidRDefault="00361EB6" w:rsidP="00361EB6">
            <w:pPr>
              <w:spacing w:after="0" w:line="240" w:lineRule="auto"/>
              <w:jc w:val="center"/>
              <w:rPr>
                <w:rFonts w:ascii="Times New Roman" w:eastAsia="Times New Roman" w:hAnsi="Times New Roman" w:cs="Times New Roman"/>
                <w:bCs/>
                <w:color w:val="000000"/>
                <w:sz w:val="20"/>
                <w:szCs w:val="20"/>
              </w:rPr>
            </w:pPr>
            <w:r w:rsidRPr="002F5D94">
              <w:rPr>
                <w:rFonts w:ascii="Times New Roman" w:eastAsia="Times New Roman" w:hAnsi="Times New Roman" w:cs="Times New Roman"/>
                <w:bCs/>
                <w:color w:val="000000"/>
                <w:sz w:val="20"/>
                <w:szCs w:val="20"/>
              </w:rPr>
              <w:t>No</w:t>
            </w:r>
          </w:p>
        </w:tc>
        <w:tc>
          <w:tcPr>
            <w:tcW w:w="4464" w:type="dxa"/>
            <w:tcBorders>
              <w:left w:val="single" w:sz="12" w:space="0" w:color="auto"/>
            </w:tcBorders>
            <w:tcMar>
              <w:top w:w="80" w:type="dxa"/>
              <w:left w:w="80" w:type="dxa"/>
              <w:bottom w:w="80" w:type="dxa"/>
              <w:right w:w="80" w:type="dxa"/>
            </w:tcMar>
            <w:vAlign w:val="center"/>
            <w:hideMark/>
          </w:tcPr>
          <w:p w14:paraId="018E56A0"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r w:rsidRPr="002F5D94">
              <w:rPr>
                <w:rFonts w:ascii="Times New Roman" w:eastAsia="Times New Roman" w:hAnsi="Times New Roman" w:cs="Times New Roman"/>
                <w:b/>
                <w:color w:val="000000"/>
                <w:sz w:val="20"/>
                <w:szCs w:val="20"/>
              </w:rPr>
              <w:t xml:space="preserve">Target Population: </w:t>
            </w:r>
            <w:r w:rsidRPr="002F5D94">
              <w:rPr>
                <w:rFonts w:ascii="Times New Roman" w:eastAsia="Times New Roman" w:hAnsi="Times New Roman" w:cs="Times New Roman"/>
                <w:bCs/>
                <w:color w:val="000000"/>
                <w:sz w:val="20"/>
                <w:szCs w:val="20"/>
              </w:rPr>
              <w:t xml:space="preserve">All in-state students </w:t>
            </w:r>
            <w:r w:rsidRPr="002F5D94">
              <w:rPr>
                <w:rFonts w:ascii="Times New Roman" w:eastAsia="Times New Roman" w:hAnsi="Times New Roman" w:cs="Times New Roman"/>
                <w:color w:val="000000"/>
                <w:sz w:val="20"/>
                <w:szCs w:val="20"/>
              </w:rPr>
              <w:t>maintaining a 2.0 GPA</w:t>
            </w:r>
          </w:p>
          <w:p w14:paraId="4C9DDEB6" w14:textId="77777777" w:rsidR="00361EB6" w:rsidRPr="002F5D94" w:rsidRDefault="00361EB6" w:rsidP="00361EB6">
            <w:pPr>
              <w:spacing w:after="0" w:line="240" w:lineRule="auto"/>
              <w:jc w:val="center"/>
              <w:rPr>
                <w:rFonts w:ascii="Times New Roman" w:eastAsia="Times New Roman" w:hAnsi="Times New Roman" w:cs="Times New Roman"/>
                <w:color w:val="000000"/>
                <w:sz w:val="20"/>
                <w:szCs w:val="20"/>
              </w:rPr>
            </w:pPr>
          </w:p>
          <w:p w14:paraId="5F75DADC" w14:textId="77777777" w:rsidR="00361EB6" w:rsidRPr="002F5D94" w:rsidRDefault="00361EB6" w:rsidP="00361EB6">
            <w:pPr>
              <w:rPr>
                <w:rFonts w:ascii="Times New Roman" w:hAnsi="Times New Roman" w:cs="Times New Roman"/>
                <w:sz w:val="20"/>
                <w:szCs w:val="20"/>
              </w:rPr>
            </w:pPr>
            <w:r w:rsidRPr="002F5D94">
              <w:rPr>
                <w:rFonts w:ascii="Times New Roman" w:eastAsia="Times New Roman" w:hAnsi="Times New Roman" w:cs="Times New Roman"/>
                <w:b/>
                <w:color w:val="000000"/>
                <w:sz w:val="20"/>
                <w:szCs w:val="20"/>
              </w:rPr>
              <w:t>Prompt:</w:t>
            </w:r>
            <w:r w:rsidRPr="002F5D94">
              <w:rPr>
                <w:rFonts w:ascii="Times New Roman" w:eastAsia="Times New Roman" w:hAnsi="Times New Roman" w:cs="Times New Roman"/>
                <w:color w:val="000000"/>
                <w:sz w:val="20"/>
                <w:szCs w:val="20"/>
              </w:rPr>
              <w:t xml:space="preserve"> </w:t>
            </w:r>
            <w:r w:rsidRPr="002F5D94">
              <w:rPr>
                <w:rFonts w:ascii="Times New Roman" w:hAnsi="Times New Roman" w:cs="Times New Roman"/>
                <w:sz w:val="20"/>
                <w:szCs w:val="20"/>
              </w:rPr>
              <w:t>Imagine the following situation: Your state has implemented a new policy that fully covers tuition and fees at any college in the state for resident students, regardless of family income. Students receiving this aid must maintain a 2.0 grade point average (GPA) (C average) or higher.</w:t>
            </w:r>
          </w:p>
          <w:p w14:paraId="475A210F" w14:textId="77777777" w:rsidR="00361EB6" w:rsidRPr="002F5D94" w:rsidRDefault="00361EB6" w:rsidP="00361EB6">
            <w:pPr>
              <w:rPr>
                <w:rFonts w:ascii="Times New Roman" w:hAnsi="Times New Roman" w:cs="Times New Roman"/>
                <w:sz w:val="20"/>
                <w:szCs w:val="20"/>
              </w:rPr>
            </w:pPr>
            <w:r w:rsidRPr="002F5D94">
              <w:rPr>
                <w:rFonts w:ascii="Times New Roman" w:hAnsi="Times New Roman" w:cs="Times New Roman"/>
                <w:sz w:val="20"/>
                <w:szCs w:val="20"/>
              </w:rPr>
              <w:t xml:space="preserve">Officials in your state are divided on the best design of the policy. On one hand, Rebecca Wilson, President of the flagship university argues that while she appreciates expanded state support for students with high GPAs, she also believes that the current policy should be expanded to include students below the current GPA threshold. On the other hand, State Department of Education Secretary, Emma McDaniel argues that the current policy targets those who need help the most and would not be financially sustainable if all students were eligible. </w:t>
            </w:r>
          </w:p>
        </w:tc>
        <w:tc>
          <w:tcPr>
            <w:tcW w:w="3960" w:type="dxa"/>
            <w:tcMar>
              <w:top w:w="80" w:type="dxa"/>
              <w:left w:w="80" w:type="dxa"/>
              <w:bottom w:w="80" w:type="dxa"/>
              <w:right w:w="80" w:type="dxa"/>
            </w:tcMar>
            <w:vAlign w:val="center"/>
            <w:hideMark/>
          </w:tcPr>
          <w:p w14:paraId="67B30EF1" w14:textId="77777777" w:rsidR="00361EB6" w:rsidRPr="002F5D94" w:rsidRDefault="00361EB6" w:rsidP="00361EB6">
            <w:pPr>
              <w:pStyle w:val="ListParagraph"/>
              <w:spacing w:after="0" w:line="240" w:lineRule="auto"/>
              <w:ind w:left="360"/>
              <w:jc w:val="center"/>
              <w:rPr>
                <w:rFonts w:ascii="Times New Roman" w:eastAsia="Times New Roman" w:hAnsi="Times New Roman" w:cs="Times New Roman"/>
                <w:bCs/>
                <w:color w:val="000000"/>
                <w:sz w:val="20"/>
                <w:szCs w:val="20"/>
              </w:rPr>
            </w:pPr>
            <w:r w:rsidRPr="002F5D94">
              <w:rPr>
                <w:rFonts w:ascii="Times New Roman" w:eastAsia="Times New Roman" w:hAnsi="Times New Roman" w:cs="Times New Roman"/>
                <w:b/>
                <w:color w:val="000000"/>
                <w:sz w:val="20"/>
                <w:szCs w:val="20"/>
              </w:rPr>
              <w:t xml:space="preserve">Target Population: </w:t>
            </w:r>
            <w:r w:rsidRPr="002F5D94">
              <w:rPr>
                <w:rFonts w:ascii="Times New Roman" w:eastAsia="Times New Roman" w:hAnsi="Times New Roman" w:cs="Times New Roman"/>
                <w:bCs/>
                <w:color w:val="000000"/>
                <w:sz w:val="20"/>
                <w:szCs w:val="20"/>
              </w:rPr>
              <w:t>All in-state students</w:t>
            </w:r>
          </w:p>
          <w:p w14:paraId="5B51333A" w14:textId="77777777" w:rsidR="00361EB6" w:rsidRPr="002F5D94" w:rsidRDefault="00361EB6" w:rsidP="00361EB6">
            <w:pPr>
              <w:pStyle w:val="ListParagraph"/>
              <w:spacing w:after="0" w:line="240" w:lineRule="auto"/>
              <w:ind w:left="360"/>
              <w:jc w:val="center"/>
              <w:rPr>
                <w:rFonts w:ascii="Times New Roman" w:eastAsia="Times New Roman" w:hAnsi="Times New Roman" w:cs="Times New Roman"/>
                <w:color w:val="000000"/>
                <w:sz w:val="20"/>
                <w:szCs w:val="20"/>
              </w:rPr>
            </w:pPr>
          </w:p>
          <w:p w14:paraId="552725B0" w14:textId="77777777" w:rsidR="00361EB6" w:rsidRPr="002F5D94" w:rsidRDefault="00361EB6" w:rsidP="00361EB6">
            <w:pPr>
              <w:rPr>
                <w:rFonts w:ascii="Times New Roman" w:hAnsi="Times New Roman" w:cs="Times New Roman"/>
                <w:sz w:val="20"/>
                <w:szCs w:val="20"/>
              </w:rPr>
            </w:pPr>
            <w:r w:rsidRPr="002F5D94">
              <w:rPr>
                <w:rFonts w:ascii="Times New Roman" w:eastAsia="Times New Roman" w:hAnsi="Times New Roman" w:cs="Times New Roman"/>
                <w:b/>
                <w:color w:val="000000"/>
                <w:sz w:val="20"/>
                <w:szCs w:val="20"/>
              </w:rPr>
              <w:t>Prompt</w:t>
            </w:r>
            <w:r w:rsidRPr="002F5D94">
              <w:rPr>
                <w:rFonts w:ascii="Times New Roman" w:eastAsia="Times New Roman" w:hAnsi="Times New Roman" w:cs="Times New Roman"/>
                <w:color w:val="000000"/>
                <w:sz w:val="20"/>
                <w:szCs w:val="20"/>
              </w:rPr>
              <w:t xml:space="preserve">: </w:t>
            </w:r>
            <w:r w:rsidRPr="002F5D94">
              <w:rPr>
                <w:rFonts w:ascii="Times New Roman" w:hAnsi="Times New Roman" w:cs="Times New Roman"/>
                <w:sz w:val="20"/>
                <w:szCs w:val="20"/>
              </w:rPr>
              <w:t xml:space="preserve">Imagine the following situation: Your state has implemented a new policy that fully covers tuition and fees at any college in the state for resident students, regardless of family income. There is no grade point average (GPA) requirement for students receiving financial aid through this program. Officials in your state are divided on the best design of the policy. On one hand, Emma McDaniel, State Department of Education Secretary, argues the policy is not financially sustainable and should be targeted at the students who need help the most. On the other hand, President of the flagship university, Rebecca Wilson, argues that she appreciates expanded state support for both middle-class and low-income students, as well as those students whose GPAs prevent them from receiving other forms of financial aid. </w:t>
            </w:r>
          </w:p>
        </w:tc>
      </w:tr>
    </w:tbl>
    <w:p w14:paraId="6281A503" w14:textId="77777777" w:rsidR="00361EB6" w:rsidRDefault="00361EB6" w:rsidP="00E45E88">
      <w:pPr>
        <w:spacing w:after="0" w:line="480" w:lineRule="auto"/>
        <w:ind w:firstLine="720"/>
        <w:textAlignment w:val="center"/>
        <w:rPr>
          <w:rFonts w:ascii="Times New Roman" w:hAnsi="Times New Roman" w:cs="Times New Roman"/>
          <w:sz w:val="24"/>
          <w:szCs w:val="24"/>
        </w:rPr>
      </w:pPr>
    </w:p>
    <w:p w14:paraId="459FC52C" w14:textId="582296A2" w:rsidR="00E45E88"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In each of the treatment groups the University President of the state flagship university, Rebecca Wilson, advocates for expanding access to benefits, while the State Department of Education official, Emma McDaniel, worries about the financial sustainability of the policy. The framing in each of the treatment prompts increases the credible information available to respondents, allowing them to carefully consider the trade-offs of each policy design. After the respondents read the treatment prompt describing the policy targeting in question, they were presented with a series of questions regarding their opinions on the policy. These outcome variables and other non-dichotomous measures are described in detail in Table </w:t>
      </w:r>
      <w:r w:rsidR="001F2F50">
        <w:rPr>
          <w:rFonts w:ascii="Times New Roman" w:hAnsi="Times New Roman" w:cs="Times New Roman"/>
          <w:sz w:val="24"/>
          <w:szCs w:val="24"/>
        </w:rPr>
        <w:t>3-</w:t>
      </w:r>
      <w:r w:rsidRPr="003B2204">
        <w:rPr>
          <w:rFonts w:ascii="Times New Roman" w:hAnsi="Times New Roman" w:cs="Times New Roman"/>
          <w:sz w:val="24"/>
          <w:szCs w:val="24"/>
        </w:rPr>
        <w:t>3.</w:t>
      </w:r>
    </w:p>
    <w:p w14:paraId="27C6A26C" w14:textId="0A51BF90" w:rsidR="00D90773" w:rsidRDefault="00D90773">
      <w:pPr>
        <w:rPr>
          <w:rFonts w:ascii="Times New Roman" w:hAnsi="Times New Roman" w:cs="Times New Roman"/>
          <w:sz w:val="24"/>
          <w:szCs w:val="24"/>
        </w:rPr>
      </w:pPr>
      <w:r>
        <w:rPr>
          <w:rFonts w:ascii="Times New Roman" w:hAnsi="Times New Roman" w:cs="Times New Roman"/>
          <w:sz w:val="24"/>
          <w:szCs w:val="24"/>
        </w:rPr>
        <w:br w:type="page"/>
      </w:r>
    </w:p>
    <w:p w14:paraId="0091CD9F" w14:textId="217A7BBB" w:rsidR="00D90773" w:rsidRPr="0073616B" w:rsidRDefault="00D90773" w:rsidP="00D90773">
      <w:pPr>
        <w:spacing w:after="0" w:line="240" w:lineRule="auto"/>
        <w:textAlignment w:val="center"/>
        <w:rPr>
          <w:rFonts w:ascii="Palatino Linotype" w:hAnsi="Palatino Linotype" w:cs="Times New Roman"/>
        </w:rPr>
      </w:pPr>
      <w:r w:rsidRPr="00D90773">
        <w:rPr>
          <w:rFonts w:ascii="Palatino Linotype" w:hAnsi="Palatino Linotype" w:cs="Times New Roman"/>
          <w:b/>
        </w:rPr>
        <w:lastRenderedPageBreak/>
        <w:t xml:space="preserve">Table </w:t>
      </w:r>
      <w:r w:rsidR="001F2F50">
        <w:rPr>
          <w:rFonts w:ascii="Palatino Linotype" w:hAnsi="Palatino Linotype" w:cs="Times New Roman"/>
          <w:b/>
        </w:rPr>
        <w:t>3-</w:t>
      </w:r>
      <w:r w:rsidRPr="00D90773">
        <w:rPr>
          <w:rFonts w:ascii="Palatino Linotype" w:hAnsi="Palatino Linotype" w:cs="Times New Roman"/>
          <w:b/>
        </w:rPr>
        <w:t>3</w:t>
      </w:r>
      <w:r w:rsidRPr="0073616B">
        <w:rPr>
          <w:rFonts w:ascii="Palatino Linotype" w:hAnsi="Palatino Linotype" w:cs="Times New Roman"/>
        </w:rPr>
        <w:t xml:space="preserve">. Measurement and Wording of </w:t>
      </w:r>
      <w:r>
        <w:rPr>
          <w:rFonts w:ascii="Palatino Linotype" w:hAnsi="Palatino Linotype" w:cs="Times New Roman"/>
        </w:rPr>
        <w:t>Non-Binary</w:t>
      </w:r>
      <w:r w:rsidRPr="0073616B">
        <w:rPr>
          <w:rFonts w:ascii="Palatino Linotype" w:hAnsi="Palatino Linotype" w:cs="Times New Roman"/>
        </w:rPr>
        <w:t xml:space="preserve"> Measures</w:t>
      </w:r>
    </w:p>
    <w:tbl>
      <w:tblPr>
        <w:tblW w:w="0" w:type="auto"/>
        <w:jc w:val="center"/>
        <w:tblCellMar>
          <w:left w:w="0" w:type="dxa"/>
          <w:right w:w="0" w:type="dxa"/>
        </w:tblCellMar>
        <w:tblLook w:val="04A0" w:firstRow="1" w:lastRow="0" w:firstColumn="1" w:lastColumn="0" w:noHBand="0" w:noVBand="1"/>
        <w:tblCaption w:val=""/>
        <w:tblDescription w:val=""/>
      </w:tblPr>
      <w:tblGrid>
        <w:gridCol w:w="2250"/>
        <w:gridCol w:w="2880"/>
        <w:gridCol w:w="3150"/>
      </w:tblGrid>
      <w:tr w:rsidR="00D90773" w:rsidRPr="00F56BD3" w14:paraId="73CBD83F" w14:textId="77777777" w:rsidTr="00967B87">
        <w:trPr>
          <w:trHeight w:val="450"/>
          <w:jc w:val="center"/>
        </w:trPr>
        <w:tc>
          <w:tcPr>
            <w:tcW w:w="2250" w:type="dxa"/>
            <w:tcBorders>
              <w:bottom w:val="single" w:sz="12" w:space="0" w:color="auto"/>
            </w:tcBorders>
            <w:tcMar>
              <w:top w:w="80" w:type="dxa"/>
              <w:left w:w="80" w:type="dxa"/>
              <w:bottom w:w="80" w:type="dxa"/>
              <w:right w:w="80" w:type="dxa"/>
            </w:tcMar>
            <w:vAlign w:val="center"/>
          </w:tcPr>
          <w:p w14:paraId="748A02EF" w14:textId="77777777" w:rsidR="00D90773" w:rsidRPr="00630991" w:rsidRDefault="00D90773" w:rsidP="00967B87">
            <w:pPr>
              <w:spacing w:after="0" w:line="240" w:lineRule="auto"/>
              <w:jc w:val="center"/>
              <w:rPr>
                <w:rFonts w:ascii="Times New Roman" w:eastAsia="Times New Roman" w:hAnsi="Times New Roman" w:cs="Times New Roman"/>
                <w:b/>
                <w:bCs/>
                <w:color w:val="000000"/>
                <w:sz w:val="20"/>
                <w:szCs w:val="18"/>
              </w:rPr>
            </w:pPr>
            <w:r w:rsidRPr="00630991">
              <w:rPr>
                <w:rFonts w:ascii="Times New Roman" w:eastAsia="Times New Roman" w:hAnsi="Times New Roman" w:cs="Times New Roman"/>
                <w:b/>
                <w:bCs/>
                <w:color w:val="000000"/>
                <w:sz w:val="20"/>
                <w:szCs w:val="18"/>
              </w:rPr>
              <w:t>Outcome Measure</w:t>
            </w:r>
          </w:p>
        </w:tc>
        <w:tc>
          <w:tcPr>
            <w:tcW w:w="2880" w:type="dxa"/>
            <w:tcBorders>
              <w:bottom w:val="single" w:sz="12" w:space="0" w:color="auto"/>
            </w:tcBorders>
            <w:tcMar>
              <w:top w:w="80" w:type="dxa"/>
              <w:left w:w="80" w:type="dxa"/>
              <w:bottom w:w="80" w:type="dxa"/>
              <w:right w:w="80" w:type="dxa"/>
            </w:tcMar>
            <w:vAlign w:val="center"/>
          </w:tcPr>
          <w:p w14:paraId="6D9F712D" w14:textId="77777777" w:rsidR="00D90773" w:rsidRPr="00630991" w:rsidRDefault="00D90773" w:rsidP="00967B87">
            <w:pPr>
              <w:spacing w:after="0" w:line="240" w:lineRule="auto"/>
              <w:jc w:val="center"/>
              <w:rPr>
                <w:rFonts w:ascii="Times New Roman" w:eastAsia="Times New Roman" w:hAnsi="Times New Roman" w:cs="Times New Roman"/>
                <w:b/>
                <w:bCs/>
                <w:color w:val="000000"/>
                <w:sz w:val="20"/>
                <w:szCs w:val="18"/>
              </w:rPr>
            </w:pPr>
            <w:r w:rsidRPr="00630991">
              <w:rPr>
                <w:rFonts w:ascii="Times New Roman" w:eastAsia="Times New Roman" w:hAnsi="Times New Roman" w:cs="Times New Roman"/>
                <w:b/>
                <w:bCs/>
                <w:color w:val="000000"/>
                <w:sz w:val="20"/>
                <w:szCs w:val="18"/>
              </w:rPr>
              <w:t>Question Wording</w:t>
            </w:r>
          </w:p>
        </w:tc>
        <w:tc>
          <w:tcPr>
            <w:tcW w:w="3150" w:type="dxa"/>
            <w:tcBorders>
              <w:bottom w:val="single" w:sz="12" w:space="0" w:color="auto"/>
            </w:tcBorders>
            <w:vAlign w:val="center"/>
          </w:tcPr>
          <w:p w14:paraId="18C5B560" w14:textId="77777777" w:rsidR="00D90773" w:rsidRPr="00630991" w:rsidRDefault="00D90773" w:rsidP="00967B87">
            <w:pPr>
              <w:spacing w:after="0" w:line="240" w:lineRule="auto"/>
              <w:jc w:val="center"/>
              <w:rPr>
                <w:rFonts w:ascii="Times New Roman" w:eastAsia="Times New Roman" w:hAnsi="Times New Roman" w:cs="Times New Roman"/>
                <w:b/>
                <w:bCs/>
                <w:color w:val="000000"/>
                <w:sz w:val="20"/>
                <w:szCs w:val="18"/>
              </w:rPr>
            </w:pPr>
            <w:r w:rsidRPr="00630991">
              <w:rPr>
                <w:rFonts w:ascii="Times New Roman" w:eastAsia="Times New Roman" w:hAnsi="Times New Roman" w:cs="Times New Roman"/>
                <w:b/>
                <w:bCs/>
                <w:color w:val="000000"/>
                <w:sz w:val="20"/>
                <w:szCs w:val="18"/>
              </w:rPr>
              <w:t>Measurement</w:t>
            </w:r>
          </w:p>
        </w:tc>
      </w:tr>
      <w:tr w:rsidR="00D90773" w:rsidRPr="00F56BD3" w14:paraId="6625ACD0" w14:textId="77777777" w:rsidTr="00967B87">
        <w:trPr>
          <w:trHeight w:val="369"/>
          <w:jc w:val="center"/>
        </w:trPr>
        <w:tc>
          <w:tcPr>
            <w:tcW w:w="2250" w:type="dxa"/>
            <w:tcBorders>
              <w:top w:val="single" w:sz="4" w:space="0" w:color="auto"/>
            </w:tcBorders>
            <w:tcMar>
              <w:top w:w="80" w:type="dxa"/>
              <w:left w:w="80" w:type="dxa"/>
              <w:bottom w:w="80" w:type="dxa"/>
              <w:right w:w="80" w:type="dxa"/>
            </w:tcMar>
            <w:vAlign w:val="center"/>
            <w:hideMark/>
          </w:tcPr>
          <w:p w14:paraId="6E33E7D0" w14:textId="77777777" w:rsidR="00D90773" w:rsidRPr="00630991" w:rsidRDefault="00D90773" w:rsidP="00967B87">
            <w:pPr>
              <w:spacing w:after="0" w:line="240" w:lineRule="auto"/>
              <w:jc w:val="center"/>
              <w:rPr>
                <w:rFonts w:ascii="Times New Roman" w:eastAsia="Times New Roman" w:hAnsi="Times New Roman" w:cs="Times New Roman"/>
                <w:sz w:val="20"/>
                <w:szCs w:val="20"/>
              </w:rPr>
            </w:pPr>
            <w:r w:rsidRPr="00630991">
              <w:rPr>
                <w:rFonts w:ascii="Times New Roman" w:eastAsia="Times New Roman" w:hAnsi="Times New Roman" w:cs="Times New Roman"/>
                <w:sz w:val="20"/>
                <w:szCs w:val="20"/>
              </w:rPr>
              <w:t>Support for Tuition-Free College Policy</w:t>
            </w:r>
          </w:p>
        </w:tc>
        <w:tc>
          <w:tcPr>
            <w:tcW w:w="2880" w:type="dxa"/>
            <w:tcBorders>
              <w:top w:val="single" w:sz="4" w:space="0" w:color="auto"/>
            </w:tcBorders>
            <w:tcMar>
              <w:top w:w="80" w:type="dxa"/>
              <w:left w:w="80" w:type="dxa"/>
              <w:bottom w:w="80" w:type="dxa"/>
              <w:right w:w="80" w:type="dxa"/>
            </w:tcMar>
            <w:vAlign w:val="center"/>
            <w:hideMark/>
          </w:tcPr>
          <w:p w14:paraId="58510B60" w14:textId="77777777" w:rsidR="00D90773" w:rsidRPr="00630991" w:rsidRDefault="00D90773" w:rsidP="00967B87">
            <w:pPr>
              <w:spacing w:after="0" w:line="240" w:lineRule="auto"/>
              <w:jc w:val="center"/>
              <w:rPr>
                <w:rFonts w:ascii="Times New Roman" w:eastAsia="Calibri" w:hAnsi="Times New Roman" w:cs="Times New Roman"/>
                <w:sz w:val="20"/>
                <w:szCs w:val="20"/>
              </w:rPr>
            </w:pPr>
            <w:r w:rsidRPr="00630991">
              <w:rPr>
                <w:rFonts w:ascii="Times New Roman" w:eastAsia="Calibri" w:hAnsi="Times New Roman" w:cs="Times New Roman"/>
                <w:sz w:val="20"/>
                <w:szCs w:val="20"/>
              </w:rPr>
              <w:t>Do you support or oppose the financial aid policy described above?</w:t>
            </w:r>
          </w:p>
        </w:tc>
        <w:tc>
          <w:tcPr>
            <w:tcW w:w="3150" w:type="dxa"/>
            <w:tcBorders>
              <w:top w:val="single" w:sz="4" w:space="0" w:color="auto"/>
            </w:tcBorders>
            <w:vAlign w:val="center"/>
          </w:tcPr>
          <w:p w14:paraId="382E429C"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5 – Strongly Support</w:t>
            </w:r>
          </w:p>
          <w:p w14:paraId="61BE2141"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4 – Somewhat Support</w:t>
            </w:r>
          </w:p>
          <w:p w14:paraId="560E987F"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3 – Neither Support nor Oppose</w:t>
            </w:r>
          </w:p>
          <w:p w14:paraId="08FD30D5"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2 – Somewhat Oppose</w:t>
            </w:r>
          </w:p>
          <w:p w14:paraId="7447160B"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1 – Strongly Oppose</w:t>
            </w:r>
          </w:p>
        </w:tc>
      </w:tr>
      <w:tr w:rsidR="00D90773" w:rsidRPr="00F56BD3" w14:paraId="38D7A519" w14:textId="77777777" w:rsidTr="00967B87">
        <w:trPr>
          <w:trHeight w:val="1234"/>
          <w:jc w:val="center"/>
        </w:trPr>
        <w:tc>
          <w:tcPr>
            <w:tcW w:w="2250" w:type="dxa"/>
            <w:tcMar>
              <w:top w:w="80" w:type="dxa"/>
              <w:left w:w="80" w:type="dxa"/>
              <w:bottom w:w="80" w:type="dxa"/>
              <w:right w:w="80" w:type="dxa"/>
            </w:tcMar>
            <w:vAlign w:val="center"/>
          </w:tcPr>
          <w:p w14:paraId="4E639B7A" w14:textId="77777777" w:rsidR="00D90773" w:rsidRPr="00630991" w:rsidRDefault="00D90773" w:rsidP="00967B87">
            <w:pPr>
              <w:spacing w:after="0" w:line="240" w:lineRule="auto"/>
              <w:jc w:val="center"/>
              <w:rPr>
                <w:rFonts w:ascii="Times New Roman" w:eastAsia="Times New Roman" w:hAnsi="Times New Roman" w:cs="Times New Roman"/>
                <w:bCs/>
                <w:color w:val="000000"/>
                <w:sz w:val="20"/>
                <w:szCs w:val="20"/>
              </w:rPr>
            </w:pPr>
            <w:r w:rsidRPr="00630991">
              <w:rPr>
                <w:rFonts w:ascii="Times New Roman" w:eastAsia="Times New Roman" w:hAnsi="Times New Roman" w:cs="Times New Roman"/>
                <w:bCs/>
                <w:color w:val="000000"/>
                <w:sz w:val="20"/>
                <w:szCs w:val="20"/>
              </w:rPr>
              <w:t>Perceptions of Fairness</w:t>
            </w:r>
          </w:p>
        </w:tc>
        <w:tc>
          <w:tcPr>
            <w:tcW w:w="2880" w:type="dxa"/>
            <w:tcMar>
              <w:top w:w="80" w:type="dxa"/>
              <w:left w:w="80" w:type="dxa"/>
              <w:bottom w:w="80" w:type="dxa"/>
              <w:right w:w="80" w:type="dxa"/>
            </w:tcMar>
            <w:vAlign w:val="center"/>
          </w:tcPr>
          <w:p w14:paraId="5E507115" w14:textId="77777777" w:rsidR="00D90773" w:rsidRPr="00630991" w:rsidRDefault="00D90773" w:rsidP="00967B87">
            <w:pPr>
              <w:spacing w:after="0" w:line="240" w:lineRule="auto"/>
              <w:jc w:val="center"/>
              <w:rPr>
                <w:rFonts w:ascii="Times New Roman" w:eastAsia="Calibri" w:hAnsi="Times New Roman" w:cs="Times New Roman"/>
                <w:sz w:val="20"/>
                <w:szCs w:val="20"/>
              </w:rPr>
            </w:pPr>
            <w:r w:rsidRPr="00630991">
              <w:rPr>
                <w:rFonts w:ascii="Times New Roman" w:eastAsia="Calibri" w:hAnsi="Times New Roman" w:cs="Times New Roman"/>
                <w:sz w:val="20"/>
                <w:szCs w:val="20"/>
              </w:rPr>
              <w:t>Please rate the degree to which you agree or disagree with the following statement. The policy described above is fair.</w:t>
            </w:r>
          </w:p>
        </w:tc>
        <w:tc>
          <w:tcPr>
            <w:tcW w:w="3150" w:type="dxa"/>
            <w:vAlign w:val="center"/>
          </w:tcPr>
          <w:p w14:paraId="4F0F23B2"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5 – Strongly Agree</w:t>
            </w:r>
          </w:p>
          <w:p w14:paraId="12D9412D"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4 – Somewhat Agree</w:t>
            </w:r>
          </w:p>
          <w:p w14:paraId="33A62933"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3 – Neither Agree nor Disagree</w:t>
            </w:r>
          </w:p>
          <w:p w14:paraId="088758CE"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2 – Somewhat Disagree</w:t>
            </w:r>
          </w:p>
          <w:p w14:paraId="4B66910E"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Calibri" w:hAnsi="Times New Roman" w:cs="Times New Roman"/>
                <w:sz w:val="20"/>
                <w:szCs w:val="20"/>
              </w:rPr>
              <w:t>1 – Strongly Disagree</w:t>
            </w:r>
          </w:p>
        </w:tc>
      </w:tr>
      <w:tr w:rsidR="00D90773" w:rsidRPr="00F56BD3" w14:paraId="4547AB52" w14:textId="77777777" w:rsidTr="00967B87">
        <w:trPr>
          <w:trHeight w:val="468"/>
          <w:jc w:val="center"/>
        </w:trPr>
        <w:tc>
          <w:tcPr>
            <w:tcW w:w="2250" w:type="dxa"/>
            <w:tcMar>
              <w:top w:w="80" w:type="dxa"/>
              <w:left w:w="80" w:type="dxa"/>
              <w:bottom w:w="80" w:type="dxa"/>
              <w:right w:w="80" w:type="dxa"/>
            </w:tcMar>
            <w:vAlign w:val="center"/>
          </w:tcPr>
          <w:p w14:paraId="43E56FD9" w14:textId="77777777" w:rsidR="00D90773" w:rsidRPr="00630991" w:rsidRDefault="00D90773" w:rsidP="00967B87">
            <w:pPr>
              <w:spacing w:after="0" w:line="240" w:lineRule="auto"/>
              <w:jc w:val="center"/>
              <w:rPr>
                <w:rFonts w:ascii="Times New Roman" w:eastAsia="Times New Roman" w:hAnsi="Times New Roman" w:cs="Times New Roman"/>
                <w:bCs/>
                <w:color w:val="000000"/>
                <w:sz w:val="20"/>
                <w:szCs w:val="20"/>
              </w:rPr>
            </w:pPr>
            <w:r w:rsidRPr="00630991">
              <w:rPr>
                <w:rFonts w:ascii="Times New Roman" w:eastAsia="Times New Roman" w:hAnsi="Times New Roman" w:cs="Times New Roman"/>
                <w:color w:val="000000"/>
                <w:sz w:val="20"/>
                <w:szCs w:val="20"/>
              </w:rPr>
              <w:t>Income</w:t>
            </w:r>
          </w:p>
        </w:tc>
        <w:tc>
          <w:tcPr>
            <w:tcW w:w="2880" w:type="dxa"/>
            <w:tcMar>
              <w:top w:w="80" w:type="dxa"/>
              <w:left w:w="80" w:type="dxa"/>
              <w:bottom w:w="80" w:type="dxa"/>
              <w:right w:w="80" w:type="dxa"/>
            </w:tcMar>
            <w:vAlign w:val="center"/>
          </w:tcPr>
          <w:p w14:paraId="5400A169" w14:textId="77777777" w:rsidR="00D90773" w:rsidRPr="00630991" w:rsidRDefault="00D90773" w:rsidP="00967B87">
            <w:pPr>
              <w:spacing w:after="0" w:line="240" w:lineRule="auto"/>
              <w:jc w:val="center"/>
              <w:rPr>
                <w:rFonts w:ascii="Times New Roman" w:eastAsia="Calibri" w:hAnsi="Times New Roman" w:cs="Times New Roman"/>
                <w:sz w:val="20"/>
                <w:szCs w:val="20"/>
              </w:rPr>
            </w:pPr>
            <w:r w:rsidRPr="00630991">
              <w:rPr>
                <w:rFonts w:ascii="Times New Roman" w:hAnsi="Times New Roman" w:cs="Times New Roman"/>
                <w:bCs/>
                <w:sz w:val="20"/>
                <w:szCs w:val="20"/>
              </w:rPr>
              <w:t>Was the estimated annual income for your household in 2016</w:t>
            </w:r>
          </w:p>
        </w:tc>
        <w:tc>
          <w:tcPr>
            <w:tcW w:w="3150" w:type="dxa"/>
            <w:vAlign w:val="bottom"/>
          </w:tcPr>
          <w:p w14:paraId="373D2139"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1 - Less than $10,000</w:t>
            </w:r>
          </w:p>
          <w:p w14:paraId="3F3046A6"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2 - $10,000 to less than $20,000</w:t>
            </w:r>
          </w:p>
          <w:p w14:paraId="3A1317F6"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3 - $20,000 to less than $30,000</w:t>
            </w:r>
          </w:p>
          <w:p w14:paraId="098B010D"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4 - $30,000 to less than $40,000</w:t>
            </w:r>
          </w:p>
          <w:p w14:paraId="34B40A8B"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5 - $40,000 to less than $50,000</w:t>
            </w:r>
          </w:p>
          <w:p w14:paraId="7A054086"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6 - $50,000 to less than $60,000</w:t>
            </w:r>
          </w:p>
          <w:p w14:paraId="36894034"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7 - $60,000 to less than $70,000</w:t>
            </w:r>
          </w:p>
          <w:p w14:paraId="4A70D78B"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8 - $70,000 to less than $80,000</w:t>
            </w:r>
          </w:p>
          <w:p w14:paraId="6609C25D"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9 - $80,000 to less than $90,000</w:t>
            </w:r>
          </w:p>
          <w:p w14:paraId="1F7265F2"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10 - $90,000 to less than $100,000</w:t>
            </w:r>
          </w:p>
          <w:p w14:paraId="02BDA792"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11 - $100,000 to less than $110,000</w:t>
            </w:r>
          </w:p>
          <w:p w14:paraId="40D2376C"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12 - $110,000 to less than $120,000</w:t>
            </w:r>
          </w:p>
          <w:p w14:paraId="5BA50A98"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13 - $120,000 to less than $130,000</w:t>
            </w:r>
          </w:p>
          <w:p w14:paraId="65944A53"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14 - $130,000 to less than $140,000</w:t>
            </w:r>
          </w:p>
          <w:p w14:paraId="04F43B95"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15 - $140,000 to less than $150,000</w:t>
            </w:r>
          </w:p>
          <w:p w14:paraId="289E660C"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16 - $150,000 to less than $160,000</w:t>
            </w:r>
          </w:p>
          <w:p w14:paraId="5FBDA68F"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17 - $160,000 to less than $170,000</w:t>
            </w:r>
          </w:p>
          <w:p w14:paraId="09ABB1BD"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18 - $170,000 to less than $180,000</w:t>
            </w:r>
          </w:p>
          <w:p w14:paraId="1ACE67D2"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19 - $180,000 to less than $190,000</w:t>
            </w:r>
          </w:p>
          <w:p w14:paraId="7B7193B0"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20 - $190,000 to less than $200,000</w:t>
            </w:r>
          </w:p>
          <w:p w14:paraId="4F3BD42D" w14:textId="77777777" w:rsidR="00D90773" w:rsidRPr="00F56BD3" w:rsidRDefault="00D90773" w:rsidP="00967B87">
            <w:pPr>
              <w:autoSpaceDE w:val="0"/>
              <w:autoSpaceDN w:val="0"/>
              <w:adjustRightInd w:val="0"/>
              <w:spacing w:after="0" w:line="240" w:lineRule="auto"/>
              <w:rPr>
                <w:rFonts w:ascii="Times New Roman" w:hAnsi="Times New Roman" w:cs="Times New Roman"/>
                <w:bCs/>
                <w:sz w:val="16"/>
                <w:szCs w:val="20"/>
              </w:rPr>
            </w:pPr>
            <w:r w:rsidRPr="00F56BD3">
              <w:rPr>
                <w:rFonts w:ascii="Times New Roman" w:hAnsi="Times New Roman" w:cs="Times New Roman"/>
                <w:bCs/>
                <w:sz w:val="16"/>
                <w:szCs w:val="20"/>
              </w:rPr>
              <w:t>21 - $200,000 or more</w:t>
            </w:r>
          </w:p>
        </w:tc>
      </w:tr>
      <w:tr w:rsidR="00D90773" w:rsidRPr="00F56BD3" w14:paraId="588C126C" w14:textId="77777777" w:rsidTr="00967B87">
        <w:trPr>
          <w:trHeight w:val="468"/>
          <w:jc w:val="center"/>
        </w:trPr>
        <w:tc>
          <w:tcPr>
            <w:tcW w:w="2250" w:type="dxa"/>
            <w:tcMar>
              <w:top w:w="80" w:type="dxa"/>
              <w:left w:w="80" w:type="dxa"/>
              <w:bottom w:w="80" w:type="dxa"/>
              <w:right w:w="80" w:type="dxa"/>
            </w:tcMar>
            <w:vAlign w:val="center"/>
          </w:tcPr>
          <w:p w14:paraId="698454FC" w14:textId="77777777" w:rsidR="00D90773" w:rsidRPr="00630991" w:rsidRDefault="00D90773" w:rsidP="00967B87">
            <w:pPr>
              <w:spacing w:after="0" w:line="240" w:lineRule="auto"/>
              <w:jc w:val="center"/>
              <w:rPr>
                <w:rFonts w:ascii="Times New Roman" w:eastAsia="Times New Roman" w:hAnsi="Times New Roman" w:cs="Times New Roman"/>
                <w:color w:val="000000"/>
                <w:sz w:val="20"/>
                <w:szCs w:val="20"/>
              </w:rPr>
            </w:pPr>
            <w:r w:rsidRPr="00630991">
              <w:rPr>
                <w:rFonts w:ascii="Times New Roman" w:eastAsia="Times New Roman" w:hAnsi="Times New Roman" w:cs="Times New Roman"/>
                <w:color w:val="000000"/>
                <w:sz w:val="20"/>
                <w:szCs w:val="20"/>
              </w:rPr>
              <w:t>Region</w:t>
            </w:r>
          </w:p>
        </w:tc>
        <w:tc>
          <w:tcPr>
            <w:tcW w:w="2880" w:type="dxa"/>
            <w:tcMar>
              <w:top w:w="80" w:type="dxa"/>
              <w:left w:w="80" w:type="dxa"/>
              <w:bottom w:w="80" w:type="dxa"/>
              <w:right w:w="80" w:type="dxa"/>
            </w:tcMar>
            <w:vAlign w:val="bottom"/>
          </w:tcPr>
          <w:p w14:paraId="14BD2C7A" w14:textId="77777777" w:rsidR="00D90773" w:rsidRPr="00630991" w:rsidRDefault="00D90773" w:rsidP="00967B87">
            <w:pPr>
              <w:jc w:val="center"/>
              <w:rPr>
                <w:rFonts w:ascii="Times New Roman" w:eastAsia="Times New Roman" w:hAnsi="Times New Roman" w:cs="Times New Roman"/>
                <w:sz w:val="20"/>
                <w:szCs w:val="20"/>
              </w:rPr>
            </w:pPr>
            <w:r w:rsidRPr="00630991">
              <w:rPr>
                <w:rFonts w:ascii="Times New Roman" w:eastAsia="Times New Roman" w:hAnsi="Times New Roman" w:cs="Times New Roman"/>
                <w:sz w:val="20"/>
                <w:szCs w:val="20"/>
              </w:rPr>
              <w:t>Created based on the following question: What state or district do you live in?</w:t>
            </w:r>
          </w:p>
        </w:tc>
        <w:tc>
          <w:tcPr>
            <w:tcW w:w="3150" w:type="dxa"/>
            <w:vAlign w:val="bottom"/>
          </w:tcPr>
          <w:p w14:paraId="3860117F"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Times New Roman" w:hAnsi="Times New Roman" w:cs="Times New Roman"/>
                <w:color w:val="000000"/>
                <w:sz w:val="20"/>
                <w:szCs w:val="20"/>
              </w:rPr>
              <w:t>1 – Northeast</w:t>
            </w:r>
            <w:r w:rsidRPr="00630991">
              <w:rPr>
                <w:rFonts w:ascii="Times New Roman" w:eastAsia="Times New Roman" w:hAnsi="Times New Roman" w:cs="Times New Roman"/>
                <w:color w:val="000000"/>
                <w:sz w:val="20"/>
                <w:szCs w:val="20"/>
              </w:rPr>
              <w:br/>
              <w:t xml:space="preserve">2 – Midwest </w:t>
            </w:r>
            <w:r w:rsidRPr="00630991">
              <w:rPr>
                <w:rFonts w:ascii="Times New Roman" w:eastAsia="Times New Roman" w:hAnsi="Times New Roman" w:cs="Times New Roman"/>
                <w:color w:val="000000"/>
                <w:sz w:val="20"/>
                <w:szCs w:val="20"/>
              </w:rPr>
              <w:br/>
              <w:t xml:space="preserve">3 – South </w:t>
            </w:r>
            <w:r w:rsidRPr="00630991">
              <w:rPr>
                <w:rFonts w:ascii="Times New Roman" w:eastAsia="Times New Roman" w:hAnsi="Times New Roman" w:cs="Times New Roman"/>
                <w:color w:val="000000"/>
                <w:sz w:val="20"/>
                <w:szCs w:val="20"/>
              </w:rPr>
              <w:br/>
              <w:t xml:space="preserve">4 – West </w:t>
            </w:r>
          </w:p>
        </w:tc>
      </w:tr>
      <w:tr w:rsidR="00D90773" w:rsidRPr="00F56BD3" w14:paraId="5C517025" w14:textId="77777777" w:rsidTr="00967B87">
        <w:trPr>
          <w:trHeight w:val="468"/>
          <w:jc w:val="center"/>
        </w:trPr>
        <w:tc>
          <w:tcPr>
            <w:tcW w:w="2250" w:type="dxa"/>
            <w:tcMar>
              <w:top w:w="80" w:type="dxa"/>
              <w:left w:w="80" w:type="dxa"/>
              <w:bottom w:w="80" w:type="dxa"/>
              <w:right w:w="80" w:type="dxa"/>
            </w:tcMar>
            <w:vAlign w:val="center"/>
          </w:tcPr>
          <w:p w14:paraId="10AB988C" w14:textId="77777777" w:rsidR="00D90773" w:rsidRPr="00630991" w:rsidRDefault="00D90773" w:rsidP="00967B87">
            <w:pPr>
              <w:spacing w:after="0" w:line="240" w:lineRule="auto"/>
              <w:jc w:val="center"/>
              <w:rPr>
                <w:rFonts w:ascii="Times New Roman" w:eastAsia="Times New Roman" w:hAnsi="Times New Roman" w:cs="Times New Roman"/>
                <w:color w:val="000000"/>
                <w:sz w:val="20"/>
                <w:szCs w:val="20"/>
              </w:rPr>
            </w:pPr>
            <w:r w:rsidRPr="00630991">
              <w:rPr>
                <w:rFonts w:ascii="Times New Roman" w:eastAsia="Times New Roman" w:hAnsi="Times New Roman" w:cs="Times New Roman"/>
                <w:color w:val="000000"/>
                <w:sz w:val="20"/>
                <w:szCs w:val="20"/>
              </w:rPr>
              <w:t>Education</w:t>
            </w:r>
          </w:p>
        </w:tc>
        <w:tc>
          <w:tcPr>
            <w:tcW w:w="2880" w:type="dxa"/>
            <w:tcMar>
              <w:top w:w="80" w:type="dxa"/>
              <w:left w:w="80" w:type="dxa"/>
              <w:bottom w:w="80" w:type="dxa"/>
              <w:right w:w="80" w:type="dxa"/>
            </w:tcMar>
            <w:vAlign w:val="center"/>
          </w:tcPr>
          <w:p w14:paraId="2207E823" w14:textId="77777777" w:rsidR="00D90773" w:rsidRPr="00630991" w:rsidRDefault="00D90773" w:rsidP="00967B87">
            <w:pPr>
              <w:autoSpaceDE w:val="0"/>
              <w:autoSpaceDN w:val="0"/>
              <w:adjustRightInd w:val="0"/>
              <w:jc w:val="center"/>
              <w:rPr>
                <w:rFonts w:ascii="Times New Roman" w:hAnsi="Times New Roman" w:cs="Times New Roman"/>
                <w:sz w:val="20"/>
                <w:szCs w:val="20"/>
              </w:rPr>
            </w:pPr>
            <w:r w:rsidRPr="00630991">
              <w:rPr>
                <w:rFonts w:ascii="Times New Roman" w:hAnsi="Times New Roman" w:cs="Times New Roman"/>
                <w:sz w:val="20"/>
                <w:szCs w:val="20"/>
              </w:rPr>
              <w:t>What is the highest level of education</w:t>
            </w:r>
            <w:r>
              <w:rPr>
                <w:rFonts w:ascii="Times New Roman" w:hAnsi="Times New Roman" w:cs="Times New Roman"/>
                <w:sz w:val="20"/>
                <w:szCs w:val="20"/>
              </w:rPr>
              <w:t xml:space="preserve"> </w:t>
            </w:r>
            <w:r w:rsidRPr="00630991">
              <w:rPr>
                <w:rFonts w:ascii="Times New Roman" w:hAnsi="Times New Roman" w:cs="Times New Roman"/>
                <w:sz w:val="20"/>
                <w:szCs w:val="20"/>
              </w:rPr>
              <w:t>you have COMPLETED?</w:t>
            </w:r>
          </w:p>
          <w:p w14:paraId="24613FD0" w14:textId="77777777" w:rsidR="00D90773" w:rsidRPr="00630991" w:rsidRDefault="00D90773" w:rsidP="00967B87">
            <w:pPr>
              <w:spacing w:after="0" w:line="240" w:lineRule="auto"/>
              <w:jc w:val="center"/>
              <w:rPr>
                <w:rFonts w:ascii="Times New Roman" w:eastAsia="Times New Roman" w:hAnsi="Times New Roman" w:cs="Times New Roman"/>
                <w:color w:val="000000"/>
                <w:sz w:val="20"/>
                <w:szCs w:val="20"/>
              </w:rPr>
            </w:pPr>
          </w:p>
        </w:tc>
        <w:tc>
          <w:tcPr>
            <w:tcW w:w="3150" w:type="dxa"/>
            <w:vAlign w:val="bottom"/>
          </w:tcPr>
          <w:p w14:paraId="41D9D1C6" w14:textId="77777777" w:rsidR="00D90773" w:rsidRPr="00F56BD3" w:rsidRDefault="00D90773" w:rsidP="00967B87">
            <w:pPr>
              <w:spacing w:after="0" w:line="240" w:lineRule="auto"/>
              <w:rPr>
                <w:rFonts w:ascii="Times New Roman" w:eastAsia="Calibri" w:hAnsi="Times New Roman" w:cs="Times New Roman"/>
                <w:sz w:val="16"/>
                <w:szCs w:val="18"/>
              </w:rPr>
            </w:pPr>
            <w:r w:rsidRPr="00F56BD3">
              <w:rPr>
                <w:rFonts w:ascii="Times New Roman" w:eastAsia="Times New Roman" w:hAnsi="Times New Roman" w:cs="Times New Roman"/>
                <w:color w:val="000000"/>
                <w:sz w:val="16"/>
                <w:szCs w:val="18"/>
              </w:rPr>
              <w:t xml:space="preserve">1 </w:t>
            </w:r>
            <w:r w:rsidRPr="00630991">
              <w:rPr>
                <w:rFonts w:ascii="Times New Roman" w:eastAsia="Times New Roman" w:hAnsi="Times New Roman" w:cs="Times New Roman"/>
                <w:color w:val="000000"/>
                <w:sz w:val="20"/>
                <w:szCs w:val="20"/>
              </w:rPr>
              <w:t>- Less than High School</w:t>
            </w:r>
            <w:r w:rsidRPr="00630991">
              <w:rPr>
                <w:rFonts w:ascii="Times New Roman" w:eastAsia="Times New Roman" w:hAnsi="Times New Roman" w:cs="Times New Roman"/>
                <w:color w:val="000000"/>
                <w:sz w:val="20"/>
                <w:szCs w:val="20"/>
              </w:rPr>
              <w:br/>
              <w:t>2 - High School / GED</w:t>
            </w:r>
            <w:r w:rsidRPr="00630991">
              <w:rPr>
                <w:rFonts w:ascii="Times New Roman" w:eastAsia="Times New Roman" w:hAnsi="Times New Roman" w:cs="Times New Roman"/>
                <w:color w:val="000000"/>
                <w:sz w:val="20"/>
                <w:szCs w:val="20"/>
              </w:rPr>
              <w:br/>
              <w:t>3 - Vocational or Technical Training</w:t>
            </w:r>
            <w:r w:rsidRPr="00630991">
              <w:rPr>
                <w:rFonts w:ascii="Times New Roman" w:eastAsia="Times New Roman" w:hAnsi="Times New Roman" w:cs="Times New Roman"/>
                <w:color w:val="000000"/>
                <w:sz w:val="20"/>
                <w:szCs w:val="20"/>
              </w:rPr>
              <w:br/>
              <w:t>4 - Some College — NO degree</w:t>
            </w:r>
            <w:r w:rsidRPr="00630991">
              <w:rPr>
                <w:rFonts w:ascii="Times New Roman" w:eastAsia="Times New Roman" w:hAnsi="Times New Roman" w:cs="Times New Roman"/>
                <w:color w:val="000000"/>
                <w:sz w:val="20"/>
                <w:szCs w:val="20"/>
              </w:rPr>
              <w:br/>
              <w:t>5 - 2-year College / Associate’s Degree</w:t>
            </w:r>
            <w:r w:rsidRPr="00630991">
              <w:rPr>
                <w:rFonts w:ascii="Times New Roman" w:eastAsia="Times New Roman" w:hAnsi="Times New Roman" w:cs="Times New Roman"/>
                <w:color w:val="000000"/>
                <w:sz w:val="20"/>
                <w:szCs w:val="20"/>
              </w:rPr>
              <w:br/>
              <w:t>6 - Bachelor’s Degree</w:t>
            </w:r>
            <w:r w:rsidRPr="00630991">
              <w:rPr>
                <w:rFonts w:ascii="Times New Roman" w:eastAsia="Times New Roman" w:hAnsi="Times New Roman" w:cs="Times New Roman"/>
                <w:color w:val="000000"/>
                <w:sz w:val="20"/>
                <w:szCs w:val="20"/>
              </w:rPr>
              <w:br/>
              <w:t>7 - Master’s degree</w:t>
            </w:r>
            <w:r w:rsidRPr="00630991">
              <w:rPr>
                <w:rFonts w:ascii="Times New Roman" w:eastAsia="Times New Roman" w:hAnsi="Times New Roman" w:cs="Times New Roman"/>
                <w:color w:val="000000"/>
                <w:sz w:val="20"/>
                <w:szCs w:val="20"/>
              </w:rPr>
              <w:br/>
              <w:t>8 – Doctorate/PhD/ JD(Law)/MD</w:t>
            </w:r>
          </w:p>
        </w:tc>
      </w:tr>
      <w:tr w:rsidR="00D90773" w:rsidRPr="00F56BD3" w14:paraId="0F22D29E" w14:textId="77777777" w:rsidTr="00967B87">
        <w:trPr>
          <w:trHeight w:val="468"/>
          <w:jc w:val="center"/>
        </w:trPr>
        <w:tc>
          <w:tcPr>
            <w:tcW w:w="2250" w:type="dxa"/>
            <w:tcBorders>
              <w:bottom w:val="single" w:sz="4" w:space="0" w:color="auto"/>
            </w:tcBorders>
            <w:tcMar>
              <w:top w:w="80" w:type="dxa"/>
              <w:left w:w="80" w:type="dxa"/>
              <w:bottom w:w="80" w:type="dxa"/>
              <w:right w:w="80" w:type="dxa"/>
            </w:tcMar>
            <w:vAlign w:val="center"/>
          </w:tcPr>
          <w:p w14:paraId="3B4825C4" w14:textId="77777777" w:rsidR="00D90773" w:rsidRPr="00630991" w:rsidRDefault="00D90773" w:rsidP="00967B87">
            <w:pPr>
              <w:spacing w:after="0" w:line="240" w:lineRule="auto"/>
              <w:jc w:val="center"/>
              <w:rPr>
                <w:rFonts w:ascii="Times New Roman" w:eastAsia="Times New Roman" w:hAnsi="Times New Roman" w:cs="Times New Roman"/>
                <w:color w:val="000000"/>
                <w:sz w:val="20"/>
                <w:szCs w:val="20"/>
              </w:rPr>
            </w:pPr>
            <w:r w:rsidRPr="00630991">
              <w:rPr>
                <w:rFonts w:ascii="Times New Roman" w:eastAsia="Times New Roman" w:hAnsi="Times New Roman" w:cs="Times New Roman"/>
                <w:color w:val="000000"/>
                <w:sz w:val="20"/>
                <w:szCs w:val="20"/>
              </w:rPr>
              <w:t>Ideology</w:t>
            </w:r>
          </w:p>
        </w:tc>
        <w:tc>
          <w:tcPr>
            <w:tcW w:w="2880" w:type="dxa"/>
            <w:tcBorders>
              <w:bottom w:val="single" w:sz="4" w:space="0" w:color="auto"/>
            </w:tcBorders>
            <w:tcMar>
              <w:top w:w="80" w:type="dxa"/>
              <w:left w:w="80" w:type="dxa"/>
              <w:bottom w:w="80" w:type="dxa"/>
              <w:right w:w="80" w:type="dxa"/>
            </w:tcMar>
            <w:vAlign w:val="bottom"/>
          </w:tcPr>
          <w:p w14:paraId="59DDA060" w14:textId="77777777" w:rsidR="00D90773" w:rsidRPr="00D54842" w:rsidRDefault="00D90773" w:rsidP="00967B87">
            <w:pPr>
              <w:autoSpaceDE w:val="0"/>
              <w:autoSpaceDN w:val="0"/>
              <w:adjustRightInd w:val="0"/>
              <w:jc w:val="center"/>
              <w:rPr>
                <w:rFonts w:ascii="Times New Roman" w:hAnsi="Times New Roman" w:cs="Times New Roman"/>
                <w:sz w:val="20"/>
                <w:szCs w:val="20"/>
              </w:rPr>
            </w:pPr>
            <w:r w:rsidRPr="00630991">
              <w:rPr>
                <w:rFonts w:ascii="Times New Roman" w:hAnsi="Times New Roman" w:cs="Times New Roman"/>
                <w:sz w:val="20"/>
                <w:szCs w:val="20"/>
              </w:rPr>
              <w:t>On a scale of political ideology, individuals can be arranged from strongly liberal to strongly conservative. Which of the following categories best describes your views?</w:t>
            </w:r>
          </w:p>
        </w:tc>
        <w:tc>
          <w:tcPr>
            <w:tcW w:w="3150" w:type="dxa"/>
            <w:tcBorders>
              <w:bottom w:val="single" w:sz="4" w:space="0" w:color="auto"/>
            </w:tcBorders>
            <w:vAlign w:val="bottom"/>
          </w:tcPr>
          <w:p w14:paraId="265E6A5A" w14:textId="77777777" w:rsidR="00D90773" w:rsidRPr="00630991" w:rsidRDefault="00D90773" w:rsidP="00967B87">
            <w:pPr>
              <w:spacing w:after="0" w:line="240" w:lineRule="auto"/>
              <w:rPr>
                <w:rFonts w:ascii="Times New Roman" w:eastAsia="Calibri" w:hAnsi="Times New Roman" w:cs="Times New Roman"/>
                <w:sz w:val="20"/>
                <w:szCs w:val="20"/>
              </w:rPr>
            </w:pPr>
            <w:r w:rsidRPr="00630991">
              <w:rPr>
                <w:rFonts w:ascii="Times New Roman" w:eastAsia="Times New Roman" w:hAnsi="Times New Roman" w:cs="Times New Roman"/>
                <w:color w:val="000000"/>
                <w:sz w:val="20"/>
                <w:szCs w:val="20"/>
              </w:rPr>
              <w:t>1 - Strongly liberal</w:t>
            </w:r>
            <w:r w:rsidRPr="00630991">
              <w:rPr>
                <w:rFonts w:ascii="Times New Roman" w:eastAsia="Times New Roman" w:hAnsi="Times New Roman" w:cs="Times New Roman"/>
                <w:color w:val="000000"/>
                <w:sz w:val="20"/>
                <w:szCs w:val="20"/>
              </w:rPr>
              <w:br/>
              <w:t>2 - Liberal</w:t>
            </w:r>
            <w:r w:rsidRPr="00630991">
              <w:rPr>
                <w:rFonts w:ascii="Times New Roman" w:eastAsia="Times New Roman" w:hAnsi="Times New Roman" w:cs="Times New Roman"/>
                <w:color w:val="000000"/>
                <w:sz w:val="20"/>
                <w:szCs w:val="20"/>
              </w:rPr>
              <w:br/>
              <w:t>3 - Slightly liberal</w:t>
            </w:r>
            <w:r w:rsidRPr="00630991">
              <w:rPr>
                <w:rFonts w:ascii="Times New Roman" w:eastAsia="Times New Roman" w:hAnsi="Times New Roman" w:cs="Times New Roman"/>
                <w:color w:val="000000"/>
                <w:sz w:val="20"/>
                <w:szCs w:val="20"/>
              </w:rPr>
              <w:br/>
              <w:t>4 - Middle of the road</w:t>
            </w:r>
            <w:r w:rsidRPr="00630991">
              <w:rPr>
                <w:rFonts w:ascii="Times New Roman" w:eastAsia="Times New Roman" w:hAnsi="Times New Roman" w:cs="Times New Roman"/>
                <w:color w:val="000000"/>
                <w:sz w:val="20"/>
                <w:szCs w:val="20"/>
              </w:rPr>
              <w:br/>
              <w:t>5 - Slightly conservative</w:t>
            </w:r>
            <w:r w:rsidRPr="00630991">
              <w:rPr>
                <w:rFonts w:ascii="Times New Roman" w:eastAsia="Times New Roman" w:hAnsi="Times New Roman" w:cs="Times New Roman"/>
                <w:color w:val="000000"/>
                <w:sz w:val="20"/>
                <w:szCs w:val="20"/>
              </w:rPr>
              <w:br/>
              <w:t>6 - Conservative</w:t>
            </w:r>
            <w:r w:rsidRPr="00630991">
              <w:rPr>
                <w:rFonts w:ascii="Times New Roman" w:eastAsia="Times New Roman" w:hAnsi="Times New Roman" w:cs="Times New Roman"/>
                <w:color w:val="000000"/>
                <w:sz w:val="20"/>
                <w:szCs w:val="20"/>
              </w:rPr>
              <w:br/>
              <w:t>7 - Strongly conservative</w:t>
            </w:r>
          </w:p>
        </w:tc>
      </w:tr>
    </w:tbl>
    <w:p w14:paraId="6C4A1CD1" w14:textId="77777777" w:rsidR="00E45E88" w:rsidRPr="003B2204" w:rsidRDefault="00E45E88" w:rsidP="00E45E88">
      <w:pPr>
        <w:spacing w:line="480" w:lineRule="auto"/>
        <w:rPr>
          <w:rFonts w:ascii="Times New Roman" w:hAnsi="Times New Roman" w:cs="Times New Roman"/>
          <w:b/>
          <w:sz w:val="24"/>
          <w:szCs w:val="24"/>
        </w:rPr>
      </w:pPr>
      <w:r w:rsidRPr="003B2204">
        <w:rPr>
          <w:rFonts w:ascii="Times New Roman" w:hAnsi="Times New Roman" w:cs="Times New Roman"/>
          <w:b/>
          <w:sz w:val="24"/>
          <w:szCs w:val="24"/>
        </w:rPr>
        <w:lastRenderedPageBreak/>
        <w:t>Data Description</w:t>
      </w:r>
    </w:p>
    <w:p w14:paraId="7240652D" w14:textId="640B7544" w:rsidR="00E45E88"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The descriptive statistics for the full weighted dataset are summarized in 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4. This table reveals that, on average, respondents somewhat support tuition-free college before receiving a treatment prompt. With a mean value of 4.04 on a scale of 1 to 5, this means that the average respondent is somewhat in support of tuition-free college policies. In terms of demographics, the sample is 81 percent white and 49 percent male. There is a lot of variation in both income and age across respondents with the average age around 46 years of age. The average ideology is middle of the road, with 44 percent of the sample identifying as Republican. </w:t>
      </w:r>
    </w:p>
    <w:p w14:paraId="6A55010A" w14:textId="77777777" w:rsidR="00C72937" w:rsidRPr="003B2204" w:rsidRDefault="00C72937" w:rsidP="00E45E88">
      <w:pPr>
        <w:spacing w:after="0" w:line="480" w:lineRule="auto"/>
        <w:ind w:firstLine="720"/>
        <w:textAlignment w:val="center"/>
        <w:rPr>
          <w:rFonts w:ascii="Times New Roman" w:hAnsi="Times New Roman" w:cs="Times New Roman"/>
          <w:sz w:val="24"/>
          <w:szCs w:val="24"/>
        </w:rPr>
      </w:pPr>
    </w:p>
    <w:tbl>
      <w:tblPr>
        <w:tblW w:w="7200" w:type="dxa"/>
        <w:jc w:val="center"/>
        <w:tblLook w:val="04A0" w:firstRow="1" w:lastRow="0" w:firstColumn="1" w:lastColumn="0" w:noHBand="0" w:noVBand="1"/>
      </w:tblPr>
      <w:tblGrid>
        <w:gridCol w:w="3510"/>
        <w:gridCol w:w="900"/>
        <w:gridCol w:w="768"/>
        <w:gridCol w:w="762"/>
        <w:gridCol w:w="630"/>
        <w:gridCol w:w="648"/>
      </w:tblGrid>
      <w:tr w:rsidR="00D90773" w:rsidRPr="00733809" w14:paraId="09868E9D" w14:textId="77777777" w:rsidTr="00D90773">
        <w:trPr>
          <w:trHeight w:val="312"/>
          <w:jc w:val="center"/>
        </w:trPr>
        <w:tc>
          <w:tcPr>
            <w:tcW w:w="7200" w:type="dxa"/>
            <w:gridSpan w:val="6"/>
            <w:tcBorders>
              <w:top w:val="nil"/>
              <w:left w:val="nil"/>
              <w:right w:val="nil"/>
            </w:tcBorders>
            <w:shd w:val="clear" w:color="auto" w:fill="auto"/>
            <w:noWrap/>
            <w:vAlign w:val="bottom"/>
            <w:hideMark/>
          </w:tcPr>
          <w:p w14:paraId="6E353030" w14:textId="269713AA" w:rsidR="00D90773" w:rsidRPr="00733809" w:rsidRDefault="00D90773" w:rsidP="00967B87">
            <w:pPr>
              <w:spacing w:after="0" w:line="240" w:lineRule="auto"/>
              <w:rPr>
                <w:rFonts w:ascii="Palatino Linotype" w:eastAsia="Times New Roman" w:hAnsi="Palatino Linotype" w:cs="Calibri"/>
                <w:bCs/>
                <w:color w:val="000000"/>
                <w:sz w:val="20"/>
                <w:szCs w:val="20"/>
              </w:rPr>
            </w:pPr>
            <w:r w:rsidRPr="00D90773">
              <w:rPr>
                <w:rFonts w:ascii="Palatino Linotype" w:eastAsia="Times New Roman" w:hAnsi="Palatino Linotype" w:cs="Calibri"/>
                <w:b/>
                <w:bCs/>
                <w:color w:val="000000"/>
                <w:sz w:val="20"/>
                <w:szCs w:val="20"/>
              </w:rPr>
              <w:t xml:space="preserve">Table </w:t>
            </w:r>
            <w:r w:rsidR="001F2F50">
              <w:rPr>
                <w:rFonts w:ascii="Palatino Linotype" w:eastAsia="Times New Roman" w:hAnsi="Palatino Linotype" w:cs="Calibri"/>
                <w:b/>
                <w:bCs/>
                <w:color w:val="000000"/>
                <w:sz w:val="20"/>
                <w:szCs w:val="20"/>
              </w:rPr>
              <w:t>3-4</w:t>
            </w:r>
            <w:r w:rsidRPr="00D90773">
              <w:rPr>
                <w:rFonts w:ascii="Palatino Linotype" w:eastAsia="Times New Roman" w:hAnsi="Palatino Linotype" w:cs="Calibri"/>
                <w:b/>
                <w:bCs/>
                <w:color w:val="000000"/>
                <w:sz w:val="20"/>
                <w:szCs w:val="20"/>
              </w:rPr>
              <w:t>.</w:t>
            </w:r>
            <w:r w:rsidRPr="00733809">
              <w:rPr>
                <w:rFonts w:ascii="Palatino Linotype" w:eastAsia="Times New Roman" w:hAnsi="Palatino Linotype" w:cs="Calibri"/>
                <w:bCs/>
                <w:color w:val="000000"/>
                <w:sz w:val="20"/>
                <w:szCs w:val="20"/>
              </w:rPr>
              <w:t xml:space="preserve"> Descriptive Statistics with Post-stratification Weights</w:t>
            </w:r>
          </w:p>
        </w:tc>
      </w:tr>
      <w:tr w:rsidR="00D90773" w:rsidRPr="00733809" w14:paraId="4564398C" w14:textId="77777777" w:rsidTr="00D90773">
        <w:trPr>
          <w:trHeight w:val="312"/>
          <w:jc w:val="center"/>
        </w:trPr>
        <w:tc>
          <w:tcPr>
            <w:tcW w:w="3510" w:type="dxa"/>
            <w:tcBorders>
              <w:top w:val="nil"/>
              <w:left w:val="nil"/>
              <w:bottom w:val="single" w:sz="12" w:space="0" w:color="auto"/>
              <w:right w:val="nil"/>
            </w:tcBorders>
            <w:shd w:val="clear" w:color="auto" w:fill="auto"/>
            <w:noWrap/>
            <w:vAlign w:val="bottom"/>
            <w:hideMark/>
          </w:tcPr>
          <w:p w14:paraId="0A19C32D"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Variable</w:t>
            </w:r>
          </w:p>
        </w:tc>
        <w:tc>
          <w:tcPr>
            <w:tcW w:w="900" w:type="dxa"/>
            <w:tcBorders>
              <w:top w:val="nil"/>
              <w:left w:val="nil"/>
              <w:bottom w:val="single" w:sz="12" w:space="0" w:color="auto"/>
              <w:right w:val="nil"/>
            </w:tcBorders>
            <w:shd w:val="clear" w:color="auto" w:fill="auto"/>
            <w:noWrap/>
            <w:vAlign w:val="bottom"/>
            <w:hideMark/>
          </w:tcPr>
          <w:p w14:paraId="19615A4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N</w:t>
            </w:r>
          </w:p>
        </w:tc>
        <w:tc>
          <w:tcPr>
            <w:tcW w:w="768" w:type="dxa"/>
            <w:tcBorders>
              <w:top w:val="nil"/>
              <w:left w:val="nil"/>
              <w:bottom w:val="single" w:sz="12" w:space="0" w:color="auto"/>
              <w:right w:val="nil"/>
            </w:tcBorders>
            <w:shd w:val="clear" w:color="auto" w:fill="auto"/>
            <w:noWrap/>
            <w:vAlign w:val="bottom"/>
            <w:hideMark/>
          </w:tcPr>
          <w:p w14:paraId="46D15A3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Mean</w:t>
            </w:r>
          </w:p>
        </w:tc>
        <w:tc>
          <w:tcPr>
            <w:tcW w:w="762" w:type="dxa"/>
            <w:tcBorders>
              <w:top w:val="nil"/>
              <w:left w:val="nil"/>
              <w:bottom w:val="single" w:sz="12" w:space="0" w:color="auto"/>
              <w:right w:val="nil"/>
            </w:tcBorders>
            <w:shd w:val="clear" w:color="auto" w:fill="auto"/>
            <w:noWrap/>
            <w:vAlign w:val="bottom"/>
            <w:hideMark/>
          </w:tcPr>
          <w:p w14:paraId="687DE210"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SD</w:t>
            </w:r>
          </w:p>
        </w:tc>
        <w:tc>
          <w:tcPr>
            <w:tcW w:w="630" w:type="dxa"/>
            <w:tcBorders>
              <w:top w:val="nil"/>
              <w:left w:val="nil"/>
              <w:bottom w:val="single" w:sz="12" w:space="0" w:color="auto"/>
              <w:right w:val="nil"/>
            </w:tcBorders>
            <w:shd w:val="clear" w:color="auto" w:fill="auto"/>
            <w:noWrap/>
            <w:vAlign w:val="bottom"/>
            <w:hideMark/>
          </w:tcPr>
          <w:p w14:paraId="40567EF7"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Min</w:t>
            </w:r>
          </w:p>
        </w:tc>
        <w:tc>
          <w:tcPr>
            <w:tcW w:w="630" w:type="dxa"/>
            <w:tcBorders>
              <w:top w:val="nil"/>
              <w:left w:val="nil"/>
              <w:bottom w:val="single" w:sz="12" w:space="0" w:color="auto"/>
              <w:right w:val="nil"/>
            </w:tcBorders>
            <w:shd w:val="clear" w:color="auto" w:fill="auto"/>
            <w:noWrap/>
            <w:vAlign w:val="bottom"/>
            <w:hideMark/>
          </w:tcPr>
          <w:p w14:paraId="5151ACEF"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Max</w:t>
            </w:r>
          </w:p>
        </w:tc>
      </w:tr>
      <w:tr w:rsidR="00D90773" w:rsidRPr="00733809" w14:paraId="658407F9" w14:textId="77777777" w:rsidTr="00D90773">
        <w:trPr>
          <w:trHeight w:val="312"/>
          <w:jc w:val="center"/>
        </w:trPr>
        <w:tc>
          <w:tcPr>
            <w:tcW w:w="3510" w:type="dxa"/>
            <w:tcBorders>
              <w:top w:val="single" w:sz="12" w:space="0" w:color="auto"/>
              <w:left w:val="nil"/>
              <w:bottom w:val="nil"/>
              <w:right w:val="nil"/>
            </w:tcBorders>
            <w:shd w:val="clear" w:color="auto" w:fill="auto"/>
            <w:noWrap/>
            <w:vAlign w:val="bottom"/>
            <w:hideMark/>
          </w:tcPr>
          <w:p w14:paraId="310078D7" w14:textId="77777777" w:rsidR="00D90773" w:rsidRPr="00733809" w:rsidRDefault="00D90773" w:rsidP="00967B87">
            <w:pPr>
              <w:spacing w:after="0" w:line="240" w:lineRule="auto"/>
              <w:rPr>
                <w:rFonts w:ascii="Palatino Linotype" w:eastAsia="Times New Roman" w:hAnsi="Palatino Linotype" w:cs="Calibri"/>
                <w:i/>
                <w:iCs/>
                <w:color w:val="000000"/>
              </w:rPr>
            </w:pPr>
            <w:r w:rsidRPr="00733809">
              <w:rPr>
                <w:rFonts w:ascii="Palatino Linotype" w:eastAsia="Times New Roman" w:hAnsi="Palatino Linotype" w:cs="Calibri"/>
                <w:i/>
                <w:iCs/>
                <w:color w:val="000000"/>
              </w:rPr>
              <w:t>Support for Tuition-Free College</w:t>
            </w:r>
          </w:p>
        </w:tc>
        <w:tc>
          <w:tcPr>
            <w:tcW w:w="900" w:type="dxa"/>
            <w:tcBorders>
              <w:top w:val="single" w:sz="12" w:space="0" w:color="auto"/>
              <w:left w:val="nil"/>
              <w:bottom w:val="nil"/>
              <w:right w:val="nil"/>
            </w:tcBorders>
            <w:shd w:val="clear" w:color="auto" w:fill="auto"/>
            <w:noWrap/>
            <w:vAlign w:val="bottom"/>
            <w:hideMark/>
          </w:tcPr>
          <w:p w14:paraId="7A28A6CB" w14:textId="77777777" w:rsidR="00D90773" w:rsidRPr="00733809" w:rsidRDefault="00D90773" w:rsidP="00967B87">
            <w:pPr>
              <w:spacing w:after="0" w:line="240" w:lineRule="auto"/>
              <w:rPr>
                <w:rFonts w:ascii="Palatino Linotype" w:eastAsia="Times New Roman" w:hAnsi="Palatino Linotype" w:cs="Calibri"/>
                <w:i/>
                <w:iCs/>
                <w:color w:val="000000"/>
              </w:rPr>
            </w:pPr>
          </w:p>
        </w:tc>
        <w:tc>
          <w:tcPr>
            <w:tcW w:w="768" w:type="dxa"/>
            <w:tcBorders>
              <w:top w:val="single" w:sz="12" w:space="0" w:color="auto"/>
              <w:left w:val="nil"/>
              <w:bottom w:val="nil"/>
              <w:right w:val="nil"/>
            </w:tcBorders>
            <w:shd w:val="clear" w:color="auto" w:fill="auto"/>
            <w:noWrap/>
            <w:vAlign w:val="bottom"/>
            <w:hideMark/>
          </w:tcPr>
          <w:p w14:paraId="0493C006" w14:textId="77777777" w:rsidR="00D90773" w:rsidRPr="00733809" w:rsidRDefault="00D90773" w:rsidP="00967B87">
            <w:pPr>
              <w:spacing w:after="0" w:line="240" w:lineRule="auto"/>
              <w:rPr>
                <w:rFonts w:ascii="Times New Roman" w:eastAsia="Times New Roman" w:hAnsi="Times New Roman" w:cs="Times New Roman"/>
                <w:sz w:val="20"/>
                <w:szCs w:val="20"/>
              </w:rPr>
            </w:pPr>
          </w:p>
        </w:tc>
        <w:tc>
          <w:tcPr>
            <w:tcW w:w="762" w:type="dxa"/>
            <w:tcBorders>
              <w:top w:val="single" w:sz="12" w:space="0" w:color="auto"/>
              <w:left w:val="nil"/>
              <w:bottom w:val="nil"/>
              <w:right w:val="nil"/>
            </w:tcBorders>
            <w:shd w:val="clear" w:color="auto" w:fill="auto"/>
            <w:noWrap/>
            <w:vAlign w:val="bottom"/>
            <w:hideMark/>
          </w:tcPr>
          <w:p w14:paraId="333A467A" w14:textId="77777777" w:rsidR="00D90773" w:rsidRPr="00733809" w:rsidRDefault="00D90773" w:rsidP="00967B87">
            <w:pPr>
              <w:spacing w:after="0" w:line="240" w:lineRule="auto"/>
              <w:rPr>
                <w:rFonts w:ascii="Times New Roman" w:eastAsia="Times New Roman" w:hAnsi="Times New Roman" w:cs="Times New Roman"/>
                <w:sz w:val="20"/>
                <w:szCs w:val="20"/>
              </w:rPr>
            </w:pPr>
          </w:p>
        </w:tc>
        <w:tc>
          <w:tcPr>
            <w:tcW w:w="630" w:type="dxa"/>
            <w:tcBorders>
              <w:top w:val="single" w:sz="12" w:space="0" w:color="auto"/>
              <w:left w:val="nil"/>
              <w:bottom w:val="nil"/>
              <w:right w:val="nil"/>
            </w:tcBorders>
            <w:shd w:val="clear" w:color="auto" w:fill="auto"/>
            <w:noWrap/>
            <w:vAlign w:val="bottom"/>
            <w:hideMark/>
          </w:tcPr>
          <w:p w14:paraId="5DAE74CF" w14:textId="77777777" w:rsidR="00D90773" w:rsidRPr="00733809" w:rsidRDefault="00D90773" w:rsidP="00967B87">
            <w:pPr>
              <w:spacing w:after="0" w:line="240" w:lineRule="auto"/>
              <w:rPr>
                <w:rFonts w:ascii="Times New Roman" w:eastAsia="Times New Roman" w:hAnsi="Times New Roman" w:cs="Times New Roman"/>
                <w:sz w:val="20"/>
                <w:szCs w:val="20"/>
              </w:rPr>
            </w:pPr>
          </w:p>
        </w:tc>
        <w:tc>
          <w:tcPr>
            <w:tcW w:w="630" w:type="dxa"/>
            <w:tcBorders>
              <w:top w:val="single" w:sz="12" w:space="0" w:color="auto"/>
              <w:left w:val="nil"/>
              <w:bottom w:val="nil"/>
              <w:right w:val="nil"/>
            </w:tcBorders>
            <w:shd w:val="clear" w:color="auto" w:fill="auto"/>
            <w:noWrap/>
            <w:vAlign w:val="bottom"/>
            <w:hideMark/>
          </w:tcPr>
          <w:p w14:paraId="08C415C6" w14:textId="77777777" w:rsidR="00D90773" w:rsidRPr="00733809" w:rsidRDefault="00D90773" w:rsidP="00967B87">
            <w:pPr>
              <w:spacing w:after="0" w:line="240" w:lineRule="auto"/>
              <w:rPr>
                <w:rFonts w:ascii="Times New Roman" w:eastAsia="Times New Roman" w:hAnsi="Times New Roman" w:cs="Times New Roman"/>
                <w:sz w:val="20"/>
                <w:szCs w:val="20"/>
              </w:rPr>
            </w:pPr>
          </w:p>
        </w:tc>
      </w:tr>
      <w:tr w:rsidR="00D90773" w:rsidRPr="00733809" w14:paraId="6313872B"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1532BA65"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Pre-test Support</w:t>
            </w:r>
          </w:p>
        </w:tc>
        <w:tc>
          <w:tcPr>
            <w:tcW w:w="900" w:type="dxa"/>
            <w:tcBorders>
              <w:top w:val="nil"/>
              <w:left w:val="nil"/>
              <w:bottom w:val="nil"/>
              <w:right w:val="nil"/>
            </w:tcBorders>
            <w:shd w:val="clear" w:color="auto" w:fill="auto"/>
            <w:noWrap/>
            <w:vAlign w:val="bottom"/>
            <w:hideMark/>
          </w:tcPr>
          <w:p w14:paraId="56256D7C"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2823</w:t>
            </w:r>
          </w:p>
        </w:tc>
        <w:tc>
          <w:tcPr>
            <w:tcW w:w="768" w:type="dxa"/>
            <w:tcBorders>
              <w:top w:val="nil"/>
              <w:left w:val="nil"/>
              <w:bottom w:val="nil"/>
              <w:right w:val="nil"/>
            </w:tcBorders>
            <w:shd w:val="clear" w:color="auto" w:fill="auto"/>
            <w:noWrap/>
            <w:vAlign w:val="bottom"/>
            <w:hideMark/>
          </w:tcPr>
          <w:p w14:paraId="74E6221C"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4.04</w:t>
            </w:r>
          </w:p>
        </w:tc>
        <w:tc>
          <w:tcPr>
            <w:tcW w:w="762" w:type="dxa"/>
            <w:tcBorders>
              <w:top w:val="nil"/>
              <w:left w:val="nil"/>
              <w:bottom w:val="nil"/>
              <w:right w:val="nil"/>
            </w:tcBorders>
            <w:shd w:val="clear" w:color="auto" w:fill="auto"/>
            <w:noWrap/>
            <w:vAlign w:val="bottom"/>
            <w:hideMark/>
          </w:tcPr>
          <w:p w14:paraId="3BB773E0"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1.06</w:t>
            </w:r>
          </w:p>
        </w:tc>
        <w:tc>
          <w:tcPr>
            <w:tcW w:w="630" w:type="dxa"/>
            <w:tcBorders>
              <w:top w:val="nil"/>
              <w:left w:val="nil"/>
              <w:bottom w:val="nil"/>
              <w:right w:val="nil"/>
            </w:tcBorders>
            <w:shd w:val="clear" w:color="auto" w:fill="auto"/>
            <w:noWrap/>
            <w:vAlign w:val="bottom"/>
            <w:hideMark/>
          </w:tcPr>
          <w:p w14:paraId="07E51AD7"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7B436200"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5</w:t>
            </w:r>
          </w:p>
        </w:tc>
      </w:tr>
      <w:tr w:rsidR="00D90773" w:rsidRPr="00733809" w14:paraId="76A90D5B"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7F356F7C"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Post-test Support</w:t>
            </w:r>
          </w:p>
        </w:tc>
        <w:tc>
          <w:tcPr>
            <w:tcW w:w="900" w:type="dxa"/>
            <w:tcBorders>
              <w:top w:val="nil"/>
              <w:left w:val="nil"/>
              <w:bottom w:val="nil"/>
              <w:right w:val="nil"/>
            </w:tcBorders>
            <w:shd w:val="clear" w:color="auto" w:fill="auto"/>
            <w:noWrap/>
            <w:vAlign w:val="bottom"/>
            <w:hideMark/>
          </w:tcPr>
          <w:p w14:paraId="4002D358"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2832</w:t>
            </w:r>
          </w:p>
        </w:tc>
        <w:tc>
          <w:tcPr>
            <w:tcW w:w="768" w:type="dxa"/>
            <w:tcBorders>
              <w:top w:val="nil"/>
              <w:left w:val="nil"/>
              <w:bottom w:val="nil"/>
              <w:right w:val="nil"/>
            </w:tcBorders>
            <w:shd w:val="clear" w:color="auto" w:fill="auto"/>
            <w:noWrap/>
            <w:vAlign w:val="bottom"/>
            <w:hideMark/>
          </w:tcPr>
          <w:p w14:paraId="4772B50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3.72</w:t>
            </w:r>
          </w:p>
        </w:tc>
        <w:tc>
          <w:tcPr>
            <w:tcW w:w="762" w:type="dxa"/>
            <w:tcBorders>
              <w:top w:val="nil"/>
              <w:left w:val="nil"/>
              <w:bottom w:val="nil"/>
              <w:right w:val="nil"/>
            </w:tcBorders>
            <w:shd w:val="clear" w:color="auto" w:fill="auto"/>
            <w:noWrap/>
            <w:vAlign w:val="bottom"/>
            <w:hideMark/>
          </w:tcPr>
          <w:p w14:paraId="1696BFA2"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1.05</w:t>
            </w:r>
          </w:p>
        </w:tc>
        <w:tc>
          <w:tcPr>
            <w:tcW w:w="630" w:type="dxa"/>
            <w:tcBorders>
              <w:top w:val="nil"/>
              <w:left w:val="nil"/>
              <w:bottom w:val="nil"/>
              <w:right w:val="nil"/>
            </w:tcBorders>
            <w:shd w:val="clear" w:color="auto" w:fill="auto"/>
            <w:noWrap/>
            <w:vAlign w:val="bottom"/>
            <w:hideMark/>
          </w:tcPr>
          <w:p w14:paraId="30425C48"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7CDAF2FF"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5</w:t>
            </w:r>
          </w:p>
        </w:tc>
      </w:tr>
      <w:tr w:rsidR="00D90773" w:rsidRPr="00733809" w14:paraId="2C76F344"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4E724B7A" w14:textId="77777777" w:rsidR="00D90773" w:rsidRPr="00733809" w:rsidRDefault="00D90773" w:rsidP="00967B87">
            <w:pPr>
              <w:spacing w:after="0" w:line="240" w:lineRule="auto"/>
              <w:rPr>
                <w:rFonts w:ascii="Palatino Linotype" w:eastAsia="Times New Roman" w:hAnsi="Palatino Linotype" w:cs="Calibri"/>
                <w:i/>
                <w:iCs/>
                <w:color w:val="000000"/>
              </w:rPr>
            </w:pPr>
            <w:r w:rsidRPr="00733809">
              <w:rPr>
                <w:rFonts w:ascii="Palatino Linotype" w:eastAsia="Times New Roman" w:hAnsi="Palatino Linotype" w:cs="Calibri"/>
                <w:i/>
                <w:iCs/>
                <w:color w:val="000000"/>
              </w:rPr>
              <w:t>Treatment Variables</w:t>
            </w:r>
          </w:p>
        </w:tc>
        <w:tc>
          <w:tcPr>
            <w:tcW w:w="900" w:type="dxa"/>
            <w:tcBorders>
              <w:top w:val="nil"/>
              <w:left w:val="nil"/>
              <w:bottom w:val="nil"/>
              <w:right w:val="nil"/>
            </w:tcBorders>
            <w:shd w:val="clear" w:color="auto" w:fill="auto"/>
            <w:noWrap/>
            <w:vAlign w:val="bottom"/>
            <w:hideMark/>
          </w:tcPr>
          <w:p w14:paraId="11C6650F" w14:textId="77777777" w:rsidR="00D90773" w:rsidRPr="00733809" w:rsidRDefault="00D90773" w:rsidP="00967B87">
            <w:pPr>
              <w:spacing w:after="0" w:line="240" w:lineRule="auto"/>
              <w:rPr>
                <w:rFonts w:ascii="Palatino Linotype" w:eastAsia="Times New Roman" w:hAnsi="Palatino Linotype" w:cs="Calibri"/>
                <w:i/>
                <w:iCs/>
                <w:color w:val="000000"/>
              </w:rPr>
            </w:pPr>
          </w:p>
        </w:tc>
        <w:tc>
          <w:tcPr>
            <w:tcW w:w="768" w:type="dxa"/>
            <w:tcBorders>
              <w:top w:val="nil"/>
              <w:left w:val="nil"/>
              <w:bottom w:val="nil"/>
              <w:right w:val="nil"/>
            </w:tcBorders>
            <w:shd w:val="clear" w:color="auto" w:fill="auto"/>
            <w:noWrap/>
            <w:vAlign w:val="bottom"/>
            <w:hideMark/>
          </w:tcPr>
          <w:p w14:paraId="031FACD8"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762" w:type="dxa"/>
            <w:tcBorders>
              <w:top w:val="nil"/>
              <w:left w:val="nil"/>
              <w:bottom w:val="nil"/>
              <w:right w:val="nil"/>
            </w:tcBorders>
            <w:shd w:val="clear" w:color="auto" w:fill="auto"/>
            <w:noWrap/>
            <w:vAlign w:val="bottom"/>
            <w:hideMark/>
          </w:tcPr>
          <w:p w14:paraId="71369D61"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630" w:type="dxa"/>
            <w:tcBorders>
              <w:top w:val="nil"/>
              <w:left w:val="nil"/>
              <w:bottom w:val="nil"/>
              <w:right w:val="nil"/>
            </w:tcBorders>
            <w:shd w:val="clear" w:color="auto" w:fill="auto"/>
            <w:noWrap/>
            <w:vAlign w:val="bottom"/>
            <w:hideMark/>
          </w:tcPr>
          <w:p w14:paraId="574073F2"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630" w:type="dxa"/>
            <w:tcBorders>
              <w:top w:val="nil"/>
              <w:left w:val="nil"/>
              <w:bottom w:val="nil"/>
              <w:right w:val="nil"/>
            </w:tcBorders>
            <w:shd w:val="clear" w:color="auto" w:fill="auto"/>
            <w:noWrap/>
            <w:vAlign w:val="bottom"/>
            <w:hideMark/>
          </w:tcPr>
          <w:p w14:paraId="5EACF66F"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r>
      <w:tr w:rsidR="00D90773" w:rsidRPr="00733809" w14:paraId="35865217"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6A5F439A"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Family Income Cap</w:t>
            </w:r>
          </w:p>
        </w:tc>
        <w:tc>
          <w:tcPr>
            <w:tcW w:w="900" w:type="dxa"/>
            <w:tcBorders>
              <w:top w:val="nil"/>
              <w:left w:val="nil"/>
              <w:bottom w:val="nil"/>
              <w:right w:val="nil"/>
            </w:tcBorders>
            <w:shd w:val="clear" w:color="auto" w:fill="auto"/>
            <w:noWrap/>
            <w:vAlign w:val="bottom"/>
            <w:hideMark/>
          </w:tcPr>
          <w:p w14:paraId="63B16B38"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2850</w:t>
            </w:r>
          </w:p>
        </w:tc>
        <w:tc>
          <w:tcPr>
            <w:tcW w:w="768" w:type="dxa"/>
            <w:tcBorders>
              <w:top w:val="nil"/>
              <w:left w:val="nil"/>
              <w:bottom w:val="nil"/>
              <w:right w:val="nil"/>
            </w:tcBorders>
            <w:shd w:val="clear" w:color="auto" w:fill="auto"/>
            <w:noWrap/>
            <w:vAlign w:val="bottom"/>
            <w:hideMark/>
          </w:tcPr>
          <w:p w14:paraId="286B425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0.49</w:t>
            </w:r>
          </w:p>
        </w:tc>
        <w:tc>
          <w:tcPr>
            <w:tcW w:w="762" w:type="dxa"/>
            <w:tcBorders>
              <w:top w:val="nil"/>
              <w:left w:val="nil"/>
              <w:bottom w:val="nil"/>
              <w:right w:val="nil"/>
            </w:tcBorders>
            <w:shd w:val="clear" w:color="auto" w:fill="auto"/>
            <w:noWrap/>
            <w:vAlign w:val="bottom"/>
            <w:hideMark/>
          </w:tcPr>
          <w:p w14:paraId="35DD259A"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0.50</w:t>
            </w:r>
          </w:p>
        </w:tc>
        <w:tc>
          <w:tcPr>
            <w:tcW w:w="630" w:type="dxa"/>
            <w:tcBorders>
              <w:top w:val="nil"/>
              <w:left w:val="nil"/>
              <w:bottom w:val="nil"/>
              <w:right w:val="nil"/>
            </w:tcBorders>
            <w:shd w:val="clear" w:color="auto" w:fill="auto"/>
            <w:noWrap/>
            <w:vAlign w:val="bottom"/>
            <w:hideMark/>
          </w:tcPr>
          <w:p w14:paraId="7FF8538B"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w:t>
            </w:r>
          </w:p>
        </w:tc>
        <w:tc>
          <w:tcPr>
            <w:tcW w:w="630" w:type="dxa"/>
            <w:tcBorders>
              <w:top w:val="nil"/>
              <w:left w:val="nil"/>
              <w:bottom w:val="nil"/>
              <w:right w:val="nil"/>
            </w:tcBorders>
            <w:shd w:val="clear" w:color="auto" w:fill="auto"/>
            <w:noWrap/>
            <w:vAlign w:val="bottom"/>
            <w:hideMark/>
          </w:tcPr>
          <w:p w14:paraId="74A9EA16"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r>
      <w:tr w:rsidR="00D90773" w:rsidRPr="00733809" w14:paraId="129B9468"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7D081F2F"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Academic Merit Requirement</w:t>
            </w:r>
          </w:p>
        </w:tc>
        <w:tc>
          <w:tcPr>
            <w:tcW w:w="900" w:type="dxa"/>
            <w:tcBorders>
              <w:top w:val="nil"/>
              <w:left w:val="nil"/>
              <w:bottom w:val="nil"/>
              <w:right w:val="nil"/>
            </w:tcBorders>
            <w:shd w:val="clear" w:color="auto" w:fill="auto"/>
            <w:noWrap/>
            <w:vAlign w:val="bottom"/>
            <w:hideMark/>
          </w:tcPr>
          <w:p w14:paraId="3BA13E5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2850</w:t>
            </w:r>
          </w:p>
        </w:tc>
        <w:tc>
          <w:tcPr>
            <w:tcW w:w="768" w:type="dxa"/>
            <w:tcBorders>
              <w:top w:val="nil"/>
              <w:left w:val="nil"/>
              <w:bottom w:val="nil"/>
              <w:right w:val="nil"/>
            </w:tcBorders>
            <w:shd w:val="clear" w:color="auto" w:fill="auto"/>
            <w:noWrap/>
            <w:vAlign w:val="bottom"/>
            <w:hideMark/>
          </w:tcPr>
          <w:p w14:paraId="33E0872A"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0.53</w:t>
            </w:r>
          </w:p>
        </w:tc>
        <w:tc>
          <w:tcPr>
            <w:tcW w:w="762" w:type="dxa"/>
            <w:tcBorders>
              <w:top w:val="nil"/>
              <w:left w:val="nil"/>
              <w:bottom w:val="nil"/>
              <w:right w:val="nil"/>
            </w:tcBorders>
            <w:shd w:val="clear" w:color="auto" w:fill="auto"/>
            <w:noWrap/>
            <w:vAlign w:val="bottom"/>
            <w:hideMark/>
          </w:tcPr>
          <w:p w14:paraId="47AE12A6"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0.50</w:t>
            </w:r>
          </w:p>
        </w:tc>
        <w:tc>
          <w:tcPr>
            <w:tcW w:w="630" w:type="dxa"/>
            <w:tcBorders>
              <w:top w:val="nil"/>
              <w:left w:val="nil"/>
              <w:bottom w:val="nil"/>
              <w:right w:val="nil"/>
            </w:tcBorders>
            <w:shd w:val="clear" w:color="auto" w:fill="auto"/>
            <w:noWrap/>
            <w:vAlign w:val="bottom"/>
            <w:hideMark/>
          </w:tcPr>
          <w:p w14:paraId="7C0E5393"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w:t>
            </w:r>
          </w:p>
        </w:tc>
        <w:tc>
          <w:tcPr>
            <w:tcW w:w="630" w:type="dxa"/>
            <w:tcBorders>
              <w:top w:val="nil"/>
              <w:left w:val="nil"/>
              <w:bottom w:val="nil"/>
              <w:right w:val="nil"/>
            </w:tcBorders>
            <w:shd w:val="clear" w:color="auto" w:fill="auto"/>
            <w:noWrap/>
            <w:vAlign w:val="bottom"/>
            <w:hideMark/>
          </w:tcPr>
          <w:p w14:paraId="4CA9367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r>
      <w:tr w:rsidR="00D90773" w:rsidRPr="00733809" w14:paraId="6161F40B"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75990217" w14:textId="77777777" w:rsidR="00D90773" w:rsidRPr="00733809" w:rsidRDefault="00D90773" w:rsidP="00967B87">
            <w:pPr>
              <w:spacing w:after="0" w:line="240" w:lineRule="auto"/>
              <w:rPr>
                <w:rFonts w:ascii="Palatino Linotype" w:eastAsia="Times New Roman" w:hAnsi="Palatino Linotype" w:cs="Calibri"/>
                <w:i/>
                <w:iCs/>
                <w:color w:val="000000"/>
              </w:rPr>
            </w:pPr>
            <w:r w:rsidRPr="00733809">
              <w:rPr>
                <w:rFonts w:ascii="Palatino Linotype" w:eastAsia="Times New Roman" w:hAnsi="Palatino Linotype" w:cs="Calibri"/>
                <w:i/>
                <w:iCs/>
                <w:color w:val="000000"/>
              </w:rPr>
              <w:t>Control Variables</w:t>
            </w:r>
          </w:p>
        </w:tc>
        <w:tc>
          <w:tcPr>
            <w:tcW w:w="900" w:type="dxa"/>
            <w:tcBorders>
              <w:top w:val="nil"/>
              <w:left w:val="nil"/>
              <w:bottom w:val="nil"/>
              <w:right w:val="nil"/>
            </w:tcBorders>
            <w:shd w:val="clear" w:color="auto" w:fill="auto"/>
            <w:noWrap/>
            <w:vAlign w:val="bottom"/>
            <w:hideMark/>
          </w:tcPr>
          <w:p w14:paraId="09F221EC" w14:textId="77777777" w:rsidR="00D90773" w:rsidRPr="00733809" w:rsidRDefault="00D90773" w:rsidP="00967B87">
            <w:pPr>
              <w:spacing w:after="0" w:line="240" w:lineRule="auto"/>
              <w:rPr>
                <w:rFonts w:ascii="Palatino Linotype" w:eastAsia="Times New Roman" w:hAnsi="Palatino Linotype" w:cs="Calibri"/>
                <w:i/>
                <w:iCs/>
                <w:color w:val="000000"/>
              </w:rPr>
            </w:pPr>
          </w:p>
        </w:tc>
        <w:tc>
          <w:tcPr>
            <w:tcW w:w="768" w:type="dxa"/>
            <w:tcBorders>
              <w:top w:val="nil"/>
              <w:left w:val="nil"/>
              <w:bottom w:val="nil"/>
              <w:right w:val="nil"/>
            </w:tcBorders>
            <w:shd w:val="clear" w:color="auto" w:fill="auto"/>
            <w:noWrap/>
            <w:vAlign w:val="bottom"/>
            <w:hideMark/>
          </w:tcPr>
          <w:p w14:paraId="290C0E10"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762" w:type="dxa"/>
            <w:tcBorders>
              <w:top w:val="nil"/>
              <w:left w:val="nil"/>
              <w:bottom w:val="nil"/>
              <w:right w:val="nil"/>
            </w:tcBorders>
            <w:shd w:val="clear" w:color="auto" w:fill="auto"/>
            <w:noWrap/>
            <w:vAlign w:val="bottom"/>
            <w:hideMark/>
          </w:tcPr>
          <w:p w14:paraId="4E843F8C"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630" w:type="dxa"/>
            <w:tcBorders>
              <w:top w:val="nil"/>
              <w:left w:val="nil"/>
              <w:bottom w:val="nil"/>
              <w:right w:val="nil"/>
            </w:tcBorders>
            <w:shd w:val="clear" w:color="auto" w:fill="auto"/>
            <w:noWrap/>
            <w:vAlign w:val="bottom"/>
            <w:hideMark/>
          </w:tcPr>
          <w:p w14:paraId="4286BF7E"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c>
          <w:tcPr>
            <w:tcW w:w="630" w:type="dxa"/>
            <w:tcBorders>
              <w:top w:val="nil"/>
              <w:left w:val="nil"/>
              <w:bottom w:val="nil"/>
              <w:right w:val="nil"/>
            </w:tcBorders>
            <w:shd w:val="clear" w:color="auto" w:fill="auto"/>
            <w:noWrap/>
            <w:vAlign w:val="bottom"/>
            <w:hideMark/>
          </w:tcPr>
          <w:p w14:paraId="466D1240" w14:textId="77777777" w:rsidR="00D90773" w:rsidRPr="00733809" w:rsidRDefault="00D90773" w:rsidP="00967B87">
            <w:pPr>
              <w:spacing w:after="0" w:line="240" w:lineRule="auto"/>
              <w:jc w:val="center"/>
              <w:rPr>
                <w:rFonts w:ascii="Times New Roman" w:eastAsia="Times New Roman" w:hAnsi="Times New Roman" w:cs="Times New Roman"/>
                <w:sz w:val="20"/>
                <w:szCs w:val="20"/>
              </w:rPr>
            </w:pPr>
          </w:p>
        </w:tc>
      </w:tr>
      <w:tr w:rsidR="00D90773" w:rsidRPr="00733809" w14:paraId="44CD00ED"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05DC3F30"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White</w:t>
            </w:r>
          </w:p>
        </w:tc>
        <w:tc>
          <w:tcPr>
            <w:tcW w:w="900" w:type="dxa"/>
            <w:tcBorders>
              <w:top w:val="nil"/>
              <w:left w:val="nil"/>
              <w:bottom w:val="nil"/>
              <w:right w:val="nil"/>
            </w:tcBorders>
            <w:shd w:val="clear" w:color="auto" w:fill="auto"/>
            <w:noWrap/>
            <w:vAlign w:val="bottom"/>
            <w:hideMark/>
          </w:tcPr>
          <w:p w14:paraId="6D70CB35"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2850</w:t>
            </w:r>
          </w:p>
        </w:tc>
        <w:tc>
          <w:tcPr>
            <w:tcW w:w="768" w:type="dxa"/>
            <w:tcBorders>
              <w:top w:val="nil"/>
              <w:left w:val="nil"/>
              <w:bottom w:val="nil"/>
              <w:right w:val="nil"/>
            </w:tcBorders>
            <w:shd w:val="clear" w:color="auto" w:fill="auto"/>
            <w:noWrap/>
            <w:vAlign w:val="bottom"/>
            <w:hideMark/>
          </w:tcPr>
          <w:p w14:paraId="1B30A7FE"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0.81</w:t>
            </w:r>
          </w:p>
        </w:tc>
        <w:tc>
          <w:tcPr>
            <w:tcW w:w="762" w:type="dxa"/>
            <w:tcBorders>
              <w:top w:val="nil"/>
              <w:left w:val="nil"/>
              <w:bottom w:val="nil"/>
              <w:right w:val="nil"/>
            </w:tcBorders>
            <w:shd w:val="clear" w:color="auto" w:fill="auto"/>
            <w:noWrap/>
            <w:vAlign w:val="bottom"/>
            <w:hideMark/>
          </w:tcPr>
          <w:p w14:paraId="34A978F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0.39</w:t>
            </w:r>
          </w:p>
        </w:tc>
        <w:tc>
          <w:tcPr>
            <w:tcW w:w="630" w:type="dxa"/>
            <w:tcBorders>
              <w:top w:val="nil"/>
              <w:left w:val="nil"/>
              <w:bottom w:val="nil"/>
              <w:right w:val="nil"/>
            </w:tcBorders>
            <w:shd w:val="clear" w:color="auto" w:fill="auto"/>
            <w:noWrap/>
            <w:vAlign w:val="bottom"/>
            <w:hideMark/>
          </w:tcPr>
          <w:p w14:paraId="64917BD5"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w:t>
            </w:r>
          </w:p>
        </w:tc>
        <w:tc>
          <w:tcPr>
            <w:tcW w:w="630" w:type="dxa"/>
            <w:tcBorders>
              <w:top w:val="nil"/>
              <w:left w:val="nil"/>
              <w:bottom w:val="nil"/>
              <w:right w:val="nil"/>
            </w:tcBorders>
            <w:shd w:val="clear" w:color="auto" w:fill="auto"/>
            <w:noWrap/>
            <w:vAlign w:val="bottom"/>
            <w:hideMark/>
          </w:tcPr>
          <w:p w14:paraId="3C4882C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r>
      <w:tr w:rsidR="00D90773" w:rsidRPr="00733809" w14:paraId="1F8C204B"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07A963A3"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Male</w:t>
            </w:r>
          </w:p>
        </w:tc>
        <w:tc>
          <w:tcPr>
            <w:tcW w:w="900" w:type="dxa"/>
            <w:tcBorders>
              <w:top w:val="nil"/>
              <w:left w:val="nil"/>
              <w:bottom w:val="nil"/>
              <w:right w:val="nil"/>
            </w:tcBorders>
            <w:shd w:val="clear" w:color="auto" w:fill="auto"/>
            <w:noWrap/>
            <w:vAlign w:val="bottom"/>
            <w:hideMark/>
          </w:tcPr>
          <w:p w14:paraId="0860080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2850</w:t>
            </w:r>
          </w:p>
        </w:tc>
        <w:tc>
          <w:tcPr>
            <w:tcW w:w="768" w:type="dxa"/>
            <w:tcBorders>
              <w:top w:val="nil"/>
              <w:left w:val="nil"/>
              <w:bottom w:val="nil"/>
              <w:right w:val="nil"/>
            </w:tcBorders>
            <w:shd w:val="clear" w:color="auto" w:fill="auto"/>
            <w:noWrap/>
            <w:vAlign w:val="bottom"/>
            <w:hideMark/>
          </w:tcPr>
          <w:p w14:paraId="6720EE00"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0.49</w:t>
            </w:r>
          </w:p>
        </w:tc>
        <w:tc>
          <w:tcPr>
            <w:tcW w:w="762" w:type="dxa"/>
            <w:tcBorders>
              <w:top w:val="nil"/>
              <w:left w:val="nil"/>
              <w:bottom w:val="nil"/>
              <w:right w:val="nil"/>
            </w:tcBorders>
            <w:shd w:val="clear" w:color="auto" w:fill="auto"/>
            <w:noWrap/>
            <w:vAlign w:val="bottom"/>
            <w:hideMark/>
          </w:tcPr>
          <w:p w14:paraId="755760B2"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0.50</w:t>
            </w:r>
          </w:p>
        </w:tc>
        <w:tc>
          <w:tcPr>
            <w:tcW w:w="630" w:type="dxa"/>
            <w:tcBorders>
              <w:top w:val="nil"/>
              <w:left w:val="nil"/>
              <w:bottom w:val="nil"/>
              <w:right w:val="nil"/>
            </w:tcBorders>
            <w:shd w:val="clear" w:color="auto" w:fill="auto"/>
            <w:noWrap/>
            <w:vAlign w:val="bottom"/>
            <w:hideMark/>
          </w:tcPr>
          <w:p w14:paraId="34257FAE"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w:t>
            </w:r>
          </w:p>
        </w:tc>
        <w:tc>
          <w:tcPr>
            <w:tcW w:w="630" w:type="dxa"/>
            <w:tcBorders>
              <w:top w:val="nil"/>
              <w:left w:val="nil"/>
              <w:bottom w:val="nil"/>
              <w:right w:val="nil"/>
            </w:tcBorders>
            <w:shd w:val="clear" w:color="auto" w:fill="auto"/>
            <w:noWrap/>
            <w:vAlign w:val="bottom"/>
            <w:hideMark/>
          </w:tcPr>
          <w:p w14:paraId="1DA0092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r>
      <w:tr w:rsidR="00D90773" w:rsidRPr="00733809" w14:paraId="03623F34"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5DBFB223"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Income</w:t>
            </w:r>
          </w:p>
        </w:tc>
        <w:tc>
          <w:tcPr>
            <w:tcW w:w="900" w:type="dxa"/>
            <w:tcBorders>
              <w:top w:val="nil"/>
              <w:left w:val="nil"/>
              <w:bottom w:val="nil"/>
              <w:right w:val="nil"/>
            </w:tcBorders>
            <w:shd w:val="clear" w:color="auto" w:fill="auto"/>
            <w:noWrap/>
            <w:vAlign w:val="bottom"/>
            <w:hideMark/>
          </w:tcPr>
          <w:p w14:paraId="1E21E134"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2796</w:t>
            </w:r>
          </w:p>
        </w:tc>
        <w:tc>
          <w:tcPr>
            <w:tcW w:w="768" w:type="dxa"/>
            <w:tcBorders>
              <w:top w:val="nil"/>
              <w:left w:val="nil"/>
              <w:bottom w:val="nil"/>
              <w:right w:val="nil"/>
            </w:tcBorders>
            <w:shd w:val="clear" w:color="auto" w:fill="auto"/>
            <w:noWrap/>
            <w:vAlign w:val="bottom"/>
            <w:hideMark/>
          </w:tcPr>
          <w:p w14:paraId="14C93E5E"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6.70</w:t>
            </w:r>
          </w:p>
        </w:tc>
        <w:tc>
          <w:tcPr>
            <w:tcW w:w="762" w:type="dxa"/>
            <w:tcBorders>
              <w:top w:val="nil"/>
              <w:left w:val="nil"/>
              <w:bottom w:val="nil"/>
              <w:right w:val="nil"/>
            </w:tcBorders>
            <w:shd w:val="clear" w:color="auto" w:fill="auto"/>
            <w:noWrap/>
            <w:vAlign w:val="bottom"/>
            <w:hideMark/>
          </w:tcPr>
          <w:p w14:paraId="076A51A7"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4.70</w:t>
            </w:r>
          </w:p>
        </w:tc>
        <w:tc>
          <w:tcPr>
            <w:tcW w:w="630" w:type="dxa"/>
            <w:tcBorders>
              <w:top w:val="nil"/>
              <w:left w:val="nil"/>
              <w:bottom w:val="nil"/>
              <w:right w:val="nil"/>
            </w:tcBorders>
            <w:shd w:val="clear" w:color="auto" w:fill="auto"/>
            <w:noWrap/>
            <w:vAlign w:val="bottom"/>
            <w:hideMark/>
          </w:tcPr>
          <w:p w14:paraId="14CB1B4F"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4EE35C8C"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21</w:t>
            </w:r>
          </w:p>
        </w:tc>
      </w:tr>
      <w:tr w:rsidR="00D90773" w:rsidRPr="00733809" w14:paraId="20DE0E00"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6B1F6749"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Age</w:t>
            </w:r>
          </w:p>
        </w:tc>
        <w:tc>
          <w:tcPr>
            <w:tcW w:w="900" w:type="dxa"/>
            <w:tcBorders>
              <w:top w:val="nil"/>
              <w:left w:val="nil"/>
              <w:bottom w:val="nil"/>
              <w:right w:val="nil"/>
            </w:tcBorders>
            <w:shd w:val="clear" w:color="auto" w:fill="auto"/>
            <w:noWrap/>
            <w:vAlign w:val="bottom"/>
            <w:hideMark/>
          </w:tcPr>
          <w:p w14:paraId="2ECA3A9B"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2839</w:t>
            </w:r>
          </w:p>
        </w:tc>
        <w:tc>
          <w:tcPr>
            <w:tcW w:w="768" w:type="dxa"/>
            <w:tcBorders>
              <w:top w:val="nil"/>
              <w:left w:val="nil"/>
              <w:bottom w:val="nil"/>
              <w:right w:val="nil"/>
            </w:tcBorders>
            <w:shd w:val="clear" w:color="auto" w:fill="auto"/>
            <w:noWrap/>
            <w:vAlign w:val="bottom"/>
            <w:hideMark/>
          </w:tcPr>
          <w:p w14:paraId="1F37131E"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46.52</w:t>
            </w:r>
          </w:p>
        </w:tc>
        <w:tc>
          <w:tcPr>
            <w:tcW w:w="762" w:type="dxa"/>
            <w:tcBorders>
              <w:top w:val="nil"/>
              <w:left w:val="nil"/>
              <w:bottom w:val="nil"/>
              <w:right w:val="nil"/>
            </w:tcBorders>
            <w:shd w:val="clear" w:color="auto" w:fill="auto"/>
            <w:noWrap/>
            <w:vAlign w:val="bottom"/>
            <w:hideMark/>
          </w:tcPr>
          <w:p w14:paraId="1EE53254"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17.42</w:t>
            </w:r>
          </w:p>
        </w:tc>
        <w:tc>
          <w:tcPr>
            <w:tcW w:w="630" w:type="dxa"/>
            <w:tcBorders>
              <w:top w:val="nil"/>
              <w:left w:val="nil"/>
              <w:bottom w:val="nil"/>
              <w:right w:val="nil"/>
            </w:tcBorders>
            <w:shd w:val="clear" w:color="auto" w:fill="auto"/>
            <w:noWrap/>
            <w:vAlign w:val="bottom"/>
            <w:hideMark/>
          </w:tcPr>
          <w:p w14:paraId="59C87E7B"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18</w:t>
            </w:r>
          </w:p>
        </w:tc>
        <w:tc>
          <w:tcPr>
            <w:tcW w:w="630" w:type="dxa"/>
            <w:tcBorders>
              <w:top w:val="nil"/>
              <w:left w:val="nil"/>
              <w:bottom w:val="nil"/>
              <w:right w:val="nil"/>
            </w:tcBorders>
            <w:shd w:val="clear" w:color="auto" w:fill="auto"/>
            <w:noWrap/>
            <w:vAlign w:val="bottom"/>
            <w:hideMark/>
          </w:tcPr>
          <w:p w14:paraId="7BA916D6"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91</w:t>
            </w:r>
          </w:p>
        </w:tc>
      </w:tr>
      <w:tr w:rsidR="00D90773" w:rsidRPr="00733809" w14:paraId="3CC3724C"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01CBCC07"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Region</w:t>
            </w:r>
          </w:p>
        </w:tc>
        <w:tc>
          <w:tcPr>
            <w:tcW w:w="900" w:type="dxa"/>
            <w:tcBorders>
              <w:top w:val="nil"/>
              <w:left w:val="nil"/>
              <w:bottom w:val="nil"/>
              <w:right w:val="nil"/>
            </w:tcBorders>
            <w:shd w:val="clear" w:color="auto" w:fill="auto"/>
            <w:noWrap/>
            <w:vAlign w:val="bottom"/>
            <w:hideMark/>
          </w:tcPr>
          <w:p w14:paraId="025EDA99"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2850</w:t>
            </w:r>
          </w:p>
        </w:tc>
        <w:tc>
          <w:tcPr>
            <w:tcW w:w="768" w:type="dxa"/>
            <w:tcBorders>
              <w:top w:val="nil"/>
              <w:left w:val="nil"/>
              <w:bottom w:val="nil"/>
              <w:right w:val="nil"/>
            </w:tcBorders>
            <w:shd w:val="clear" w:color="auto" w:fill="auto"/>
            <w:noWrap/>
            <w:vAlign w:val="bottom"/>
            <w:hideMark/>
          </w:tcPr>
          <w:p w14:paraId="0BF4DFF4"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2.63</w:t>
            </w:r>
          </w:p>
        </w:tc>
        <w:tc>
          <w:tcPr>
            <w:tcW w:w="762" w:type="dxa"/>
            <w:tcBorders>
              <w:top w:val="nil"/>
              <w:left w:val="nil"/>
              <w:bottom w:val="nil"/>
              <w:right w:val="nil"/>
            </w:tcBorders>
            <w:shd w:val="clear" w:color="auto" w:fill="auto"/>
            <w:noWrap/>
            <w:vAlign w:val="bottom"/>
            <w:hideMark/>
          </w:tcPr>
          <w:p w14:paraId="4C4038E0"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1.02</w:t>
            </w:r>
          </w:p>
        </w:tc>
        <w:tc>
          <w:tcPr>
            <w:tcW w:w="630" w:type="dxa"/>
            <w:tcBorders>
              <w:top w:val="nil"/>
              <w:left w:val="nil"/>
              <w:bottom w:val="nil"/>
              <w:right w:val="nil"/>
            </w:tcBorders>
            <w:shd w:val="clear" w:color="auto" w:fill="auto"/>
            <w:noWrap/>
            <w:vAlign w:val="bottom"/>
            <w:hideMark/>
          </w:tcPr>
          <w:p w14:paraId="56D2C627"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6F08B98E"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w:t>
            </w:r>
          </w:p>
        </w:tc>
      </w:tr>
      <w:tr w:rsidR="00D90773" w:rsidRPr="00733809" w14:paraId="56FDEEE5"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3104B53D"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Education</w:t>
            </w:r>
          </w:p>
        </w:tc>
        <w:tc>
          <w:tcPr>
            <w:tcW w:w="900" w:type="dxa"/>
            <w:tcBorders>
              <w:top w:val="nil"/>
              <w:left w:val="nil"/>
              <w:bottom w:val="nil"/>
              <w:right w:val="nil"/>
            </w:tcBorders>
            <w:shd w:val="clear" w:color="auto" w:fill="auto"/>
            <w:noWrap/>
            <w:vAlign w:val="bottom"/>
            <w:hideMark/>
          </w:tcPr>
          <w:p w14:paraId="1CA9A0A8"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2841</w:t>
            </w:r>
          </w:p>
        </w:tc>
        <w:tc>
          <w:tcPr>
            <w:tcW w:w="768" w:type="dxa"/>
            <w:tcBorders>
              <w:top w:val="nil"/>
              <w:left w:val="nil"/>
              <w:bottom w:val="nil"/>
              <w:right w:val="nil"/>
            </w:tcBorders>
            <w:shd w:val="clear" w:color="auto" w:fill="auto"/>
            <w:noWrap/>
            <w:vAlign w:val="bottom"/>
            <w:hideMark/>
          </w:tcPr>
          <w:p w14:paraId="3285090D"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4.52</w:t>
            </w:r>
          </w:p>
        </w:tc>
        <w:tc>
          <w:tcPr>
            <w:tcW w:w="762" w:type="dxa"/>
            <w:tcBorders>
              <w:top w:val="nil"/>
              <w:left w:val="nil"/>
              <w:bottom w:val="nil"/>
              <w:right w:val="nil"/>
            </w:tcBorders>
            <w:shd w:val="clear" w:color="auto" w:fill="auto"/>
            <w:noWrap/>
            <w:vAlign w:val="bottom"/>
            <w:hideMark/>
          </w:tcPr>
          <w:p w14:paraId="34B8FE28"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1.79</w:t>
            </w:r>
          </w:p>
        </w:tc>
        <w:tc>
          <w:tcPr>
            <w:tcW w:w="630" w:type="dxa"/>
            <w:tcBorders>
              <w:top w:val="nil"/>
              <w:left w:val="nil"/>
              <w:bottom w:val="nil"/>
              <w:right w:val="nil"/>
            </w:tcBorders>
            <w:shd w:val="clear" w:color="auto" w:fill="auto"/>
            <w:noWrap/>
            <w:vAlign w:val="bottom"/>
            <w:hideMark/>
          </w:tcPr>
          <w:p w14:paraId="37FB147B"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364D8541"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8</w:t>
            </w:r>
          </w:p>
        </w:tc>
      </w:tr>
      <w:tr w:rsidR="00D90773" w:rsidRPr="00733809" w14:paraId="5CC4224F" w14:textId="77777777" w:rsidTr="00D90773">
        <w:trPr>
          <w:trHeight w:val="312"/>
          <w:jc w:val="center"/>
        </w:trPr>
        <w:tc>
          <w:tcPr>
            <w:tcW w:w="3510" w:type="dxa"/>
            <w:tcBorders>
              <w:top w:val="nil"/>
              <w:left w:val="nil"/>
              <w:bottom w:val="nil"/>
              <w:right w:val="nil"/>
            </w:tcBorders>
            <w:shd w:val="clear" w:color="auto" w:fill="auto"/>
            <w:noWrap/>
            <w:vAlign w:val="bottom"/>
            <w:hideMark/>
          </w:tcPr>
          <w:p w14:paraId="66C2B0B0"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Ideology</w:t>
            </w:r>
          </w:p>
        </w:tc>
        <w:tc>
          <w:tcPr>
            <w:tcW w:w="900" w:type="dxa"/>
            <w:tcBorders>
              <w:top w:val="nil"/>
              <w:left w:val="nil"/>
              <w:bottom w:val="nil"/>
              <w:right w:val="nil"/>
            </w:tcBorders>
            <w:shd w:val="clear" w:color="auto" w:fill="auto"/>
            <w:noWrap/>
            <w:vAlign w:val="bottom"/>
            <w:hideMark/>
          </w:tcPr>
          <w:p w14:paraId="5601468C"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2836</w:t>
            </w:r>
          </w:p>
        </w:tc>
        <w:tc>
          <w:tcPr>
            <w:tcW w:w="768" w:type="dxa"/>
            <w:tcBorders>
              <w:top w:val="nil"/>
              <w:left w:val="nil"/>
              <w:bottom w:val="nil"/>
              <w:right w:val="nil"/>
            </w:tcBorders>
            <w:shd w:val="clear" w:color="auto" w:fill="auto"/>
            <w:noWrap/>
            <w:vAlign w:val="bottom"/>
            <w:hideMark/>
          </w:tcPr>
          <w:p w14:paraId="09FC574F"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4.04</w:t>
            </w:r>
          </w:p>
        </w:tc>
        <w:tc>
          <w:tcPr>
            <w:tcW w:w="762" w:type="dxa"/>
            <w:tcBorders>
              <w:top w:val="nil"/>
              <w:left w:val="nil"/>
              <w:bottom w:val="nil"/>
              <w:right w:val="nil"/>
            </w:tcBorders>
            <w:shd w:val="clear" w:color="auto" w:fill="auto"/>
            <w:noWrap/>
            <w:vAlign w:val="bottom"/>
            <w:hideMark/>
          </w:tcPr>
          <w:p w14:paraId="30AE1B23"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1.68</w:t>
            </w:r>
          </w:p>
        </w:tc>
        <w:tc>
          <w:tcPr>
            <w:tcW w:w="630" w:type="dxa"/>
            <w:tcBorders>
              <w:top w:val="nil"/>
              <w:left w:val="nil"/>
              <w:bottom w:val="nil"/>
              <w:right w:val="nil"/>
            </w:tcBorders>
            <w:shd w:val="clear" w:color="auto" w:fill="auto"/>
            <w:noWrap/>
            <w:vAlign w:val="bottom"/>
            <w:hideMark/>
          </w:tcPr>
          <w:p w14:paraId="2253D25A"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c>
          <w:tcPr>
            <w:tcW w:w="630" w:type="dxa"/>
            <w:tcBorders>
              <w:top w:val="nil"/>
              <w:left w:val="nil"/>
              <w:bottom w:val="nil"/>
              <w:right w:val="nil"/>
            </w:tcBorders>
            <w:shd w:val="clear" w:color="auto" w:fill="auto"/>
            <w:noWrap/>
            <w:vAlign w:val="bottom"/>
            <w:hideMark/>
          </w:tcPr>
          <w:p w14:paraId="04B988DC"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7</w:t>
            </w:r>
          </w:p>
        </w:tc>
      </w:tr>
      <w:tr w:rsidR="00D90773" w:rsidRPr="00733809" w14:paraId="5A31AA78" w14:textId="77777777" w:rsidTr="00D90773">
        <w:trPr>
          <w:trHeight w:val="312"/>
          <w:jc w:val="center"/>
        </w:trPr>
        <w:tc>
          <w:tcPr>
            <w:tcW w:w="3510" w:type="dxa"/>
            <w:tcBorders>
              <w:top w:val="nil"/>
              <w:left w:val="nil"/>
              <w:bottom w:val="single" w:sz="4" w:space="0" w:color="auto"/>
              <w:right w:val="nil"/>
            </w:tcBorders>
            <w:shd w:val="clear" w:color="auto" w:fill="auto"/>
            <w:noWrap/>
            <w:vAlign w:val="bottom"/>
            <w:hideMark/>
          </w:tcPr>
          <w:p w14:paraId="6B6507FD" w14:textId="77777777" w:rsidR="00D90773" w:rsidRPr="00733809" w:rsidRDefault="00D90773" w:rsidP="00967B87">
            <w:pPr>
              <w:spacing w:after="0" w:line="240" w:lineRule="auto"/>
              <w:ind w:firstLineChars="100" w:firstLine="220"/>
              <w:rPr>
                <w:rFonts w:ascii="Palatino Linotype" w:eastAsia="Times New Roman" w:hAnsi="Palatino Linotype" w:cs="Calibri"/>
                <w:color w:val="000000"/>
              </w:rPr>
            </w:pPr>
            <w:r w:rsidRPr="00733809">
              <w:rPr>
                <w:rFonts w:ascii="Palatino Linotype" w:eastAsia="Times New Roman" w:hAnsi="Palatino Linotype" w:cs="Calibri"/>
                <w:color w:val="000000"/>
              </w:rPr>
              <w:t>Party ID- Republican</w:t>
            </w:r>
          </w:p>
        </w:tc>
        <w:tc>
          <w:tcPr>
            <w:tcW w:w="900" w:type="dxa"/>
            <w:tcBorders>
              <w:top w:val="nil"/>
              <w:left w:val="nil"/>
              <w:bottom w:val="single" w:sz="4" w:space="0" w:color="auto"/>
              <w:right w:val="nil"/>
            </w:tcBorders>
            <w:shd w:val="clear" w:color="auto" w:fill="auto"/>
            <w:noWrap/>
            <w:vAlign w:val="bottom"/>
            <w:hideMark/>
          </w:tcPr>
          <w:p w14:paraId="1DF06634"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2731</w:t>
            </w:r>
          </w:p>
        </w:tc>
        <w:tc>
          <w:tcPr>
            <w:tcW w:w="768" w:type="dxa"/>
            <w:tcBorders>
              <w:top w:val="nil"/>
              <w:left w:val="nil"/>
              <w:bottom w:val="single" w:sz="4" w:space="0" w:color="auto"/>
              <w:right w:val="nil"/>
            </w:tcBorders>
            <w:shd w:val="clear" w:color="auto" w:fill="auto"/>
            <w:noWrap/>
            <w:vAlign w:val="bottom"/>
            <w:hideMark/>
          </w:tcPr>
          <w:p w14:paraId="2A8DA4F2"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0.44</w:t>
            </w:r>
          </w:p>
        </w:tc>
        <w:tc>
          <w:tcPr>
            <w:tcW w:w="762" w:type="dxa"/>
            <w:tcBorders>
              <w:top w:val="nil"/>
              <w:left w:val="nil"/>
              <w:bottom w:val="single" w:sz="4" w:space="0" w:color="auto"/>
              <w:right w:val="nil"/>
            </w:tcBorders>
            <w:shd w:val="clear" w:color="auto" w:fill="auto"/>
            <w:noWrap/>
            <w:vAlign w:val="bottom"/>
            <w:hideMark/>
          </w:tcPr>
          <w:p w14:paraId="16FD9967"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0.50</w:t>
            </w:r>
          </w:p>
        </w:tc>
        <w:tc>
          <w:tcPr>
            <w:tcW w:w="630" w:type="dxa"/>
            <w:tcBorders>
              <w:top w:val="nil"/>
              <w:left w:val="nil"/>
              <w:bottom w:val="single" w:sz="4" w:space="0" w:color="auto"/>
              <w:right w:val="nil"/>
            </w:tcBorders>
            <w:shd w:val="clear" w:color="auto" w:fill="auto"/>
            <w:noWrap/>
            <w:vAlign w:val="bottom"/>
            <w:hideMark/>
          </w:tcPr>
          <w:p w14:paraId="19F2D4D2"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0</w:t>
            </w:r>
          </w:p>
        </w:tc>
        <w:tc>
          <w:tcPr>
            <w:tcW w:w="630" w:type="dxa"/>
            <w:tcBorders>
              <w:top w:val="nil"/>
              <w:left w:val="nil"/>
              <w:bottom w:val="single" w:sz="4" w:space="0" w:color="auto"/>
              <w:right w:val="nil"/>
            </w:tcBorders>
            <w:shd w:val="clear" w:color="auto" w:fill="auto"/>
            <w:noWrap/>
            <w:vAlign w:val="bottom"/>
            <w:hideMark/>
          </w:tcPr>
          <w:p w14:paraId="13DB2BF2" w14:textId="77777777" w:rsidR="00D90773" w:rsidRPr="00733809" w:rsidRDefault="00D90773" w:rsidP="00967B87">
            <w:pPr>
              <w:spacing w:after="0" w:line="240" w:lineRule="auto"/>
              <w:jc w:val="center"/>
              <w:rPr>
                <w:rFonts w:ascii="Palatino Linotype" w:eastAsia="Times New Roman" w:hAnsi="Palatino Linotype" w:cs="Calibri"/>
                <w:color w:val="000000"/>
              </w:rPr>
            </w:pPr>
            <w:r w:rsidRPr="00733809">
              <w:rPr>
                <w:rFonts w:ascii="Palatino Linotype" w:eastAsia="Times New Roman" w:hAnsi="Palatino Linotype" w:cs="Calibri"/>
                <w:color w:val="000000"/>
              </w:rPr>
              <w:t>1</w:t>
            </w:r>
          </w:p>
        </w:tc>
      </w:tr>
    </w:tbl>
    <w:p w14:paraId="0D650EF5" w14:textId="77777777" w:rsidR="00C72937" w:rsidRDefault="00C72937" w:rsidP="00E45E88">
      <w:pPr>
        <w:spacing w:after="0" w:line="480" w:lineRule="auto"/>
        <w:ind w:firstLine="720"/>
        <w:textAlignment w:val="center"/>
        <w:rPr>
          <w:rFonts w:ascii="Times New Roman" w:hAnsi="Times New Roman" w:cs="Times New Roman"/>
          <w:sz w:val="24"/>
          <w:szCs w:val="24"/>
        </w:rPr>
      </w:pPr>
    </w:p>
    <w:p w14:paraId="75A2F402" w14:textId="50C3B954" w:rsidR="00E45E88"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5 provides evidence of balance across the treatment groups by displaying the mean demographic characteristics for the full sample compared to respondents in each treatment group. </w:t>
      </w:r>
      <w:r>
        <w:rPr>
          <w:rFonts w:ascii="Times New Roman" w:hAnsi="Times New Roman" w:cs="Times New Roman"/>
          <w:sz w:val="24"/>
          <w:szCs w:val="24"/>
        </w:rPr>
        <w:t>While t</w:t>
      </w:r>
      <w:r w:rsidRPr="003B2204">
        <w:rPr>
          <w:rFonts w:ascii="Times New Roman" w:hAnsi="Times New Roman" w:cs="Times New Roman"/>
          <w:sz w:val="24"/>
          <w:szCs w:val="24"/>
        </w:rPr>
        <w:t xml:space="preserve">he demographics across the randomly assigned target population groups appear to be balanced, </w:t>
      </w:r>
      <w:r>
        <w:rPr>
          <w:rFonts w:ascii="Times New Roman" w:hAnsi="Times New Roman" w:cs="Times New Roman"/>
          <w:sz w:val="24"/>
          <w:szCs w:val="24"/>
        </w:rPr>
        <w:t>I</w:t>
      </w:r>
      <w:r w:rsidRPr="003B2204">
        <w:rPr>
          <w:rFonts w:ascii="Times New Roman" w:hAnsi="Times New Roman" w:cs="Times New Roman"/>
          <w:sz w:val="24"/>
          <w:szCs w:val="24"/>
        </w:rPr>
        <w:t xml:space="preserve"> provide further evidence </w:t>
      </w:r>
      <w:r>
        <w:rPr>
          <w:rFonts w:ascii="Times New Roman" w:hAnsi="Times New Roman" w:cs="Times New Roman"/>
          <w:sz w:val="24"/>
          <w:szCs w:val="24"/>
        </w:rPr>
        <w:t>of balance by</w:t>
      </w:r>
      <w:r w:rsidRPr="003B2204">
        <w:rPr>
          <w:rFonts w:ascii="Times New Roman" w:hAnsi="Times New Roman" w:cs="Times New Roman"/>
          <w:sz w:val="24"/>
          <w:szCs w:val="24"/>
        </w:rPr>
        <w:t xml:space="preserve"> perform</w:t>
      </w:r>
      <w:r>
        <w:rPr>
          <w:rFonts w:ascii="Times New Roman" w:hAnsi="Times New Roman" w:cs="Times New Roman"/>
          <w:sz w:val="24"/>
          <w:szCs w:val="24"/>
        </w:rPr>
        <w:t>ing</w:t>
      </w:r>
      <w:r w:rsidRPr="003B2204">
        <w:rPr>
          <w:rFonts w:ascii="Times New Roman" w:hAnsi="Times New Roman" w:cs="Times New Roman"/>
          <w:sz w:val="24"/>
          <w:szCs w:val="24"/>
        </w:rPr>
        <w:t xml:space="preserve"> a series of logistic regressions </w:t>
      </w:r>
      <w:r w:rsidRPr="003B2204">
        <w:rPr>
          <w:rFonts w:ascii="Times New Roman" w:hAnsi="Times New Roman" w:cs="Times New Roman"/>
          <w:sz w:val="24"/>
          <w:szCs w:val="24"/>
        </w:rPr>
        <w:lastRenderedPageBreak/>
        <w:t>utilizing each treatment group as the outcome and the covariates as the explanatory variables. In each of these models, the F-statistic is insignificant, suggesting that the balance assumption is not violated.</w:t>
      </w:r>
    </w:p>
    <w:p w14:paraId="1141EC63" w14:textId="77777777" w:rsidR="00C72937" w:rsidRPr="003B2204" w:rsidRDefault="00C72937" w:rsidP="00E45E88">
      <w:pPr>
        <w:spacing w:after="0" w:line="480" w:lineRule="auto"/>
        <w:ind w:firstLine="720"/>
        <w:textAlignment w:val="center"/>
        <w:rPr>
          <w:rFonts w:ascii="Times New Roman" w:hAnsi="Times New Roman" w:cs="Times New Roman"/>
          <w:sz w:val="24"/>
          <w:szCs w:val="24"/>
        </w:rPr>
      </w:pPr>
    </w:p>
    <w:tbl>
      <w:tblPr>
        <w:tblW w:w="8760" w:type="dxa"/>
        <w:jc w:val="center"/>
        <w:tblLook w:val="04A0" w:firstRow="1" w:lastRow="0" w:firstColumn="1" w:lastColumn="0" w:noHBand="0" w:noVBand="1"/>
      </w:tblPr>
      <w:tblGrid>
        <w:gridCol w:w="1493"/>
        <w:gridCol w:w="1579"/>
        <w:gridCol w:w="1480"/>
        <w:gridCol w:w="1468"/>
        <w:gridCol w:w="1340"/>
        <w:gridCol w:w="1400"/>
      </w:tblGrid>
      <w:tr w:rsidR="00C72937" w:rsidRPr="00430127" w14:paraId="5B61DF14" w14:textId="77777777" w:rsidTr="00C72937">
        <w:trPr>
          <w:trHeight w:val="288"/>
          <w:jc w:val="center"/>
        </w:trPr>
        <w:tc>
          <w:tcPr>
            <w:tcW w:w="8760" w:type="dxa"/>
            <w:gridSpan w:val="6"/>
            <w:tcBorders>
              <w:top w:val="nil"/>
              <w:left w:val="nil"/>
            </w:tcBorders>
            <w:shd w:val="clear" w:color="auto" w:fill="auto"/>
            <w:noWrap/>
            <w:vAlign w:val="bottom"/>
            <w:hideMark/>
          </w:tcPr>
          <w:p w14:paraId="74863310" w14:textId="2D52C20A" w:rsidR="00C72937" w:rsidRPr="00430127" w:rsidRDefault="00C72937" w:rsidP="00967B87">
            <w:pPr>
              <w:spacing w:after="0" w:line="240" w:lineRule="auto"/>
              <w:rPr>
                <w:rFonts w:ascii="Palatino Linotype" w:eastAsia="Times New Roman" w:hAnsi="Palatino Linotype" w:cs="Times New Roman"/>
                <w:sz w:val="20"/>
                <w:szCs w:val="20"/>
              </w:rPr>
            </w:pPr>
            <w:r w:rsidRPr="00430127">
              <w:rPr>
                <w:rFonts w:ascii="Palatino Linotype" w:eastAsia="Times New Roman" w:hAnsi="Palatino Linotype" w:cs="Times New Roman"/>
                <w:bCs/>
                <w:color w:val="000000"/>
                <w:szCs w:val="20"/>
              </w:rPr>
              <w:t xml:space="preserve">Table </w:t>
            </w:r>
            <w:r w:rsidR="001F2F50">
              <w:rPr>
                <w:rFonts w:ascii="Palatino Linotype" w:eastAsia="Times New Roman" w:hAnsi="Palatino Linotype" w:cs="Times New Roman"/>
                <w:bCs/>
                <w:color w:val="000000"/>
                <w:szCs w:val="20"/>
              </w:rPr>
              <w:t>3-</w:t>
            </w:r>
            <w:r>
              <w:rPr>
                <w:rFonts w:ascii="Palatino Linotype" w:eastAsia="Times New Roman" w:hAnsi="Palatino Linotype" w:cs="Times New Roman"/>
                <w:bCs/>
                <w:color w:val="000000"/>
                <w:szCs w:val="20"/>
              </w:rPr>
              <w:t>5</w:t>
            </w:r>
            <w:r w:rsidRPr="00430127">
              <w:rPr>
                <w:rFonts w:ascii="Palatino Linotype" w:eastAsia="Times New Roman" w:hAnsi="Palatino Linotype" w:cs="Times New Roman"/>
                <w:bCs/>
                <w:color w:val="000000"/>
                <w:szCs w:val="20"/>
              </w:rPr>
              <w:t>. Sample means, by randomly assigned treatment group</w:t>
            </w:r>
          </w:p>
        </w:tc>
      </w:tr>
      <w:tr w:rsidR="00C72937" w:rsidRPr="00430127" w14:paraId="28CDF731" w14:textId="77777777" w:rsidTr="00C72937">
        <w:trPr>
          <w:trHeight w:val="552"/>
          <w:jc w:val="center"/>
        </w:trPr>
        <w:tc>
          <w:tcPr>
            <w:tcW w:w="1493" w:type="dxa"/>
            <w:tcBorders>
              <w:top w:val="nil"/>
              <w:left w:val="nil"/>
              <w:bottom w:val="single" w:sz="12" w:space="0" w:color="auto"/>
              <w:right w:val="nil"/>
            </w:tcBorders>
            <w:shd w:val="clear" w:color="auto" w:fill="auto"/>
            <w:noWrap/>
            <w:vAlign w:val="bottom"/>
            <w:hideMark/>
          </w:tcPr>
          <w:p w14:paraId="54B7DC41" w14:textId="77777777" w:rsidR="00C72937" w:rsidRPr="00430127" w:rsidRDefault="00C72937" w:rsidP="00967B87">
            <w:pPr>
              <w:spacing w:after="0" w:line="240" w:lineRule="auto"/>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Characteristic</w:t>
            </w:r>
          </w:p>
        </w:tc>
        <w:tc>
          <w:tcPr>
            <w:tcW w:w="1579" w:type="dxa"/>
            <w:tcBorders>
              <w:top w:val="nil"/>
              <w:left w:val="nil"/>
              <w:bottom w:val="single" w:sz="12" w:space="0" w:color="auto"/>
              <w:right w:val="nil"/>
            </w:tcBorders>
            <w:shd w:val="clear" w:color="auto" w:fill="auto"/>
            <w:vAlign w:val="bottom"/>
            <w:hideMark/>
          </w:tcPr>
          <w:p w14:paraId="2C898939" w14:textId="77777777" w:rsidR="00C72937" w:rsidRPr="00430127" w:rsidRDefault="00C72937" w:rsidP="00967B87">
            <w:pPr>
              <w:spacing w:after="0" w:line="240" w:lineRule="auto"/>
              <w:jc w:val="center"/>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All observations</w:t>
            </w:r>
          </w:p>
        </w:tc>
        <w:tc>
          <w:tcPr>
            <w:tcW w:w="1480" w:type="dxa"/>
            <w:tcBorders>
              <w:top w:val="nil"/>
              <w:left w:val="nil"/>
              <w:bottom w:val="single" w:sz="12" w:space="0" w:color="auto"/>
              <w:right w:val="nil"/>
            </w:tcBorders>
            <w:shd w:val="clear" w:color="auto" w:fill="auto"/>
            <w:vAlign w:val="bottom"/>
            <w:hideMark/>
          </w:tcPr>
          <w:p w14:paraId="336220DB" w14:textId="77777777" w:rsidR="00C72937" w:rsidRPr="00430127" w:rsidRDefault="00C72937" w:rsidP="00967B87">
            <w:pPr>
              <w:spacing w:after="0" w:line="240" w:lineRule="auto"/>
              <w:jc w:val="center"/>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Treatment Group #1</w:t>
            </w:r>
          </w:p>
        </w:tc>
        <w:tc>
          <w:tcPr>
            <w:tcW w:w="1468" w:type="dxa"/>
            <w:tcBorders>
              <w:top w:val="nil"/>
              <w:left w:val="nil"/>
              <w:bottom w:val="single" w:sz="12" w:space="0" w:color="auto"/>
              <w:right w:val="nil"/>
            </w:tcBorders>
            <w:shd w:val="clear" w:color="auto" w:fill="auto"/>
            <w:vAlign w:val="bottom"/>
            <w:hideMark/>
          </w:tcPr>
          <w:p w14:paraId="56934088" w14:textId="77777777" w:rsidR="00C72937" w:rsidRPr="00430127" w:rsidRDefault="00C72937" w:rsidP="00967B87">
            <w:pPr>
              <w:spacing w:after="0" w:line="240" w:lineRule="auto"/>
              <w:jc w:val="center"/>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Treatment Group #2</w:t>
            </w:r>
          </w:p>
        </w:tc>
        <w:tc>
          <w:tcPr>
            <w:tcW w:w="1340" w:type="dxa"/>
            <w:tcBorders>
              <w:top w:val="nil"/>
              <w:left w:val="nil"/>
              <w:bottom w:val="single" w:sz="12" w:space="0" w:color="auto"/>
              <w:right w:val="nil"/>
            </w:tcBorders>
            <w:shd w:val="clear" w:color="auto" w:fill="auto"/>
            <w:vAlign w:val="bottom"/>
            <w:hideMark/>
          </w:tcPr>
          <w:p w14:paraId="6A1F8C7A" w14:textId="77777777" w:rsidR="00C72937" w:rsidRPr="00430127" w:rsidRDefault="00C72937" w:rsidP="00967B87">
            <w:pPr>
              <w:spacing w:after="0" w:line="240" w:lineRule="auto"/>
              <w:jc w:val="center"/>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Treatment Group #3</w:t>
            </w:r>
          </w:p>
        </w:tc>
        <w:tc>
          <w:tcPr>
            <w:tcW w:w="1400" w:type="dxa"/>
            <w:tcBorders>
              <w:top w:val="nil"/>
              <w:left w:val="nil"/>
              <w:bottom w:val="single" w:sz="12" w:space="0" w:color="auto"/>
              <w:right w:val="nil"/>
            </w:tcBorders>
            <w:shd w:val="clear" w:color="auto" w:fill="auto"/>
            <w:vAlign w:val="bottom"/>
            <w:hideMark/>
          </w:tcPr>
          <w:p w14:paraId="575D13D0" w14:textId="77777777" w:rsidR="00C72937" w:rsidRPr="00430127" w:rsidRDefault="00C72937" w:rsidP="00967B87">
            <w:pPr>
              <w:spacing w:after="0" w:line="240" w:lineRule="auto"/>
              <w:jc w:val="center"/>
              <w:rPr>
                <w:rFonts w:ascii="Palatino Linotype" w:eastAsia="Times New Roman" w:hAnsi="Palatino Linotype" w:cs="Times New Roman"/>
                <w:b/>
                <w:bCs/>
                <w:color w:val="000000"/>
                <w:sz w:val="20"/>
                <w:szCs w:val="20"/>
              </w:rPr>
            </w:pPr>
            <w:r w:rsidRPr="00430127">
              <w:rPr>
                <w:rFonts w:ascii="Palatino Linotype" w:eastAsia="Times New Roman" w:hAnsi="Palatino Linotype" w:cs="Times New Roman"/>
                <w:b/>
                <w:bCs/>
                <w:color w:val="000000"/>
                <w:sz w:val="20"/>
                <w:szCs w:val="20"/>
              </w:rPr>
              <w:t>Treatment Group #4</w:t>
            </w:r>
          </w:p>
        </w:tc>
      </w:tr>
      <w:tr w:rsidR="00C72937" w:rsidRPr="00430127" w14:paraId="22B86EC1" w14:textId="77777777" w:rsidTr="00C72937">
        <w:trPr>
          <w:trHeight w:val="288"/>
          <w:jc w:val="center"/>
        </w:trPr>
        <w:tc>
          <w:tcPr>
            <w:tcW w:w="1493" w:type="dxa"/>
            <w:tcBorders>
              <w:top w:val="single" w:sz="12" w:space="0" w:color="auto"/>
              <w:left w:val="nil"/>
              <w:bottom w:val="nil"/>
              <w:right w:val="nil"/>
            </w:tcBorders>
            <w:shd w:val="clear" w:color="auto" w:fill="auto"/>
            <w:noWrap/>
            <w:vAlign w:val="bottom"/>
            <w:hideMark/>
          </w:tcPr>
          <w:p w14:paraId="0090EA79"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White</w:t>
            </w:r>
          </w:p>
        </w:tc>
        <w:tc>
          <w:tcPr>
            <w:tcW w:w="1579" w:type="dxa"/>
            <w:tcBorders>
              <w:top w:val="single" w:sz="12" w:space="0" w:color="auto"/>
              <w:left w:val="nil"/>
              <w:bottom w:val="nil"/>
              <w:right w:val="nil"/>
            </w:tcBorders>
            <w:shd w:val="clear" w:color="auto" w:fill="auto"/>
            <w:noWrap/>
            <w:vAlign w:val="bottom"/>
            <w:hideMark/>
          </w:tcPr>
          <w:p w14:paraId="527FC50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0.79</w:t>
            </w:r>
          </w:p>
        </w:tc>
        <w:tc>
          <w:tcPr>
            <w:tcW w:w="1480" w:type="dxa"/>
            <w:tcBorders>
              <w:top w:val="single" w:sz="12" w:space="0" w:color="auto"/>
              <w:left w:val="nil"/>
              <w:bottom w:val="nil"/>
              <w:right w:val="nil"/>
            </w:tcBorders>
            <w:shd w:val="clear" w:color="auto" w:fill="auto"/>
            <w:noWrap/>
            <w:vAlign w:val="bottom"/>
            <w:hideMark/>
          </w:tcPr>
          <w:p w14:paraId="0AB56ED1"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0.78</w:t>
            </w:r>
          </w:p>
        </w:tc>
        <w:tc>
          <w:tcPr>
            <w:tcW w:w="1468" w:type="dxa"/>
            <w:tcBorders>
              <w:top w:val="single" w:sz="12" w:space="0" w:color="auto"/>
              <w:left w:val="nil"/>
              <w:bottom w:val="nil"/>
              <w:right w:val="nil"/>
            </w:tcBorders>
            <w:shd w:val="clear" w:color="auto" w:fill="auto"/>
            <w:noWrap/>
            <w:vAlign w:val="bottom"/>
            <w:hideMark/>
          </w:tcPr>
          <w:p w14:paraId="6D68F062"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0.79</w:t>
            </w:r>
          </w:p>
        </w:tc>
        <w:tc>
          <w:tcPr>
            <w:tcW w:w="1340" w:type="dxa"/>
            <w:tcBorders>
              <w:top w:val="single" w:sz="12" w:space="0" w:color="auto"/>
              <w:left w:val="nil"/>
              <w:bottom w:val="nil"/>
              <w:right w:val="nil"/>
            </w:tcBorders>
            <w:shd w:val="clear" w:color="auto" w:fill="auto"/>
            <w:noWrap/>
            <w:vAlign w:val="bottom"/>
            <w:hideMark/>
          </w:tcPr>
          <w:p w14:paraId="6DDAE319"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0.79</w:t>
            </w:r>
          </w:p>
        </w:tc>
        <w:tc>
          <w:tcPr>
            <w:tcW w:w="1400" w:type="dxa"/>
            <w:tcBorders>
              <w:top w:val="single" w:sz="12" w:space="0" w:color="auto"/>
              <w:left w:val="nil"/>
              <w:bottom w:val="nil"/>
              <w:right w:val="nil"/>
            </w:tcBorders>
            <w:shd w:val="clear" w:color="auto" w:fill="auto"/>
            <w:noWrap/>
            <w:vAlign w:val="bottom"/>
            <w:hideMark/>
          </w:tcPr>
          <w:p w14:paraId="01472DE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0.79</w:t>
            </w:r>
          </w:p>
        </w:tc>
      </w:tr>
      <w:tr w:rsidR="00C72937" w:rsidRPr="00430127" w14:paraId="4AE1F6FC"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187D9D4F"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Black</w:t>
            </w:r>
          </w:p>
        </w:tc>
        <w:tc>
          <w:tcPr>
            <w:tcW w:w="1579" w:type="dxa"/>
            <w:tcBorders>
              <w:top w:val="nil"/>
              <w:left w:val="nil"/>
              <w:bottom w:val="nil"/>
              <w:right w:val="nil"/>
            </w:tcBorders>
            <w:shd w:val="clear" w:color="auto" w:fill="auto"/>
            <w:noWrap/>
            <w:vAlign w:val="bottom"/>
            <w:hideMark/>
          </w:tcPr>
          <w:p w14:paraId="2608B1B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0.11</w:t>
            </w:r>
          </w:p>
        </w:tc>
        <w:tc>
          <w:tcPr>
            <w:tcW w:w="1480" w:type="dxa"/>
            <w:tcBorders>
              <w:top w:val="nil"/>
              <w:left w:val="nil"/>
              <w:bottom w:val="nil"/>
              <w:right w:val="nil"/>
            </w:tcBorders>
            <w:shd w:val="clear" w:color="auto" w:fill="auto"/>
            <w:noWrap/>
            <w:vAlign w:val="bottom"/>
            <w:hideMark/>
          </w:tcPr>
          <w:p w14:paraId="36965252"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0.11</w:t>
            </w:r>
          </w:p>
        </w:tc>
        <w:tc>
          <w:tcPr>
            <w:tcW w:w="1468" w:type="dxa"/>
            <w:tcBorders>
              <w:top w:val="nil"/>
              <w:left w:val="nil"/>
              <w:bottom w:val="nil"/>
              <w:right w:val="nil"/>
            </w:tcBorders>
            <w:shd w:val="clear" w:color="auto" w:fill="auto"/>
            <w:noWrap/>
            <w:vAlign w:val="bottom"/>
            <w:hideMark/>
          </w:tcPr>
          <w:p w14:paraId="3FE0E2A7"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0.11</w:t>
            </w:r>
          </w:p>
        </w:tc>
        <w:tc>
          <w:tcPr>
            <w:tcW w:w="1340" w:type="dxa"/>
            <w:tcBorders>
              <w:top w:val="nil"/>
              <w:left w:val="nil"/>
              <w:bottom w:val="nil"/>
              <w:right w:val="nil"/>
            </w:tcBorders>
            <w:shd w:val="clear" w:color="auto" w:fill="auto"/>
            <w:noWrap/>
            <w:vAlign w:val="bottom"/>
            <w:hideMark/>
          </w:tcPr>
          <w:p w14:paraId="3163EE25"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0.12</w:t>
            </w:r>
          </w:p>
        </w:tc>
        <w:tc>
          <w:tcPr>
            <w:tcW w:w="1400" w:type="dxa"/>
            <w:tcBorders>
              <w:top w:val="nil"/>
              <w:left w:val="nil"/>
              <w:bottom w:val="nil"/>
              <w:right w:val="nil"/>
            </w:tcBorders>
            <w:shd w:val="clear" w:color="auto" w:fill="auto"/>
            <w:noWrap/>
            <w:vAlign w:val="bottom"/>
            <w:hideMark/>
          </w:tcPr>
          <w:p w14:paraId="61B3D43C"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0.10</w:t>
            </w:r>
          </w:p>
        </w:tc>
      </w:tr>
      <w:tr w:rsidR="00C72937" w:rsidRPr="00430127" w14:paraId="23180BDD"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59CCFEAE"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Hispanic</w:t>
            </w:r>
          </w:p>
        </w:tc>
        <w:tc>
          <w:tcPr>
            <w:tcW w:w="1579" w:type="dxa"/>
            <w:tcBorders>
              <w:top w:val="nil"/>
              <w:left w:val="nil"/>
              <w:bottom w:val="nil"/>
              <w:right w:val="nil"/>
            </w:tcBorders>
            <w:shd w:val="clear" w:color="auto" w:fill="auto"/>
            <w:noWrap/>
            <w:vAlign w:val="bottom"/>
            <w:hideMark/>
          </w:tcPr>
          <w:p w14:paraId="285350F3"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0.12</w:t>
            </w:r>
          </w:p>
        </w:tc>
        <w:tc>
          <w:tcPr>
            <w:tcW w:w="1480" w:type="dxa"/>
            <w:tcBorders>
              <w:top w:val="nil"/>
              <w:left w:val="nil"/>
              <w:bottom w:val="nil"/>
              <w:right w:val="nil"/>
            </w:tcBorders>
            <w:shd w:val="clear" w:color="auto" w:fill="auto"/>
            <w:noWrap/>
            <w:vAlign w:val="bottom"/>
            <w:hideMark/>
          </w:tcPr>
          <w:p w14:paraId="1F5537CC"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0.12</w:t>
            </w:r>
          </w:p>
        </w:tc>
        <w:tc>
          <w:tcPr>
            <w:tcW w:w="1468" w:type="dxa"/>
            <w:tcBorders>
              <w:top w:val="nil"/>
              <w:left w:val="nil"/>
              <w:bottom w:val="nil"/>
              <w:right w:val="nil"/>
            </w:tcBorders>
            <w:shd w:val="clear" w:color="auto" w:fill="auto"/>
            <w:noWrap/>
            <w:vAlign w:val="bottom"/>
            <w:hideMark/>
          </w:tcPr>
          <w:p w14:paraId="234A4575"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0.12</w:t>
            </w:r>
          </w:p>
        </w:tc>
        <w:tc>
          <w:tcPr>
            <w:tcW w:w="1340" w:type="dxa"/>
            <w:tcBorders>
              <w:top w:val="nil"/>
              <w:left w:val="nil"/>
              <w:bottom w:val="nil"/>
              <w:right w:val="nil"/>
            </w:tcBorders>
            <w:shd w:val="clear" w:color="auto" w:fill="auto"/>
            <w:noWrap/>
            <w:vAlign w:val="bottom"/>
            <w:hideMark/>
          </w:tcPr>
          <w:p w14:paraId="735763C1"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0.13</w:t>
            </w:r>
          </w:p>
        </w:tc>
        <w:tc>
          <w:tcPr>
            <w:tcW w:w="1400" w:type="dxa"/>
            <w:tcBorders>
              <w:top w:val="nil"/>
              <w:left w:val="nil"/>
              <w:bottom w:val="nil"/>
              <w:right w:val="nil"/>
            </w:tcBorders>
            <w:shd w:val="clear" w:color="auto" w:fill="auto"/>
            <w:noWrap/>
            <w:vAlign w:val="bottom"/>
            <w:hideMark/>
          </w:tcPr>
          <w:p w14:paraId="7A9AE38A"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0.13</w:t>
            </w:r>
          </w:p>
        </w:tc>
      </w:tr>
      <w:tr w:rsidR="00C72937" w:rsidRPr="00430127" w14:paraId="76F58C7F"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6C8BD1F5"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Asian</w:t>
            </w:r>
          </w:p>
        </w:tc>
        <w:tc>
          <w:tcPr>
            <w:tcW w:w="1579" w:type="dxa"/>
            <w:tcBorders>
              <w:top w:val="nil"/>
              <w:left w:val="nil"/>
              <w:bottom w:val="nil"/>
              <w:right w:val="nil"/>
            </w:tcBorders>
            <w:shd w:val="clear" w:color="auto" w:fill="auto"/>
            <w:noWrap/>
            <w:vAlign w:val="bottom"/>
            <w:hideMark/>
          </w:tcPr>
          <w:p w14:paraId="4B029871"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0.06</w:t>
            </w:r>
          </w:p>
        </w:tc>
        <w:tc>
          <w:tcPr>
            <w:tcW w:w="1480" w:type="dxa"/>
            <w:tcBorders>
              <w:top w:val="nil"/>
              <w:left w:val="nil"/>
              <w:bottom w:val="nil"/>
              <w:right w:val="nil"/>
            </w:tcBorders>
            <w:shd w:val="clear" w:color="auto" w:fill="auto"/>
            <w:noWrap/>
            <w:vAlign w:val="bottom"/>
            <w:hideMark/>
          </w:tcPr>
          <w:p w14:paraId="3D9F0B61"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0.07</w:t>
            </w:r>
          </w:p>
        </w:tc>
        <w:tc>
          <w:tcPr>
            <w:tcW w:w="1468" w:type="dxa"/>
            <w:tcBorders>
              <w:top w:val="nil"/>
              <w:left w:val="nil"/>
              <w:bottom w:val="nil"/>
              <w:right w:val="nil"/>
            </w:tcBorders>
            <w:shd w:val="clear" w:color="auto" w:fill="auto"/>
            <w:noWrap/>
            <w:vAlign w:val="bottom"/>
            <w:hideMark/>
          </w:tcPr>
          <w:p w14:paraId="19846A6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0.06</w:t>
            </w:r>
          </w:p>
        </w:tc>
        <w:tc>
          <w:tcPr>
            <w:tcW w:w="1340" w:type="dxa"/>
            <w:tcBorders>
              <w:top w:val="nil"/>
              <w:left w:val="nil"/>
              <w:bottom w:val="nil"/>
              <w:right w:val="nil"/>
            </w:tcBorders>
            <w:shd w:val="clear" w:color="auto" w:fill="auto"/>
            <w:noWrap/>
            <w:vAlign w:val="bottom"/>
            <w:hideMark/>
          </w:tcPr>
          <w:p w14:paraId="07F27C9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0.06</w:t>
            </w:r>
          </w:p>
        </w:tc>
        <w:tc>
          <w:tcPr>
            <w:tcW w:w="1400" w:type="dxa"/>
            <w:tcBorders>
              <w:top w:val="nil"/>
              <w:left w:val="nil"/>
              <w:bottom w:val="nil"/>
              <w:right w:val="nil"/>
            </w:tcBorders>
            <w:shd w:val="clear" w:color="auto" w:fill="auto"/>
            <w:noWrap/>
            <w:vAlign w:val="bottom"/>
            <w:hideMark/>
          </w:tcPr>
          <w:p w14:paraId="7CA23C7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0.08</w:t>
            </w:r>
          </w:p>
        </w:tc>
      </w:tr>
      <w:tr w:rsidR="00C72937" w:rsidRPr="00430127" w14:paraId="47A71BC8"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451BCF0F"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Male</w:t>
            </w:r>
          </w:p>
        </w:tc>
        <w:tc>
          <w:tcPr>
            <w:tcW w:w="1579" w:type="dxa"/>
            <w:tcBorders>
              <w:top w:val="nil"/>
              <w:left w:val="nil"/>
              <w:bottom w:val="nil"/>
              <w:right w:val="nil"/>
            </w:tcBorders>
            <w:shd w:val="clear" w:color="auto" w:fill="auto"/>
            <w:noWrap/>
            <w:vAlign w:val="bottom"/>
            <w:hideMark/>
          </w:tcPr>
          <w:p w14:paraId="56E3541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0.39</w:t>
            </w:r>
          </w:p>
        </w:tc>
        <w:tc>
          <w:tcPr>
            <w:tcW w:w="1480" w:type="dxa"/>
            <w:tcBorders>
              <w:top w:val="nil"/>
              <w:left w:val="nil"/>
              <w:bottom w:val="nil"/>
              <w:right w:val="nil"/>
            </w:tcBorders>
            <w:shd w:val="clear" w:color="auto" w:fill="auto"/>
            <w:noWrap/>
            <w:vAlign w:val="bottom"/>
            <w:hideMark/>
          </w:tcPr>
          <w:p w14:paraId="6A1D771A"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0.36</w:t>
            </w:r>
          </w:p>
        </w:tc>
        <w:tc>
          <w:tcPr>
            <w:tcW w:w="1468" w:type="dxa"/>
            <w:tcBorders>
              <w:top w:val="nil"/>
              <w:left w:val="nil"/>
              <w:bottom w:val="nil"/>
              <w:right w:val="nil"/>
            </w:tcBorders>
            <w:shd w:val="clear" w:color="auto" w:fill="auto"/>
            <w:noWrap/>
            <w:vAlign w:val="bottom"/>
            <w:hideMark/>
          </w:tcPr>
          <w:p w14:paraId="076F199C"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0.41</w:t>
            </w:r>
          </w:p>
        </w:tc>
        <w:tc>
          <w:tcPr>
            <w:tcW w:w="1340" w:type="dxa"/>
            <w:tcBorders>
              <w:top w:val="nil"/>
              <w:left w:val="nil"/>
              <w:bottom w:val="nil"/>
              <w:right w:val="nil"/>
            </w:tcBorders>
            <w:shd w:val="clear" w:color="auto" w:fill="auto"/>
            <w:noWrap/>
            <w:vAlign w:val="bottom"/>
            <w:hideMark/>
          </w:tcPr>
          <w:p w14:paraId="4C361E22"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0.37</w:t>
            </w:r>
          </w:p>
        </w:tc>
        <w:tc>
          <w:tcPr>
            <w:tcW w:w="1400" w:type="dxa"/>
            <w:tcBorders>
              <w:top w:val="nil"/>
              <w:left w:val="nil"/>
              <w:bottom w:val="nil"/>
              <w:right w:val="nil"/>
            </w:tcBorders>
            <w:shd w:val="clear" w:color="auto" w:fill="auto"/>
            <w:noWrap/>
            <w:vAlign w:val="bottom"/>
            <w:hideMark/>
          </w:tcPr>
          <w:p w14:paraId="532EDB7D"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0.41</w:t>
            </w:r>
          </w:p>
        </w:tc>
      </w:tr>
      <w:tr w:rsidR="00C72937" w:rsidRPr="00430127" w14:paraId="0CEA9259"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70E1AB88"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Income</w:t>
            </w:r>
          </w:p>
        </w:tc>
        <w:tc>
          <w:tcPr>
            <w:tcW w:w="1579" w:type="dxa"/>
            <w:tcBorders>
              <w:top w:val="nil"/>
              <w:left w:val="nil"/>
              <w:bottom w:val="nil"/>
              <w:right w:val="nil"/>
            </w:tcBorders>
            <w:shd w:val="clear" w:color="auto" w:fill="auto"/>
            <w:noWrap/>
            <w:vAlign w:val="bottom"/>
            <w:hideMark/>
          </w:tcPr>
          <w:p w14:paraId="1C7E857B"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6.74</w:t>
            </w:r>
          </w:p>
        </w:tc>
        <w:tc>
          <w:tcPr>
            <w:tcW w:w="1480" w:type="dxa"/>
            <w:tcBorders>
              <w:top w:val="nil"/>
              <w:left w:val="nil"/>
              <w:bottom w:val="nil"/>
              <w:right w:val="nil"/>
            </w:tcBorders>
            <w:shd w:val="clear" w:color="auto" w:fill="auto"/>
            <w:noWrap/>
            <w:vAlign w:val="bottom"/>
            <w:hideMark/>
          </w:tcPr>
          <w:p w14:paraId="3CD389F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6.71</w:t>
            </w:r>
          </w:p>
        </w:tc>
        <w:tc>
          <w:tcPr>
            <w:tcW w:w="1468" w:type="dxa"/>
            <w:tcBorders>
              <w:top w:val="nil"/>
              <w:left w:val="nil"/>
              <w:bottom w:val="nil"/>
              <w:right w:val="nil"/>
            </w:tcBorders>
            <w:shd w:val="clear" w:color="auto" w:fill="auto"/>
            <w:noWrap/>
            <w:vAlign w:val="bottom"/>
            <w:hideMark/>
          </w:tcPr>
          <w:p w14:paraId="1A5F9641"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6.92</w:t>
            </w:r>
          </w:p>
        </w:tc>
        <w:tc>
          <w:tcPr>
            <w:tcW w:w="1340" w:type="dxa"/>
            <w:tcBorders>
              <w:top w:val="nil"/>
              <w:left w:val="nil"/>
              <w:bottom w:val="nil"/>
              <w:right w:val="nil"/>
            </w:tcBorders>
            <w:shd w:val="clear" w:color="auto" w:fill="auto"/>
            <w:noWrap/>
            <w:vAlign w:val="bottom"/>
            <w:hideMark/>
          </w:tcPr>
          <w:p w14:paraId="6013FBD3"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6.69</w:t>
            </w:r>
          </w:p>
        </w:tc>
        <w:tc>
          <w:tcPr>
            <w:tcW w:w="1400" w:type="dxa"/>
            <w:tcBorders>
              <w:top w:val="nil"/>
              <w:left w:val="nil"/>
              <w:bottom w:val="nil"/>
              <w:right w:val="nil"/>
            </w:tcBorders>
            <w:shd w:val="clear" w:color="auto" w:fill="auto"/>
            <w:noWrap/>
            <w:vAlign w:val="bottom"/>
            <w:hideMark/>
          </w:tcPr>
          <w:p w14:paraId="79B0C10A"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6.65</w:t>
            </w:r>
          </w:p>
        </w:tc>
      </w:tr>
      <w:tr w:rsidR="00C72937" w:rsidRPr="00430127" w14:paraId="6F174407"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1DFD2199"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Age</w:t>
            </w:r>
          </w:p>
        </w:tc>
        <w:tc>
          <w:tcPr>
            <w:tcW w:w="1579" w:type="dxa"/>
            <w:tcBorders>
              <w:top w:val="nil"/>
              <w:left w:val="nil"/>
              <w:bottom w:val="nil"/>
              <w:right w:val="nil"/>
            </w:tcBorders>
            <w:shd w:val="clear" w:color="auto" w:fill="auto"/>
            <w:noWrap/>
            <w:vAlign w:val="bottom"/>
            <w:hideMark/>
          </w:tcPr>
          <w:p w14:paraId="12FEA61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44.60</w:t>
            </w:r>
          </w:p>
        </w:tc>
        <w:tc>
          <w:tcPr>
            <w:tcW w:w="1480" w:type="dxa"/>
            <w:tcBorders>
              <w:top w:val="nil"/>
              <w:left w:val="nil"/>
              <w:bottom w:val="nil"/>
              <w:right w:val="nil"/>
            </w:tcBorders>
            <w:shd w:val="clear" w:color="auto" w:fill="auto"/>
            <w:noWrap/>
            <w:vAlign w:val="bottom"/>
            <w:hideMark/>
          </w:tcPr>
          <w:p w14:paraId="4E360948"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44.03</w:t>
            </w:r>
          </w:p>
        </w:tc>
        <w:tc>
          <w:tcPr>
            <w:tcW w:w="1468" w:type="dxa"/>
            <w:tcBorders>
              <w:top w:val="nil"/>
              <w:left w:val="nil"/>
              <w:bottom w:val="nil"/>
              <w:right w:val="nil"/>
            </w:tcBorders>
            <w:shd w:val="clear" w:color="auto" w:fill="auto"/>
            <w:noWrap/>
            <w:vAlign w:val="bottom"/>
            <w:hideMark/>
          </w:tcPr>
          <w:p w14:paraId="0A0EFBF5"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44.80</w:t>
            </w:r>
          </w:p>
        </w:tc>
        <w:tc>
          <w:tcPr>
            <w:tcW w:w="1340" w:type="dxa"/>
            <w:tcBorders>
              <w:top w:val="nil"/>
              <w:left w:val="nil"/>
              <w:bottom w:val="nil"/>
              <w:right w:val="nil"/>
            </w:tcBorders>
            <w:shd w:val="clear" w:color="auto" w:fill="auto"/>
            <w:noWrap/>
            <w:vAlign w:val="bottom"/>
            <w:hideMark/>
          </w:tcPr>
          <w:p w14:paraId="7BE48F9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44.84</w:t>
            </w:r>
          </w:p>
        </w:tc>
        <w:tc>
          <w:tcPr>
            <w:tcW w:w="1400" w:type="dxa"/>
            <w:tcBorders>
              <w:top w:val="nil"/>
              <w:left w:val="nil"/>
              <w:bottom w:val="nil"/>
              <w:right w:val="nil"/>
            </w:tcBorders>
            <w:shd w:val="clear" w:color="auto" w:fill="auto"/>
            <w:noWrap/>
            <w:vAlign w:val="bottom"/>
            <w:hideMark/>
          </w:tcPr>
          <w:p w14:paraId="0A65666E"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44.86</w:t>
            </w:r>
          </w:p>
        </w:tc>
      </w:tr>
      <w:tr w:rsidR="00C72937" w:rsidRPr="00430127" w14:paraId="28FDBEA4"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6A99B7FA"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Region</w:t>
            </w:r>
          </w:p>
        </w:tc>
        <w:tc>
          <w:tcPr>
            <w:tcW w:w="1579" w:type="dxa"/>
            <w:tcBorders>
              <w:top w:val="nil"/>
              <w:left w:val="nil"/>
              <w:bottom w:val="nil"/>
              <w:right w:val="nil"/>
            </w:tcBorders>
            <w:shd w:val="clear" w:color="auto" w:fill="auto"/>
            <w:noWrap/>
            <w:vAlign w:val="bottom"/>
            <w:hideMark/>
          </w:tcPr>
          <w:p w14:paraId="2633E057"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2.62</w:t>
            </w:r>
          </w:p>
        </w:tc>
        <w:tc>
          <w:tcPr>
            <w:tcW w:w="1480" w:type="dxa"/>
            <w:tcBorders>
              <w:top w:val="nil"/>
              <w:left w:val="nil"/>
              <w:bottom w:val="nil"/>
              <w:right w:val="nil"/>
            </w:tcBorders>
            <w:shd w:val="clear" w:color="auto" w:fill="auto"/>
            <w:noWrap/>
            <w:vAlign w:val="bottom"/>
            <w:hideMark/>
          </w:tcPr>
          <w:p w14:paraId="2F32406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2.58</w:t>
            </w:r>
          </w:p>
        </w:tc>
        <w:tc>
          <w:tcPr>
            <w:tcW w:w="1468" w:type="dxa"/>
            <w:tcBorders>
              <w:top w:val="nil"/>
              <w:left w:val="nil"/>
              <w:bottom w:val="nil"/>
              <w:right w:val="nil"/>
            </w:tcBorders>
            <w:shd w:val="clear" w:color="auto" w:fill="auto"/>
            <w:noWrap/>
            <w:vAlign w:val="bottom"/>
            <w:hideMark/>
          </w:tcPr>
          <w:p w14:paraId="35DC636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2.67</w:t>
            </w:r>
          </w:p>
        </w:tc>
        <w:tc>
          <w:tcPr>
            <w:tcW w:w="1340" w:type="dxa"/>
            <w:tcBorders>
              <w:top w:val="nil"/>
              <w:left w:val="nil"/>
              <w:bottom w:val="nil"/>
              <w:right w:val="nil"/>
            </w:tcBorders>
            <w:shd w:val="clear" w:color="auto" w:fill="auto"/>
            <w:noWrap/>
            <w:vAlign w:val="bottom"/>
            <w:hideMark/>
          </w:tcPr>
          <w:p w14:paraId="62DDB5DD"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2.62</w:t>
            </w:r>
          </w:p>
        </w:tc>
        <w:tc>
          <w:tcPr>
            <w:tcW w:w="1400" w:type="dxa"/>
            <w:tcBorders>
              <w:top w:val="nil"/>
              <w:left w:val="nil"/>
              <w:bottom w:val="nil"/>
              <w:right w:val="nil"/>
            </w:tcBorders>
            <w:shd w:val="clear" w:color="auto" w:fill="auto"/>
            <w:noWrap/>
            <w:vAlign w:val="bottom"/>
            <w:hideMark/>
          </w:tcPr>
          <w:p w14:paraId="6E96C483"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2.62</w:t>
            </w:r>
          </w:p>
        </w:tc>
      </w:tr>
      <w:tr w:rsidR="00C72937" w:rsidRPr="00430127" w14:paraId="507A2321"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29876688"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Education</w:t>
            </w:r>
          </w:p>
        </w:tc>
        <w:tc>
          <w:tcPr>
            <w:tcW w:w="1579" w:type="dxa"/>
            <w:tcBorders>
              <w:top w:val="nil"/>
              <w:left w:val="nil"/>
              <w:bottom w:val="nil"/>
              <w:right w:val="nil"/>
            </w:tcBorders>
            <w:shd w:val="clear" w:color="auto" w:fill="auto"/>
            <w:noWrap/>
            <w:vAlign w:val="bottom"/>
            <w:hideMark/>
          </w:tcPr>
          <w:p w14:paraId="4A7537C9"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4.54</w:t>
            </w:r>
          </w:p>
        </w:tc>
        <w:tc>
          <w:tcPr>
            <w:tcW w:w="1480" w:type="dxa"/>
            <w:tcBorders>
              <w:top w:val="nil"/>
              <w:left w:val="nil"/>
              <w:bottom w:val="nil"/>
              <w:right w:val="nil"/>
            </w:tcBorders>
            <w:shd w:val="clear" w:color="auto" w:fill="auto"/>
            <w:noWrap/>
            <w:vAlign w:val="bottom"/>
            <w:hideMark/>
          </w:tcPr>
          <w:p w14:paraId="0DEA05B2"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4.55</w:t>
            </w:r>
          </w:p>
        </w:tc>
        <w:tc>
          <w:tcPr>
            <w:tcW w:w="1468" w:type="dxa"/>
            <w:tcBorders>
              <w:top w:val="nil"/>
              <w:left w:val="nil"/>
              <w:bottom w:val="nil"/>
              <w:right w:val="nil"/>
            </w:tcBorders>
            <w:shd w:val="clear" w:color="auto" w:fill="auto"/>
            <w:noWrap/>
            <w:vAlign w:val="bottom"/>
            <w:hideMark/>
          </w:tcPr>
          <w:p w14:paraId="65E931D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4.48</w:t>
            </w:r>
          </w:p>
        </w:tc>
        <w:tc>
          <w:tcPr>
            <w:tcW w:w="1340" w:type="dxa"/>
            <w:tcBorders>
              <w:top w:val="nil"/>
              <w:left w:val="nil"/>
              <w:bottom w:val="nil"/>
              <w:right w:val="nil"/>
            </w:tcBorders>
            <w:shd w:val="clear" w:color="auto" w:fill="auto"/>
            <w:noWrap/>
            <w:vAlign w:val="bottom"/>
            <w:hideMark/>
          </w:tcPr>
          <w:p w14:paraId="3E28E29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4.49</w:t>
            </w:r>
          </w:p>
        </w:tc>
        <w:tc>
          <w:tcPr>
            <w:tcW w:w="1400" w:type="dxa"/>
            <w:tcBorders>
              <w:top w:val="nil"/>
              <w:left w:val="nil"/>
              <w:bottom w:val="nil"/>
              <w:right w:val="nil"/>
            </w:tcBorders>
            <w:shd w:val="clear" w:color="auto" w:fill="auto"/>
            <w:noWrap/>
            <w:vAlign w:val="bottom"/>
            <w:hideMark/>
          </w:tcPr>
          <w:p w14:paraId="41896F28"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4.65</w:t>
            </w:r>
          </w:p>
        </w:tc>
      </w:tr>
      <w:tr w:rsidR="00C72937" w:rsidRPr="00430127" w14:paraId="53BC9707"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78A27B68"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Ideology</w:t>
            </w:r>
          </w:p>
        </w:tc>
        <w:tc>
          <w:tcPr>
            <w:tcW w:w="1579" w:type="dxa"/>
            <w:tcBorders>
              <w:top w:val="nil"/>
              <w:left w:val="nil"/>
              <w:bottom w:val="nil"/>
              <w:right w:val="nil"/>
            </w:tcBorders>
            <w:shd w:val="clear" w:color="auto" w:fill="auto"/>
            <w:noWrap/>
            <w:vAlign w:val="bottom"/>
            <w:hideMark/>
          </w:tcPr>
          <w:p w14:paraId="0C653D7F"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3.97</w:t>
            </w:r>
          </w:p>
        </w:tc>
        <w:tc>
          <w:tcPr>
            <w:tcW w:w="1480" w:type="dxa"/>
            <w:tcBorders>
              <w:top w:val="nil"/>
              <w:left w:val="nil"/>
              <w:bottom w:val="nil"/>
              <w:right w:val="nil"/>
            </w:tcBorders>
            <w:shd w:val="clear" w:color="auto" w:fill="auto"/>
            <w:noWrap/>
            <w:vAlign w:val="bottom"/>
            <w:hideMark/>
          </w:tcPr>
          <w:p w14:paraId="22F4D63A"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3.88</w:t>
            </w:r>
          </w:p>
        </w:tc>
        <w:tc>
          <w:tcPr>
            <w:tcW w:w="1468" w:type="dxa"/>
            <w:tcBorders>
              <w:top w:val="nil"/>
              <w:left w:val="nil"/>
              <w:bottom w:val="nil"/>
              <w:right w:val="nil"/>
            </w:tcBorders>
            <w:shd w:val="clear" w:color="auto" w:fill="auto"/>
            <w:noWrap/>
            <w:vAlign w:val="bottom"/>
            <w:hideMark/>
          </w:tcPr>
          <w:p w14:paraId="25CB458A"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4.07</w:t>
            </w:r>
          </w:p>
        </w:tc>
        <w:tc>
          <w:tcPr>
            <w:tcW w:w="1340" w:type="dxa"/>
            <w:tcBorders>
              <w:top w:val="nil"/>
              <w:left w:val="nil"/>
              <w:bottom w:val="nil"/>
              <w:right w:val="nil"/>
            </w:tcBorders>
            <w:shd w:val="clear" w:color="auto" w:fill="auto"/>
            <w:noWrap/>
            <w:vAlign w:val="bottom"/>
            <w:hideMark/>
          </w:tcPr>
          <w:p w14:paraId="02378A2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4.00</w:t>
            </w:r>
          </w:p>
        </w:tc>
        <w:tc>
          <w:tcPr>
            <w:tcW w:w="1400" w:type="dxa"/>
            <w:tcBorders>
              <w:top w:val="nil"/>
              <w:left w:val="nil"/>
              <w:bottom w:val="nil"/>
              <w:right w:val="nil"/>
            </w:tcBorders>
            <w:shd w:val="clear" w:color="auto" w:fill="auto"/>
            <w:noWrap/>
            <w:vAlign w:val="bottom"/>
            <w:hideMark/>
          </w:tcPr>
          <w:p w14:paraId="27BB33BD"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3.92</w:t>
            </w:r>
          </w:p>
        </w:tc>
      </w:tr>
      <w:tr w:rsidR="00C72937" w:rsidRPr="00430127" w14:paraId="626D278B" w14:textId="77777777" w:rsidTr="00C72937">
        <w:trPr>
          <w:trHeight w:val="288"/>
          <w:jc w:val="center"/>
        </w:trPr>
        <w:tc>
          <w:tcPr>
            <w:tcW w:w="1493" w:type="dxa"/>
            <w:tcBorders>
              <w:top w:val="nil"/>
              <w:left w:val="nil"/>
              <w:bottom w:val="nil"/>
              <w:right w:val="nil"/>
            </w:tcBorders>
            <w:shd w:val="clear" w:color="auto" w:fill="auto"/>
            <w:noWrap/>
            <w:vAlign w:val="bottom"/>
            <w:hideMark/>
          </w:tcPr>
          <w:p w14:paraId="04FACF53"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Republican</w:t>
            </w:r>
          </w:p>
        </w:tc>
        <w:tc>
          <w:tcPr>
            <w:tcW w:w="1579" w:type="dxa"/>
            <w:tcBorders>
              <w:top w:val="nil"/>
              <w:left w:val="nil"/>
              <w:bottom w:val="nil"/>
              <w:right w:val="nil"/>
            </w:tcBorders>
            <w:shd w:val="clear" w:color="auto" w:fill="auto"/>
            <w:noWrap/>
            <w:vAlign w:val="bottom"/>
            <w:hideMark/>
          </w:tcPr>
          <w:p w14:paraId="24F04639"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0.53</w:t>
            </w:r>
          </w:p>
        </w:tc>
        <w:tc>
          <w:tcPr>
            <w:tcW w:w="1480" w:type="dxa"/>
            <w:tcBorders>
              <w:top w:val="nil"/>
              <w:left w:val="nil"/>
              <w:bottom w:val="nil"/>
              <w:right w:val="nil"/>
            </w:tcBorders>
            <w:shd w:val="clear" w:color="auto" w:fill="auto"/>
            <w:noWrap/>
            <w:vAlign w:val="bottom"/>
            <w:hideMark/>
          </w:tcPr>
          <w:p w14:paraId="30C2AC7C"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0.51</w:t>
            </w:r>
          </w:p>
        </w:tc>
        <w:tc>
          <w:tcPr>
            <w:tcW w:w="1468" w:type="dxa"/>
            <w:tcBorders>
              <w:top w:val="nil"/>
              <w:left w:val="nil"/>
              <w:bottom w:val="nil"/>
              <w:right w:val="nil"/>
            </w:tcBorders>
            <w:shd w:val="clear" w:color="auto" w:fill="auto"/>
            <w:noWrap/>
            <w:vAlign w:val="bottom"/>
            <w:hideMark/>
          </w:tcPr>
          <w:p w14:paraId="375FD83B"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0.57</w:t>
            </w:r>
          </w:p>
        </w:tc>
        <w:tc>
          <w:tcPr>
            <w:tcW w:w="1340" w:type="dxa"/>
            <w:tcBorders>
              <w:top w:val="nil"/>
              <w:left w:val="nil"/>
              <w:bottom w:val="nil"/>
              <w:right w:val="nil"/>
            </w:tcBorders>
            <w:shd w:val="clear" w:color="auto" w:fill="auto"/>
            <w:noWrap/>
            <w:vAlign w:val="bottom"/>
            <w:hideMark/>
          </w:tcPr>
          <w:p w14:paraId="72F71856"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0.52</w:t>
            </w:r>
          </w:p>
        </w:tc>
        <w:tc>
          <w:tcPr>
            <w:tcW w:w="1400" w:type="dxa"/>
            <w:tcBorders>
              <w:top w:val="nil"/>
              <w:left w:val="nil"/>
              <w:bottom w:val="nil"/>
              <w:right w:val="nil"/>
            </w:tcBorders>
            <w:shd w:val="clear" w:color="auto" w:fill="auto"/>
            <w:noWrap/>
            <w:vAlign w:val="bottom"/>
            <w:hideMark/>
          </w:tcPr>
          <w:p w14:paraId="0C6D9155"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0.51</w:t>
            </w:r>
          </w:p>
        </w:tc>
      </w:tr>
      <w:tr w:rsidR="00C72937" w:rsidRPr="00430127" w14:paraId="39C6886A" w14:textId="77777777" w:rsidTr="00C72937">
        <w:trPr>
          <w:trHeight w:val="288"/>
          <w:jc w:val="center"/>
        </w:trPr>
        <w:tc>
          <w:tcPr>
            <w:tcW w:w="1493" w:type="dxa"/>
            <w:tcBorders>
              <w:top w:val="nil"/>
              <w:left w:val="nil"/>
              <w:bottom w:val="single" w:sz="12" w:space="0" w:color="auto"/>
              <w:right w:val="nil"/>
            </w:tcBorders>
            <w:shd w:val="clear" w:color="auto" w:fill="auto"/>
            <w:noWrap/>
            <w:vAlign w:val="bottom"/>
          </w:tcPr>
          <w:p w14:paraId="1092EC25"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i/>
                <w:iCs/>
                <w:color w:val="000000"/>
                <w:sz w:val="20"/>
                <w:szCs w:val="20"/>
              </w:rPr>
              <w:t>N</w:t>
            </w:r>
          </w:p>
        </w:tc>
        <w:tc>
          <w:tcPr>
            <w:tcW w:w="1579" w:type="dxa"/>
            <w:tcBorders>
              <w:top w:val="nil"/>
              <w:left w:val="nil"/>
              <w:bottom w:val="single" w:sz="12" w:space="0" w:color="auto"/>
              <w:right w:val="nil"/>
            </w:tcBorders>
            <w:shd w:val="clear" w:color="auto" w:fill="auto"/>
            <w:noWrap/>
            <w:vAlign w:val="bottom"/>
          </w:tcPr>
          <w:p w14:paraId="6F7A0973"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2,850</w:t>
            </w:r>
          </w:p>
        </w:tc>
        <w:tc>
          <w:tcPr>
            <w:tcW w:w="1480" w:type="dxa"/>
            <w:tcBorders>
              <w:top w:val="nil"/>
              <w:left w:val="nil"/>
              <w:bottom w:val="single" w:sz="12" w:space="0" w:color="auto"/>
              <w:right w:val="nil"/>
            </w:tcBorders>
            <w:shd w:val="clear" w:color="auto" w:fill="auto"/>
            <w:noWrap/>
            <w:vAlign w:val="bottom"/>
          </w:tcPr>
          <w:p w14:paraId="37C981F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690</w:t>
            </w:r>
          </w:p>
        </w:tc>
        <w:tc>
          <w:tcPr>
            <w:tcW w:w="1468" w:type="dxa"/>
            <w:tcBorders>
              <w:top w:val="nil"/>
              <w:left w:val="nil"/>
              <w:bottom w:val="single" w:sz="12" w:space="0" w:color="auto"/>
              <w:right w:val="nil"/>
            </w:tcBorders>
            <w:shd w:val="clear" w:color="auto" w:fill="auto"/>
            <w:noWrap/>
            <w:vAlign w:val="bottom"/>
          </w:tcPr>
          <w:p w14:paraId="488B4D2D"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726</w:t>
            </w:r>
          </w:p>
        </w:tc>
        <w:tc>
          <w:tcPr>
            <w:tcW w:w="1340" w:type="dxa"/>
            <w:tcBorders>
              <w:top w:val="nil"/>
              <w:left w:val="nil"/>
              <w:bottom w:val="single" w:sz="12" w:space="0" w:color="auto"/>
              <w:right w:val="nil"/>
            </w:tcBorders>
            <w:shd w:val="clear" w:color="auto" w:fill="auto"/>
            <w:noWrap/>
            <w:vAlign w:val="bottom"/>
          </w:tcPr>
          <w:p w14:paraId="231C8187"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686</w:t>
            </w:r>
          </w:p>
        </w:tc>
        <w:tc>
          <w:tcPr>
            <w:tcW w:w="1400" w:type="dxa"/>
            <w:tcBorders>
              <w:top w:val="nil"/>
              <w:left w:val="nil"/>
              <w:bottom w:val="single" w:sz="12" w:space="0" w:color="auto"/>
              <w:right w:val="nil"/>
            </w:tcBorders>
            <w:shd w:val="clear" w:color="auto" w:fill="auto"/>
            <w:noWrap/>
            <w:vAlign w:val="bottom"/>
          </w:tcPr>
          <w:p w14:paraId="17A1EB24"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sidRPr="00430127">
              <w:rPr>
                <w:rFonts w:ascii="Palatino Linotype" w:eastAsia="Times New Roman" w:hAnsi="Palatino Linotype" w:cs="Times New Roman"/>
                <w:color w:val="000000"/>
                <w:sz w:val="20"/>
                <w:szCs w:val="20"/>
              </w:rPr>
              <w:t>748</w:t>
            </w:r>
          </w:p>
        </w:tc>
      </w:tr>
      <w:tr w:rsidR="00C72937" w:rsidRPr="00430127" w14:paraId="53E3D541" w14:textId="77777777" w:rsidTr="00C72937">
        <w:trPr>
          <w:trHeight w:val="288"/>
          <w:jc w:val="center"/>
        </w:trPr>
        <w:tc>
          <w:tcPr>
            <w:tcW w:w="1493" w:type="dxa"/>
            <w:tcBorders>
              <w:top w:val="single" w:sz="12" w:space="0" w:color="auto"/>
              <w:left w:val="nil"/>
              <w:bottom w:val="single" w:sz="12" w:space="0" w:color="auto"/>
              <w:right w:val="nil"/>
            </w:tcBorders>
            <w:shd w:val="clear" w:color="auto" w:fill="auto"/>
            <w:noWrap/>
            <w:vAlign w:val="bottom"/>
          </w:tcPr>
          <w:p w14:paraId="106C172A" w14:textId="77777777" w:rsidR="00C72937" w:rsidRPr="00430127" w:rsidRDefault="00C72937" w:rsidP="00967B87">
            <w:pPr>
              <w:spacing w:after="0" w:line="240" w:lineRule="auto"/>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Support for Tuition-free College</w:t>
            </w:r>
          </w:p>
        </w:tc>
        <w:tc>
          <w:tcPr>
            <w:tcW w:w="1579" w:type="dxa"/>
            <w:tcBorders>
              <w:top w:val="single" w:sz="12" w:space="0" w:color="auto"/>
              <w:left w:val="nil"/>
              <w:bottom w:val="single" w:sz="12" w:space="0" w:color="auto"/>
              <w:right w:val="nil"/>
            </w:tcBorders>
            <w:shd w:val="clear" w:color="auto" w:fill="auto"/>
            <w:noWrap/>
            <w:vAlign w:val="center"/>
          </w:tcPr>
          <w:p w14:paraId="1DC152C5"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3.69</w:t>
            </w:r>
          </w:p>
        </w:tc>
        <w:tc>
          <w:tcPr>
            <w:tcW w:w="1480" w:type="dxa"/>
            <w:tcBorders>
              <w:top w:val="single" w:sz="12" w:space="0" w:color="auto"/>
              <w:left w:val="nil"/>
              <w:bottom w:val="single" w:sz="12" w:space="0" w:color="auto"/>
              <w:right w:val="nil"/>
            </w:tcBorders>
            <w:shd w:val="clear" w:color="auto" w:fill="auto"/>
            <w:noWrap/>
            <w:vAlign w:val="center"/>
          </w:tcPr>
          <w:p w14:paraId="1C90FF00"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3.65</w:t>
            </w:r>
          </w:p>
        </w:tc>
        <w:tc>
          <w:tcPr>
            <w:tcW w:w="1468" w:type="dxa"/>
            <w:tcBorders>
              <w:top w:val="single" w:sz="12" w:space="0" w:color="auto"/>
              <w:left w:val="nil"/>
              <w:bottom w:val="single" w:sz="12" w:space="0" w:color="auto"/>
              <w:right w:val="nil"/>
            </w:tcBorders>
            <w:shd w:val="clear" w:color="auto" w:fill="auto"/>
            <w:noWrap/>
            <w:vAlign w:val="center"/>
          </w:tcPr>
          <w:p w14:paraId="019355A8"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3.71</w:t>
            </w:r>
          </w:p>
        </w:tc>
        <w:tc>
          <w:tcPr>
            <w:tcW w:w="1340" w:type="dxa"/>
            <w:tcBorders>
              <w:top w:val="single" w:sz="12" w:space="0" w:color="auto"/>
              <w:left w:val="nil"/>
              <w:bottom w:val="single" w:sz="12" w:space="0" w:color="auto"/>
              <w:right w:val="nil"/>
            </w:tcBorders>
            <w:shd w:val="clear" w:color="auto" w:fill="auto"/>
            <w:noWrap/>
            <w:vAlign w:val="center"/>
          </w:tcPr>
          <w:p w14:paraId="0C49B96B"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3.66</w:t>
            </w:r>
          </w:p>
        </w:tc>
        <w:tc>
          <w:tcPr>
            <w:tcW w:w="1400" w:type="dxa"/>
            <w:tcBorders>
              <w:top w:val="single" w:sz="12" w:space="0" w:color="auto"/>
              <w:left w:val="nil"/>
              <w:bottom w:val="single" w:sz="12" w:space="0" w:color="auto"/>
              <w:right w:val="nil"/>
            </w:tcBorders>
            <w:shd w:val="clear" w:color="auto" w:fill="auto"/>
            <w:noWrap/>
            <w:vAlign w:val="center"/>
          </w:tcPr>
          <w:p w14:paraId="035AF7DF" w14:textId="77777777" w:rsidR="00C72937" w:rsidRPr="00430127" w:rsidRDefault="00C72937" w:rsidP="00967B87">
            <w:pPr>
              <w:spacing w:after="0" w:line="240" w:lineRule="auto"/>
              <w:jc w:val="center"/>
              <w:rPr>
                <w:rFonts w:ascii="Palatino Linotype" w:eastAsia="Times New Roman" w:hAnsi="Palatino Linotype" w:cs="Times New Roman"/>
                <w:color w:val="000000"/>
                <w:sz w:val="20"/>
                <w:szCs w:val="20"/>
              </w:rPr>
            </w:pPr>
            <w:r>
              <w:rPr>
                <w:rFonts w:ascii="Palatino Linotype" w:eastAsia="Times New Roman" w:hAnsi="Palatino Linotype" w:cs="Times New Roman"/>
                <w:color w:val="000000"/>
                <w:sz w:val="20"/>
                <w:szCs w:val="20"/>
              </w:rPr>
              <w:t>3.74</w:t>
            </w:r>
          </w:p>
        </w:tc>
      </w:tr>
    </w:tbl>
    <w:p w14:paraId="42576B75" w14:textId="77777777" w:rsidR="00C72937" w:rsidRDefault="00E45E88" w:rsidP="00E45E88">
      <w:pPr>
        <w:spacing w:after="0" w:line="480" w:lineRule="auto"/>
        <w:textAlignment w:val="center"/>
        <w:rPr>
          <w:rFonts w:ascii="Times New Roman" w:hAnsi="Times New Roman" w:cs="Times New Roman"/>
          <w:sz w:val="24"/>
          <w:szCs w:val="24"/>
        </w:rPr>
      </w:pPr>
      <w:r w:rsidRPr="003B2204">
        <w:rPr>
          <w:rFonts w:ascii="Times New Roman" w:hAnsi="Times New Roman" w:cs="Times New Roman"/>
          <w:sz w:val="24"/>
          <w:szCs w:val="24"/>
        </w:rPr>
        <w:tab/>
      </w:r>
    </w:p>
    <w:p w14:paraId="1C017336" w14:textId="19B8902F" w:rsidR="00E45E88" w:rsidRDefault="00E45E88" w:rsidP="00E45E88">
      <w:pPr>
        <w:spacing w:after="0" w:line="480" w:lineRule="auto"/>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I present a summary of the variation in support for tuition-free college after receiving the treatment prompts in 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5 and in Figure </w:t>
      </w:r>
      <w:r w:rsidR="001F2F50">
        <w:rPr>
          <w:rFonts w:ascii="Times New Roman" w:hAnsi="Times New Roman" w:cs="Times New Roman"/>
          <w:sz w:val="24"/>
          <w:szCs w:val="24"/>
        </w:rPr>
        <w:t>3-</w:t>
      </w:r>
      <w:r w:rsidR="00EA70D0">
        <w:rPr>
          <w:rFonts w:ascii="Times New Roman" w:hAnsi="Times New Roman" w:cs="Times New Roman"/>
          <w:sz w:val="24"/>
          <w:szCs w:val="24"/>
        </w:rPr>
        <w:t>3</w:t>
      </w:r>
      <w:r w:rsidRPr="003B2204">
        <w:rPr>
          <w:rFonts w:ascii="Times New Roman" w:hAnsi="Times New Roman" w:cs="Times New Roman"/>
          <w:sz w:val="24"/>
          <w:szCs w:val="24"/>
        </w:rPr>
        <w:t xml:space="preserve">. 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5 reveals that treatment group 4, in which the tuition-free college policy was open to all in-state students but required students to meet the minimum 2.0 GPA requirement has the highest average support rating. On the other hand, the tuition-free college policy that limited eligibility to students that are under the $50,000 income cap and did not include a GPA requirement had the lowest average support rating. Additionally, Figure </w:t>
      </w:r>
      <w:r w:rsidR="001F2F50">
        <w:rPr>
          <w:rFonts w:ascii="Times New Roman" w:hAnsi="Times New Roman" w:cs="Times New Roman"/>
          <w:sz w:val="24"/>
          <w:szCs w:val="24"/>
        </w:rPr>
        <w:t>3-</w:t>
      </w:r>
      <w:r w:rsidR="00EA70D0">
        <w:rPr>
          <w:rFonts w:ascii="Times New Roman" w:hAnsi="Times New Roman" w:cs="Times New Roman"/>
          <w:sz w:val="24"/>
          <w:szCs w:val="24"/>
        </w:rPr>
        <w:t>3</w:t>
      </w:r>
      <w:r w:rsidRPr="003B2204">
        <w:rPr>
          <w:rFonts w:ascii="Times New Roman" w:hAnsi="Times New Roman" w:cs="Times New Roman"/>
          <w:sz w:val="24"/>
          <w:szCs w:val="24"/>
        </w:rPr>
        <w:t xml:space="preserve"> makes it clear that the majority of respondents somewhat support</w:t>
      </w:r>
      <w:r>
        <w:rPr>
          <w:rFonts w:ascii="Times New Roman" w:hAnsi="Times New Roman" w:cs="Times New Roman"/>
          <w:sz w:val="24"/>
          <w:szCs w:val="24"/>
        </w:rPr>
        <w:t>, strongly support, or neither support nor oppose</w:t>
      </w:r>
      <w:r w:rsidRPr="003B2204">
        <w:rPr>
          <w:rFonts w:ascii="Times New Roman" w:hAnsi="Times New Roman" w:cs="Times New Roman"/>
          <w:sz w:val="24"/>
          <w:szCs w:val="24"/>
        </w:rPr>
        <w:t xml:space="preserve"> tuition-free college. </w:t>
      </w:r>
    </w:p>
    <w:p w14:paraId="673C244B" w14:textId="77777777" w:rsidR="00C72937" w:rsidRDefault="00C72937" w:rsidP="00C72937">
      <w:pPr>
        <w:rPr>
          <w:rFonts w:ascii="Palatino Linotype" w:hAnsi="Palatino Linotype" w:cs="Times New Roman"/>
          <w:b/>
          <w:bCs/>
          <w:sz w:val="24"/>
          <w:szCs w:val="24"/>
        </w:rPr>
      </w:pPr>
      <w:r w:rsidRPr="00E406E5">
        <w:rPr>
          <w:rFonts w:ascii="Palatino Linotype" w:hAnsi="Palatino Linotype" w:cs="Times New Roman"/>
          <w:b/>
          <w:bCs/>
          <w:noProof/>
          <w:sz w:val="24"/>
          <w:szCs w:val="24"/>
        </w:rPr>
        <w:lastRenderedPageBreak/>
        <w:drawing>
          <wp:inline distT="0" distB="0" distL="0" distR="0" wp14:anchorId="5C5C2D9E" wp14:editId="574F0061">
            <wp:extent cx="6229350" cy="4568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42072" cy="4578306"/>
                    </a:xfrm>
                    <a:prstGeom prst="rect">
                      <a:avLst/>
                    </a:prstGeom>
                    <a:noFill/>
                    <a:ln>
                      <a:noFill/>
                    </a:ln>
                  </pic:spPr>
                </pic:pic>
              </a:graphicData>
            </a:graphic>
          </wp:inline>
        </w:drawing>
      </w:r>
    </w:p>
    <w:p w14:paraId="002A0631" w14:textId="6AFE6177" w:rsidR="00C72937" w:rsidRDefault="00C72937" w:rsidP="00C72937">
      <w:pPr>
        <w:spacing w:after="0" w:line="240" w:lineRule="auto"/>
        <w:rPr>
          <w:rFonts w:ascii="Palatino Linotype" w:hAnsi="Palatino Linotype" w:cs="Times New Roman"/>
          <w:b/>
          <w:bCs/>
          <w:sz w:val="20"/>
          <w:szCs w:val="24"/>
        </w:rPr>
      </w:pPr>
      <w:r w:rsidRPr="00CC24D0">
        <w:rPr>
          <w:rFonts w:ascii="Palatino Linotype" w:hAnsi="Palatino Linotype" w:cs="Times New Roman"/>
          <w:b/>
          <w:bCs/>
          <w:sz w:val="20"/>
          <w:szCs w:val="24"/>
        </w:rPr>
        <w:t xml:space="preserve">Figure </w:t>
      </w:r>
      <w:r w:rsidR="001F2F50">
        <w:rPr>
          <w:rFonts w:ascii="Palatino Linotype" w:hAnsi="Palatino Linotype" w:cs="Times New Roman"/>
          <w:b/>
          <w:bCs/>
          <w:sz w:val="20"/>
          <w:szCs w:val="24"/>
        </w:rPr>
        <w:t>3-</w:t>
      </w:r>
      <w:r w:rsidR="00EA70D0">
        <w:rPr>
          <w:rFonts w:ascii="Palatino Linotype" w:hAnsi="Palatino Linotype" w:cs="Times New Roman"/>
          <w:b/>
          <w:bCs/>
          <w:sz w:val="20"/>
          <w:szCs w:val="24"/>
        </w:rPr>
        <w:t>3.</w:t>
      </w:r>
      <w:r w:rsidRPr="00CC24D0">
        <w:rPr>
          <w:rFonts w:ascii="Palatino Linotype" w:hAnsi="Palatino Linotype" w:cs="Times New Roman"/>
          <w:bCs/>
          <w:sz w:val="20"/>
          <w:szCs w:val="24"/>
        </w:rPr>
        <w:t xml:space="preserve"> Tuition-Free Community College Policy </w:t>
      </w:r>
      <w:r>
        <w:rPr>
          <w:rFonts w:ascii="Palatino Linotype" w:hAnsi="Palatino Linotype" w:cs="Times New Roman"/>
          <w:bCs/>
          <w:sz w:val="20"/>
          <w:szCs w:val="24"/>
        </w:rPr>
        <w:t xml:space="preserve">Support </w:t>
      </w:r>
      <w:r w:rsidRPr="00CC24D0">
        <w:rPr>
          <w:rFonts w:ascii="Palatino Linotype" w:hAnsi="Palatino Linotype" w:cs="Times New Roman"/>
          <w:bCs/>
          <w:sz w:val="20"/>
          <w:szCs w:val="24"/>
        </w:rPr>
        <w:t xml:space="preserve">Distributions, by Randomly Assigned Target Population. This figure provides a visual depiction of the </w:t>
      </w:r>
      <w:r>
        <w:rPr>
          <w:rFonts w:ascii="Palatino Linotype" w:hAnsi="Palatino Linotype" w:cs="Times New Roman"/>
          <w:bCs/>
          <w:sz w:val="20"/>
          <w:szCs w:val="24"/>
        </w:rPr>
        <w:t xml:space="preserve">density of </w:t>
      </w:r>
      <w:r w:rsidRPr="00CC24D0">
        <w:rPr>
          <w:rFonts w:ascii="Palatino Linotype" w:hAnsi="Palatino Linotype" w:cs="Times New Roman"/>
          <w:bCs/>
          <w:sz w:val="20"/>
          <w:szCs w:val="24"/>
        </w:rPr>
        <w:t>policy support, by randomly assigned target population.</w:t>
      </w:r>
    </w:p>
    <w:p w14:paraId="57E27857" w14:textId="77777777" w:rsidR="00C72937" w:rsidRPr="00C72937" w:rsidRDefault="00C72937" w:rsidP="00C72937">
      <w:pPr>
        <w:spacing w:after="0" w:line="240" w:lineRule="auto"/>
        <w:rPr>
          <w:rFonts w:ascii="Palatino Linotype" w:hAnsi="Palatino Linotype" w:cs="Times New Roman"/>
          <w:b/>
          <w:bCs/>
          <w:sz w:val="20"/>
          <w:szCs w:val="24"/>
        </w:rPr>
      </w:pPr>
    </w:p>
    <w:p w14:paraId="67BB66FF" w14:textId="77777777" w:rsidR="00E45E88" w:rsidRPr="003B2204" w:rsidRDefault="00E45E88" w:rsidP="00E45E88">
      <w:pPr>
        <w:spacing w:line="480" w:lineRule="auto"/>
        <w:rPr>
          <w:rFonts w:ascii="Times New Roman" w:eastAsiaTheme="minorEastAsia" w:hAnsi="Times New Roman" w:cs="Times New Roman"/>
          <w:b/>
          <w:sz w:val="24"/>
          <w:szCs w:val="24"/>
        </w:rPr>
      </w:pPr>
      <w:r w:rsidRPr="003B2204">
        <w:rPr>
          <w:rFonts w:ascii="Times New Roman" w:eastAsiaTheme="minorEastAsia" w:hAnsi="Times New Roman" w:cs="Times New Roman"/>
          <w:b/>
          <w:sz w:val="24"/>
          <w:szCs w:val="24"/>
        </w:rPr>
        <w:t>Analytical Approach</w:t>
      </w:r>
    </w:p>
    <w:p w14:paraId="1B6B296B" w14:textId="77777777" w:rsidR="00E45E88" w:rsidRPr="00F2687C" w:rsidRDefault="00E45E88" w:rsidP="00E45E88">
      <w:pPr>
        <w:spacing w:line="480" w:lineRule="auto"/>
        <w:ind w:firstLine="720"/>
        <w:rPr>
          <w:rFonts w:ascii="Times New Roman" w:eastAsia="Times New Roman" w:hAnsi="Times New Roman" w:cs="Times New Roman"/>
          <w:sz w:val="24"/>
          <w:szCs w:val="24"/>
        </w:rPr>
      </w:pPr>
      <w:r>
        <w:rPr>
          <w:rFonts w:ascii="Times New Roman" w:eastAsiaTheme="minorEastAsia" w:hAnsi="Times New Roman" w:cs="Times New Roman"/>
          <w:sz w:val="24"/>
          <w:szCs w:val="24"/>
        </w:rPr>
        <w:t xml:space="preserve">To estimate the impact of the policy design treatments on public support and perceptions of fairness, </w:t>
      </w:r>
      <w:r w:rsidRPr="003B2204">
        <w:rPr>
          <w:rFonts w:ascii="Times New Roman" w:eastAsiaTheme="minorEastAsia" w:hAnsi="Times New Roman" w:cs="Times New Roman"/>
          <w:sz w:val="24"/>
          <w:szCs w:val="24"/>
        </w:rPr>
        <w:t xml:space="preserve">I implement an </w:t>
      </w:r>
      <w:r>
        <w:rPr>
          <w:rFonts w:ascii="Times New Roman" w:eastAsiaTheme="minorEastAsia" w:hAnsi="Times New Roman" w:cs="Times New Roman"/>
          <w:sz w:val="24"/>
          <w:szCs w:val="24"/>
        </w:rPr>
        <w:t>OLS</w:t>
      </w:r>
      <w:r w:rsidRPr="003B2204">
        <w:rPr>
          <w:rFonts w:ascii="Times New Roman" w:eastAsiaTheme="minorEastAsia" w:hAnsi="Times New Roman" w:cs="Times New Roman"/>
          <w:sz w:val="24"/>
          <w:szCs w:val="24"/>
        </w:rPr>
        <w:t xml:space="preserve"> approach with robust standard errors and post-stratification weights.</w:t>
      </w:r>
      <w:r w:rsidRPr="00E3535F">
        <w:rPr>
          <w:rStyle w:val="FootnoteReference"/>
        </w:rPr>
        <w:footnoteReference w:id="3"/>
      </w:r>
      <w:r w:rsidRPr="003B220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 also perform the analysis without the post-stratification weights and find that the results are consistent across specifications. </w:t>
      </w:r>
      <w:r w:rsidRPr="003B2204">
        <w:rPr>
          <w:rFonts w:ascii="Times New Roman" w:eastAsiaTheme="minorEastAsia" w:hAnsi="Times New Roman" w:cs="Times New Roman"/>
          <w:sz w:val="24"/>
          <w:szCs w:val="24"/>
        </w:rPr>
        <w:t>Th</w:t>
      </w:r>
      <w:r>
        <w:rPr>
          <w:rFonts w:ascii="Times New Roman" w:eastAsiaTheme="minorEastAsia" w:hAnsi="Times New Roman" w:cs="Times New Roman"/>
          <w:sz w:val="24"/>
          <w:szCs w:val="24"/>
        </w:rPr>
        <w:t>e</w:t>
      </w:r>
      <w:r w:rsidRPr="003B2204">
        <w:rPr>
          <w:rFonts w:ascii="Times New Roman" w:eastAsiaTheme="minorEastAsia" w:hAnsi="Times New Roman" w:cs="Times New Roman"/>
          <w:sz w:val="24"/>
          <w:szCs w:val="24"/>
        </w:rPr>
        <w:t xml:space="preserve"> model is summarized in Equation 1, in which support for tuition-free college (1 reflecting strongly oppose and 5 reflecting strongly support) is </w:t>
      </w:r>
      <w:r w:rsidRPr="003B2204">
        <w:rPr>
          <w:rFonts w:ascii="Times New Roman" w:eastAsiaTheme="minorEastAsia" w:hAnsi="Times New Roman" w:cs="Times New Roman"/>
          <w:sz w:val="24"/>
          <w:szCs w:val="24"/>
        </w:rPr>
        <w:lastRenderedPageBreak/>
        <w:t>modeled as a function of the randomly assigned treatments</w:t>
      </w:r>
      <w:r>
        <w:rPr>
          <w:rFonts w:ascii="Times New Roman" w:eastAsiaTheme="minorEastAsia" w:hAnsi="Times New Roman" w:cs="Times New Roman"/>
          <w:sz w:val="24"/>
          <w:szCs w:val="24"/>
        </w:rPr>
        <w:t xml:space="preserve"> (</w:t>
      </w:r>
      <m:oMath>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T</m:t>
            </m:r>
          </m:e>
          <m:sub>
            <m:r>
              <w:rPr>
                <w:rFonts w:ascii="Cambria Math" w:eastAsia="Cambria Math" w:hAnsi="Cambria Math" w:cs="Times New Roman"/>
                <w:sz w:val="24"/>
                <w:szCs w:val="24"/>
              </w:rPr>
              <m:t>i</m:t>
            </m:r>
          </m:sub>
        </m:sSub>
      </m:oMath>
      <w:r>
        <w:rPr>
          <w:rFonts w:ascii="Times New Roman" w:eastAsiaTheme="minorEastAsia" w:hAnsi="Times New Roman" w:cs="Times New Roman"/>
          <w:sz w:val="24"/>
          <w:szCs w:val="24"/>
        </w:rPr>
        <w:t>)</w:t>
      </w:r>
      <w:r w:rsidRPr="003B2204">
        <w:rPr>
          <w:rFonts w:ascii="Times New Roman" w:eastAsiaTheme="minorEastAsia" w:hAnsi="Times New Roman" w:cs="Times New Roman"/>
          <w:sz w:val="24"/>
          <w:szCs w:val="24"/>
        </w:rPr>
        <w:t xml:space="preserve"> and the control variables </w:t>
      </w:r>
      <m:oMath>
        <m:d>
          <m:dPr>
            <m:ctrlPr>
              <w:rPr>
                <w:rFonts w:ascii="Cambria Math" w:eastAsia="Cambria Math" w:hAnsi="Cambria Math" w:cs="Times New Roman"/>
                <w:i/>
                <w:sz w:val="24"/>
                <w:szCs w:val="24"/>
              </w:rPr>
            </m:ctrlPr>
          </m:dPr>
          <m:e>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e>
        </m:d>
      </m:oMath>
      <w:r w:rsidRPr="003B2204">
        <w:rPr>
          <w:rFonts w:ascii="Times New Roman" w:eastAsiaTheme="minorEastAsia" w:hAnsi="Times New Roman" w:cs="Times New Roman"/>
          <w:sz w:val="24"/>
          <w:szCs w:val="24"/>
        </w:rPr>
        <w:t xml:space="preserve">. </w:t>
      </w:r>
      <w:r w:rsidRPr="003B2204">
        <w:rPr>
          <w:rFonts w:ascii="Times New Roman" w:eastAsia="Times New Roman" w:hAnsi="Times New Roman" w:cs="Times New Roman"/>
          <w:sz w:val="24"/>
          <w:szCs w:val="24"/>
        </w:rPr>
        <w:t xml:space="preserve">The randomly assigned treatment groups are combined into two main variables of interest for ease of interpretation. The first treatment variable captures whether the tuition-free college policy included a family income cap or whether it was open to all in-state students. The second treatment variable indicates whether the tuition-free college policy required students to meet a minimum 2.0 GPA requirement or whether the policy was open to students below the GPA requirement. </w:t>
      </w:r>
      <w:r>
        <w:rPr>
          <w:rFonts w:ascii="Times New Roman" w:eastAsia="Times New Roman" w:hAnsi="Times New Roman" w:cs="Times New Roman"/>
          <w:sz w:val="24"/>
          <w:szCs w:val="24"/>
        </w:rPr>
        <w:t>This approach is preferable to conducting the analysis separately for each treatment for two main reasons: first, it maximizes statistical power and second, it avoids the problem of choosing one of the treatment groups to serve as the baseline.</w:t>
      </w:r>
      <w:r w:rsidRPr="00E3535F">
        <w:rPr>
          <w:rStyle w:val="FootnoteReference"/>
        </w:rPr>
        <w:footnoteReference w:id="4"/>
      </w:r>
      <w:r>
        <w:rPr>
          <w:rFonts w:ascii="Times New Roman" w:eastAsia="Times New Roman" w:hAnsi="Times New Roman" w:cs="Times New Roman"/>
          <w:sz w:val="24"/>
          <w:szCs w:val="24"/>
        </w:rPr>
        <w:t xml:space="preserve"> </w:t>
      </w:r>
    </w:p>
    <w:bookmarkStart w:id="11" w:name="_Hlk524348688"/>
    <w:p w14:paraId="7920AD1B" w14:textId="77777777" w:rsidR="00E45E88" w:rsidRPr="00DB443A" w:rsidRDefault="003C3EBF" w:rsidP="00E45E88">
      <w:pPr>
        <w:spacing w:before="120" w:after="120" w:line="480" w:lineRule="auto"/>
        <w:ind w:left="2880" w:firstLine="720"/>
        <w:textAlignment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8"/>
                <w:szCs w:val="24"/>
              </w:rPr>
            </m:ctrlPr>
          </m:sSubPr>
          <m:e>
            <m:r>
              <w:rPr>
                <w:rFonts w:ascii="Cambria Math" w:eastAsia="Times New Roman" w:hAnsi="Cambria Math" w:cs="Times New Roman"/>
                <w:sz w:val="28"/>
                <w:szCs w:val="24"/>
              </w:rPr>
              <m:t>Y</m:t>
            </m:r>
          </m:e>
          <m:sub>
            <m:r>
              <w:rPr>
                <w:rFonts w:ascii="Cambria Math" w:eastAsia="Times New Roman" w:hAnsi="Cambria Math" w:cs="Times New Roman"/>
                <w:sz w:val="28"/>
                <w:szCs w:val="24"/>
              </w:rPr>
              <m:t>i</m:t>
            </m:r>
          </m:sub>
        </m:sSub>
        <m:r>
          <w:rPr>
            <w:rFonts w:ascii="Cambria Math" w:eastAsia="Times New Roman" w:hAnsi="Cambria Math" w:cs="Times New Roman"/>
            <w:sz w:val="28"/>
            <w:szCs w:val="24"/>
          </w:rPr>
          <m:t>=</m:t>
        </m:r>
        <m:sSub>
          <m:sSubPr>
            <m:ctrlPr>
              <w:rPr>
                <w:rFonts w:ascii="Cambria Math" w:eastAsia="Cambria Math" w:hAnsi="Cambria Math" w:cs="Times New Roman"/>
                <w:i/>
                <w:sz w:val="28"/>
                <w:szCs w:val="24"/>
              </w:rPr>
            </m:ctrlPr>
          </m:sSubPr>
          <m:e>
            <m:r>
              <w:rPr>
                <w:rFonts w:ascii="Cambria Math" w:eastAsia="Cambria Math" w:hAnsi="Cambria Math" w:cs="Times New Roman"/>
                <w:sz w:val="28"/>
                <w:szCs w:val="24"/>
              </w:rPr>
              <m:t>a</m:t>
            </m:r>
          </m:e>
          <m:sub>
            <m:r>
              <w:rPr>
                <w:rFonts w:ascii="Cambria Math" w:eastAsia="Cambria Math" w:hAnsi="Cambria Math" w:cs="Times New Roman"/>
                <w:sz w:val="28"/>
                <w:szCs w:val="24"/>
              </w:rPr>
              <m:t>i</m:t>
            </m:r>
          </m:sub>
        </m:sSub>
        <m:r>
          <w:rPr>
            <w:rFonts w:ascii="Cambria Math" w:eastAsia="Times New Roman" w:hAnsi="Cambria Math" w:cs="Times New Roman"/>
            <w:sz w:val="28"/>
            <w:szCs w:val="24"/>
          </w:rPr>
          <m:t>+</m:t>
        </m:r>
        <m:sSub>
          <m:sSubPr>
            <m:ctrlPr>
              <w:rPr>
                <w:rFonts w:ascii="Cambria Math" w:eastAsia="Times New Roman" w:hAnsi="Cambria Math" w:cs="Times New Roman"/>
                <w:i/>
                <w:sz w:val="28"/>
                <w:szCs w:val="24"/>
              </w:rPr>
            </m:ctrlPr>
          </m:sSubPr>
          <m:e>
            <m:r>
              <w:rPr>
                <w:rFonts w:ascii="Cambria Math" w:eastAsia="Times New Roman" w:hAnsi="Cambria Math" w:cs="Times New Roman"/>
                <w:sz w:val="28"/>
                <w:szCs w:val="24"/>
              </w:rPr>
              <m:t>∅</m:t>
            </m:r>
          </m:e>
          <m:sub>
            <m:r>
              <w:rPr>
                <w:rFonts w:ascii="Cambria Math" w:eastAsia="Times New Roman" w:hAnsi="Cambria Math" w:cs="Times New Roman"/>
                <w:sz w:val="28"/>
                <w:szCs w:val="24"/>
              </w:rPr>
              <m:t>i</m:t>
            </m:r>
          </m:sub>
        </m:sSub>
        <m:sSub>
          <m:sSubPr>
            <m:ctrlPr>
              <w:rPr>
                <w:rFonts w:ascii="Cambria Math" w:eastAsia="Cambria Math" w:hAnsi="Cambria Math" w:cs="Times New Roman"/>
                <w:i/>
                <w:sz w:val="28"/>
                <w:szCs w:val="24"/>
              </w:rPr>
            </m:ctrlPr>
          </m:sSubPr>
          <m:e>
            <m:r>
              <w:rPr>
                <w:rFonts w:ascii="Cambria Math" w:eastAsia="Cambria Math" w:hAnsi="Cambria Math" w:cs="Times New Roman"/>
                <w:sz w:val="28"/>
                <w:szCs w:val="24"/>
              </w:rPr>
              <m:t>T</m:t>
            </m:r>
          </m:e>
          <m:sub>
            <m:r>
              <w:rPr>
                <w:rFonts w:ascii="Cambria Math" w:eastAsia="Cambria Math" w:hAnsi="Cambria Math" w:cs="Times New Roman"/>
                <w:sz w:val="28"/>
                <w:szCs w:val="24"/>
              </w:rPr>
              <m:t>i</m:t>
            </m:r>
          </m:sub>
        </m:sSub>
        <m:r>
          <w:rPr>
            <w:rFonts w:ascii="Cambria Math" w:eastAsia="Cambria Math" w:hAnsi="Cambria Math" w:cs="Times New Roman"/>
            <w:sz w:val="28"/>
            <w:szCs w:val="24"/>
          </w:rPr>
          <m:t>+</m:t>
        </m:r>
        <m:sSub>
          <m:sSubPr>
            <m:ctrlPr>
              <w:rPr>
                <w:rFonts w:ascii="Cambria Math" w:eastAsia="Times New Roman" w:hAnsi="Cambria Math" w:cs="Times New Roman"/>
                <w:i/>
                <w:sz w:val="28"/>
                <w:szCs w:val="24"/>
              </w:rPr>
            </m:ctrlPr>
          </m:sSubPr>
          <m:e>
            <m:r>
              <w:rPr>
                <w:rFonts w:ascii="Cambria Math" w:eastAsia="Times New Roman" w:hAnsi="Cambria Math" w:cs="Times New Roman"/>
                <w:sz w:val="28"/>
                <w:szCs w:val="24"/>
              </w:rPr>
              <m:t>β</m:t>
            </m:r>
          </m:e>
          <m:sub>
            <m:r>
              <w:rPr>
                <w:rFonts w:ascii="Cambria Math" w:eastAsia="Times New Roman" w:hAnsi="Cambria Math" w:cs="Times New Roman"/>
                <w:sz w:val="28"/>
                <w:szCs w:val="24"/>
              </w:rPr>
              <m:t>i</m:t>
            </m:r>
          </m:sub>
        </m:sSub>
        <m:sSub>
          <m:sSubPr>
            <m:ctrlPr>
              <w:rPr>
                <w:rFonts w:ascii="Cambria Math" w:eastAsia="Cambria Math" w:hAnsi="Cambria Math" w:cs="Times New Roman"/>
                <w:i/>
                <w:sz w:val="28"/>
                <w:szCs w:val="24"/>
              </w:rPr>
            </m:ctrlPr>
          </m:sSubPr>
          <m:e>
            <m:r>
              <w:rPr>
                <w:rFonts w:ascii="Cambria Math" w:eastAsia="Cambria Math" w:hAnsi="Cambria Math" w:cs="Times New Roman"/>
                <w:sz w:val="28"/>
                <w:szCs w:val="24"/>
              </w:rPr>
              <m:t>X</m:t>
            </m:r>
          </m:e>
          <m:sub>
            <m:r>
              <w:rPr>
                <w:rFonts w:ascii="Cambria Math" w:eastAsia="Cambria Math" w:hAnsi="Cambria Math" w:cs="Times New Roman"/>
                <w:sz w:val="28"/>
                <w:szCs w:val="24"/>
              </w:rPr>
              <m:t>i</m:t>
            </m:r>
          </m:sub>
        </m:sSub>
        <m:r>
          <w:rPr>
            <w:rFonts w:ascii="Cambria Math" w:eastAsia="Times New Roman" w:hAnsi="Cambria Math" w:cs="Times New Roman"/>
            <w:sz w:val="28"/>
            <w:szCs w:val="24"/>
          </w:rPr>
          <m:t>+</m:t>
        </m:r>
        <m:sSub>
          <m:sSubPr>
            <m:ctrlPr>
              <w:rPr>
                <w:rFonts w:ascii="Cambria Math" w:eastAsia="Times New Roman" w:hAnsi="Cambria Math" w:cs="Times New Roman"/>
                <w:i/>
                <w:sz w:val="28"/>
                <w:szCs w:val="24"/>
              </w:rPr>
            </m:ctrlPr>
          </m:sSubPr>
          <m:e>
            <m:r>
              <w:rPr>
                <w:rFonts w:ascii="Cambria Math" w:eastAsia="Times New Roman" w:hAnsi="Cambria Math" w:cs="Times New Roman"/>
                <w:sz w:val="28"/>
                <w:szCs w:val="24"/>
              </w:rPr>
              <m:t>ε</m:t>
            </m:r>
          </m:e>
          <m:sub>
            <m:r>
              <w:rPr>
                <w:rFonts w:ascii="Cambria Math" w:eastAsia="Times New Roman" w:hAnsi="Cambria Math" w:cs="Times New Roman"/>
                <w:sz w:val="28"/>
                <w:szCs w:val="24"/>
              </w:rPr>
              <m:t>i</m:t>
            </m:r>
          </m:sub>
        </m:sSub>
      </m:oMath>
      <w:r w:rsidR="00E45E88" w:rsidRPr="00DB443A">
        <w:rPr>
          <w:rFonts w:ascii="Times New Roman" w:eastAsia="Times New Roman" w:hAnsi="Times New Roman" w:cs="Times New Roman"/>
          <w:sz w:val="28"/>
          <w:szCs w:val="24"/>
        </w:rPr>
        <w:tab/>
      </w:r>
      <w:r w:rsidR="00E45E88" w:rsidRPr="00DB443A">
        <w:rPr>
          <w:rFonts w:ascii="Times New Roman" w:eastAsia="Times New Roman" w:hAnsi="Times New Roman" w:cs="Times New Roman"/>
          <w:sz w:val="28"/>
          <w:szCs w:val="24"/>
        </w:rPr>
        <w:tab/>
      </w:r>
      <w:r w:rsidR="00E45E88" w:rsidRPr="00DB443A">
        <w:rPr>
          <w:rFonts w:ascii="Times New Roman" w:eastAsia="Times New Roman" w:hAnsi="Times New Roman" w:cs="Times New Roman"/>
          <w:sz w:val="28"/>
          <w:szCs w:val="24"/>
        </w:rPr>
        <w:tab/>
      </w:r>
      <w:r w:rsidR="00E45E88" w:rsidRPr="00DB443A">
        <w:rPr>
          <w:rFonts w:ascii="Times New Roman" w:eastAsia="Times New Roman" w:hAnsi="Times New Roman" w:cs="Times New Roman"/>
          <w:sz w:val="24"/>
          <w:szCs w:val="24"/>
        </w:rPr>
        <w:t>(1)</w:t>
      </w:r>
      <w:bookmarkEnd w:id="11"/>
    </w:p>
    <w:p w14:paraId="759DF0B2" w14:textId="77777777" w:rsidR="00E45E88" w:rsidRPr="003B2204" w:rsidRDefault="00E45E88" w:rsidP="00E45E88">
      <w:pPr>
        <w:spacing w:line="480" w:lineRule="auto"/>
        <w:ind w:firstLine="720"/>
        <w:rPr>
          <w:rFonts w:ascii="Times New Roman" w:eastAsia="Times New Roman" w:hAnsi="Times New Roman" w:cs="Times New Roman"/>
          <w:sz w:val="24"/>
          <w:szCs w:val="24"/>
        </w:rPr>
      </w:pPr>
      <w:r w:rsidRPr="003B2204">
        <w:rPr>
          <w:rFonts w:ascii="Times New Roman" w:hAnsi="Times New Roman" w:cs="Times New Roman"/>
          <w:sz w:val="24"/>
          <w:szCs w:val="24"/>
        </w:rPr>
        <w:t>This equation estimates</w:t>
      </w:r>
      <w:r w:rsidRPr="003B2204">
        <w:rPr>
          <w:rFonts w:ascii="Times New Roman" w:eastAsia="Times New Roman" w:hAnsi="Times New Roman" w:cs="Times New Roman"/>
          <w:sz w:val="24"/>
          <w:szCs w:val="24"/>
        </w:rPr>
        <w:t xml:space="preserve"> the impact of the </w:t>
      </w:r>
      <w:r>
        <w:rPr>
          <w:rFonts w:ascii="Times New Roman" w:eastAsia="Times New Roman" w:hAnsi="Times New Roman" w:cs="Times New Roman"/>
          <w:sz w:val="24"/>
          <w:szCs w:val="24"/>
        </w:rPr>
        <w:t>treatments (</w:t>
      </w:r>
      <m:oMath>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T</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 xml:space="preserve">) </m:t>
        </m:r>
      </m:oMath>
      <w:r>
        <w:rPr>
          <w:rFonts w:ascii="Times New Roman" w:eastAsia="Times New Roman" w:hAnsi="Times New Roman" w:cs="Times New Roman"/>
          <w:sz w:val="24"/>
          <w:szCs w:val="24"/>
        </w:rPr>
        <w:t>and c</w:t>
      </w:r>
      <w:r w:rsidRPr="003B2204">
        <w:rPr>
          <w:rFonts w:ascii="Times New Roman" w:eastAsia="Times New Roman" w:hAnsi="Times New Roman" w:cs="Times New Roman"/>
          <w:sz w:val="24"/>
          <w:szCs w:val="24"/>
        </w:rPr>
        <w:t>ovariates (</w:t>
      </w:r>
      <m:oMath>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oMath>
      <w:r w:rsidRPr="003B2204">
        <w:rPr>
          <w:rFonts w:ascii="Times New Roman" w:eastAsia="Times New Roman" w:hAnsi="Times New Roman" w:cs="Times New Roman"/>
          <w:sz w:val="24"/>
          <w:szCs w:val="24"/>
        </w:rPr>
        <w:t>) on the level of support or opposition for tuition-free college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Y</m:t>
            </m:r>
          </m:e>
          <m:sub>
            <m:r>
              <w:rPr>
                <w:rFonts w:ascii="Cambria Math" w:eastAsia="Times New Roman" w:hAnsi="Cambria Math" w:cs="Times New Roman"/>
                <w:sz w:val="24"/>
                <w:szCs w:val="24"/>
              </w:rPr>
              <m:t>i</m:t>
            </m:r>
          </m:sub>
        </m:sSub>
      </m:oMath>
      <w:r w:rsidRPr="003B2204">
        <w:rPr>
          <w:rFonts w:ascii="Times New Roman" w:eastAsia="Times New Roman" w:hAnsi="Times New Roman" w:cs="Times New Roman"/>
          <w:sz w:val="24"/>
          <w:szCs w:val="24"/>
        </w:rPr>
        <w:t xml:space="preserve">). In this equation, </w:t>
      </w:r>
      <m:oMath>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a</m:t>
            </m:r>
          </m:e>
          <m:sub>
            <m:r>
              <w:rPr>
                <w:rFonts w:ascii="Cambria Math" w:eastAsia="Cambria Math" w:hAnsi="Cambria Math" w:cs="Times New Roman"/>
                <w:sz w:val="24"/>
                <w:szCs w:val="24"/>
              </w:rPr>
              <m:t>i</m:t>
            </m:r>
          </m:sub>
        </m:sSub>
      </m:oMath>
      <w:r w:rsidRPr="003B220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is the intercept,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t>
            </m:r>
          </m:e>
          <m:sub>
            <m:r>
              <w:rPr>
                <w:rFonts w:ascii="Cambria Math" w:eastAsia="Times New Roman" w:hAnsi="Cambria Math" w:cs="Times New Roman"/>
                <w:sz w:val="24"/>
                <w:szCs w:val="24"/>
              </w:rPr>
              <m:t>i</m:t>
            </m:r>
          </m:sub>
        </m:sSub>
      </m:oMath>
      <w:r>
        <w:rPr>
          <w:rFonts w:ascii="Times New Roman" w:eastAsiaTheme="minorEastAsia" w:hAnsi="Times New Roman" w:cs="Times New Roman"/>
          <w:sz w:val="24"/>
          <w:szCs w:val="24"/>
        </w:rPr>
        <w:t xml:space="preserve"> is the parameter of interest indicating the change in the dependent variable as a result of</w:t>
      </w:r>
      <w:r w:rsidRPr="003B22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being assigned to a treatment group </w:t>
      </w:r>
      <w:r w:rsidRPr="003B2204">
        <w:rPr>
          <w:rFonts w:ascii="Times New Roman" w:eastAsia="Times New Roman" w:hAnsi="Times New Roman" w:cs="Times New Roman"/>
          <w:sz w:val="24"/>
          <w:szCs w:val="24"/>
        </w:rPr>
        <w:t>when all other variables are held constant.</w:t>
      </w:r>
      <w:r>
        <w:rPr>
          <w:rFonts w:ascii="Times New Roman" w:eastAsia="Times New Roman" w:hAnsi="Times New Roman" w:cs="Times New Roman"/>
          <w:sz w:val="24"/>
          <w:szCs w:val="24"/>
        </w:rPr>
        <w:t xml:space="preserve"> </w:t>
      </w:r>
      <w:r w:rsidRPr="003B2204">
        <w:rPr>
          <w:rFonts w:ascii="Times New Roman" w:eastAsia="Times New Roman" w:hAnsi="Times New Roman" w:cs="Times New Roman"/>
          <w:sz w:val="24"/>
          <w:szCs w:val="24"/>
        </w:rPr>
        <w:t xml:space="preserve">Given that the treatment variables of interest were randomly assigned and passed the balance test, the results should be interpreted as causal effects. </w:t>
      </w:r>
    </w:p>
    <w:p w14:paraId="4727E1A9" w14:textId="77777777" w:rsidR="00E45E88" w:rsidRPr="003B2204" w:rsidRDefault="00E45E88" w:rsidP="00E45E88">
      <w:pPr>
        <w:spacing w:line="480" w:lineRule="auto"/>
        <w:jc w:val="center"/>
        <w:rPr>
          <w:rFonts w:ascii="Times New Roman" w:hAnsi="Times New Roman" w:cs="Times New Roman"/>
          <w:b/>
          <w:sz w:val="24"/>
          <w:szCs w:val="24"/>
        </w:rPr>
      </w:pPr>
      <w:r w:rsidRPr="003B2204">
        <w:rPr>
          <w:rFonts w:ascii="Times New Roman" w:hAnsi="Times New Roman" w:cs="Times New Roman"/>
          <w:b/>
          <w:sz w:val="24"/>
          <w:szCs w:val="24"/>
        </w:rPr>
        <w:t>Results</w:t>
      </w:r>
    </w:p>
    <w:p w14:paraId="3820C20A" w14:textId="65EF3825" w:rsidR="00C72937" w:rsidRDefault="00E45E88" w:rsidP="00C72937">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The </w:t>
      </w:r>
      <w:r>
        <w:rPr>
          <w:rFonts w:ascii="Times New Roman" w:hAnsi="Times New Roman" w:cs="Times New Roman"/>
          <w:sz w:val="24"/>
          <w:szCs w:val="24"/>
        </w:rPr>
        <w:t>results of the analysis</w:t>
      </w:r>
      <w:r w:rsidRPr="003B2204">
        <w:rPr>
          <w:rFonts w:ascii="Times New Roman" w:hAnsi="Times New Roman" w:cs="Times New Roman"/>
          <w:sz w:val="24"/>
          <w:szCs w:val="24"/>
        </w:rPr>
        <w:t xml:space="preserve"> are presented in Table </w:t>
      </w:r>
      <w:r w:rsidR="001F2F50">
        <w:rPr>
          <w:rFonts w:ascii="Times New Roman" w:hAnsi="Times New Roman" w:cs="Times New Roman"/>
          <w:sz w:val="24"/>
          <w:szCs w:val="24"/>
        </w:rPr>
        <w:t>3-</w:t>
      </w:r>
      <w:r w:rsidRPr="003B2204">
        <w:rPr>
          <w:rFonts w:ascii="Times New Roman" w:hAnsi="Times New Roman" w:cs="Times New Roman"/>
          <w:sz w:val="24"/>
          <w:szCs w:val="24"/>
        </w:rPr>
        <w:t xml:space="preserve">6. Model 1 reveals that the family income cap treatment did not significantly </w:t>
      </w:r>
      <w:r>
        <w:rPr>
          <w:rFonts w:ascii="Times New Roman" w:hAnsi="Times New Roman" w:cs="Times New Roman"/>
          <w:sz w:val="24"/>
          <w:szCs w:val="24"/>
        </w:rPr>
        <w:t>impact</w:t>
      </w:r>
      <w:r w:rsidRPr="003B2204">
        <w:rPr>
          <w:rFonts w:ascii="Times New Roman" w:hAnsi="Times New Roman" w:cs="Times New Roman"/>
          <w:sz w:val="24"/>
          <w:szCs w:val="24"/>
        </w:rPr>
        <w:t xml:space="preserve"> the level of support for tuition-free college. </w:t>
      </w:r>
      <w:r w:rsidRPr="003B2204">
        <w:rPr>
          <w:rFonts w:ascii="Times New Roman" w:hAnsi="Times New Roman" w:cs="Times New Roman"/>
          <w:sz w:val="24"/>
          <w:szCs w:val="24"/>
        </w:rPr>
        <w:lastRenderedPageBreak/>
        <w:t>However, the inclusion of an academic merit requirement significantly increased the level of support for tuition-free college</w:t>
      </w:r>
      <w:r>
        <w:rPr>
          <w:rFonts w:ascii="Times New Roman" w:hAnsi="Times New Roman" w:cs="Times New Roman"/>
          <w:sz w:val="24"/>
          <w:szCs w:val="24"/>
        </w:rPr>
        <w:t xml:space="preserve"> by approximately a tenth of a standard deviation</w:t>
      </w:r>
      <w:r w:rsidRPr="003B2204">
        <w:rPr>
          <w:rFonts w:ascii="Times New Roman" w:hAnsi="Times New Roman" w:cs="Times New Roman"/>
          <w:sz w:val="24"/>
          <w:szCs w:val="24"/>
        </w:rPr>
        <w:t xml:space="preserve">. </w:t>
      </w:r>
    </w:p>
    <w:tbl>
      <w:tblPr>
        <w:tblW w:w="6660" w:type="dxa"/>
        <w:jc w:val="center"/>
        <w:tblLook w:val="04A0" w:firstRow="1" w:lastRow="0" w:firstColumn="1" w:lastColumn="0" w:noHBand="0" w:noVBand="1"/>
      </w:tblPr>
      <w:tblGrid>
        <w:gridCol w:w="4050"/>
        <w:gridCol w:w="1440"/>
        <w:gridCol w:w="1080"/>
        <w:gridCol w:w="90"/>
      </w:tblGrid>
      <w:tr w:rsidR="00C72937" w:rsidRPr="00661226" w14:paraId="4E200629" w14:textId="77777777" w:rsidTr="00C72937">
        <w:trPr>
          <w:trHeight w:val="360"/>
          <w:jc w:val="center"/>
        </w:trPr>
        <w:tc>
          <w:tcPr>
            <w:tcW w:w="6660" w:type="dxa"/>
            <w:gridSpan w:val="4"/>
            <w:tcBorders>
              <w:top w:val="nil"/>
              <w:left w:val="nil"/>
              <w:bottom w:val="nil"/>
              <w:right w:val="nil"/>
            </w:tcBorders>
            <w:shd w:val="clear" w:color="auto" w:fill="auto"/>
            <w:noWrap/>
            <w:hideMark/>
          </w:tcPr>
          <w:p w14:paraId="6E8DB9DB" w14:textId="1350E894" w:rsidR="00C72937" w:rsidRPr="00D6506A" w:rsidRDefault="00C72937" w:rsidP="00967B87">
            <w:pPr>
              <w:spacing w:after="0" w:line="240" w:lineRule="auto"/>
              <w:rPr>
                <w:rFonts w:ascii="Palatino Linotype" w:eastAsia="Times New Roman" w:hAnsi="Palatino Linotype" w:cs="Calibri"/>
                <w:color w:val="000000"/>
              </w:rPr>
            </w:pPr>
            <w:r w:rsidRPr="00D6506A">
              <w:rPr>
                <w:rFonts w:ascii="Palatino Linotype" w:eastAsia="Times New Roman" w:hAnsi="Palatino Linotype" w:cs="Calibri"/>
                <w:color w:val="000000"/>
              </w:rPr>
              <w:t xml:space="preserve">Table </w:t>
            </w:r>
            <w:r w:rsidR="001F2F50">
              <w:rPr>
                <w:rFonts w:ascii="Palatino Linotype" w:eastAsia="Times New Roman" w:hAnsi="Palatino Linotype" w:cs="Calibri"/>
                <w:color w:val="000000"/>
              </w:rPr>
              <w:t>3-</w:t>
            </w:r>
            <w:r>
              <w:rPr>
                <w:rFonts w:ascii="Palatino Linotype" w:eastAsia="Times New Roman" w:hAnsi="Palatino Linotype" w:cs="Calibri"/>
                <w:color w:val="000000"/>
              </w:rPr>
              <w:t>6</w:t>
            </w:r>
            <w:r w:rsidRPr="00D6506A">
              <w:rPr>
                <w:rFonts w:ascii="Palatino Linotype" w:eastAsia="Times New Roman" w:hAnsi="Palatino Linotype" w:cs="Calibri"/>
                <w:color w:val="000000"/>
              </w:rPr>
              <w:t>. Regression Results</w:t>
            </w:r>
          </w:p>
        </w:tc>
      </w:tr>
      <w:tr w:rsidR="00C72937" w:rsidRPr="00661226" w14:paraId="1B57DE27" w14:textId="77777777" w:rsidTr="00C72937">
        <w:trPr>
          <w:gridAfter w:val="1"/>
          <w:wAfter w:w="90" w:type="dxa"/>
          <w:trHeight w:val="630"/>
          <w:jc w:val="center"/>
        </w:trPr>
        <w:tc>
          <w:tcPr>
            <w:tcW w:w="4050" w:type="dxa"/>
            <w:tcBorders>
              <w:top w:val="nil"/>
              <w:left w:val="nil"/>
              <w:bottom w:val="single" w:sz="8" w:space="0" w:color="auto"/>
              <w:right w:val="nil"/>
            </w:tcBorders>
            <w:shd w:val="clear" w:color="auto" w:fill="auto"/>
            <w:vAlign w:val="center"/>
            <w:hideMark/>
          </w:tcPr>
          <w:p w14:paraId="3D99399F" w14:textId="77777777" w:rsidR="00C72937" w:rsidRPr="00C8044A" w:rsidRDefault="00C72937" w:rsidP="00967B87">
            <w:pPr>
              <w:spacing w:after="0" w:line="240" w:lineRule="auto"/>
              <w:jc w:val="center"/>
              <w:rPr>
                <w:rFonts w:ascii="Palatino Linotype" w:eastAsia="Times New Roman" w:hAnsi="Palatino Linotype" w:cs="Calibri"/>
                <w:b/>
                <w:bCs/>
                <w:color w:val="000000"/>
                <w:sz w:val="19"/>
                <w:szCs w:val="19"/>
              </w:rPr>
            </w:pPr>
            <w:r w:rsidRPr="00C8044A">
              <w:rPr>
                <w:rFonts w:ascii="Palatino Linotype" w:eastAsia="Times New Roman" w:hAnsi="Palatino Linotype" w:cs="Calibri"/>
                <w:b/>
                <w:bCs/>
                <w:color w:val="000000"/>
                <w:sz w:val="19"/>
                <w:szCs w:val="19"/>
              </w:rPr>
              <w:t>Explanatory Variables</w:t>
            </w:r>
          </w:p>
        </w:tc>
        <w:tc>
          <w:tcPr>
            <w:tcW w:w="1440" w:type="dxa"/>
            <w:tcBorders>
              <w:top w:val="nil"/>
              <w:left w:val="nil"/>
              <w:bottom w:val="single" w:sz="8" w:space="0" w:color="auto"/>
              <w:right w:val="nil"/>
            </w:tcBorders>
            <w:shd w:val="clear" w:color="auto" w:fill="auto"/>
            <w:vAlign w:val="center"/>
            <w:hideMark/>
          </w:tcPr>
          <w:p w14:paraId="3A4463BA" w14:textId="77777777" w:rsidR="00C72937" w:rsidRPr="00C8044A" w:rsidRDefault="00C72937" w:rsidP="00967B87">
            <w:pPr>
              <w:spacing w:after="0" w:line="240" w:lineRule="auto"/>
              <w:jc w:val="center"/>
              <w:rPr>
                <w:rFonts w:ascii="Palatino Linotype" w:eastAsia="Times New Roman" w:hAnsi="Palatino Linotype" w:cs="Calibri"/>
                <w:b/>
                <w:bCs/>
                <w:color w:val="000000"/>
                <w:sz w:val="19"/>
                <w:szCs w:val="19"/>
              </w:rPr>
            </w:pPr>
            <w:r w:rsidRPr="00C8044A">
              <w:rPr>
                <w:rFonts w:ascii="Palatino Linotype" w:eastAsia="Times New Roman" w:hAnsi="Palatino Linotype" w:cs="Calibri"/>
                <w:b/>
                <w:bCs/>
                <w:color w:val="000000"/>
                <w:sz w:val="19"/>
                <w:szCs w:val="19"/>
              </w:rPr>
              <w:t>Model 1: Support</w:t>
            </w:r>
          </w:p>
        </w:tc>
        <w:tc>
          <w:tcPr>
            <w:tcW w:w="1080" w:type="dxa"/>
            <w:tcBorders>
              <w:top w:val="nil"/>
              <w:left w:val="nil"/>
              <w:bottom w:val="single" w:sz="8" w:space="0" w:color="auto"/>
              <w:right w:val="nil"/>
            </w:tcBorders>
            <w:shd w:val="clear" w:color="auto" w:fill="auto"/>
            <w:vAlign w:val="center"/>
            <w:hideMark/>
          </w:tcPr>
          <w:p w14:paraId="6CB29DAD" w14:textId="77777777" w:rsidR="00C72937" w:rsidRPr="00C8044A" w:rsidRDefault="00C72937" w:rsidP="00967B87">
            <w:pPr>
              <w:spacing w:after="0" w:line="240" w:lineRule="auto"/>
              <w:jc w:val="center"/>
              <w:rPr>
                <w:rFonts w:ascii="Palatino Linotype" w:eastAsia="Times New Roman" w:hAnsi="Palatino Linotype" w:cs="Calibri"/>
                <w:b/>
                <w:bCs/>
                <w:color w:val="000000"/>
                <w:sz w:val="19"/>
                <w:szCs w:val="19"/>
              </w:rPr>
            </w:pPr>
            <w:r w:rsidRPr="00C8044A">
              <w:rPr>
                <w:rFonts w:ascii="Palatino Linotype" w:eastAsia="Times New Roman" w:hAnsi="Palatino Linotype" w:cs="Calibri"/>
                <w:b/>
                <w:bCs/>
                <w:color w:val="000000"/>
                <w:sz w:val="19"/>
                <w:szCs w:val="19"/>
              </w:rPr>
              <w:t>Model 2: Fairness</w:t>
            </w:r>
          </w:p>
        </w:tc>
      </w:tr>
      <w:tr w:rsidR="00C72937" w:rsidRPr="000D476D" w14:paraId="14D70B9B" w14:textId="77777777" w:rsidTr="00C72937">
        <w:trPr>
          <w:gridAfter w:val="1"/>
          <w:wAfter w:w="90" w:type="dxa"/>
          <w:trHeight w:val="421"/>
          <w:jc w:val="center"/>
        </w:trPr>
        <w:tc>
          <w:tcPr>
            <w:tcW w:w="4050" w:type="dxa"/>
            <w:tcBorders>
              <w:top w:val="nil"/>
              <w:left w:val="nil"/>
              <w:bottom w:val="nil"/>
              <w:right w:val="nil"/>
            </w:tcBorders>
            <w:shd w:val="clear" w:color="auto" w:fill="auto"/>
            <w:vAlign w:val="center"/>
            <w:hideMark/>
          </w:tcPr>
          <w:p w14:paraId="14F22BA7" w14:textId="77777777" w:rsidR="00C72937" w:rsidRPr="00C8044A"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 xml:space="preserve">Treatment 1: </w:t>
            </w:r>
            <w:r w:rsidRPr="00C8044A">
              <w:rPr>
                <w:rFonts w:ascii="Palatino Linotype" w:eastAsia="Times New Roman" w:hAnsi="Palatino Linotype" w:cs="Calibri"/>
                <w:color w:val="000000"/>
                <w:sz w:val="19"/>
                <w:szCs w:val="19"/>
              </w:rPr>
              <w:t>Family Income Cap</w:t>
            </w:r>
          </w:p>
        </w:tc>
        <w:tc>
          <w:tcPr>
            <w:tcW w:w="1440" w:type="dxa"/>
            <w:tcBorders>
              <w:top w:val="nil"/>
              <w:left w:val="nil"/>
              <w:bottom w:val="nil"/>
              <w:right w:val="nil"/>
            </w:tcBorders>
            <w:shd w:val="clear" w:color="auto" w:fill="auto"/>
            <w:vAlign w:val="bottom"/>
            <w:hideMark/>
          </w:tcPr>
          <w:p w14:paraId="298162F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-0.001</w:t>
            </w:r>
          </w:p>
        </w:tc>
        <w:tc>
          <w:tcPr>
            <w:tcW w:w="1080" w:type="dxa"/>
            <w:tcBorders>
              <w:top w:val="nil"/>
              <w:left w:val="nil"/>
              <w:bottom w:val="nil"/>
              <w:right w:val="nil"/>
            </w:tcBorders>
            <w:shd w:val="clear" w:color="auto" w:fill="auto"/>
            <w:vAlign w:val="bottom"/>
            <w:hideMark/>
          </w:tcPr>
          <w:p w14:paraId="63BE412B"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-0.115**</w:t>
            </w:r>
          </w:p>
        </w:tc>
      </w:tr>
      <w:tr w:rsidR="00C72937" w:rsidRPr="000D476D" w14:paraId="19BA2118" w14:textId="77777777" w:rsidTr="00C72937">
        <w:trPr>
          <w:gridAfter w:val="1"/>
          <w:wAfter w:w="90" w:type="dxa"/>
          <w:trHeight w:val="68"/>
          <w:jc w:val="center"/>
        </w:trPr>
        <w:tc>
          <w:tcPr>
            <w:tcW w:w="4050" w:type="dxa"/>
            <w:tcBorders>
              <w:top w:val="nil"/>
              <w:left w:val="nil"/>
              <w:bottom w:val="nil"/>
              <w:right w:val="nil"/>
            </w:tcBorders>
            <w:shd w:val="clear" w:color="auto" w:fill="auto"/>
            <w:vAlign w:val="center"/>
            <w:hideMark/>
          </w:tcPr>
          <w:p w14:paraId="18E4EBE3"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213A2E3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(0.043)</w:t>
            </w:r>
          </w:p>
        </w:tc>
        <w:tc>
          <w:tcPr>
            <w:tcW w:w="1080" w:type="dxa"/>
            <w:tcBorders>
              <w:top w:val="nil"/>
              <w:left w:val="nil"/>
              <w:bottom w:val="nil"/>
              <w:right w:val="nil"/>
            </w:tcBorders>
            <w:shd w:val="clear" w:color="auto" w:fill="auto"/>
            <w:vAlign w:val="bottom"/>
            <w:hideMark/>
          </w:tcPr>
          <w:p w14:paraId="500CE500"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(0.045)</w:t>
            </w:r>
          </w:p>
        </w:tc>
      </w:tr>
      <w:tr w:rsidR="00C72937" w:rsidRPr="000D476D" w14:paraId="1A8D85D2" w14:textId="77777777" w:rsidTr="00C72937">
        <w:trPr>
          <w:gridAfter w:val="1"/>
          <w:wAfter w:w="90" w:type="dxa"/>
          <w:trHeight w:val="198"/>
          <w:jc w:val="center"/>
        </w:trPr>
        <w:tc>
          <w:tcPr>
            <w:tcW w:w="4050" w:type="dxa"/>
            <w:tcBorders>
              <w:top w:val="nil"/>
              <w:left w:val="nil"/>
              <w:bottom w:val="nil"/>
              <w:right w:val="nil"/>
            </w:tcBorders>
            <w:shd w:val="clear" w:color="auto" w:fill="auto"/>
            <w:vAlign w:val="center"/>
            <w:hideMark/>
          </w:tcPr>
          <w:p w14:paraId="1494655F" w14:textId="77777777" w:rsidR="00C72937" w:rsidRPr="00C8044A"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 xml:space="preserve">Treatment 2: </w:t>
            </w:r>
            <w:r w:rsidRPr="00C8044A">
              <w:rPr>
                <w:rFonts w:ascii="Palatino Linotype" w:eastAsia="Times New Roman" w:hAnsi="Palatino Linotype" w:cs="Calibri"/>
                <w:color w:val="000000"/>
                <w:sz w:val="19"/>
                <w:szCs w:val="19"/>
              </w:rPr>
              <w:t>Academic Merit Requirement</w:t>
            </w:r>
          </w:p>
        </w:tc>
        <w:tc>
          <w:tcPr>
            <w:tcW w:w="1440" w:type="dxa"/>
            <w:tcBorders>
              <w:top w:val="nil"/>
              <w:left w:val="nil"/>
              <w:bottom w:val="nil"/>
              <w:right w:val="nil"/>
            </w:tcBorders>
            <w:shd w:val="clear" w:color="auto" w:fill="auto"/>
            <w:vAlign w:val="center"/>
            <w:hideMark/>
          </w:tcPr>
          <w:p w14:paraId="1C01A43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0.109**</w:t>
            </w:r>
          </w:p>
        </w:tc>
        <w:tc>
          <w:tcPr>
            <w:tcW w:w="1080" w:type="dxa"/>
            <w:tcBorders>
              <w:top w:val="nil"/>
              <w:left w:val="nil"/>
              <w:bottom w:val="nil"/>
              <w:right w:val="nil"/>
            </w:tcBorders>
            <w:shd w:val="clear" w:color="auto" w:fill="auto"/>
            <w:vAlign w:val="center"/>
            <w:hideMark/>
          </w:tcPr>
          <w:p w14:paraId="0605760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0.195***</w:t>
            </w:r>
          </w:p>
        </w:tc>
      </w:tr>
      <w:tr w:rsidR="00C72937" w:rsidRPr="000D476D" w14:paraId="26B69799"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42538143"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hideMark/>
          </w:tcPr>
          <w:p w14:paraId="1892B51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(0.044)</w:t>
            </w:r>
          </w:p>
        </w:tc>
        <w:tc>
          <w:tcPr>
            <w:tcW w:w="1080" w:type="dxa"/>
            <w:tcBorders>
              <w:top w:val="nil"/>
              <w:left w:val="nil"/>
              <w:bottom w:val="nil"/>
              <w:right w:val="nil"/>
            </w:tcBorders>
            <w:shd w:val="clear" w:color="auto" w:fill="auto"/>
            <w:hideMark/>
          </w:tcPr>
          <w:p w14:paraId="4F3B083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(0.046)</w:t>
            </w:r>
          </w:p>
        </w:tc>
      </w:tr>
      <w:tr w:rsidR="00C72937" w:rsidRPr="000D476D" w14:paraId="6BF66CDE" w14:textId="77777777" w:rsidTr="006847DB">
        <w:trPr>
          <w:gridAfter w:val="1"/>
          <w:wAfter w:w="90" w:type="dxa"/>
          <w:trHeight w:val="68"/>
          <w:jc w:val="center"/>
        </w:trPr>
        <w:tc>
          <w:tcPr>
            <w:tcW w:w="4050" w:type="dxa"/>
            <w:tcBorders>
              <w:top w:val="nil"/>
              <w:left w:val="nil"/>
              <w:bottom w:val="nil"/>
              <w:right w:val="nil"/>
            </w:tcBorders>
            <w:shd w:val="clear" w:color="auto" w:fill="auto"/>
            <w:vAlign w:val="center"/>
          </w:tcPr>
          <w:p w14:paraId="45E280DA" w14:textId="77777777" w:rsidR="00C72937" w:rsidRPr="00662187" w:rsidRDefault="00C72937" w:rsidP="00967B87">
            <w:pPr>
              <w:spacing w:after="0" w:line="240" w:lineRule="auto"/>
              <w:rPr>
                <w:rFonts w:ascii="Palatino Linotype" w:eastAsia="Times New Roman" w:hAnsi="Palatino Linotype" w:cs="Calibri"/>
                <w:i/>
                <w:color w:val="000000"/>
                <w:sz w:val="19"/>
                <w:szCs w:val="19"/>
              </w:rPr>
            </w:pPr>
            <w:r>
              <w:rPr>
                <w:rFonts w:ascii="Palatino Linotype" w:eastAsia="Times New Roman" w:hAnsi="Palatino Linotype" w:cs="Calibri"/>
                <w:i/>
                <w:color w:val="000000"/>
                <w:sz w:val="19"/>
                <w:szCs w:val="19"/>
              </w:rPr>
              <w:t>Controls</w:t>
            </w:r>
          </w:p>
        </w:tc>
        <w:tc>
          <w:tcPr>
            <w:tcW w:w="1440" w:type="dxa"/>
            <w:tcBorders>
              <w:top w:val="nil"/>
              <w:left w:val="nil"/>
              <w:bottom w:val="nil"/>
              <w:right w:val="nil"/>
            </w:tcBorders>
            <w:shd w:val="clear" w:color="auto" w:fill="auto"/>
          </w:tcPr>
          <w:p w14:paraId="1D7614D9" w14:textId="77777777" w:rsidR="00C72937" w:rsidRPr="000D476D" w:rsidRDefault="00C72937" w:rsidP="00967B87">
            <w:pPr>
              <w:spacing w:after="0" w:line="240" w:lineRule="auto"/>
              <w:jc w:val="center"/>
              <w:rPr>
                <w:rFonts w:ascii="Palatino Linotype" w:eastAsia="Times New Roman" w:hAnsi="Palatino Linotype" w:cs="Calibri"/>
                <w:color w:val="000000"/>
                <w:sz w:val="19"/>
                <w:szCs w:val="19"/>
              </w:rPr>
            </w:pPr>
          </w:p>
        </w:tc>
        <w:tc>
          <w:tcPr>
            <w:tcW w:w="1080" w:type="dxa"/>
            <w:tcBorders>
              <w:top w:val="nil"/>
              <w:left w:val="nil"/>
              <w:bottom w:val="nil"/>
              <w:right w:val="nil"/>
            </w:tcBorders>
            <w:shd w:val="clear" w:color="auto" w:fill="auto"/>
          </w:tcPr>
          <w:p w14:paraId="560A80A7" w14:textId="77777777" w:rsidR="00C72937" w:rsidRPr="000D476D" w:rsidRDefault="00C72937" w:rsidP="00967B87">
            <w:pPr>
              <w:spacing w:after="0" w:line="240" w:lineRule="auto"/>
              <w:jc w:val="center"/>
              <w:rPr>
                <w:rFonts w:ascii="Palatino Linotype" w:eastAsia="Times New Roman" w:hAnsi="Palatino Linotype" w:cs="Calibri"/>
                <w:color w:val="000000"/>
                <w:sz w:val="19"/>
                <w:szCs w:val="19"/>
              </w:rPr>
            </w:pPr>
          </w:p>
        </w:tc>
      </w:tr>
      <w:tr w:rsidR="00C72937" w:rsidRPr="000D476D" w14:paraId="1A7EA09C"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67BB778F"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White</w:t>
            </w:r>
          </w:p>
        </w:tc>
        <w:tc>
          <w:tcPr>
            <w:tcW w:w="1440" w:type="dxa"/>
            <w:tcBorders>
              <w:top w:val="nil"/>
              <w:left w:val="nil"/>
              <w:bottom w:val="nil"/>
              <w:right w:val="nil"/>
            </w:tcBorders>
            <w:shd w:val="clear" w:color="auto" w:fill="auto"/>
            <w:vAlign w:val="bottom"/>
            <w:hideMark/>
          </w:tcPr>
          <w:p w14:paraId="1DE68CFB"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-0.138***</w:t>
            </w:r>
          </w:p>
        </w:tc>
        <w:tc>
          <w:tcPr>
            <w:tcW w:w="1080" w:type="dxa"/>
            <w:tcBorders>
              <w:top w:val="nil"/>
              <w:left w:val="nil"/>
              <w:bottom w:val="nil"/>
              <w:right w:val="nil"/>
            </w:tcBorders>
            <w:shd w:val="clear" w:color="auto" w:fill="auto"/>
            <w:vAlign w:val="bottom"/>
            <w:hideMark/>
          </w:tcPr>
          <w:p w14:paraId="30BB3F78"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0.005</w:t>
            </w:r>
          </w:p>
        </w:tc>
      </w:tr>
      <w:tr w:rsidR="00C72937" w:rsidRPr="000D476D" w14:paraId="2F920321"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6E43520"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7BD6C5CB"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(0.052)</w:t>
            </w:r>
          </w:p>
        </w:tc>
        <w:tc>
          <w:tcPr>
            <w:tcW w:w="1080" w:type="dxa"/>
            <w:tcBorders>
              <w:top w:val="nil"/>
              <w:left w:val="nil"/>
              <w:bottom w:val="nil"/>
              <w:right w:val="nil"/>
            </w:tcBorders>
            <w:shd w:val="clear" w:color="auto" w:fill="auto"/>
            <w:vAlign w:val="bottom"/>
            <w:hideMark/>
          </w:tcPr>
          <w:p w14:paraId="796EED49"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(0.055)</w:t>
            </w:r>
          </w:p>
        </w:tc>
      </w:tr>
      <w:tr w:rsidR="00C72937" w:rsidRPr="000D476D" w14:paraId="6019F58A"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F8EDB56"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Male</w:t>
            </w:r>
          </w:p>
        </w:tc>
        <w:tc>
          <w:tcPr>
            <w:tcW w:w="1440" w:type="dxa"/>
            <w:tcBorders>
              <w:top w:val="nil"/>
              <w:left w:val="nil"/>
              <w:bottom w:val="nil"/>
              <w:right w:val="nil"/>
            </w:tcBorders>
            <w:shd w:val="clear" w:color="auto" w:fill="auto"/>
            <w:vAlign w:val="bottom"/>
            <w:hideMark/>
          </w:tcPr>
          <w:p w14:paraId="76813D9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0.029</w:t>
            </w:r>
          </w:p>
        </w:tc>
        <w:tc>
          <w:tcPr>
            <w:tcW w:w="1080" w:type="dxa"/>
            <w:tcBorders>
              <w:top w:val="nil"/>
              <w:left w:val="nil"/>
              <w:bottom w:val="nil"/>
              <w:right w:val="nil"/>
            </w:tcBorders>
            <w:shd w:val="clear" w:color="auto" w:fill="auto"/>
            <w:vAlign w:val="bottom"/>
            <w:hideMark/>
          </w:tcPr>
          <w:p w14:paraId="5725CC42"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0.066</w:t>
            </w:r>
          </w:p>
        </w:tc>
      </w:tr>
      <w:tr w:rsidR="00C72937" w:rsidRPr="000D476D" w14:paraId="4B297FDB"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5EED88BF"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59A3EA8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(0.044)</w:t>
            </w:r>
          </w:p>
        </w:tc>
        <w:tc>
          <w:tcPr>
            <w:tcW w:w="1080" w:type="dxa"/>
            <w:tcBorders>
              <w:top w:val="nil"/>
              <w:left w:val="nil"/>
              <w:bottom w:val="nil"/>
              <w:right w:val="nil"/>
            </w:tcBorders>
            <w:shd w:val="clear" w:color="auto" w:fill="auto"/>
            <w:vAlign w:val="bottom"/>
            <w:hideMark/>
          </w:tcPr>
          <w:p w14:paraId="0068AFB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(0.046)</w:t>
            </w:r>
          </w:p>
        </w:tc>
      </w:tr>
      <w:tr w:rsidR="00C72937" w:rsidRPr="000D476D" w14:paraId="21D1A512"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121ACAE1"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Income</w:t>
            </w:r>
          </w:p>
        </w:tc>
        <w:tc>
          <w:tcPr>
            <w:tcW w:w="1440" w:type="dxa"/>
            <w:tcBorders>
              <w:top w:val="nil"/>
              <w:left w:val="nil"/>
              <w:bottom w:val="nil"/>
              <w:right w:val="nil"/>
            </w:tcBorders>
            <w:shd w:val="clear" w:color="auto" w:fill="auto"/>
            <w:vAlign w:val="bottom"/>
            <w:hideMark/>
          </w:tcPr>
          <w:p w14:paraId="28E5E531"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-0.0224***</w:t>
            </w:r>
          </w:p>
        </w:tc>
        <w:tc>
          <w:tcPr>
            <w:tcW w:w="1080" w:type="dxa"/>
            <w:tcBorders>
              <w:top w:val="nil"/>
              <w:left w:val="nil"/>
              <w:bottom w:val="nil"/>
              <w:right w:val="nil"/>
            </w:tcBorders>
            <w:shd w:val="clear" w:color="auto" w:fill="auto"/>
            <w:vAlign w:val="bottom"/>
            <w:hideMark/>
          </w:tcPr>
          <w:p w14:paraId="16965F45"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-0.0154***</w:t>
            </w:r>
          </w:p>
        </w:tc>
      </w:tr>
      <w:tr w:rsidR="00C72937" w:rsidRPr="000D476D" w14:paraId="2C840B0C"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2B67690"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2CEF2FA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(0.005)</w:t>
            </w:r>
          </w:p>
        </w:tc>
        <w:tc>
          <w:tcPr>
            <w:tcW w:w="1080" w:type="dxa"/>
            <w:tcBorders>
              <w:top w:val="nil"/>
              <w:left w:val="nil"/>
              <w:bottom w:val="nil"/>
              <w:right w:val="nil"/>
            </w:tcBorders>
            <w:shd w:val="clear" w:color="auto" w:fill="auto"/>
            <w:vAlign w:val="bottom"/>
            <w:hideMark/>
          </w:tcPr>
          <w:p w14:paraId="6F04F6FC"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(0.006)</w:t>
            </w:r>
          </w:p>
        </w:tc>
      </w:tr>
      <w:tr w:rsidR="00C72937" w:rsidRPr="000D476D" w14:paraId="616933A4"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60A89B9B"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Age</w:t>
            </w:r>
          </w:p>
        </w:tc>
        <w:tc>
          <w:tcPr>
            <w:tcW w:w="1440" w:type="dxa"/>
            <w:tcBorders>
              <w:top w:val="nil"/>
              <w:left w:val="nil"/>
              <w:bottom w:val="nil"/>
              <w:right w:val="nil"/>
            </w:tcBorders>
            <w:shd w:val="clear" w:color="auto" w:fill="auto"/>
            <w:vAlign w:val="bottom"/>
            <w:hideMark/>
          </w:tcPr>
          <w:p w14:paraId="3F6677C1"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0.000</w:t>
            </w:r>
          </w:p>
        </w:tc>
        <w:tc>
          <w:tcPr>
            <w:tcW w:w="1080" w:type="dxa"/>
            <w:tcBorders>
              <w:top w:val="nil"/>
              <w:left w:val="nil"/>
              <w:bottom w:val="nil"/>
              <w:right w:val="nil"/>
            </w:tcBorders>
            <w:shd w:val="clear" w:color="auto" w:fill="auto"/>
            <w:vAlign w:val="bottom"/>
            <w:hideMark/>
          </w:tcPr>
          <w:p w14:paraId="590CF6E9"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-0.002</w:t>
            </w:r>
          </w:p>
        </w:tc>
      </w:tr>
      <w:tr w:rsidR="00C72937" w:rsidRPr="000D476D" w14:paraId="0F6A016F"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1BEF031B"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3B56E532"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(0.001)</w:t>
            </w:r>
          </w:p>
        </w:tc>
        <w:tc>
          <w:tcPr>
            <w:tcW w:w="1080" w:type="dxa"/>
            <w:tcBorders>
              <w:top w:val="nil"/>
              <w:left w:val="nil"/>
              <w:bottom w:val="nil"/>
              <w:right w:val="nil"/>
            </w:tcBorders>
            <w:shd w:val="clear" w:color="auto" w:fill="auto"/>
            <w:vAlign w:val="bottom"/>
            <w:hideMark/>
          </w:tcPr>
          <w:p w14:paraId="0FA38675"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(0.002)</w:t>
            </w:r>
          </w:p>
        </w:tc>
      </w:tr>
      <w:tr w:rsidR="00C72937" w:rsidRPr="000D476D" w14:paraId="327D63EE"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70C5CB60"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Region</w:t>
            </w:r>
          </w:p>
        </w:tc>
        <w:tc>
          <w:tcPr>
            <w:tcW w:w="1440" w:type="dxa"/>
            <w:tcBorders>
              <w:top w:val="nil"/>
              <w:left w:val="nil"/>
              <w:bottom w:val="nil"/>
              <w:right w:val="nil"/>
            </w:tcBorders>
            <w:shd w:val="clear" w:color="auto" w:fill="auto"/>
            <w:vAlign w:val="bottom"/>
            <w:hideMark/>
          </w:tcPr>
          <w:p w14:paraId="6F1809B9"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-0.027</w:t>
            </w:r>
          </w:p>
        </w:tc>
        <w:tc>
          <w:tcPr>
            <w:tcW w:w="1080" w:type="dxa"/>
            <w:tcBorders>
              <w:top w:val="nil"/>
              <w:left w:val="nil"/>
              <w:bottom w:val="nil"/>
              <w:right w:val="nil"/>
            </w:tcBorders>
            <w:shd w:val="clear" w:color="auto" w:fill="auto"/>
            <w:vAlign w:val="bottom"/>
            <w:hideMark/>
          </w:tcPr>
          <w:p w14:paraId="0839F51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-0.016</w:t>
            </w:r>
          </w:p>
        </w:tc>
      </w:tr>
      <w:tr w:rsidR="00C72937" w:rsidRPr="000D476D" w14:paraId="1B58072F"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F6F67BF"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3FEBCC6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(0.020)</w:t>
            </w:r>
          </w:p>
        </w:tc>
        <w:tc>
          <w:tcPr>
            <w:tcW w:w="1080" w:type="dxa"/>
            <w:tcBorders>
              <w:top w:val="nil"/>
              <w:left w:val="nil"/>
              <w:bottom w:val="nil"/>
              <w:right w:val="nil"/>
            </w:tcBorders>
            <w:shd w:val="clear" w:color="auto" w:fill="auto"/>
            <w:vAlign w:val="bottom"/>
            <w:hideMark/>
          </w:tcPr>
          <w:p w14:paraId="540D3FD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(0.022)</w:t>
            </w:r>
          </w:p>
        </w:tc>
      </w:tr>
      <w:tr w:rsidR="00C72937" w:rsidRPr="000D476D" w14:paraId="79A6C0CA"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1B186041"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Education</w:t>
            </w:r>
          </w:p>
        </w:tc>
        <w:tc>
          <w:tcPr>
            <w:tcW w:w="1440" w:type="dxa"/>
            <w:tcBorders>
              <w:top w:val="nil"/>
              <w:left w:val="nil"/>
              <w:bottom w:val="nil"/>
              <w:right w:val="nil"/>
            </w:tcBorders>
            <w:shd w:val="clear" w:color="auto" w:fill="auto"/>
            <w:vAlign w:val="bottom"/>
            <w:hideMark/>
          </w:tcPr>
          <w:p w14:paraId="113170B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0.004</w:t>
            </w:r>
          </w:p>
        </w:tc>
        <w:tc>
          <w:tcPr>
            <w:tcW w:w="1080" w:type="dxa"/>
            <w:tcBorders>
              <w:top w:val="nil"/>
              <w:left w:val="nil"/>
              <w:bottom w:val="nil"/>
              <w:right w:val="nil"/>
            </w:tcBorders>
            <w:shd w:val="clear" w:color="auto" w:fill="auto"/>
            <w:vAlign w:val="bottom"/>
            <w:hideMark/>
          </w:tcPr>
          <w:p w14:paraId="30BDBA7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-0.003</w:t>
            </w:r>
          </w:p>
        </w:tc>
      </w:tr>
      <w:tr w:rsidR="00C72937" w:rsidRPr="000D476D" w14:paraId="213B3875"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D3EFE9F"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44BAC957"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(0.014)</w:t>
            </w:r>
          </w:p>
        </w:tc>
        <w:tc>
          <w:tcPr>
            <w:tcW w:w="1080" w:type="dxa"/>
            <w:tcBorders>
              <w:top w:val="nil"/>
              <w:left w:val="nil"/>
              <w:bottom w:val="nil"/>
              <w:right w:val="nil"/>
            </w:tcBorders>
            <w:shd w:val="clear" w:color="auto" w:fill="auto"/>
            <w:vAlign w:val="bottom"/>
            <w:hideMark/>
          </w:tcPr>
          <w:p w14:paraId="4CCAF58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(0.015)</w:t>
            </w:r>
          </w:p>
        </w:tc>
      </w:tr>
      <w:tr w:rsidR="00C72937" w:rsidRPr="000D476D" w14:paraId="654F7B0A"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77F19B3F"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Ideology</w:t>
            </w:r>
          </w:p>
        </w:tc>
        <w:tc>
          <w:tcPr>
            <w:tcW w:w="1440" w:type="dxa"/>
            <w:tcBorders>
              <w:top w:val="nil"/>
              <w:left w:val="nil"/>
              <w:bottom w:val="nil"/>
              <w:right w:val="nil"/>
            </w:tcBorders>
            <w:shd w:val="clear" w:color="auto" w:fill="auto"/>
            <w:vAlign w:val="bottom"/>
            <w:hideMark/>
          </w:tcPr>
          <w:p w14:paraId="0ADDA950"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-0.0431***</w:t>
            </w:r>
          </w:p>
        </w:tc>
        <w:tc>
          <w:tcPr>
            <w:tcW w:w="1080" w:type="dxa"/>
            <w:tcBorders>
              <w:top w:val="nil"/>
              <w:left w:val="nil"/>
              <w:bottom w:val="nil"/>
              <w:right w:val="nil"/>
            </w:tcBorders>
            <w:shd w:val="clear" w:color="auto" w:fill="auto"/>
            <w:vAlign w:val="bottom"/>
            <w:hideMark/>
          </w:tcPr>
          <w:p w14:paraId="74B52B6A"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0.000</w:t>
            </w:r>
          </w:p>
        </w:tc>
      </w:tr>
      <w:tr w:rsidR="00C72937" w:rsidRPr="000D476D" w14:paraId="2DDB2EDA"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35302073"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1259B23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(0.016)</w:t>
            </w:r>
          </w:p>
        </w:tc>
        <w:tc>
          <w:tcPr>
            <w:tcW w:w="1080" w:type="dxa"/>
            <w:tcBorders>
              <w:top w:val="nil"/>
              <w:left w:val="nil"/>
              <w:bottom w:val="nil"/>
              <w:right w:val="nil"/>
            </w:tcBorders>
            <w:shd w:val="clear" w:color="auto" w:fill="auto"/>
            <w:vAlign w:val="bottom"/>
            <w:hideMark/>
          </w:tcPr>
          <w:p w14:paraId="1617E5E5"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(0.019)</w:t>
            </w:r>
          </w:p>
        </w:tc>
      </w:tr>
      <w:tr w:rsidR="00C72937" w:rsidRPr="000D476D" w14:paraId="7A965DB9"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4CA11E90"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Party ID-Republican</w:t>
            </w:r>
          </w:p>
        </w:tc>
        <w:tc>
          <w:tcPr>
            <w:tcW w:w="1440" w:type="dxa"/>
            <w:tcBorders>
              <w:top w:val="nil"/>
              <w:left w:val="nil"/>
              <w:bottom w:val="nil"/>
              <w:right w:val="nil"/>
            </w:tcBorders>
            <w:shd w:val="clear" w:color="auto" w:fill="auto"/>
            <w:vAlign w:val="bottom"/>
            <w:hideMark/>
          </w:tcPr>
          <w:p w14:paraId="5C1E4B15"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-0.008</w:t>
            </w:r>
          </w:p>
        </w:tc>
        <w:tc>
          <w:tcPr>
            <w:tcW w:w="1080" w:type="dxa"/>
            <w:tcBorders>
              <w:top w:val="nil"/>
              <w:left w:val="nil"/>
              <w:bottom w:val="nil"/>
              <w:right w:val="nil"/>
            </w:tcBorders>
            <w:shd w:val="clear" w:color="auto" w:fill="auto"/>
            <w:vAlign w:val="bottom"/>
            <w:hideMark/>
          </w:tcPr>
          <w:p w14:paraId="11335D7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-0.123**</w:t>
            </w:r>
          </w:p>
        </w:tc>
      </w:tr>
      <w:tr w:rsidR="00C72937" w:rsidRPr="000D476D" w14:paraId="5CE66720"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75966FD3"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274CE7F7"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(0.055)</w:t>
            </w:r>
          </w:p>
        </w:tc>
        <w:tc>
          <w:tcPr>
            <w:tcW w:w="1080" w:type="dxa"/>
            <w:tcBorders>
              <w:top w:val="nil"/>
              <w:left w:val="nil"/>
              <w:bottom w:val="nil"/>
              <w:right w:val="nil"/>
            </w:tcBorders>
            <w:shd w:val="clear" w:color="auto" w:fill="auto"/>
            <w:vAlign w:val="bottom"/>
            <w:hideMark/>
          </w:tcPr>
          <w:p w14:paraId="4C6BC160"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(0.061)</w:t>
            </w:r>
          </w:p>
        </w:tc>
      </w:tr>
      <w:tr w:rsidR="00C72937" w:rsidRPr="000D476D" w14:paraId="0352C53B"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0E0F1C02"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Voted in Last Election</w:t>
            </w:r>
          </w:p>
        </w:tc>
        <w:tc>
          <w:tcPr>
            <w:tcW w:w="1440" w:type="dxa"/>
            <w:tcBorders>
              <w:top w:val="nil"/>
              <w:left w:val="nil"/>
              <w:bottom w:val="nil"/>
              <w:right w:val="nil"/>
            </w:tcBorders>
            <w:shd w:val="clear" w:color="auto" w:fill="auto"/>
            <w:vAlign w:val="bottom"/>
            <w:hideMark/>
          </w:tcPr>
          <w:p w14:paraId="74B222FC"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0.080</w:t>
            </w:r>
          </w:p>
        </w:tc>
        <w:tc>
          <w:tcPr>
            <w:tcW w:w="1080" w:type="dxa"/>
            <w:tcBorders>
              <w:top w:val="nil"/>
              <w:left w:val="nil"/>
              <w:bottom w:val="nil"/>
              <w:right w:val="nil"/>
            </w:tcBorders>
            <w:shd w:val="clear" w:color="auto" w:fill="auto"/>
            <w:vAlign w:val="bottom"/>
            <w:hideMark/>
          </w:tcPr>
          <w:p w14:paraId="70F50878"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0.049</w:t>
            </w:r>
          </w:p>
        </w:tc>
      </w:tr>
      <w:tr w:rsidR="00C72937" w:rsidRPr="000D476D" w14:paraId="268EE632"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19650FA0" w14:textId="77777777" w:rsidR="00C72937" w:rsidRPr="00C8044A"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55152087"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(0.054)</w:t>
            </w:r>
          </w:p>
        </w:tc>
        <w:tc>
          <w:tcPr>
            <w:tcW w:w="1080" w:type="dxa"/>
            <w:tcBorders>
              <w:top w:val="nil"/>
              <w:left w:val="nil"/>
              <w:bottom w:val="nil"/>
              <w:right w:val="nil"/>
            </w:tcBorders>
            <w:shd w:val="clear" w:color="auto" w:fill="auto"/>
            <w:vAlign w:val="bottom"/>
            <w:hideMark/>
          </w:tcPr>
          <w:p w14:paraId="268DBCC0"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(0.057)</w:t>
            </w:r>
          </w:p>
        </w:tc>
      </w:tr>
      <w:tr w:rsidR="00C72937" w:rsidRPr="000D476D" w14:paraId="24EFD369"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5321DAD7" w14:textId="77777777" w:rsidR="00C72937" w:rsidRPr="00C8044A" w:rsidRDefault="00C72937" w:rsidP="00967B87">
            <w:pPr>
              <w:spacing w:after="0" w:line="240" w:lineRule="auto"/>
              <w:ind w:left="144"/>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Baseline Support</w:t>
            </w:r>
          </w:p>
        </w:tc>
        <w:tc>
          <w:tcPr>
            <w:tcW w:w="1440" w:type="dxa"/>
            <w:tcBorders>
              <w:top w:val="nil"/>
              <w:left w:val="nil"/>
              <w:bottom w:val="nil"/>
              <w:right w:val="nil"/>
            </w:tcBorders>
            <w:shd w:val="clear" w:color="auto" w:fill="auto"/>
            <w:vAlign w:val="bottom"/>
            <w:hideMark/>
          </w:tcPr>
          <w:p w14:paraId="54D5394E"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-0.475***</w:t>
            </w:r>
          </w:p>
        </w:tc>
        <w:tc>
          <w:tcPr>
            <w:tcW w:w="1080" w:type="dxa"/>
            <w:tcBorders>
              <w:top w:val="nil"/>
              <w:left w:val="nil"/>
              <w:bottom w:val="nil"/>
              <w:right w:val="nil"/>
            </w:tcBorders>
            <w:shd w:val="clear" w:color="auto" w:fill="auto"/>
            <w:vAlign w:val="bottom"/>
            <w:hideMark/>
          </w:tcPr>
          <w:p w14:paraId="13043EF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-0.356***</w:t>
            </w:r>
          </w:p>
        </w:tc>
      </w:tr>
      <w:tr w:rsidR="00C72937" w:rsidRPr="000D476D" w14:paraId="1B12B4F3"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hideMark/>
          </w:tcPr>
          <w:p w14:paraId="1F8E2289"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hideMark/>
          </w:tcPr>
          <w:p w14:paraId="2ACFAED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(0.025)</w:t>
            </w:r>
          </w:p>
        </w:tc>
        <w:tc>
          <w:tcPr>
            <w:tcW w:w="1080" w:type="dxa"/>
            <w:tcBorders>
              <w:top w:val="nil"/>
              <w:left w:val="nil"/>
              <w:bottom w:val="nil"/>
              <w:right w:val="nil"/>
            </w:tcBorders>
            <w:shd w:val="clear" w:color="auto" w:fill="auto"/>
            <w:vAlign w:val="bottom"/>
            <w:hideMark/>
          </w:tcPr>
          <w:p w14:paraId="7C747753"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(0.025)</w:t>
            </w:r>
          </w:p>
        </w:tc>
      </w:tr>
      <w:tr w:rsidR="00C72937" w:rsidRPr="000D476D" w14:paraId="321BD06D"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tcPr>
          <w:p w14:paraId="37B48341" w14:textId="77777777" w:rsidR="00C72937" w:rsidRPr="00C8044A"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Constant</w:t>
            </w:r>
          </w:p>
        </w:tc>
        <w:tc>
          <w:tcPr>
            <w:tcW w:w="1440" w:type="dxa"/>
            <w:tcBorders>
              <w:top w:val="nil"/>
              <w:left w:val="nil"/>
              <w:bottom w:val="nil"/>
              <w:right w:val="nil"/>
            </w:tcBorders>
            <w:shd w:val="clear" w:color="auto" w:fill="auto"/>
            <w:vAlign w:val="bottom"/>
          </w:tcPr>
          <w:p w14:paraId="231C1833"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4.994***</w:t>
            </w:r>
          </w:p>
        </w:tc>
        <w:tc>
          <w:tcPr>
            <w:tcW w:w="1080" w:type="dxa"/>
            <w:tcBorders>
              <w:top w:val="nil"/>
              <w:left w:val="nil"/>
              <w:bottom w:val="nil"/>
              <w:right w:val="nil"/>
            </w:tcBorders>
            <w:shd w:val="clear" w:color="auto" w:fill="auto"/>
            <w:vAlign w:val="bottom"/>
          </w:tcPr>
          <w:p w14:paraId="07D9303A"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4.380***</w:t>
            </w:r>
          </w:p>
        </w:tc>
      </w:tr>
      <w:tr w:rsidR="00C72937" w:rsidRPr="000D476D" w14:paraId="4688A371" w14:textId="77777777" w:rsidTr="00C72937">
        <w:trPr>
          <w:gridAfter w:val="1"/>
          <w:wAfter w:w="90" w:type="dxa"/>
          <w:trHeight w:val="288"/>
          <w:jc w:val="center"/>
        </w:trPr>
        <w:tc>
          <w:tcPr>
            <w:tcW w:w="4050" w:type="dxa"/>
            <w:tcBorders>
              <w:top w:val="nil"/>
              <w:left w:val="nil"/>
              <w:bottom w:val="nil"/>
              <w:right w:val="nil"/>
            </w:tcBorders>
            <w:shd w:val="clear" w:color="auto" w:fill="auto"/>
            <w:vAlign w:val="center"/>
          </w:tcPr>
          <w:p w14:paraId="7017B7A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p>
        </w:tc>
        <w:tc>
          <w:tcPr>
            <w:tcW w:w="1440" w:type="dxa"/>
            <w:tcBorders>
              <w:top w:val="nil"/>
              <w:left w:val="nil"/>
              <w:bottom w:val="nil"/>
              <w:right w:val="nil"/>
            </w:tcBorders>
            <w:shd w:val="clear" w:color="auto" w:fill="auto"/>
            <w:vAlign w:val="bottom"/>
          </w:tcPr>
          <w:p w14:paraId="58ED0AC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(0.129)</w:t>
            </w:r>
          </w:p>
        </w:tc>
        <w:tc>
          <w:tcPr>
            <w:tcW w:w="1080" w:type="dxa"/>
            <w:tcBorders>
              <w:top w:val="nil"/>
              <w:left w:val="nil"/>
              <w:bottom w:val="nil"/>
              <w:right w:val="nil"/>
            </w:tcBorders>
            <w:shd w:val="clear" w:color="auto" w:fill="auto"/>
            <w:vAlign w:val="bottom"/>
          </w:tcPr>
          <w:p w14:paraId="18C48756"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0D476D">
              <w:rPr>
                <w:rFonts w:ascii="Palatino Linotype" w:eastAsia="Times New Roman" w:hAnsi="Palatino Linotype" w:cs="Calibri"/>
                <w:color w:val="000000"/>
                <w:sz w:val="19"/>
                <w:szCs w:val="19"/>
              </w:rPr>
              <w:t>(0.150)</w:t>
            </w:r>
          </w:p>
        </w:tc>
      </w:tr>
      <w:tr w:rsidR="00C72937" w:rsidRPr="00661226" w14:paraId="1A64CE69" w14:textId="77777777" w:rsidTr="00C72937">
        <w:trPr>
          <w:gridAfter w:val="1"/>
          <w:wAfter w:w="90" w:type="dxa"/>
          <w:trHeight w:val="288"/>
          <w:jc w:val="center"/>
        </w:trPr>
        <w:tc>
          <w:tcPr>
            <w:tcW w:w="4050" w:type="dxa"/>
            <w:tcBorders>
              <w:top w:val="nil"/>
              <w:left w:val="nil"/>
              <w:right w:val="nil"/>
            </w:tcBorders>
            <w:shd w:val="clear" w:color="auto" w:fill="auto"/>
            <w:vAlign w:val="center"/>
            <w:hideMark/>
          </w:tcPr>
          <w:p w14:paraId="02F2FE8C"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N</w:t>
            </w:r>
          </w:p>
        </w:tc>
        <w:tc>
          <w:tcPr>
            <w:tcW w:w="1440" w:type="dxa"/>
            <w:tcBorders>
              <w:top w:val="nil"/>
              <w:left w:val="nil"/>
              <w:right w:val="nil"/>
            </w:tcBorders>
            <w:shd w:val="clear" w:color="auto" w:fill="auto"/>
            <w:vAlign w:val="center"/>
            <w:hideMark/>
          </w:tcPr>
          <w:p w14:paraId="3F1BE1D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2,624</w:t>
            </w:r>
          </w:p>
        </w:tc>
        <w:tc>
          <w:tcPr>
            <w:tcW w:w="1080" w:type="dxa"/>
            <w:tcBorders>
              <w:top w:val="nil"/>
              <w:left w:val="nil"/>
              <w:right w:val="nil"/>
            </w:tcBorders>
            <w:shd w:val="clear" w:color="auto" w:fill="auto"/>
            <w:vAlign w:val="center"/>
            <w:hideMark/>
          </w:tcPr>
          <w:p w14:paraId="2BB358DD"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2,614</w:t>
            </w:r>
          </w:p>
        </w:tc>
      </w:tr>
      <w:tr w:rsidR="00C72937" w:rsidRPr="00661226" w14:paraId="369EA4C7" w14:textId="77777777" w:rsidTr="00C72937">
        <w:trPr>
          <w:gridAfter w:val="1"/>
          <w:wAfter w:w="90" w:type="dxa"/>
          <w:trHeight w:val="312"/>
          <w:jc w:val="center"/>
        </w:trPr>
        <w:tc>
          <w:tcPr>
            <w:tcW w:w="4050" w:type="dxa"/>
            <w:tcBorders>
              <w:top w:val="nil"/>
              <w:left w:val="nil"/>
              <w:right w:val="nil"/>
            </w:tcBorders>
            <w:shd w:val="clear" w:color="auto" w:fill="auto"/>
            <w:vAlign w:val="center"/>
            <w:hideMark/>
          </w:tcPr>
          <w:p w14:paraId="284F477F"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R</w:t>
            </w:r>
            <w:r w:rsidRPr="00C8044A">
              <w:rPr>
                <w:rFonts w:ascii="Calibri" w:eastAsia="Times New Roman" w:hAnsi="Calibri" w:cs="Calibri"/>
                <w:color w:val="000000"/>
                <w:sz w:val="19"/>
                <w:szCs w:val="19"/>
                <w:vertAlign w:val="superscript"/>
              </w:rPr>
              <w:t>2</w:t>
            </w:r>
          </w:p>
        </w:tc>
        <w:tc>
          <w:tcPr>
            <w:tcW w:w="1440" w:type="dxa"/>
            <w:tcBorders>
              <w:top w:val="nil"/>
              <w:left w:val="nil"/>
              <w:right w:val="nil"/>
            </w:tcBorders>
            <w:shd w:val="clear" w:color="auto" w:fill="auto"/>
            <w:vAlign w:val="center"/>
            <w:hideMark/>
          </w:tcPr>
          <w:p w14:paraId="04769334"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279</w:t>
            </w:r>
          </w:p>
        </w:tc>
        <w:tc>
          <w:tcPr>
            <w:tcW w:w="1080" w:type="dxa"/>
            <w:tcBorders>
              <w:top w:val="nil"/>
              <w:left w:val="nil"/>
              <w:bottom w:val="single" w:sz="4" w:space="0" w:color="auto"/>
              <w:right w:val="nil"/>
            </w:tcBorders>
            <w:shd w:val="clear" w:color="auto" w:fill="auto"/>
            <w:vAlign w:val="center"/>
            <w:hideMark/>
          </w:tcPr>
          <w:p w14:paraId="53F9F0FB" w14:textId="77777777" w:rsidR="00C72937" w:rsidRPr="00C8044A" w:rsidRDefault="00C72937" w:rsidP="00967B87">
            <w:pPr>
              <w:spacing w:after="0" w:line="240" w:lineRule="auto"/>
              <w:jc w:val="center"/>
              <w:rPr>
                <w:rFonts w:ascii="Palatino Linotype" w:eastAsia="Times New Roman" w:hAnsi="Palatino Linotype" w:cs="Calibri"/>
                <w:color w:val="000000"/>
                <w:sz w:val="19"/>
                <w:szCs w:val="19"/>
              </w:rPr>
            </w:pPr>
            <w:r w:rsidRPr="00C8044A">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176</w:t>
            </w:r>
          </w:p>
        </w:tc>
      </w:tr>
      <w:tr w:rsidR="00C72937" w:rsidRPr="00661226" w14:paraId="28EEB5DE" w14:textId="77777777" w:rsidTr="00C72937">
        <w:trPr>
          <w:trHeight w:val="1056"/>
          <w:jc w:val="center"/>
        </w:trPr>
        <w:tc>
          <w:tcPr>
            <w:tcW w:w="6660" w:type="dxa"/>
            <w:gridSpan w:val="4"/>
            <w:tcBorders>
              <w:top w:val="single" w:sz="4" w:space="0" w:color="auto"/>
              <w:left w:val="nil"/>
              <w:bottom w:val="nil"/>
            </w:tcBorders>
            <w:shd w:val="clear" w:color="auto" w:fill="auto"/>
            <w:vAlign w:val="center"/>
            <w:hideMark/>
          </w:tcPr>
          <w:p w14:paraId="7F2426BA" w14:textId="77777777" w:rsidR="00C72937" w:rsidRPr="00C8044A" w:rsidRDefault="00C72937" w:rsidP="00967B87">
            <w:pPr>
              <w:spacing w:after="0" w:line="240" w:lineRule="auto"/>
              <w:rPr>
                <w:rFonts w:ascii="Palatino Linotype" w:eastAsia="Times New Roman" w:hAnsi="Palatino Linotype" w:cs="Calibri"/>
                <w:color w:val="000000"/>
                <w:sz w:val="19"/>
                <w:szCs w:val="19"/>
              </w:rPr>
            </w:pPr>
            <w:r w:rsidRPr="00C8044A">
              <w:rPr>
                <w:rFonts w:ascii="Palatino Linotype" w:eastAsia="Times New Roman" w:hAnsi="Palatino Linotype" w:cs="Calibri"/>
                <w:b/>
                <w:bCs/>
                <w:color w:val="000000"/>
                <w:sz w:val="19"/>
                <w:szCs w:val="19"/>
              </w:rPr>
              <w:t>Note</w:t>
            </w:r>
            <w:r w:rsidRPr="00C8044A">
              <w:rPr>
                <w:rFonts w:ascii="Palatino Linotype" w:eastAsia="Times New Roman" w:hAnsi="Palatino Linotype" w:cs="Calibri"/>
                <w:color w:val="000000"/>
                <w:sz w:val="19"/>
                <w:szCs w:val="19"/>
              </w:rPr>
              <w:t>: Each model includes post-stratification weights and controls for the pre-test measure of support for tuition-free community college policies (Baseline Support). Robust Standard Errors in parentheses. *p&lt;0.10 **p&lt;0.05 ***p&lt;0.01</w:t>
            </w:r>
          </w:p>
        </w:tc>
      </w:tr>
    </w:tbl>
    <w:p w14:paraId="0EABC413" w14:textId="77777777" w:rsidR="00C72937" w:rsidRDefault="00C72937" w:rsidP="00C72937">
      <w:pPr>
        <w:spacing w:after="0" w:line="480" w:lineRule="auto"/>
        <w:ind w:firstLine="720"/>
        <w:textAlignment w:val="center"/>
        <w:rPr>
          <w:rFonts w:ascii="Times New Roman" w:hAnsi="Times New Roman" w:cs="Times New Roman"/>
          <w:sz w:val="24"/>
          <w:szCs w:val="24"/>
        </w:rPr>
      </w:pPr>
    </w:p>
    <w:p w14:paraId="0F89EBD6" w14:textId="133A216B" w:rsidR="00C72937" w:rsidRPr="003B2204" w:rsidRDefault="00E45E88" w:rsidP="00C72937">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lastRenderedPageBreak/>
        <w:t xml:space="preserve">This provides support for </w:t>
      </w:r>
      <w:r>
        <w:rPr>
          <w:rFonts w:ascii="Times New Roman" w:hAnsi="Times New Roman" w:cs="Times New Roman"/>
          <w:sz w:val="24"/>
          <w:szCs w:val="24"/>
        </w:rPr>
        <w:t>hypothesis 1</w:t>
      </w:r>
      <w:r w:rsidRPr="003B2204">
        <w:rPr>
          <w:rFonts w:ascii="Times New Roman" w:hAnsi="Times New Roman" w:cs="Times New Roman"/>
          <w:sz w:val="24"/>
          <w:szCs w:val="24"/>
        </w:rPr>
        <w:t>, suggesting that positive messages of deservingness/college readiness increase the likelihood of policy support among the public. The control variables in Model 1 and 2 are all in expected directions based on previous polling data</w:t>
      </w:r>
      <w:r>
        <w:rPr>
          <w:rFonts w:ascii="Times New Roman" w:hAnsi="Times New Roman" w:cs="Times New Roman"/>
          <w:sz w:val="24"/>
          <w:szCs w:val="24"/>
        </w:rPr>
        <w:t>—</w:t>
      </w:r>
      <w:r w:rsidRPr="003B2204">
        <w:rPr>
          <w:rFonts w:ascii="Times New Roman" w:hAnsi="Times New Roman" w:cs="Times New Roman"/>
          <w:sz w:val="24"/>
          <w:szCs w:val="24"/>
        </w:rPr>
        <w:t xml:space="preserve">non-white, lower-income, </w:t>
      </w:r>
      <w:r>
        <w:rPr>
          <w:rFonts w:ascii="Times New Roman" w:hAnsi="Times New Roman" w:cs="Times New Roman"/>
          <w:sz w:val="24"/>
          <w:szCs w:val="24"/>
        </w:rPr>
        <w:t xml:space="preserve">and </w:t>
      </w:r>
      <w:r w:rsidRPr="003B2204">
        <w:rPr>
          <w:rFonts w:ascii="Times New Roman" w:hAnsi="Times New Roman" w:cs="Times New Roman"/>
          <w:sz w:val="24"/>
          <w:szCs w:val="24"/>
        </w:rPr>
        <w:t>liberal respondents were more likely to support tuition-free college. Together, this model reveals that tuition-free college policies with merit requirements draw higher levels of public support but that respondents are no less likely to support tuition-free college policies with family income cap provisions.</w:t>
      </w:r>
    </w:p>
    <w:p w14:paraId="12D672CF" w14:textId="77777777" w:rsidR="00E45E88" w:rsidRPr="003B2204"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In Model 2, the results provide evidence on the causal impact of variation in policy design on the likelihood that respondents viewed the policy as fair. This model reveals an interesting inconsistency between the impact of tuition-free college policy design on policy support and perceptions of fairness. Indeed, while respondents are not less likely to support tuition-free college policies with a family income cap, they are significantly less likely to view these policies as fair. This finding aligns with </w:t>
      </w:r>
      <w:r>
        <w:rPr>
          <w:rFonts w:ascii="Times New Roman" w:hAnsi="Times New Roman" w:cs="Times New Roman"/>
          <w:sz w:val="24"/>
          <w:szCs w:val="24"/>
        </w:rPr>
        <w:t>hypothesis 2</w:t>
      </w:r>
      <w:r w:rsidRPr="003B2204">
        <w:rPr>
          <w:rFonts w:ascii="Times New Roman" w:hAnsi="Times New Roman" w:cs="Times New Roman"/>
          <w:sz w:val="24"/>
          <w:szCs w:val="24"/>
        </w:rPr>
        <w:t xml:space="preserve">, suggesting that respondents are more likely to view universally designed policies as fair compared to policies that </w:t>
      </w:r>
      <w:r>
        <w:rPr>
          <w:rFonts w:ascii="Times New Roman" w:hAnsi="Times New Roman" w:cs="Times New Roman"/>
          <w:sz w:val="24"/>
          <w:szCs w:val="24"/>
        </w:rPr>
        <w:t xml:space="preserve">only </w:t>
      </w:r>
      <w:r w:rsidRPr="003B2204">
        <w:rPr>
          <w:rFonts w:ascii="Times New Roman" w:hAnsi="Times New Roman" w:cs="Times New Roman"/>
          <w:sz w:val="24"/>
          <w:szCs w:val="24"/>
        </w:rPr>
        <w:t xml:space="preserve">target low-income families. </w:t>
      </w:r>
    </w:p>
    <w:p w14:paraId="47FF19C2" w14:textId="77777777" w:rsidR="00E45E88" w:rsidRPr="003B2204"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Moreover, Model 2 also reveals that the inclusion of academic merit requirements also significantly influenced public perceptions of fairness. Table 6 shows that respondents </w:t>
      </w:r>
      <w:r>
        <w:rPr>
          <w:rFonts w:ascii="Times New Roman" w:hAnsi="Times New Roman" w:cs="Times New Roman"/>
          <w:sz w:val="24"/>
          <w:szCs w:val="24"/>
        </w:rPr>
        <w:t xml:space="preserve">were significantly </w:t>
      </w:r>
      <w:r w:rsidRPr="003B2204">
        <w:rPr>
          <w:rFonts w:ascii="Times New Roman" w:hAnsi="Times New Roman" w:cs="Times New Roman"/>
          <w:sz w:val="24"/>
          <w:szCs w:val="24"/>
        </w:rPr>
        <w:t xml:space="preserve">more likely to </w:t>
      </w:r>
      <w:r>
        <w:rPr>
          <w:rFonts w:ascii="Times New Roman" w:hAnsi="Times New Roman" w:cs="Times New Roman"/>
          <w:sz w:val="24"/>
          <w:szCs w:val="24"/>
        </w:rPr>
        <w:t>view</w:t>
      </w:r>
      <w:r w:rsidRPr="003B2204">
        <w:rPr>
          <w:rFonts w:ascii="Times New Roman" w:hAnsi="Times New Roman" w:cs="Times New Roman"/>
          <w:sz w:val="24"/>
          <w:szCs w:val="24"/>
        </w:rPr>
        <w:t xml:space="preserve"> tuition-free college policies </w:t>
      </w:r>
      <w:r>
        <w:rPr>
          <w:rFonts w:ascii="Times New Roman" w:hAnsi="Times New Roman" w:cs="Times New Roman"/>
          <w:sz w:val="24"/>
          <w:szCs w:val="24"/>
        </w:rPr>
        <w:t>with</w:t>
      </w:r>
      <w:r w:rsidRPr="003B2204">
        <w:rPr>
          <w:rFonts w:ascii="Times New Roman" w:hAnsi="Times New Roman" w:cs="Times New Roman"/>
          <w:sz w:val="24"/>
          <w:szCs w:val="24"/>
        </w:rPr>
        <w:t xml:space="preserve"> academic merit standards as fair. In terms of magnitude, </w:t>
      </w:r>
      <w:r>
        <w:rPr>
          <w:rFonts w:ascii="Times New Roman" w:hAnsi="Times New Roman" w:cs="Times New Roman"/>
          <w:sz w:val="24"/>
          <w:szCs w:val="24"/>
        </w:rPr>
        <w:t>perceptions shifted</w:t>
      </w:r>
      <w:r w:rsidRPr="003B2204">
        <w:rPr>
          <w:rFonts w:ascii="Times New Roman" w:hAnsi="Times New Roman" w:cs="Times New Roman"/>
          <w:sz w:val="24"/>
          <w:szCs w:val="24"/>
        </w:rPr>
        <w:t xml:space="preserve"> by </w:t>
      </w:r>
      <w:r>
        <w:rPr>
          <w:rFonts w:ascii="Times New Roman" w:hAnsi="Times New Roman" w:cs="Times New Roman"/>
          <w:sz w:val="24"/>
          <w:szCs w:val="24"/>
        </w:rPr>
        <w:t xml:space="preserve">almost two tenths of a standard deviation </w:t>
      </w:r>
      <w:r w:rsidRPr="003B2204">
        <w:rPr>
          <w:rFonts w:ascii="Times New Roman" w:hAnsi="Times New Roman" w:cs="Times New Roman"/>
          <w:sz w:val="24"/>
          <w:szCs w:val="24"/>
        </w:rPr>
        <w:t>due to the merit</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requirement treatment and </w:t>
      </w:r>
      <w:r>
        <w:rPr>
          <w:rFonts w:ascii="Times New Roman" w:hAnsi="Times New Roman" w:cs="Times New Roman"/>
          <w:sz w:val="24"/>
          <w:szCs w:val="24"/>
        </w:rPr>
        <w:t>one tenth of a standard deviation</w:t>
      </w:r>
      <w:r w:rsidRPr="003B2204">
        <w:rPr>
          <w:rFonts w:ascii="Times New Roman" w:hAnsi="Times New Roman" w:cs="Times New Roman"/>
          <w:sz w:val="24"/>
          <w:szCs w:val="24"/>
        </w:rPr>
        <w:t xml:space="preserve"> due to the family income cap treatment. Taken together, these results </w:t>
      </w:r>
      <w:r>
        <w:rPr>
          <w:rFonts w:ascii="Times New Roman" w:hAnsi="Times New Roman" w:cs="Times New Roman"/>
          <w:sz w:val="24"/>
          <w:szCs w:val="24"/>
        </w:rPr>
        <w:t xml:space="preserve">support hypothesis 1 and 2, </w:t>
      </w:r>
      <w:r w:rsidRPr="003B2204">
        <w:rPr>
          <w:rFonts w:ascii="Times New Roman" w:hAnsi="Times New Roman" w:cs="Times New Roman"/>
          <w:sz w:val="24"/>
          <w:szCs w:val="24"/>
        </w:rPr>
        <w:t>suggest</w:t>
      </w:r>
      <w:r>
        <w:rPr>
          <w:rFonts w:ascii="Times New Roman" w:hAnsi="Times New Roman" w:cs="Times New Roman"/>
          <w:sz w:val="24"/>
          <w:szCs w:val="24"/>
        </w:rPr>
        <w:t>ing</w:t>
      </w:r>
      <w:r w:rsidRPr="003B2204">
        <w:rPr>
          <w:rFonts w:ascii="Times New Roman" w:hAnsi="Times New Roman" w:cs="Times New Roman"/>
          <w:sz w:val="24"/>
          <w:szCs w:val="24"/>
        </w:rPr>
        <w:t xml:space="preserve"> that the inclusion of merit</w:t>
      </w:r>
      <w:r>
        <w:rPr>
          <w:rFonts w:ascii="Times New Roman" w:hAnsi="Times New Roman" w:cs="Times New Roman"/>
          <w:sz w:val="24"/>
          <w:szCs w:val="24"/>
        </w:rPr>
        <w:t xml:space="preserve"> </w:t>
      </w:r>
      <w:r w:rsidRPr="003B2204">
        <w:rPr>
          <w:rFonts w:ascii="Times New Roman" w:hAnsi="Times New Roman" w:cs="Times New Roman"/>
          <w:sz w:val="24"/>
          <w:szCs w:val="24"/>
        </w:rPr>
        <w:t xml:space="preserve">requirements increases the level of support for tuition-free college while the family income cap decreases perceptions of fairness. </w:t>
      </w:r>
    </w:p>
    <w:p w14:paraId="208C07E9" w14:textId="77777777" w:rsidR="00E45E88" w:rsidRPr="003B2204" w:rsidRDefault="00E45E88" w:rsidP="00E45E88">
      <w:pPr>
        <w:spacing w:after="0" w:line="480" w:lineRule="auto"/>
        <w:jc w:val="center"/>
        <w:textAlignment w:val="center"/>
        <w:rPr>
          <w:rFonts w:ascii="Times New Roman" w:hAnsi="Times New Roman" w:cs="Times New Roman"/>
          <w:b/>
          <w:sz w:val="24"/>
          <w:szCs w:val="24"/>
        </w:rPr>
      </w:pPr>
      <w:r w:rsidRPr="003B2204">
        <w:rPr>
          <w:rFonts w:ascii="Times New Roman" w:hAnsi="Times New Roman" w:cs="Times New Roman"/>
          <w:b/>
          <w:sz w:val="24"/>
          <w:szCs w:val="24"/>
        </w:rPr>
        <w:lastRenderedPageBreak/>
        <w:t>Subgroup Analysis</w:t>
      </w:r>
    </w:p>
    <w:p w14:paraId="371846B8" w14:textId="77777777" w:rsidR="00E45E88" w:rsidRPr="003B2204" w:rsidRDefault="00E45E88" w:rsidP="00E45E88">
      <w:pPr>
        <w:spacing w:after="0" w:line="480" w:lineRule="auto"/>
        <w:ind w:firstLine="720"/>
        <w:textAlignment w:val="center"/>
        <w:rPr>
          <w:rFonts w:ascii="Times New Roman" w:hAnsi="Times New Roman" w:cs="Times New Roman"/>
          <w:i/>
          <w:sz w:val="24"/>
          <w:szCs w:val="24"/>
        </w:rPr>
      </w:pPr>
      <w:r w:rsidRPr="003B2204">
        <w:rPr>
          <w:rFonts w:ascii="Times New Roman" w:hAnsi="Times New Roman" w:cs="Times New Roman"/>
          <w:sz w:val="24"/>
          <w:szCs w:val="24"/>
        </w:rPr>
        <w:t xml:space="preserve">So far, the analysis has focused on aggregated results, which may neglect underlying heterogeneity in the impact of tuition-free college policy design on public opinion. Therefore, in this section the analysis reveals the moderating impacts of ideology in determining public perceptions of tuition-free college policies. </w:t>
      </w:r>
    </w:p>
    <w:p w14:paraId="395DC8DA" w14:textId="1A321434" w:rsidR="00E45E88" w:rsidRPr="003B2204" w:rsidRDefault="00E45E88" w:rsidP="00E45E88">
      <w:pPr>
        <w:spacing w:after="0" w:line="480" w:lineRule="auto"/>
        <w:ind w:firstLine="720"/>
        <w:textAlignment w:val="center"/>
        <w:rPr>
          <w:rFonts w:ascii="Times New Roman" w:hAnsi="Times New Roman" w:cs="Times New Roman"/>
          <w:sz w:val="24"/>
          <w:szCs w:val="24"/>
        </w:rPr>
      </w:pPr>
      <w:r w:rsidRPr="003B2204">
        <w:rPr>
          <w:rFonts w:ascii="Times New Roman" w:hAnsi="Times New Roman" w:cs="Times New Roman"/>
          <w:sz w:val="24"/>
          <w:szCs w:val="24"/>
        </w:rPr>
        <w:t xml:space="preserve">Table </w:t>
      </w:r>
      <w:r w:rsidR="006847DB">
        <w:rPr>
          <w:rFonts w:ascii="Times New Roman" w:hAnsi="Times New Roman" w:cs="Times New Roman"/>
          <w:sz w:val="24"/>
          <w:szCs w:val="24"/>
        </w:rPr>
        <w:t>3-</w:t>
      </w:r>
      <w:r w:rsidRPr="003B2204">
        <w:rPr>
          <w:rFonts w:ascii="Times New Roman" w:hAnsi="Times New Roman" w:cs="Times New Roman"/>
          <w:sz w:val="24"/>
          <w:szCs w:val="24"/>
        </w:rPr>
        <w:t xml:space="preserve">7 presents a comparison of the regression estimates for conservatives and compared to all other respondents. First, Models 1 and 3 provide evidence that conservatives are more likely to support tuition-free college policies when eligibility is limited to students meeting minimum academic requirements while other respondents are not significantly more likely to support merit-based tuition-free college policies. For a conservative respondent, receiving the merit-requirement treatment increased </w:t>
      </w:r>
      <w:r>
        <w:rPr>
          <w:rFonts w:ascii="Times New Roman" w:hAnsi="Times New Roman" w:cs="Times New Roman"/>
          <w:sz w:val="24"/>
          <w:szCs w:val="24"/>
        </w:rPr>
        <w:t>the level of policy support by two tenths of a standard deviation</w:t>
      </w:r>
      <w:r w:rsidRPr="003B2204">
        <w:rPr>
          <w:rFonts w:ascii="Times New Roman" w:hAnsi="Times New Roman" w:cs="Times New Roman"/>
          <w:sz w:val="24"/>
          <w:szCs w:val="24"/>
        </w:rPr>
        <w:t>. This provides support for hypothesis</w:t>
      </w:r>
      <w:r>
        <w:rPr>
          <w:rFonts w:ascii="Times New Roman" w:hAnsi="Times New Roman" w:cs="Times New Roman"/>
          <w:sz w:val="24"/>
          <w:szCs w:val="24"/>
        </w:rPr>
        <w:t xml:space="preserve"> 3</w:t>
      </w:r>
      <w:r w:rsidRPr="003B2204">
        <w:rPr>
          <w:rFonts w:ascii="Times New Roman" w:hAnsi="Times New Roman" w:cs="Times New Roman"/>
          <w:sz w:val="24"/>
          <w:szCs w:val="24"/>
        </w:rPr>
        <w:t xml:space="preserve">, suggesting that conservatives are more prone to make decisions based on the perceived deservingness/college readiness of target groups. Interestingly, however, ideology does not reveal significant heterogeneity for the family income cap treatment—conservatives and non-conservatives are both unaffected in their level of support for tuition-free college by the inclusion of a family income cap. </w:t>
      </w:r>
    </w:p>
    <w:p w14:paraId="3913014D" w14:textId="59F77B64" w:rsidR="00E45E88" w:rsidRDefault="00E45E88" w:rsidP="00E45E88">
      <w:pPr>
        <w:spacing w:after="0" w:line="480" w:lineRule="auto"/>
        <w:textAlignment w:val="center"/>
        <w:rPr>
          <w:rFonts w:ascii="Times New Roman" w:hAnsi="Times New Roman" w:cs="Times New Roman"/>
          <w:sz w:val="24"/>
          <w:szCs w:val="24"/>
        </w:rPr>
      </w:pPr>
      <w:r w:rsidRPr="003B2204">
        <w:rPr>
          <w:rFonts w:ascii="Times New Roman" w:hAnsi="Times New Roman" w:cs="Times New Roman"/>
          <w:sz w:val="24"/>
          <w:szCs w:val="24"/>
        </w:rPr>
        <w:tab/>
        <w:t xml:space="preserve">Next, Models 2 and 4 </w:t>
      </w:r>
      <w:r>
        <w:rPr>
          <w:rFonts w:ascii="Times New Roman" w:hAnsi="Times New Roman" w:cs="Times New Roman"/>
          <w:sz w:val="24"/>
          <w:szCs w:val="24"/>
        </w:rPr>
        <w:t>further support hypothesis 3</w:t>
      </w:r>
      <w:r w:rsidRPr="003B2204">
        <w:rPr>
          <w:rFonts w:ascii="Times New Roman" w:hAnsi="Times New Roman" w:cs="Times New Roman"/>
          <w:sz w:val="24"/>
          <w:szCs w:val="24"/>
        </w:rPr>
        <w:t xml:space="preserve">. While conservatives are significantly less likely to think tuition-free college with family income caps are fair, </w:t>
      </w:r>
      <w:r>
        <w:rPr>
          <w:rFonts w:ascii="Times New Roman" w:hAnsi="Times New Roman" w:cs="Times New Roman"/>
          <w:sz w:val="24"/>
          <w:szCs w:val="24"/>
        </w:rPr>
        <w:t>this is not the case for non-conservatives</w:t>
      </w:r>
      <w:r w:rsidRPr="003B2204">
        <w:rPr>
          <w:rFonts w:ascii="Times New Roman" w:hAnsi="Times New Roman" w:cs="Times New Roman"/>
          <w:sz w:val="24"/>
          <w:szCs w:val="24"/>
        </w:rPr>
        <w:t xml:space="preserve">. </w:t>
      </w:r>
      <w:r>
        <w:rPr>
          <w:rFonts w:ascii="Times New Roman" w:hAnsi="Times New Roman" w:cs="Times New Roman"/>
          <w:sz w:val="24"/>
          <w:szCs w:val="24"/>
        </w:rPr>
        <w:t>On the other hand</w:t>
      </w:r>
      <w:r w:rsidRPr="003B2204">
        <w:rPr>
          <w:rFonts w:ascii="Times New Roman" w:hAnsi="Times New Roman" w:cs="Times New Roman"/>
          <w:sz w:val="24"/>
          <w:szCs w:val="24"/>
        </w:rPr>
        <w:t xml:space="preserve">, both conservatives and </w:t>
      </w:r>
      <w:r>
        <w:rPr>
          <w:rFonts w:ascii="Times New Roman" w:hAnsi="Times New Roman" w:cs="Times New Roman"/>
          <w:sz w:val="24"/>
          <w:szCs w:val="24"/>
        </w:rPr>
        <w:t>non-conservative</w:t>
      </w:r>
      <w:r w:rsidRPr="003B2204">
        <w:rPr>
          <w:rFonts w:ascii="Times New Roman" w:hAnsi="Times New Roman" w:cs="Times New Roman"/>
          <w:sz w:val="24"/>
          <w:szCs w:val="24"/>
        </w:rPr>
        <w:t xml:space="preserve"> respondents are more likely to view tuition-free college policies as fair when they include minimum GPA requirements. Together, these results reveal that the impact of </w:t>
      </w:r>
      <w:r>
        <w:rPr>
          <w:rFonts w:ascii="Times New Roman" w:hAnsi="Times New Roman" w:cs="Times New Roman"/>
          <w:sz w:val="24"/>
          <w:szCs w:val="24"/>
        </w:rPr>
        <w:t>social constructions of target populations</w:t>
      </w:r>
      <w:r w:rsidRPr="003B2204">
        <w:rPr>
          <w:rFonts w:ascii="Times New Roman" w:hAnsi="Times New Roman" w:cs="Times New Roman"/>
          <w:sz w:val="24"/>
          <w:szCs w:val="24"/>
        </w:rPr>
        <w:t xml:space="preserve"> on public perception</w:t>
      </w:r>
      <w:r>
        <w:rPr>
          <w:rFonts w:ascii="Times New Roman" w:hAnsi="Times New Roman" w:cs="Times New Roman"/>
          <w:sz w:val="24"/>
          <w:szCs w:val="24"/>
        </w:rPr>
        <w:t>s</w:t>
      </w:r>
      <w:r w:rsidRPr="003B2204">
        <w:rPr>
          <w:rFonts w:ascii="Times New Roman" w:hAnsi="Times New Roman" w:cs="Times New Roman"/>
          <w:sz w:val="24"/>
          <w:szCs w:val="24"/>
        </w:rPr>
        <w:t xml:space="preserve"> of tuition-free college is moderated by </w:t>
      </w:r>
      <w:r>
        <w:rPr>
          <w:rFonts w:ascii="Times New Roman" w:hAnsi="Times New Roman" w:cs="Times New Roman"/>
          <w:sz w:val="24"/>
          <w:szCs w:val="24"/>
        </w:rPr>
        <w:t>ideology</w:t>
      </w:r>
      <w:r w:rsidRPr="003B2204">
        <w:rPr>
          <w:rFonts w:ascii="Times New Roman" w:hAnsi="Times New Roman" w:cs="Times New Roman"/>
          <w:sz w:val="24"/>
          <w:szCs w:val="24"/>
        </w:rPr>
        <w:t xml:space="preserve">. </w:t>
      </w:r>
    </w:p>
    <w:p w14:paraId="0645A457" w14:textId="77777777" w:rsidR="00C72937" w:rsidRDefault="00C72937" w:rsidP="00E45E88">
      <w:pPr>
        <w:spacing w:after="0" w:line="480" w:lineRule="auto"/>
        <w:textAlignment w:val="center"/>
        <w:rPr>
          <w:rFonts w:ascii="Times New Roman" w:hAnsi="Times New Roman" w:cs="Times New Roman"/>
          <w:sz w:val="24"/>
          <w:szCs w:val="24"/>
        </w:rPr>
      </w:pPr>
    </w:p>
    <w:tbl>
      <w:tblPr>
        <w:tblW w:w="8280" w:type="dxa"/>
        <w:tblLayout w:type="fixed"/>
        <w:tblLook w:val="04A0" w:firstRow="1" w:lastRow="0" w:firstColumn="1" w:lastColumn="0" w:noHBand="0" w:noVBand="1"/>
      </w:tblPr>
      <w:tblGrid>
        <w:gridCol w:w="4050"/>
        <w:gridCol w:w="990"/>
        <w:gridCol w:w="990"/>
        <w:gridCol w:w="990"/>
        <w:gridCol w:w="990"/>
        <w:gridCol w:w="270"/>
      </w:tblGrid>
      <w:tr w:rsidR="00C72937" w:rsidRPr="00996974" w14:paraId="76EC065D" w14:textId="77777777" w:rsidTr="00967B87">
        <w:trPr>
          <w:trHeight w:val="288"/>
        </w:trPr>
        <w:tc>
          <w:tcPr>
            <w:tcW w:w="8280" w:type="dxa"/>
            <w:gridSpan w:val="6"/>
            <w:tcBorders>
              <w:top w:val="nil"/>
              <w:left w:val="nil"/>
              <w:bottom w:val="nil"/>
            </w:tcBorders>
            <w:shd w:val="clear" w:color="auto" w:fill="auto"/>
            <w:noWrap/>
            <w:vAlign w:val="center"/>
            <w:hideMark/>
          </w:tcPr>
          <w:p w14:paraId="3BB05650" w14:textId="75951C71" w:rsidR="00C72937" w:rsidRPr="00F77533" w:rsidRDefault="00C72937" w:rsidP="00967B87">
            <w:pPr>
              <w:spacing w:after="0" w:line="240" w:lineRule="auto"/>
              <w:rPr>
                <w:rFonts w:ascii="Palatino Linotype" w:eastAsia="Times New Roman" w:hAnsi="Palatino Linotype" w:cs="Calibri"/>
                <w:color w:val="000000"/>
              </w:rPr>
            </w:pPr>
            <w:r w:rsidRPr="00F77533">
              <w:rPr>
                <w:rFonts w:ascii="Palatino Linotype" w:eastAsia="Times New Roman" w:hAnsi="Palatino Linotype" w:cs="Calibri"/>
                <w:color w:val="000000"/>
              </w:rPr>
              <w:lastRenderedPageBreak/>
              <w:t xml:space="preserve">Table </w:t>
            </w:r>
            <w:r w:rsidR="006847DB">
              <w:rPr>
                <w:rFonts w:ascii="Palatino Linotype" w:eastAsia="Times New Roman" w:hAnsi="Palatino Linotype" w:cs="Calibri"/>
                <w:color w:val="000000"/>
              </w:rPr>
              <w:t>3-</w:t>
            </w:r>
            <w:r>
              <w:rPr>
                <w:rFonts w:ascii="Palatino Linotype" w:eastAsia="Times New Roman" w:hAnsi="Palatino Linotype" w:cs="Calibri"/>
                <w:color w:val="000000"/>
              </w:rPr>
              <w:t>7</w:t>
            </w:r>
            <w:r w:rsidRPr="00F77533">
              <w:rPr>
                <w:rFonts w:ascii="Palatino Linotype" w:eastAsia="Times New Roman" w:hAnsi="Palatino Linotype" w:cs="Calibri"/>
                <w:color w:val="000000"/>
              </w:rPr>
              <w:t>. Regression results- Ideological Subgroup Analysis</w:t>
            </w:r>
          </w:p>
        </w:tc>
      </w:tr>
      <w:tr w:rsidR="00C72937" w:rsidRPr="00996974" w14:paraId="65F71AB3" w14:textId="77777777" w:rsidTr="00967B87">
        <w:trPr>
          <w:gridAfter w:val="1"/>
          <w:wAfter w:w="270" w:type="dxa"/>
          <w:trHeight w:val="516"/>
        </w:trPr>
        <w:tc>
          <w:tcPr>
            <w:tcW w:w="4050" w:type="dxa"/>
            <w:tcBorders>
              <w:top w:val="nil"/>
              <w:left w:val="nil"/>
              <w:bottom w:val="nil"/>
              <w:right w:val="nil"/>
            </w:tcBorders>
            <w:shd w:val="clear" w:color="auto" w:fill="auto"/>
            <w:vAlign w:val="center"/>
            <w:hideMark/>
          </w:tcPr>
          <w:p w14:paraId="57BD0CAE" w14:textId="77777777" w:rsidR="00C72937" w:rsidRPr="00996974" w:rsidRDefault="00C72937" w:rsidP="00967B87">
            <w:pPr>
              <w:spacing w:after="0" w:line="240" w:lineRule="auto"/>
              <w:rPr>
                <w:rFonts w:ascii="Palatino Linotype" w:eastAsia="Times New Roman" w:hAnsi="Palatino Linotype" w:cs="Calibri"/>
                <w:color w:val="000000"/>
                <w:sz w:val="19"/>
                <w:szCs w:val="19"/>
              </w:rPr>
            </w:pPr>
          </w:p>
        </w:tc>
        <w:tc>
          <w:tcPr>
            <w:tcW w:w="1980" w:type="dxa"/>
            <w:gridSpan w:val="2"/>
            <w:tcBorders>
              <w:top w:val="nil"/>
              <w:left w:val="nil"/>
              <w:bottom w:val="nil"/>
              <w:right w:val="nil"/>
            </w:tcBorders>
            <w:shd w:val="clear" w:color="auto" w:fill="auto"/>
            <w:noWrap/>
            <w:vAlign w:val="center"/>
            <w:hideMark/>
          </w:tcPr>
          <w:p w14:paraId="0A9C4276" w14:textId="77777777" w:rsidR="00C72937" w:rsidRPr="00996974" w:rsidRDefault="00C72937" w:rsidP="00967B87">
            <w:pPr>
              <w:spacing w:after="0" w:line="240" w:lineRule="auto"/>
              <w:jc w:val="center"/>
              <w:rPr>
                <w:rFonts w:ascii="Palatino Linotype" w:eastAsia="Times New Roman" w:hAnsi="Palatino Linotype" w:cs="Calibri"/>
                <w:b/>
                <w:bCs/>
                <w:color w:val="000000"/>
                <w:sz w:val="19"/>
                <w:szCs w:val="19"/>
              </w:rPr>
            </w:pPr>
            <w:r w:rsidRPr="00996974">
              <w:rPr>
                <w:rFonts w:ascii="Palatino Linotype" w:eastAsia="Times New Roman" w:hAnsi="Palatino Linotype" w:cs="Calibri"/>
                <w:b/>
                <w:bCs/>
                <w:color w:val="000000"/>
                <w:sz w:val="19"/>
                <w:szCs w:val="19"/>
              </w:rPr>
              <w:t>Conservative</w:t>
            </w:r>
          </w:p>
        </w:tc>
        <w:tc>
          <w:tcPr>
            <w:tcW w:w="1980" w:type="dxa"/>
            <w:gridSpan w:val="2"/>
            <w:tcBorders>
              <w:top w:val="nil"/>
              <w:left w:val="nil"/>
              <w:bottom w:val="nil"/>
              <w:right w:val="nil"/>
            </w:tcBorders>
            <w:shd w:val="clear" w:color="auto" w:fill="auto"/>
            <w:vAlign w:val="center"/>
            <w:hideMark/>
          </w:tcPr>
          <w:p w14:paraId="27AE54C7" w14:textId="77777777" w:rsidR="00C72937" w:rsidRPr="00996974" w:rsidRDefault="00C72937" w:rsidP="00967B87">
            <w:pPr>
              <w:spacing w:after="0" w:line="240" w:lineRule="auto"/>
              <w:jc w:val="center"/>
              <w:rPr>
                <w:rFonts w:ascii="Palatino Linotype" w:eastAsia="Times New Roman" w:hAnsi="Palatino Linotype" w:cs="Calibri"/>
                <w:b/>
                <w:bCs/>
                <w:color w:val="000000"/>
                <w:sz w:val="19"/>
                <w:szCs w:val="19"/>
              </w:rPr>
            </w:pPr>
            <w:r w:rsidRPr="00996974">
              <w:rPr>
                <w:rFonts w:ascii="Palatino Linotype" w:eastAsia="Times New Roman" w:hAnsi="Palatino Linotype" w:cs="Calibri"/>
                <w:b/>
                <w:bCs/>
                <w:color w:val="000000"/>
                <w:sz w:val="19"/>
                <w:szCs w:val="19"/>
              </w:rPr>
              <w:t>Non-Conservatives</w:t>
            </w:r>
          </w:p>
        </w:tc>
      </w:tr>
      <w:tr w:rsidR="00C72937" w:rsidRPr="00996974" w14:paraId="108DAF65" w14:textId="77777777" w:rsidTr="00967B87">
        <w:trPr>
          <w:gridAfter w:val="1"/>
          <w:wAfter w:w="270" w:type="dxa"/>
          <w:trHeight w:val="576"/>
        </w:trPr>
        <w:tc>
          <w:tcPr>
            <w:tcW w:w="4050" w:type="dxa"/>
            <w:tcBorders>
              <w:top w:val="nil"/>
              <w:left w:val="nil"/>
              <w:bottom w:val="single" w:sz="12" w:space="0" w:color="auto"/>
              <w:right w:val="nil"/>
            </w:tcBorders>
            <w:shd w:val="clear" w:color="auto" w:fill="auto"/>
            <w:vAlign w:val="center"/>
            <w:hideMark/>
          </w:tcPr>
          <w:p w14:paraId="53C83F02" w14:textId="77777777" w:rsidR="00C72937" w:rsidRPr="00996974" w:rsidRDefault="00C72937" w:rsidP="00967B87">
            <w:pPr>
              <w:spacing w:after="0" w:line="240" w:lineRule="auto"/>
              <w:jc w:val="center"/>
              <w:rPr>
                <w:rFonts w:ascii="Palatino Linotype" w:eastAsia="Times New Roman" w:hAnsi="Palatino Linotype" w:cs="Calibri"/>
                <w:b/>
                <w:bCs/>
                <w:color w:val="000000"/>
                <w:sz w:val="19"/>
                <w:szCs w:val="19"/>
              </w:rPr>
            </w:pPr>
            <w:r w:rsidRPr="00996974">
              <w:rPr>
                <w:rFonts w:ascii="Palatino Linotype" w:eastAsia="Times New Roman" w:hAnsi="Palatino Linotype" w:cs="Calibri"/>
                <w:b/>
                <w:bCs/>
                <w:color w:val="000000"/>
                <w:sz w:val="19"/>
                <w:szCs w:val="19"/>
              </w:rPr>
              <w:t>Explanatory Variables</w:t>
            </w:r>
          </w:p>
        </w:tc>
        <w:tc>
          <w:tcPr>
            <w:tcW w:w="990" w:type="dxa"/>
            <w:tcBorders>
              <w:top w:val="nil"/>
              <w:left w:val="nil"/>
              <w:bottom w:val="single" w:sz="12" w:space="0" w:color="auto"/>
              <w:right w:val="nil"/>
            </w:tcBorders>
            <w:shd w:val="clear" w:color="auto" w:fill="auto"/>
            <w:vAlign w:val="center"/>
            <w:hideMark/>
          </w:tcPr>
          <w:p w14:paraId="442624D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Model 1: Support</w:t>
            </w:r>
          </w:p>
        </w:tc>
        <w:tc>
          <w:tcPr>
            <w:tcW w:w="990" w:type="dxa"/>
            <w:tcBorders>
              <w:top w:val="nil"/>
              <w:left w:val="nil"/>
              <w:bottom w:val="single" w:sz="12" w:space="0" w:color="auto"/>
              <w:right w:val="nil"/>
            </w:tcBorders>
            <w:shd w:val="clear" w:color="auto" w:fill="auto"/>
            <w:vAlign w:val="center"/>
            <w:hideMark/>
          </w:tcPr>
          <w:p w14:paraId="0660224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Model 2: Fairness</w:t>
            </w:r>
          </w:p>
        </w:tc>
        <w:tc>
          <w:tcPr>
            <w:tcW w:w="990" w:type="dxa"/>
            <w:tcBorders>
              <w:top w:val="nil"/>
              <w:left w:val="nil"/>
              <w:bottom w:val="single" w:sz="12" w:space="0" w:color="auto"/>
              <w:right w:val="nil"/>
            </w:tcBorders>
            <w:shd w:val="clear" w:color="auto" w:fill="auto"/>
            <w:vAlign w:val="center"/>
            <w:hideMark/>
          </w:tcPr>
          <w:p w14:paraId="310FACE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Model 1: Support</w:t>
            </w:r>
          </w:p>
        </w:tc>
        <w:tc>
          <w:tcPr>
            <w:tcW w:w="990" w:type="dxa"/>
            <w:tcBorders>
              <w:top w:val="nil"/>
              <w:left w:val="nil"/>
              <w:bottom w:val="single" w:sz="12" w:space="0" w:color="auto"/>
              <w:right w:val="nil"/>
            </w:tcBorders>
            <w:shd w:val="clear" w:color="auto" w:fill="auto"/>
            <w:vAlign w:val="center"/>
            <w:hideMark/>
          </w:tcPr>
          <w:p w14:paraId="4169BD3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Model 2: Fairness</w:t>
            </w:r>
          </w:p>
        </w:tc>
      </w:tr>
      <w:tr w:rsidR="00C72937" w:rsidRPr="00996974" w14:paraId="7D6C688B" w14:textId="77777777" w:rsidTr="00967B87">
        <w:trPr>
          <w:gridAfter w:val="1"/>
          <w:wAfter w:w="270" w:type="dxa"/>
          <w:trHeight w:val="288"/>
        </w:trPr>
        <w:tc>
          <w:tcPr>
            <w:tcW w:w="4050" w:type="dxa"/>
            <w:tcBorders>
              <w:top w:val="single" w:sz="12" w:space="0" w:color="auto"/>
              <w:left w:val="nil"/>
              <w:bottom w:val="nil"/>
              <w:right w:val="nil"/>
            </w:tcBorders>
            <w:shd w:val="clear" w:color="auto" w:fill="auto"/>
            <w:vAlign w:val="center"/>
            <w:hideMark/>
          </w:tcPr>
          <w:p w14:paraId="268E6E30" w14:textId="77777777" w:rsidR="00C72937" w:rsidRPr="00996974"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 xml:space="preserve">Treatment 1: </w:t>
            </w:r>
            <w:r w:rsidRPr="00C8044A">
              <w:rPr>
                <w:rFonts w:ascii="Palatino Linotype" w:eastAsia="Times New Roman" w:hAnsi="Palatino Linotype" w:cs="Calibri"/>
                <w:color w:val="000000"/>
                <w:sz w:val="19"/>
                <w:szCs w:val="19"/>
              </w:rPr>
              <w:t>Family Income Cap</w:t>
            </w:r>
          </w:p>
        </w:tc>
        <w:tc>
          <w:tcPr>
            <w:tcW w:w="990" w:type="dxa"/>
            <w:tcBorders>
              <w:top w:val="single" w:sz="12" w:space="0" w:color="auto"/>
              <w:left w:val="nil"/>
              <w:bottom w:val="nil"/>
              <w:right w:val="nil"/>
            </w:tcBorders>
            <w:shd w:val="clear" w:color="auto" w:fill="auto"/>
            <w:vAlign w:val="bottom"/>
            <w:hideMark/>
          </w:tcPr>
          <w:p w14:paraId="4125FFA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1559F">
              <w:rPr>
                <w:rFonts w:ascii="Palatino Linotype" w:eastAsia="Times New Roman" w:hAnsi="Palatino Linotype" w:cs="Calibri"/>
                <w:color w:val="000000"/>
                <w:sz w:val="19"/>
                <w:szCs w:val="19"/>
              </w:rPr>
              <w:t>-0.067</w:t>
            </w:r>
          </w:p>
        </w:tc>
        <w:tc>
          <w:tcPr>
            <w:tcW w:w="990" w:type="dxa"/>
            <w:tcBorders>
              <w:top w:val="nil"/>
              <w:left w:val="nil"/>
              <w:bottom w:val="nil"/>
              <w:right w:val="nil"/>
            </w:tcBorders>
            <w:shd w:val="clear" w:color="auto" w:fill="auto"/>
            <w:vAlign w:val="bottom"/>
            <w:hideMark/>
          </w:tcPr>
          <w:p w14:paraId="69CC954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-0.199**</w:t>
            </w:r>
          </w:p>
        </w:tc>
        <w:tc>
          <w:tcPr>
            <w:tcW w:w="990" w:type="dxa"/>
            <w:tcBorders>
              <w:top w:val="nil"/>
              <w:left w:val="nil"/>
              <w:bottom w:val="nil"/>
              <w:right w:val="nil"/>
            </w:tcBorders>
            <w:shd w:val="clear" w:color="auto" w:fill="auto"/>
            <w:vAlign w:val="bottom"/>
            <w:hideMark/>
          </w:tcPr>
          <w:p w14:paraId="6888DF0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0.039</w:t>
            </w:r>
          </w:p>
        </w:tc>
        <w:tc>
          <w:tcPr>
            <w:tcW w:w="990" w:type="dxa"/>
            <w:tcBorders>
              <w:top w:val="nil"/>
              <w:left w:val="nil"/>
              <w:bottom w:val="nil"/>
              <w:right w:val="nil"/>
            </w:tcBorders>
            <w:shd w:val="clear" w:color="auto" w:fill="auto"/>
            <w:vAlign w:val="bottom"/>
            <w:hideMark/>
          </w:tcPr>
          <w:p w14:paraId="65E0D58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-0.064</w:t>
            </w:r>
          </w:p>
        </w:tc>
      </w:tr>
      <w:tr w:rsidR="00C72937" w:rsidRPr="00996974" w14:paraId="4D316FB1"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42F387CB"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13AD54C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1559F">
              <w:rPr>
                <w:rFonts w:ascii="Palatino Linotype" w:eastAsia="Times New Roman" w:hAnsi="Palatino Linotype" w:cs="Calibri"/>
                <w:color w:val="000000"/>
                <w:sz w:val="19"/>
                <w:szCs w:val="19"/>
              </w:rPr>
              <w:t>(0.080)</w:t>
            </w:r>
          </w:p>
        </w:tc>
        <w:tc>
          <w:tcPr>
            <w:tcW w:w="990" w:type="dxa"/>
            <w:tcBorders>
              <w:top w:val="nil"/>
              <w:left w:val="nil"/>
              <w:bottom w:val="nil"/>
              <w:right w:val="nil"/>
            </w:tcBorders>
            <w:shd w:val="clear" w:color="auto" w:fill="auto"/>
            <w:vAlign w:val="bottom"/>
            <w:hideMark/>
          </w:tcPr>
          <w:p w14:paraId="7B9A54EB"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(0.082)</w:t>
            </w:r>
          </w:p>
        </w:tc>
        <w:tc>
          <w:tcPr>
            <w:tcW w:w="990" w:type="dxa"/>
            <w:tcBorders>
              <w:top w:val="nil"/>
              <w:left w:val="nil"/>
              <w:bottom w:val="nil"/>
              <w:right w:val="nil"/>
            </w:tcBorders>
            <w:shd w:val="clear" w:color="auto" w:fill="auto"/>
            <w:vAlign w:val="bottom"/>
            <w:hideMark/>
          </w:tcPr>
          <w:p w14:paraId="6AB8BA8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(0.050)</w:t>
            </w:r>
          </w:p>
        </w:tc>
        <w:tc>
          <w:tcPr>
            <w:tcW w:w="990" w:type="dxa"/>
            <w:tcBorders>
              <w:top w:val="nil"/>
              <w:left w:val="nil"/>
              <w:bottom w:val="nil"/>
              <w:right w:val="nil"/>
            </w:tcBorders>
            <w:shd w:val="clear" w:color="auto" w:fill="auto"/>
            <w:vAlign w:val="bottom"/>
            <w:hideMark/>
          </w:tcPr>
          <w:p w14:paraId="4BD889F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(0.053)</w:t>
            </w:r>
          </w:p>
        </w:tc>
      </w:tr>
      <w:tr w:rsidR="00C72937" w:rsidRPr="00996974" w14:paraId="6A2B8008"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7C96C485" w14:textId="77777777" w:rsidR="00C72937" w:rsidRPr="00996974"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 xml:space="preserve">Treatment 2: </w:t>
            </w:r>
            <w:r w:rsidRPr="00C8044A">
              <w:rPr>
                <w:rFonts w:ascii="Palatino Linotype" w:eastAsia="Times New Roman" w:hAnsi="Palatino Linotype" w:cs="Calibri"/>
                <w:color w:val="000000"/>
                <w:sz w:val="19"/>
                <w:szCs w:val="19"/>
              </w:rPr>
              <w:t>Academic Merit Requirement</w:t>
            </w:r>
          </w:p>
        </w:tc>
        <w:tc>
          <w:tcPr>
            <w:tcW w:w="990" w:type="dxa"/>
            <w:tcBorders>
              <w:top w:val="nil"/>
              <w:left w:val="nil"/>
              <w:bottom w:val="nil"/>
              <w:right w:val="nil"/>
            </w:tcBorders>
            <w:shd w:val="clear" w:color="auto" w:fill="auto"/>
            <w:vAlign w:val="bottom"/>
            <w:hideMark/>
          </w:tcPr>
          <w:p w14:paraId="3EFE1FB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1559F">
              <w:rPr>
                <w:rFonts w:ascii="Palatino Linotype" w:eastAsia="Times New Roman" w:hAnsi="Palatino Linotype" w:cs="Calibri"/>
                <w:color w:val="000000"/>
                <w:sz w:val="19"/>
                <w:szCs w:val="19"/>
              </w:rPr>
              <w:t>0.229***</w:t>
            </w:r>
          </w:p>
        </w:tc>
        <w:tc>
          <w:tcPr>
            <w:tcW w:w="990" w:type="dxa"/>
            <w:tcBorders>
              <w:top w:val="nil"/>
              <w:left w:val="nil"/>
              <w:bottom w:val="nil"/>
              <w:right w:val="nil"/>
            </w:tcBorders>
            <w:shd w:val="clear" w:color="auto" w:fill="auto"/>
            <w:vAlign w:val="bottom"/>
            <w:hideMark/>
          </w:tcPr>
          <w:p w14:paraId="3614BEE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0.240***</w:t>
            </w:r>
          </w:p>
        </w:tc>
        <w:tc>
          <w:tcPr>
            <w:tcW w:w="990" w:type="dxa"/>
            <w:tcBorders>
              <w:top w:val="nil"/>
              <w:left w:val="nil"/>
              <w:bottom w:val="nil"/>
              <w:right w:val="nil"/>
            </w:tcBorders>
            <w:shd w:val="clear" w:color="auto" w:fill="auto"/>
            <w:vAlign w:val="bottom"/>
            <w:hideMark/>
          </w:tcPr>
          <w:p w14:paraId="54ED4A1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0.060</w:t>
            </w:r>
          </w:p>
        </w:tc>
        <w:tc>
          <w:tcPr>
            <w:tcW w:w="990" w:type="dxa"/>
            <w:tcBorders>
              <w:top w:val="nil"/>
              <w:left w:val="nil"/>
              <w:bottom w:val="nil"/>
              <w:right w:val="nil"/>
            </w:tcBorders>
            <w:shd w:val="clear" w:color="auto" w:fill="auto"/>
            <w:vAlign w:val="bottom"/>
            <w:hideMark/>
          </w:tcPr>
          <w:p w14:paraId="2E400C7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0.186***</w:t>
            </w:r>
          </w:p>
        </w:tc>
      </w:tr>
      <w:tr w:rsidR="00C72937" w:rsidRPr="00996974" w14:paraId="1EA0AA43"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21DB995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0096375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1559F">
              <w:rPr>
                <w:rFonts w:ascii="Palatino Linotype" w:eastAsia="Times New Roman" w:hAnsi="Palatino Linotype" w:cs="Calibri"/>
                <w:color w:val="000000"/>
                <w:sz w:val="19"/>
                <w:szCs w:val="19"/>
              </w:rPr>
              <w:t>(0.079)</w:t>
            </w:r>
          </w:p>
        </w:tc>
        <w:tc>
          <w:tcPr>
            <w:tcW w:w="990" w:type="dxa"/>
            <w:tcBorders>
              <w:top w:val="nil"/>
              <w:left w:val="nil"/>
              <w:bottom w:val="nil"/>
              <w:right w:val="nil"/>
            </w:tcBorders>
            <w:shd w:val="clear" w:color="auto" w:fill="auto"/>
            <w:vAlign w:val="bottom"/>
            <w:hideMark/>
          </w:tcPr>
          <w:p w14:paraId="1DD58F7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(0.084)</w:t>
            </w:r>
          </w:p>
        </w:tc>
        <w:tc>
          <w:tcPr>
            <w:tcW w:w="990" w:type="dxa"/>
            <w:tcBorders>
              <w:top w:val="nil"/>
              <w:left w:val="nil"/>
              <w:bottom w:val="nil"/>
              <w:right w:val="nil"/>
            </w:tcBorders>
            <w:shd w:val="clear" w:color="auto" w:fill="auto"/>
            <w:vAlign w:val="bottom"/>
            <w:hideMark/>
          </w:tcPr>
          <w:p w14:paraId="24EDD56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(0.051)</w:t>
            </w:r>
          </w:p>
        </w:tc>
        <w:tc>
          <w:tcPr>
            <w:tcW w:w="990" w:type="dxa"/>
            <w:tcBorders>
              <w:top w:val="nil"/>
              <w:left w:val="nil"/>
              <w:bottom w:val="nil"/>
              <w:right w:val="nil"/>
            </w:tcBorders>
            <w:shd w:val="clear" w:color="auto" w:fill="auto"/>
            <w:vAlign w:val="bottom"/>
            <w:hideMark/>
          </w:tcPr>
          <w:p w14:paraId="5320712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(0.054)</w:t>
            </w:r>
          </w:p>
        </w:tc>
      </w:tr>
      <w:tr w:rsidR="00C72937" w:rsidRPr="00996974" w14:paraId="7CC4D37F" w14:textId="77777777" w:rsidTr="00967B87">
        <w:trPr>
          <w:gridAfter w:val="1"/>
          <w:wAfter w:w="270" w:type="dxa"/>
          <w:trHeight w:val="288"/>
        </w:trPr>
        <w:tc>
          <w:tcPr>
            <w:tcW w:w="4050" w:type="dxa"/>
            <w:tcBorders>
              <w:top w:val="nil"/>
              <w:left w:val="nil"/>
              <w:bottom w:val="nil"/>
              <w:right w:val="nil"/>
            </w:tcBorders>
            <w:shd w:val="clear" w:color="auto" w:fill="auto"/>
            <w:vAlign w:val="center"/>
          </w:tcPr>
          <w:p w14:paraId="14B08F07" w14:textId="77777777" w:rsidR="00C72937" w:rsidRPr="006F161F" w:rsidRDefault="00C72937" w:rsidP="00967B87">
            <w:pPr>
              <w:spacing w:after="0" w:line="240" w:lineRule="auto"/>
              <w:rPr>
                <w:rFonts w:ascii="Palatino Linotype" w:eastAsia="Times New Roman" w:hAnsi="Palatino Linotype" w:cs="Calibri"/>
                <w:i/>
                <w:color w:val="000000"/>
                <w:sz w:val="19"/>
                <w:szCs w:val="19"/>
              </w:rPr>
            </w:pPr>
            <w:r>
              <w:rPr>
                <w:rFonts w:ascii="Palatino Linotype" w:eastAsia="Times New Roman" w:hAnsi="Palatino Linotype" w:cs="Calibri"/>
                <w:i/>
                <w:color w:val="000000"/>
                <w:sz w:val="19"/>
                <w:szCs w:val="19"/>
              </w:rPr>
              <w:t>Controls</w:t>
            </w:r>
          </w:p>
        </w:tc>
        <w:tc>
          <w:tcPr>
            <w:tcW w:w="990" w:type="dxa"/>
            <w:tcBorders>
              <w:top w:val="nil"/>
              <w:left w:val="nil"/>
              <w:bottom w:val="nil"/>
              <w:right w:val="nil"/>
            </w:tcBorders>
            <w:shd w:val="clear" w:color="auto" w:fill="auto"/>
            <w:vAlign w:val="center"/>
          </w:tcPr>
          <w:p w14:paraId="546BCC58"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center"/>
          </w:tcPr>
          <w:p w14:paraId="468B2CC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center"/>
          </w:tcPr>
          <w:p w14:paraId="64419BD8"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center"/>
          </w:tcPr>
          <w:p w14:paraId="4404873C"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r>
      <w:tr w:rsidR="00C72937" w:rsidRPr="00996974" w14:paraId="3410AE9E"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25F2B303"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White</w:t>
            </w:r>
          </w:p>
        </w:tc>
        <w:tc>
          <w:tcPr>
            <w:tcW w:w="990" w:type="dxa"/>
            <w:tcBorders>
              <w:top w:val="nil"/>
              <w:left w:val="nil"/>
              <w:bottom w:val="nil"/>
              <w:right w:val="nil"/>
            </w:tcBorders>
            <w:shd w:val="clear" w:color="auto" w:fill="auto"/>
            <w:vAlign w:val="bottom"/>
            <w:hideMark/>
          </w:tcPr>
          <w:p w14:paraId="6ACA47F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-0.232**</w:t>
            </w:r>
          </w:p>
        </w:tc>
        <w:tc>
          <w:tcPr>
            <w:tcW w:w="990" w:type="dxa"/>
            <w:tcBorders>
              <w:top w:val="nil"/>
              <w:left w:val="nil"/>
              <w:bottom w:val="nil"/>
              <w:right w:val="nil"/>
            </w:tcBorders>
            <w:shd w:val="clear" w:color="auto" w:fill="auto"/>
            <w:vAlign w:val="bottom"/>
            <w:hideMark/>
          </w:tcPr>
          <w:p w14:paraId="6D36B7D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0.084</w:t>
            </w:r>
          </w:p>
        </w:tc>
        <w:tc>
          <w:tcPr>
            <w:tcW w:w="990" w:type="dxa"/>
            <w:tcBorders>
              <w:top w:val="nil"/>
              <w:left w:val="nil"/>
              <w:bottom w:val="nil"/>
              <w:right w:val="nil"/>
            </w:tcBorders>
            <w:shd w:val="clear" w:color="auto" w:fill="auto"/>
            <w:vAlign w:val="bottom"/>
            <w:hideMark/>
          </w:tcPr>
          <w:p w14:paraId="6736FA6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-0.105*</w:t>
            </w:r>
          </w:p>
        </w:tc>
        <w:tc>
          <w:tcPr>
            <w:tcW w:w="990" w:type="dxa"/>
            <w:tcBorders>
              <w:top w:val="nil"/>
              <w:left w:val="nil"/>
              <w:bottom w:val="nil"/>
              <w:right w:val="nil"/>
            </w:tcBorders>
            <w:shd w:val="clear" w:color="auto" w:fill="auto"/>
            <w:vAlign w:val="bottom"/>
            <w:hideMark/>
          </w:tcPr>
          <w:p w14:paraId="43306E9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0.000</w:t>
            </w:r>
          </w:p>
        </w:tc>
      </w:tr>
      <w:tr w:rsidR="00C72937" w:rsidRPr="00996974" w14:paraId="2A4C78FE"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7F07A99A"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640280B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(0.116)</w:t>
            </w:r>
          </w:p>
        </w:tc>
        <w:tc>
          <w:tcPr>
            <w:tcW w:w="990" w:type="dxa"/>
            <w:tcBorders>
              <w:top w:val="nil"/>
              <w:left w:val="nil"/>
              <w:bottom w:val="nil"/>
              <w:right w:val="nil"/>
            </w:tcBorders>
            <w:shd w:val="clear" w:color="auto" w:fill="auto"/>
            <w:vAlign w:val="bottom"/>
            <w:hideMark/>
          </w:tcPr>
          <w:p w14:paraId="4F10CB6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(0.105)</w:t>
            </w:r>
          </w:p>
        </w:tc>
        <w:tc>
          <w:tcPr>
            <w:tcW w:w="990" w:type="dxa"/>
            <w:tcBorders>
              <w:top w:val="nil"/>
              <w:left w:val="nil"/>
              <w:bottom w:val="nil"/>
              <w:right w:val="nil"/>
            </w:tcBorders>
            <w:shd w:val="clear" w:color="auto" w:fill="auto"/>
            <w:vAlign w:val="bottom"/>
            <w:hideMark/>
          </w:tcPr>
          <w:p w14:paraId="525880A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(0.057)</w:t>
            </w:r>
          </w:p>
        </w:tc>
        <w:tc>
          <w:tcPr>
            <w:tcW w:w="990" w:type="dxa"/>
            <w:tcBorders>
              <w:top w:val="nil"/>
              <w:left w:val="nil"/>
              <w:bottom w:val="nil"/>
              <w:right w:val="nil"/>
            </w:tcBorders>
            <w:shd w:val="clear" w:color="auto" w:fill="auto"/>
            <w:vAlign w:val="bottom"/>
            <w:hideMark/>
          </w:tcPr>
          <w:p w14:paraId="284CEDD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(0.064)</w:t>
            </w:r>
          </w:p>
        </w:tc>
      </w:tr>
      <w:tr w:rsidR="00C72937" w:rsidRPr="00996974" w14:paraId="4A782B0B"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52CA6ABC"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Male</w:t>
            </w:r>
          </w:p>
        </w:tc>
        <w:tc>
          <w:tcPr>
            <w:tcW w:w="990" w:type="dxa"/>
            <w:tcBorders>
              <w:top w:val="nil"/>
              <w:left w:val="nil"/>
              <w:bottom w:val="nil"/>
              <w:right w:val="nil"/>
            </w:tcBorders>
            <w:shd w:val="clear" w:color="auto" w:fill="auto"/>
            <w:vAlign w:val="bottom"/>
            <w:hideMark/>
          </w:tcPr>
          <w:p w14:paraId="3A6D8C8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-0.024</w:t>
            </w:r>
          </w:p>
        </w:tc>
        <w:tc>
          <w:tcPr>
            <w:tcW w:w="990" w:type="dxa"/>
            <w:tcBorders>
              <w:top w:val="nil"/>
              <w:left w:val="nil"/>
              <w:bottom w:val="nil"/>
              <w:right w:val="nil"/>
            </w:tcBorders>
            <w:shd w:val="clear" w:color="auto" w:fill="auto"/>
            <w:vAlign w:val="bottom"/>
            <w:hideMark/>
          </w:tcPr>
          <w:p w14:paraId="17B610C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0.050</w:t>
            </w:r>
          </w:p>
        </w:tc>
        <w:tc>
          <w:tcPr>
            <w:tcW w:w="990" w:type="dxa"/>
            <w:tcBorders>
              <w:top w:val="nil"/>
              <w:left w:val="nil"/>
              <w:bottom w:val="nil"/>
              <w:right w:val="nil"/>
            </w:tcBorders>
            <w:shd w:val="clear" w:color="auto" w:fill="auto"/>
            <w:vAlign w:val="bottom"/>
            <w:hideMark/>
          </w:tcPr>
          <w:p w14:paraId="3EADAEE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0.056</w:t>
            </w:r>
          </w:p>
        </w:tc>
        <w:tc>
          <w:tcPr>
            <w:tcW w:w="990" w:type="dxa"/>
            <w:tcBorders>
              <w:top w:val="nil"/>
              <w:left w:val="nil"/>
              <w:bottom w:val="nil"/>
              <w:right w:val="nil"/>
            </w:tcBorders>
            <w:shd w:val="clear" w:color="auto" w:fill="auto"/>
            <w:vAlign w:val="bottom"/>
            <w:hideMark/>
          </w:tcPr>
          <w:p w14:paraId="281BB84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0.059</w:t>
            </w:r>
          </w:p>
        </w:tc>
      </w:tr>
      <w:tr w:rsidR="00C72937" w:rsidRPr="00996974" w14:paraId="2E6C9D4C"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7F181CE2"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5B190CC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(0.081)</w:t>
            </w:r>
          </w:p>
        </w:tc>
        <w:tc>
          <w:tcPr>
            <w:tcW w:w="990" w:type="dxa"/>
            <w:tcBorders>
              <w:top w:val="nil"/>
              <w:left w:val="nil"/>
              <w:bottom w:val="nil"/>
              <w:right w:val="nil"/>
            </w:tcBorders>
            <w:shd w:val="clear" w:color="auto" w:fill="auto"/>
            <w:vAlign w:val="bottom"/>
            <w:hideMark/>
          </w:tcPr>
          <w:p w14:paraId="6B0BFFB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(0.083)</w:t>
            </w:r>
          </w:p>
        </w:tc>
        <w:tc>
          <w:tcPr>
            <w:tcW w:w="990" w:type="dxa"/>
            <w:tcBorders>
              <w:top w:val="nil"/>
              <w:left w:val="nil"/>
              <w:bottom w:val="nil"/>
              <w:right w:val="nil"/>
            </w:tcBorders>
            <w:shd w:val="clear" w:color="auto" w:fill="auto"/>
            <w:vAlign w:val="bottom"/>
            <w:hideMark/>
          </w:tcPr>
          <w:p w14:paraId="465EE08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(0.052)</w:t>
            </w:r>
          </w:p>
        </w:tc>
        <w:tc>
          <w:tcPr>
            <w:tcW w:w="990" w:type="dxa"/>
            <w:tcBorders>
              <w:top w:val="nil"/>
              <w:left w:val="nil"/>
              <w:bottom w:val="nil"/>
              <w:right w:val="nil"/>
            </w:tcBorders>
            <w:shd w:val="clear" w:color="auto" w:fill="auto"/>
            <w:vAlign w:val="bottom"/>
            <w:hideMark/>
          </w:tcPr>
          <w:p w14:paraId="40D7B5F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(0.053)</w:t>
            </w:r>
          </w:p>
        </w:tc>
      </w:tr>
      <w:tr w:rsidR="00C72937" w:rsidRPr="00996974" w14:paraId="02C4219F"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17DB3AEA"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Income</w:t>
            </w:r>
          </w:p>
        </w:tc>
        <w:tc>
          <w:tcPr>
            <w:tcW w:w="990" w:type="dxa"/>
            <w:tcBorders>
              <w:top w:val="nil"/>
              <w:left w:val="nil"/>
              <w:bottom w:val="nil"/>
              <w:right w:val="nil"/>
            </w:tcBorders>
            <w:shd w:val="clear" w:color="auto" w:fill="auto"/>
            <w:vAlign w:val="bottom"/>
            <w:hideMark/>
          </w:tcPr>
          <w:p w14:paraId="506FCF5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-0.035***</w:t>
            </w:r>
          </w:p>
        </w:tc>
        <w:tc>
          <w:tcPr>
            <w:tcW w:w="990" w:type="dxa"/>
            <w:tcBorders>
              <w:top w:val="nil"/>
              <w:left w:val="nil"/>
              <w:bottom w:val="nil"/>
              <w:right w:val="nil"/>
            </w:tcBorders>
            <w:shd w:val="clear" w:color="auto" w:fill="auto"/>
            <w:vAlign w:val="bottom"/>
            <w:hideMark/>
          </w:tcPr>
          <w:p w14:paraId="6C73110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-0.016</w:t>
            </w:r>
          </w:p>
        </w:tc>
        <w:tc>
          <w:tcPr>
            <w:tcW w:w="990" w:type="dxa"/>
            <w:tcBorders>
              <w:top w:val="nil"/>
              <w:left w:val="nil"/>
              <w:bottom w:val="nil"/>
              <w:right w:val="nil"/>
            </w:tcBorders>
            <w:shd w:val="clear" w:color="auto" w:fill="auto"/>
            <w:vAlign w:val="bottom"/>
            <w:hideMark/>
          </w:tcPr>
          <w:p w14:paraId="156034A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-0.0145**</w:t>
            </w:r>
          </w:p>
        </w:tc>
        <w:tc>
          <w:tcPr>
            <w:tcW w:w="990" w:type="dxa"/>
            <w:tcBorders>
              <w:top w:val="nil"/>
              <w:left w:val="nil"/>
              <w:bottom w:val="nil"/>
              <w:right w:val="nil"/>
            </w:tcBorders>
            <w:shd w:val="clear" w:color="auto" w:fill="auto"/>
            <w:vAlign w:val="bottom"/>
            <w:hideMark/>
          </w:tcPr>
          <w:p w14:paraId="26CF88E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-0.0144**</w:t>
            </w:r>
          </w:p>
        </w:tc>
      </w:tr>
      <w:tr w:rsidR="00C72937" w:rsidRPr="00996974" w14:paraId="5BDC4BFD"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394A9579"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7D550C1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(0.009)</w:t>
            </w:r>
          </w:p>
        </w:tc>
        <w:tc>
          <w:tcPr>
            <w:tcW w:w="990" w:type="dxa"/>
            <w:tcBorders>
              <w:top w:val="nil"/>
              <w:left w:val="nil"/>
              <w:bottom w:val="nil"/>
              <w:right w:val="nil"/>
            </w:tcBorders>
            <w:shd w:val="clear" w:color="auto" w:fill="auto"/>
            <w:vAlign w:val="bottom"/>
            <w:hideMark/>
          </w:tcPr>
          <w:p w14:paraId="42BDA3A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(0.011)</w:t>
            </w:r>
          </w:p>
        </w:tc>
        <w:tc>
          <w:tcPr>
            <w:tcW w:w="990" w:type="dxa"/>
            <w:tcBorders>
              <w:top w:val="nil"/>
              <w:left w:val="nil"/>
              <w:bottom w:val="nil"/>
              <w:right w:val="nil"/>
            </w:tcBorders>
            <w:shd w:val="clear" w:color="auto" w:fill="auto"/>
            <w:vAlign w:val="bottom"/>
            <w:hideMark/>
          </w:tcPr>
          <w:p w14:paraId="003AFFE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(0.006)</w:t>
            </w:r>
          </w:p>
        </w:tc>
        <w:tc>
          <w:tcPr>
            <w:tcW w:w="990" w:type="dxa"/>
            <w:tcBorders>
              <w:top w:val="nil"/>
              <w:left w:val="nil"/>
              <w:bottom w:val="nil"/>
              <w:right w:val="nil"/>
            </w:tcBorders>
            <w:shd w:val="clear" w:color="auto" w:fill="auto"/>
            <w:vAlign w:val="bottom"/>
            <w:hideMark/>
          </w:tcPr>
          <w:p w14:paraId="72770A8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(0.006)</w:t>
            </w:r>
          </w:p>
        </w:tc>
      </w:tr>
      <w:tr w:rsidR="00C72937" w:rsidRPr="00996974" w14:paraId="1CAFA8A2"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2D5C1AE1"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Age</w:t>
            </w:r>
          </w:p>
        </w:tc>
        <w:tc>
          <w:tcPr>
            <w:tcW w:w="990" w:type="dxa"/>
            <w:tcBorders>
              <w:top w:val="nil"/>
              <w:left w:val="nil"/>
              <w:bottom w:val="nil"/>
              <w:right w:val="nil"/>
            </w:tcBorders>
            <w:shd w:val="clear" w:color="auto" w:fill="auto"/>
            <w:vAlign w:val="bottom"/>
            <w:hideMark/>
          </w:tcPr>
          <w:p w14:paraId="417FE7C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0.001</w:t>
            </w:r>
          </w:p>
        </w:tc>
        <w:tc>
          <w:tcPr>
            <w:tcW w:w="990" w:type="dxa"/>
            <w:tcBorders>
              <w:top w:val="nil"/>
              <w:left w:val="nil"/>
              <w:bottom w:val="nil"/>
              <w:right w:val="nil"/>
            </w:tcBorders>
            <w:shd w:val="clear" w:color="auto" w:fill="auto"/>
            <w:vAlign w:val="bottom"/>
            <w:hideMark/>
          </w:tcPr>
          <w:p w14:paraId="62EBA66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-0.001</w:t>
            </w:r>
          </w:p>
        </w:tc>
        <w:tc>
          <w:tcPr>
            <w:tcW w:w="990" w:type="dxa"/>
            <w:tcBorders>
              <w:top w:val="nil"/>
              <w:left w:val="nil"/>
              <w:bottom w:val="nil"/>
              <w:right w:val="nil"/>
            </w:tcBorders>
            <w:shd w:val="clear" w:color="auto" w:fill="auto"/>
            <w:vAlign w:val="bottom"/>
            <w:hideMark/>
          </w:tcPr>
          <w:p w14:paraId="055C2AA5"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0.000</w:t>
            </w:r>
          </w:p>
        </w:tc>
        <w:tc>
          <w:tcPr>
            <w:tcW w:w="990" w:type="dxa"/>
            <w:tcBorders>
              <w:top w:val="nil"/>
              <w:left w:val="nil"/>
              <w:bottom w:val="nil"/>
              <w:right w:val="nil"/>
            </w:tcBorders>
            <w:shd w:val="clear" w:color="auto" w:fill="auto"/>
            <w:vAlign w:val="bottom"/>
            <w:hideMark/>
          </w:tcPr>
          <w:p w14:paraId="3BDCB244"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-0.003</w:t>
            </w:r>
          </w:p>
        </w:tc>
      </w:tr>
      <w:tr w:rsidR="00C72937" w:rsidRPr="00996974" w14:paraId="5BBAED6B"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19E4FEBC"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010D286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(0.003)</w:t>
            </w:r>
          </w:p>
        </w:tc>
        <w:tc>
          <w:tcPr>
            <w:tcW w:w="990" w:type="dxa"/>
            <w:tcBorders>
              <w:top w:val="nil"/>
              <w:left w:val="nil"/>
              <w:bottom w:val="nil"/>
              <w:right w:val="nil"/>
            </w:tcBorders>
            <w:shd w:val="clear" w:color="auto" w:fill="auto"/>
            <w:vAlign w:val="bottom"/>
            <w:hideMark/>
          </w:tcPr>
          <w:p w14:paraId="70D38A1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(0.003)</w:t>
            </w:r>
          </w:p>
        </w:tc>
        <w:tc>
          <w:tcPr>
            <w:tcW w:w="990" w:type="dxa"/>
            <w:tcBorders>
              <w:top w:val="nil"/>
              <w:left w:val="nil"/>
              <w:bottom w:val="nil"/>
              <w:right w:val="nil"/>
            </w:tcBorders>
            <w:shd w:val="clear" w:color="auto" w:fill="auto"/>
            <w:vAlign w:val="bottom"/>
            <w:hideMark/>
          </w:tcPr>
          <w:p w14:paraId="7E64DD8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(0.002)</w:t>
            </w:r>
          </w:p>
        </w:tc>
        <w:tc>
          <w:tcPr>
            <w:tcW w:w="990" w:type="dxa"/>
            <w:tcBorders>
              <w:top w:val="nil"/>
              <w:left w:val="nil"/>
              <w:bottom w:val="nil"/>
              <w:right w:val="nil"/>
            </w:tcBorders>
            <w:shd w:val="clear" w:color="auto" w:fill="auto"/>
            <w:vAlign w:val="bottom"/>
            <w:hideMark/>
          </w:tcPr>
          <w:p w14:paraId="7E92AB1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(0.002)</w:t>
            </w:r>
          </w:p>
        </w:tc>
      </w:tr>
      <w:tr w:rsidR="00C72937" w:rsidRPr="00996974" w14:paraId="0460EF7C"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2D330E25"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Region</w:t>
            </w:r>
          </w:p>
        </w:tc>
        <w:tc>
          <w:tcPr>
            <w:tcW w:w="990" w:type="dxa"/>
            <w:tcBorders>
              <w:top w:val="nil"/>
              <w:left w:val="nil"/>
              <w:bottom w:val="nil"/>
              <w:right w:val="nil"/>
            </w:tcBorders>
            <w:shd w:val="clear" w:color="auto" w:fill="auto"/>
            <w:vAlign w:val="bottom"/>
            <w:hideMark/>
          </w:tcPr>
          <w:p w14:paraId="1AB266F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-0.08</w:t>
            </w:r>
            <w:r>
              <w:rPr>
                <w:rFonts w:ascii="Palatino Linotype" w:eastAsia="Times New Roman" w:hAnsi="Palatino Linotype" w:cs="Calibri"/>
                <w:color w:val="000000"/>
                <w:sz w:val="19"/>
                <w:szCs w:val="19"/>
              </w:rPr>
              <w:t>1</w:t>
            </w:r>
            <w:r w:rsidRPr="00343346">
              <w:rPr>
                <w:rFonts w:ascii="Palatino Linotype" w:eastAsia="Times New Roman" w:hAnsi="Palatino Linotype" w:cs="Calibri"/>
                <w:color w:val="000000"/>
                <w:sz w:val="19"/>
                <w:szCs w:val="19"/>
              </w:rPr>
              <w:t>**</w:t>
            </w:r>
          </w:p>
        </w:tc>
        <w:tc>
          <w:tcPr>
            <w:tcW w:w="990" w:type="dxa"/>
            <w:tcBorders>
              <w:top w:val="nil"/>
              <w:left w:val="nil"/>
              <w:bottom w:val="nil"/>
              <w:right w:val="nil"/>
            </w:tcBorders>
            <w:shd w:val="clear" w:color="auto" w:fill="auto"/>
            <w:vAlign w:val="bottom"/>
            <w:hideMark/>
          </w:tcPr>
          <w:p w14:paraId="49254DE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-0.027</w:t>
            </w:r>
          </w:p>
        </w:tc>
        <w:tc>
          <w:tcPr>
            <w:tcW w:w="990" w:type="dxa"/>
            <w:tcBorders>
              <w:top w:val="nil"/>
              <w:left w:val="nil"/>
              <w:bottom w:val="nil"/>
              <w:right w:val="nil"/>
            </w:tcBorders>
            <w:shd w:val="clear" w:color="auto" w:fill="auto"/>
            <w:vAlign w:val="bottom"/>
            <w:hideMark/>
          </w:tcPr>
          <w:p w14:paraId="3729680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-0.002</w:t>
            </w:r>
          </w:p>
        </w:tc>
        <w:tc>
          <w:tcPr>
            <w:tcW w:w="990" w:type="dxa"/>
            <w:tcBorders>
              <w:top w:val="nil"/>
              <w:left w:val="nil"/>
              <w:bottom w:val="nil"/>
              <w:right w:val="nil"/>
            </w:tcBorders>
            <w:shd w:val="clear" w:color="auto" w:fill="auto"/>
            <w:vAlign w:val="bottom"/>
            <w:hideMark/>
          </w:tcPr>
          <w:p w14:paraId="4A88FD0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-0.009</w:t>
            </w:r>
          </w:p>
        </w:tc>
      </w:tr>
      <w:tr w:rsidR="00C72937" w:rsidRPr="00996974" w14:paraId="54886498"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15D02305"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6CDC286B"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(0.039)</w:t>
            </w:r>
          </w:p>
        </w:tc>
        <w:tc>
          <w:tcPr>
            <w:tcW w:w="990" w:type="dxa"/>
            <w:tcBorders>
              <w:top w:val="nil"/>
              <w:left w:val="nil"/>
              <w:bottom w:val="nil"/>
              <w:right w:val="nil"/>
            </w:tcBorders>
            <w:shd w:val="clear" w:color="auto" w:fill="auto"/>
            <w:vAlign w:val="bottom"/>
            <w:hideMark/>
          </w:tcPr>
          <w:p w14:paraId="5507742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(0.040)</w:t>
            </w:r>
          </w:p>
        </w:tc>
        <w:tc>
          <w:tcPr>
            <w:tcW w:w="990" w:type="dxa"/>
            <w:tcBorders>
              <w:top w:val="nil"/>
              <w:left w:val="nil"/>
              <w:bottom w:val="nil"/>
              <w:right w:val="nil"/>
            </w:tcBorders>
            <w:shd w:val="clear" w:color="auto" w:fill="auto"/>
            <w:vAlign w:val="bottom"/>
            <w:hideMark/>
          </w:tcPr>
          <w:p w14:paraId="19FFC99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(0.024)</w:t>
            </w:r>
          </w:p>
        </w:tc>
        <w:tc>
          <w:tcPr>
            <w:tcW w:w="990" w:type="dxa"/>
            <w:tcBorders>
              <w:top w:val="nil"/>
              <w:left w:val="nil"/>
              <w:bottom w:val="nil"/>
              <w:right w:val="nil"/>
            </w:tcBorders>
            <w:shd w:val="clear" w:color="auto" w:fill="auto"/>
            <w:vAlign w:val="bottom"/>
            <w:hideMark/>
          </w:tcPr>
          <w:p w14:paraId="04E4B1D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(0.026)</w:t>
            </w:r>
          </w:p>
        </w:tc>
      </w:tr>
      <w:tr w:rsidR="00C72937" w:rsidRPr="00996974" w14:paraId="7CF7093D"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0F87F7FC"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Education</w:t>
            </w:r>
          </w:p>
        </w:tc>
        <w:tc>
          <w:tcPr>
            <w:tcW w:w="990" w:type="dxa"/>
            <w:tcBorders>
              <w:top w:val="nil"/>
              <w:left w:val="nil"/>
              <w:bottom w:val="nil"/>
              <w:right w:val="nil"/>
            </w:tcBorders>
            <w:shd w:val="clear" w:color="auto" w:fill="auto"/>
            <w:vAlign w:val="bottom"/>
            <w:hideMark/>
          </w:tcPr>
          <w:p w14:paraId="6E412D1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0.007</w:t>
            </w:r>
          </w:p>
        </w:tc>
        <w:tc>
          <w:tcPr>
            <w:tcW w:w="990" w:type="dxa"/>
            <w:tcBorders>
              <w:top w:val="nil"/>
              <w:left w:val="nil"/>
              <w:bottom w:val="nil"/>
              <w:right w:val="nil"/>
            </w:tcBorders>
            <w:shd w:val="clear" w:color="auto" w:fill="auto"/>
            <w:vAlign w:val="bottom"/>
            <w:hideMark/>
          </w:tcPr>
          <w:p w14:paraId="556B2A6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0.005</w:t>
            </w:r>
          </w:p>
        </w:tc>
        <w:tc>
          <w:tcPr>
            <w:tcW w:w="990" w:type="dxa"/>
            <w:tcBorders>
              <w:top w:val="nil"/>
              <w:left w:val="nil"/>
              <w:bottom w:val="nil"/>
              <w:right w:val="nil"/>
            </w:tcBorders>
            <w:shd w:val="clear" w:color="auto" w:fill="auto"/>
            <w:vAlign w:val="bottom"/>
            <w:hideMark/>
          </w:tcPr>
          <w:p w14:paraId="0B45F4C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0.008</w:t>
            </w:r>
          </w:p>
        </w:tc>
        <w:tc>
          <w:tcPr>
            <w:tcW w:w="990" w:type="dxa"/>
            <w:tcBorders>
              <w:top w:val="nil"/>
              <w:left w:val="nil"/>
              <w:bottom w:val="nil"/>
              <w:right w:val="nil"/>
            </w:tcBorders>
            <w:shd w:val="clear" w:color="auto" w:fill="auto"/>
            <w:vAlign w:val="bottom"/>
            <w:hideMark/>
          </w:tcPr>
          <w:p w14:paraId="15CD385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0.000</w:t>
            </w:r>
          </w:p>
        </w:tc>
      </w:tr>
      <w:tr w:rsidR="00C72937" w:rsidRPr="00996974" w14:paraId="36BC62AD"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2C2A6CBC"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729A40A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(0.025)</w:t>
            </w:r>
          </w:p>
        </w:tc>
        <w:tc>
          <w:tcPr>
            <w:tcW w:w="990" w:type="dxa"/>
            <w:tcBorders>
              <w:top w:val="nil"/>
              <w:left w:val="nil"/>
              <w:bottom w:val="nil"/>
              <w:right w:val="nil"/>
            </w:tcBorders>
            <w:shd w:val="clear" w:color="auto" w:fill="auto"/>
            <w:vAlign w:val="bottom"/>
            <w:hideMark/>
          </w:tcPr>
          <w:p w14:paraId="22AE8CF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(0.027)</w:t>
            </w:r>
          </w:p>
        </w:tc>
        <w:tc>
          <w:tcPr>
            <w:tcW w:w="990" w:type="dxa"/>
            <w:tcBorders>
              <w:top w:val="nil"/>
              <w:left w:val="nil"/>
              <w:bottom w:val="nil"/>
              <w:right w:val="nil"/>
            </w:tcBorders>
            <w:shd w:val="clear" w:color="auto" w:fill="auto"/>
            <w:vAlign w:val="bottom"/>
            <w:hideMark/>
          </w:tcPr>
          <w:p w14:paraId="1D630BB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(0.016)</w:t>
            </w:r>
          </w:p>
        </w:tc>
        <w:tc>
          <w:tcPr>
            <w:tcW w:w="990" w:type="dxa"/>
            <w:tcBorders>
              <w:top w:val="nil"/>
              <w:left w:val="nil"/>
              <w:bottom w:val="nil"/>
              <w:right w:val="nil"/>
            </w:tcBorders>
            <w:shd w:val="clear" w:color="auto" w:fill="auto"/>
            <w:vAlign w:val="bottom"/>
            <w:hideMark/>
          </w:tcPr>
          <w:p w14:paraId="7BC459F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(0.017)</w:t>
            </w:r>
          </w:p>
        </w:tc>
      </w:tr>
      <w:tr w:rsidR="00C72937" w:rsidRPr="00996974" w14:paraId="7D94BEA5"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742249C1"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Ideology</w:t>
            </w:r>
          </w:p>
        </w:tc>
        <w:tc>
          <w:tcPr>
            <w:tcW w:w="990" w:type="dxa"/>
            <w:tcBorders>
              <w:top w:val="nil"/>
              <w:left w:val="nil"/>
              <w:bottom w:val="nil"/>
              <w:right w:val="nil"/>
            </w:tcBorders>
            <w:shd w:val="clear" w:color="auto" w:fill="auto"/>
            <w:vAlign w:val="bottom"/>
            <w:hideMark/>
          </w:tcPr>
          <w:p w14:paraId="6274792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0.023</w:t>
            </w:r>
          </w:p>
        </w:tc>
        <w:tc>
          <w:tcPr>
            <w:tcW w:w="990" w:type="dxa"/>
            <w:tcBorders>
              <w:top w:val="nil"/>
              <w:left w:val="nil"/>
              <w:bottom w:val="nil"/>
              <w:right w:val="nil"/>
            </w:tcBorders>
            <w:shd w:val="clear" w:color="auto" w:fill="auto"/>
            <w:vAlign w:val="bottom"/>
            <w:hideMark/>
          </w:tcPr>
          <w:p w14:paraId="2959D485"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0.086</w:t>
            </w:r>
          </w:p>
        </w:tc>
        <w:tc>
          <w:tcPr>
            <w:tcW w:w="990" w:type="dxa"/>
            <w:tcBorders>
              <w:top w:val="nil"/>
              <w:left w:val="nil"/>
              <w:bottom w:val="nil"/>
              <w:right w:val="nil"/>
            </w:tcBorders>
            <w:shd w:val="clear" w:color="auto" w:fill="auto"/>
            <w:vAlign w:val="bottom"/>
            <w:hideMark/>
          </w:tcPr>
          <w:p w14:paraId="763AC0F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-0.07</w:t>
            </w:r>
            <w:r>
              <w:rPr>
                <w:rFonts w:ascii="Palatino Linotype" w:eastAsia="Times New Roman" w:hAnsi="Palatino Linotype" w:cs="Calibri"/>
                <w:color w:val="000000"/>
                <w:sz w:val="19"/>
                <w:szCs w:val="19"/>
              </w:rPr>
              <w:t>2</w:t>
            </w:r>
            <w:r w:rsidRPr="00C70298">
              <w:rPr>
                <w:rFonts w:ascii="Palatino Linotype" w:eastAsia="Times New Roman" w:hAnsi="Palatino Linotype" w:cs="Calibri"/>
                <w:color w:val="000000"/>
                <w:sz w:val="19"/>
                <w:szCs w:val="19"/>
              </w:rPr>
              <w:t>***</w:t>
            </w:r>
          </w:p>
        </w:tc>
        <w:tc>
          <w:tcPr>
            <w:tcW w:w="990" w:type="dxa"/>
            <w:tcBorders>
              <w:top w:val="nil"/>
              <w:left w:val="nil"/>
              <w:bottom w:val="nil"/>
              <w:right w:val="nil"/>
            </w:tcBorders>
            <w:shd w:val="clear" w:color="auto" w:fill="auto"/>
            <w:vAlign w:val="bottom"/>
            <w:hideMark/>
          </w:tcPr>
          <w:p w14:paraId="470A9F7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w:t>
            </w:r>
            <w:r>
              <w:rPr>
                <w:rFonts w:ascii="Palatino Linotype" w:eastAsia="Times New Roman" w:hAnsi="Palatino Linotype" w:cs="Calibri"/>
                <w:color w:val="000000"/>
                <w:sz w:val="19"/>
                <w:szCs w:val="19"/>
              </w:rPr>
              <w:t>9</w:t>
            </w:r>
            <w:r w:rsidRPr="00C70298">
              <w:rPr>
                <w:rFonts w:ascii="Palatino Linotype" w:eastAsia="Times New Roman" w:hAnsi="Palatino Linotype" w:cs="Calibri"/>
                <w:color w:val="000000"/>
                <w:sz w:val="19"/>
                <w:szCs w:val="19"/>
              </w:rPr>
              <w:t>***</w:t>
            </w:r>
          </w:p>
        </w:tc>
      </w:tr>
      <w:tr w:rsidR="00C72937" w:rsidRPr="00996974" w14:paraId="0431E9DD"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4E62AA0A"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3A222344"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(0.051)</w:t>
            </w:r>
          </w:p>
        </w:tc>
        <w:tc>
          <w:tcPr>
            <w:tcW w:w="990" w:type="dxa"/>
            <w:tcBorders>
              <w:top w:val="nil"/>
              <w:left w:val="nil"/>
              <w:bottom w:val="nil"/>
              <w:right w:val="nil"/>
            </w:tcBorders>
            <w:shd w:val="clear" w:color="auto" w:fill="auto"/>
            <w:vAlign w:val="bottom"/>
            <w:hideMark/>
          </w:tcPr>
          <w:p w14:paraId="4AAFB52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(0.059)</w:t>
            </w:r>
          </w:p>
        </w:tc>
        <w:tc>
          <w:tcPr>
            <w:tcW w:w="990" w:type="dxa"/>
            <w:tcBorders>
              <w:top w:val="nil"/>
              <w:left w:val="nil"/>
              <w:bottom w:val="nil"/>
              <w:right w:val="nil"/>
            </w:tcBorders>
            <w:shd w:val="clear" w:color="auto" w:fill="auto"/>
            <w:vAlign w:val="bottom"/>
            <w:hideMark/>
          </w:tcPr>
          <w:p w14:paraId="51C6788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(0.025)</w:t>
            </w:r>
          </w:p>
        </w:tc>
        <w:tc>
          <w:tcPr>
            <w:tcW w:w="990" w:type="dxa"/>
            <w:tcBorders>
              <w:top w:val="nil"/>
              <w:left w:val="nil"/>
              <w:bottom w:val="nil"/>
              <w:right w:val="nil"/>
            </w:tcBorders>
            <w:shd w:val="clear" w:color="auto" w:fill="auto"/>
            <w:vAlign w:val="bottom"/>
            <w:hideMark/>
          </w:tcPr>
          <w:p w14:paraId="4609E20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(0.026)</w:t>
            </w:r>
          </w:p>
        </w:tc>
      </w:tr>
      <w:tr w:rsidR="00C72937" w:rsidRPr="00996974" w14:paraId="5068931A"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09E56E4C"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Party ID-Republican</w:t>
            </w:r>
          </w:p>
        </w:tc>
        <w:tc>
          <w:tcPr>
            <w:tcW w:w="990" w:type="dxa"/>
            <w:tcBorders>
              <w:top w:val="nil"/>
              <w:left w:val="nil"/>
              <w:bottom w:val="nil"/>
              <w:right w:val="nil"/>
            </w:tcBorders>
            <w:shd w:val="clear" w:color="auto" w:fill="auto"/>
            <w:vAlign w:val="bottom"/>
            <w:hideMark/>
          </w:tcPr>
          <w:p w14:paraId="41C5172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-0.071</w:t>
            </w:r>
          </w:p>
        </w:tc>
        <w:tc>
          <w:tcPr>
            <w:tcW w:w="990" w:type="dxa"/>
            <w:tcBorders>
              <w:top w:val="nil"/>
              <w:left w:val="nil"/>
              <w:bottom w:val="nil"/>
              <w:right w:val="nil"/>
            </w:tcBorders>
            <w:shd w:val="clear" w:color="auto" w:fill="auto"/>
            <w:vAlign w:val="bottom"/>
            <w:hideMark/>
          </w:tcPr>
          <w:p w14:paraId="4115055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-0.382***</w:t>
            </w:r>
          </w:p>
        </w:tc>
        <w:tc>
          <w:tcPr>
            <w:tcW w:w="990" w:type="dxa"/>
            <w:tcBorders>
              <w:top w:val="nil"/>
              <w:left w:val="nil"/>
              <w:bottom w:val="nil"/>
              <w:right w:val="nil"/>
            </w:tcBorders>
            <w:shd w:val="clear" w:color="auto" w:fill="auto"/>
            <w:vAlign w:val="bottom"/>
            <w:hideMark/>
          </w:tcPr>
          <w:p w14:paraId="5E7A7E7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0.038</w:t>
            </w:r>
          </w:p>
        </w:tc>
        <w:tc>
          <w:tcPr>
            <w:tcW w:w="990" w:type="dxa"/>
            <w:tcBorders>
              <w:top w:val="nil"/>
              <w:left w:val="nil"/>
              <w:bottom w:val="nil"/>
              <w:right w:val="nil"/>
            </w:tcBorders>
            <w:shd w:val="clear" w:color="auto" w:fill="auto"/>
            <w:vAlign w:val="bottom"/>
            <w:hideMark/>
          </w:tcPr>
          <w:p w14:paraId="1C53A834"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-0.016</w:t>
            </w:r>
          </w:p>
        </w:tc>
      </w:tr>
      <w:tr w:rsidR="00C72937" w:rsidRPr="00996974" w14:paraId="425EF577"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56E03FD5"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73FDC41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(0.104)</w:t>
            </w:r>
          </w:p>
        </w:tc>
        <w:tc>
          <w:tcPr>
            <w:tcW w:w="990" w:type="dxa"/>
            <w:tcBorders>
              <w:top w:val="nil"/>
              <w:left w:val="nil"/>
              <w:bottom w:val="nil"/>
              <w:right w:val="nil"/>
            </w:tcBorders>
            <w:shd w:val="clear" w:color="auto" w:fill="auto"/>
            <w:vAlign w:val="bottom"/>
            <w:hideMark/>
          </w:tcPr>
          <w:p w14:paraId="69588DE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(0.117)</w:t>
            </w:r>
          </w:p>
        </w:tc>
        <w:tc>
          <w:tcPr>
            <w:tcW w:w="990" w:type="dxa"/>
            <w:tcBorders>
              <w:top w:val="nil"/>
              <w:left w:val="nil"/>
              <w:bottom w:val="nil"/>
              <w:right w:val="nil"/>
            </w:tcBorders>
            <w:shd w:val="clear" w:color="auto" w:fill="auto"/>
            <w:vAlign w:val="bottom"/>
            <w:hideMark/>
          </w:tcPr>
          <w:p w14:paraId="0548D85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(0.065)</w:t>
            </w:r>
          </w:p>
        </w:tc>
        <w:tc>
          <w:tcPr>
            <w:tcW w:w="990" w:type="dxa"/>
            <w:tcBorders>
              <w:top w:val="nil"/>
              <w:left w:val="nil"/>
              <w:bottom w:val="nil"/>
              <w:right w:val="nil"/>
            </w:tcBorders>
            <w:shd w:val="clear" w:color="auto" w:fill="auto"/>
            <w:vAlign w:val="bottom"/>
            <w:hideMark/>
          </w:tcPr>
          <w:p w14:paraId="569F8FD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(0.065)</w:t>
            </w:r>
          </w:p>
        </w:tc>
      </w:tr>
      <w:tr w:rsidR="00C72937" w:rsidRPr="00996974" w14:paraId="46F193B0"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4FFBAA73" w14:textId="77777777" w:rsidR="00C72937" w:rsidRPr="00996974" w:rsidRDefault="00C72937" w:rsidP="00967B87">
            <w:pPr>
              <w:spacing w:after="0" w:line="240" w:lineRule="auto"/>
              <w:ind w:left="144"/>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Baseline Support</w:t>
            </w:r>
          </w:p>
        </w:tc>
        <w:tc>
          <w:tcPr>
            <w:tcW w:w="990" w:type="dxa"/>
            <w:tcBorders>
              <w:top w:val="nil"/>
              <w:left w:val="nil"/>
              <w:bottom w:val="nil"/>
              <w:right w:val="nil"/>
            </w:tcBorders>
            <w:shd w:val="clear" w:color="auto" w:fill="auto"/>
            <w:vAlign w:val="bottom"/>
            <w:hideMark/>
          </w:tcPr>
          <w:p w14:paraId="04C6DDE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0.172</w:t>
            </w:r>
          </w:p>
        </w:tc>
        <w:tc>
          <w:tcPr>
            <w:tcW w:w="990" w:type="dxa"/>
            <w:tcBorders>
              <w:top w:val="nil"/>
              <w:left w:val="nil"/>
              <w:bottom w:val="nil"/>
              <w:right w:val="nil"/>
            </w:tcBorders>
            <w:shd w:val="clear" w:color="auto" w:fill="auto"/>
            <w:vAlign w:val="bottom"/>
            <w:hideMark/>
          </w:tcPr>
          <w:p w14:paraId="5C3C0F35"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0.098</w:t>
            </w:r>
          </w:p>
        </w:tc>
        <w:tc>
          <w:tcPr>
            <w:tcW w:w="990" w:type="dxa"/>
            <w:tcBorders>
              <w:top w:val="nil"/>
              <w:left w:val="nil"/>
              <w:bottom w:val="nil"/>
              <w:right w:val="nil"/>
            </w:tcBorders>
            <w:shd w:val="clear" w:color="auto" w:fill="auto"/>
            <w:vAlign w:val="bottom"/>
            <w:hideMark/>
          </w:tcPr>
          <w:p w14:paraId="07203CB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0.041</w:t>
            </w:r>
          </w:p>
        </w:tc>
        <w:tc>
          <w:tcPr>
            <w:tcW w:w="990" w:type="dxa"/>
            <w:tcBorders>
              <w:top w:val="nil"/>
              <w:left w:val="nil"/>
              <w:bottom w:val="nil"/>
              <w:right w:val="nil"/>
            </w:tcBorders>
            <w:shd w:val="clear" w:color="auto" w:fill="auto"/>
            <w:vAlign w:val="bottom"/>
            <w:hideMark/>
          </w:tcPr>
          <w:p w14:paraId="7AC732B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0.021</w:t>
            </w:r>
          </w:p>
        </w:tc>
      </w:tr>
      <w:tr w:rsidR="00C72937" w:rsidRPr="00996974" w14:paraId="315EA45D"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3CBB8E7F" w14:textId="77777777" w:rsidR="00C72937" w:rsidRPr="00996974" w:rsidRDefault="00C72937" w:rsidP="00967B87">
            <w:pPr>
              <w:spacing w:after="0" w:line="240" w:lineRule="auto"/>
              <w:ind w:left="144"/>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hideMark/>
          </w:tcPr>
          <w:p w14:paraId="0256638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(0.115)</w:t>
            </w:r>
          </w:p>
        </w:tc>
        <w:tc>
          <w:tcPr>
            <w:tcW w:w="990" w:type="dxa"/>
            <w:tcBorders>
              <w:top w:val="nil"/>
              <w:left w:val="nil"/>
              <w:bottom w:val="nil"/>
              <w:right w:val="nil"/>
            </w:tcBorders>
            <w:shd w:val="clear" w:color="auto" w:fill="auto"/>
            <w:vAlign w:val="bottom"/>
            <w:hideMark/>
          </w:tcPr>
          <w:p w14:paraId="4734C6CC"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(0.106)</w:t>
            </w:r>
          </w:p>
        </w:tc>
        <w:tc>
          <w:tcPr>
            <w:tcW w:w="990" w:type="dxa"/>
            <w:tcBorders>
              <w:top w:val="nil"/>
              <w:left w:val="nil"/>
              <w:bottom w:val="nil"/>
              <w:right w:val="nil"/>
            </w:tcBorders>
            <w:shd w:val="clear" w:color="auto" w:fill="auto"/>
            <w:vAlign w:val="bottom"/>
            <w:hideMark/>
          </w:tcPr>
          <w:p w14:paraId="4EBB6603"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(0.063)</w:t>
            </w:r>
          </w:p>
        </w:tc>
        <w:tc>
          <w:tcPr>
            <w:tcW w:w="990" w:type="dxa"/>
            <w:tcBorders>
              <w:top w:val="nil"/>
              <w:left w:val="nil"/>
              <w:bottom w:val="nil"/>
              <w:right w:val="nil"/>
            </w:tcBorders>
            <w:shd w:val="clear" w:color="auto" w:fill="auto"/>
            <w:vAlign w:val="bottom"/>
            <w:hideMark/>
          </w:tcPr>
          <w:p w14:paraId="0645732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(0.069)</w:t>
            </w:r>
          </w:p>
        </w:tc>
      </w:tr>
      <w:tr w:rsidR="00C72937" w:rsidRPr="00996974" w14:paraId="0E774318" w14:textId="77777777" w:rsidTr="00967B87">
        <w:trPr>
          <w:gridAfter w:val="1"/>
          <w:wAfter w:w="270" w:type="dxa"/>
          <w:trHeight w:val="288"/>
        </w:trPr>
        <w:tc>
          <w:tcPr>
            <w:tcW w:w="4050" w:type="dxa"/>
            <w:tcBorders>
              <w:top w:val="nil"/>
              <w:left w:val="nil"/>
              <w:bottom w:val="nil"/>
              <w:right w:val="nil"/>
            </w:tcBorders>
            <w:shd w:val="clear" w:color="auto" w:fill="auto"/>
            <w:vAlign w:val="center"/>
          </w:tcPr>
          <w:p w14:paraId="16D4426E" w14:textId="77777777" w:rsidR="00C72937" w:rsidRPr="00996974" w:rsidRDefault="00C72937" w:rsidP="00967B87">
            <w:pPr>
              <w:spacing w:after="0" w:line="240" w:lineRule="auto"/>
              <w:rPr>
                <w:rFonts w:ascii="Palatino Linotype" w:eastAsia="Times New Roman" w:hAnsi="Palatino Linotype" w:cs="Calibri"/>
                <w:color w:val="000000"/>
                <w:sz w:val="19"/>
                <w:szCs w:val="19"/>
              </w:rPr>
            </w:pPr>
            <w:r>
              <w:rPr>
                <w:rFonts w:ascii="Palatino Linotype" w:eastAsia="Times New Roman" w:hAnsi="Palatino Linotype" w:cs="Calibri"/>
                <w:color w:val="000000"/>
                <w:sz w:val="19"/>
                <w:szCs w:val="19"/>
              </w:rPr>
              <w:t>Constant</w:t>
            </w:r>
          </w:p>
        </w:tc>
        <w:tc>
          <w:tcPr>
            <w:tcW w:w="990" w:type="dxa"/>
            <w:tcBorders>
              <w:top w:val="nil"/>
              <w:left w:val="nil"/>
              <w:bottom w:val="nil"/>
              <w:right w:val="nil"/>
            </w:tcBorders>
            <w:shd w:val="clear" w:color="auto" w:fill="auto"/>
            <w:vAlign w:val="bottom"/>
          </w:tcPr>
          <w:p w14:paraId="680523B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-0.517***</w:t>
            </w:r>
          </w:p>
        </w:tc>
        <w:tc>
          <w:tcPr>
            <w:tcW w:w="990" w:type="dxa"/>
            <w:tcBorders>
              <w:top w:val="nil"/>
              <w:left w:val="nil"/>
              <w:bottom w:val="nil"/>
              <w:right w:val="nil"/>
            </w:tcBorders>
            <w:shd w:val="clear" w:color="auto" w:fill="auto"/>
            <w:vAlign w:val="bottom"/>
          </w:tcPr>
          <w:p w14:paraId="28390931"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-0.370***</w:t>
            </w:r>
          </w:p>
        </w:tc>
        <w:tc>
          <w:tcPr>
            <w:tcW w:w="990" w:type="dxa"/>
            <w:tcBorders>
              <w:top w:val="nil"/>
              <w:left w:val="nil"/>
              <w:bottom w:val="nil"/>
              <w:right w:val="nil"/>
            </w:tcBorders>
            <w:shd w:val="clear" w:color="auto" w:fill="auto"/>
            <w:vAlign w:val="bottom"/>
          </w:tcPr>
          <w:p w14:paraId="2F22561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-0.425***</w:t>
            </w:r>
          </w:p>
        </w:tc>
        <w:tc>
          <w:tcPr>
            <w:tcW w:w="990" w:type="dxa"/>
            <w:tcBorders>
              <w:top w:val="nil"/>
              <w:left w:val="nil"/>
              <w:bottom w:val="nil"/>
              <w:right w:val="nil"/>
            </w:tcBorders>
            <w:shd w:val="clear" w:color="auto" w:fill="auto"/>
            <w:vAlign w:val="bottom"/>
          </w:tcPr>
          <w:p w14:paraId="534EBB6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-0.337***</w:t>
            </w:r>
          </w:p>
        </w:tc>
      </w:tr>
      <w:tr w:rsidR="00C72937" w:rsidRPr="00996974" w14:paraId="74582D74" w14:textId="77777777" w:rsidTr="00967B87">
        <w:trPr>
          <w:gridAfter w:val="1"/>
          <w:wAfter w:w="270" w:type="dxa"/>
          <w:trHeight w:val="288"/>
        </w:trPr>
        <w:tc>
          <w:tcPr>
            <w:tcW w:w="4050" w:type="dxa"/>
            <w:tcBorders>
              <w:top w:val="nil"/>
              <w:left w:val="nil"/>
              <w:bottom w:val="nil"/>
              <w:right w:val="nil"/>
            </w:tcBorders>
            <w:shd w:val="clear" w:color="auto" w:fill="auto"/>
            <w:vAlign w:val="center"/>
          </w:tcPr>
          <w:p w14:paraId="1055B4C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p>
        </w:tc>
        <w:tc>
          <w:tcPr>
            <w:tcW w:w="990" w:type="dxa"/>
            <w:tcBorders>
              <w:top w:val="nil"/>
              <w:left w:val="nil"/>
              <w:bottom w:val="nil"/>
              <w:right w:val="nil"/>
            </w:tcBorders>
            <w:shd w:val="clear" w:color="auto" w:fill="auto"/>
            <w:vAlign w:val="bottom"/>
          </w:tcPr>
          <w:p w14:paraId="43060872"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343346">
              <w:rPr>
                <w:rFonts w:ascii="Palatino Linotype" w:eastAsia="Times New Roman" w:hAnsi="Palatino Linotype" w:cs="Calibri"/>
                <w:color w:val="000000"/>
                <w:sz w:val="19"/>
                <w:szCs w:val="19"/>
              </w:rPr>
              <w:t>(0.039)</w:t>
            </w:r>
          </w:p>
        </w:tc>
        <w:tc>
          <w:tcPr>
            <w:tcW w:w="990" w:type="dxa"/>
            <w:tcBorders>
              <w:top w:val="nil"/>
              <w:left w:val="nil"/>
              <w:bottom w:val="nil"/>
              <w:right w:val="nil"/>
            </w:tcBorders>
            <w:shd w:val="clear" w:color="auto" w:fill="auto"/>
            <w:vAlign w:val="bottom"/>
          </w:tcPr>
          <w:p w14:paraId="597ECD70"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(0.040)</w:t>
            </w:r>
          </w:p>
        </w:tc>
        <w:tc>
          <w:tcPr>
            <w:tcW w:w="990" w:type="dxa"/>
            <w:tcBorders>
              <w:top w:val="nil"/>
              <w:left w:val="nil"/>
              <w:bottom w:val="nil"/>
              <w:right w:val="nil"/>
            </w:tcBorders>
            <w:shd w:val="clear" w:color="auto" w:fill="auto"/>
            <w:vAlign w:val="bottom"/>
          </w:tcPr>
          <w:p w14:paraId="709C1B39"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(0.032)</w:t>
            </w:r>
          </w:p>
        </w:tc>
        <w:tc>
          <w:tcPr>
            <w:tcW w:w="990" w:type="dxa"/>
            <w:tcBorders>
              <w:top w:val="nil"/>
              <w:left w:val="nil"/>
              <w:bottom w:val="nil"/>
              <w:right w:val="nil"/>
            </w:tcBorders>
            <w:shd w:val="clear" w:color="auto" w:fill="auto"/>
            <w:vAlign w:val="bottom"/>
          </w:tcPr>
          <w:p w14:paraId="2FCD5C3C"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C70298">
              <w:rPr>
                <w:rFonts w:ascii="Palatino Linotype" w:eastAsia="Times New Roman" w:hAnsi="Palatino Linotype" w:cs="Calibri"/>
                <w:color w:val="000000"/>
                <w:sz w:val="19"/>
                <w:szCs w:val="19"/>
              </w:rPr>
              <w:t>(0.029)</w:t>
            </w:r>
          </w:p>
        </w:tc>
      </w:tr>
      <w:tr w:rsidR="00C72937" w:rsidRPr="00996974" w14:paraId="75EB4E46" w14:textId="77777777" w:rsidTr="00967B87">
        <w:trPr>
          <w:gridAfter w:val="1"/>
          <w:wAfter w:w="270" w:type="dxa"/>
          <w:trHeight w:val="288"/>
        </w:trPr>
        <w:tc>
          <w:tcPr>
            <w:tcW w:w="4050" w:type="dxa"/>
            <w:tcBorders>
              <w:top w:val="nil"/>
              <w:left w:val="nil"/>
              <w:bottom w:val="nil"/>
              <w:right w:val="nil"/>
            </w:tcBorders>
            <w:shd w:val="clear" w:color="auto" w:fill="auto"/>
            <w:vAlign w:val="center"/>
            <w:hideMark/>
          </w:tcPr>
          <w:p w14:paraId="75D4BC2A"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N</w:t>
            </w:r>
          </w:p>
        </w:tc>
        <w:tc>
          <w:tcPr>
            <w:tcW w:w="990" w:type="dxa"/>
            <w:tcBorders>
              <w:top w:val="nil"/>
              <w:left w:val="nil"/>
              <w:bottom w:val="nil"/>
              <w:right w:val="nil"/>
            </w:tcBorders>
            <w:shd w:val="clear" w:color="auto" w:fill="auto"/>
            <w:vAlign w:val="center"/>
            <w:hideMark/>
          </w:tcPr>
          <w:p w14:paraId="7D438F5D"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870</w:t>
            </w:r>
          </w:p>
        </w:tc>
        <w:tc>
          <w:tcPr>
            <w:tcW w:w="990" w:type="dxa"/>
            <w:tcBorders>
              <w:top w:val="nil"/>
              <w:left w:val="nil"/>
              <w:bottom w:val="nil"/>
              <w:right w:val="nil"/>
            </w:tcBorders>
            <w:shd w:val="clear" w:color="auto" w:fill="auto"/>
            <w:vAlign w:val="center"/>
            <w:hideMark/>
          </w:tcPr>
          <w:p w14:paraId="23DFE995"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869</w:t>
            </w:r>
          </w:p>
        </w:tc>
        <w:tc>
          <w:tcPr>
            <w:tcW w:w="990" w:type="dxa"/>
            <w:tcBorders>
              <w:top w:val="nil"/>
              <w:left w:val="nil"/>
              <w:bottom w:val="nil"/>
              <w:right w:val="nil"/>
            </w:tcBorders>
            <w:shd w:val="clear" w:color="auto" w:fill="auto"/>
            <w:vAlign w:val="center"/>
            <w:hideMark/>
          </w:tcPr>
          <w:p w14:paraId="6010CA46"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1754</w:t>
            </w:r>
          </w:p>
        </w:tc>
        <w:tc>
          <w:tcPr>
            <w:tcW w:w="990" w:type="dxa"/>
            <w:tcBorders>
              <w:top w:val="nil"/>
              <w:left w:val="nil"/>
              <w:bottom w:val="nil"/>
              <w:right w:val="nil"/>
            </w:tcBorders>
            <w:shd w:val="clear" w:color="auto" w:fill="auto"/>
            <w:vAlign w:val="center"/>
            <w:hideMark/>
          </w:tcPr>
          <w:p w14:paraId="7F2CD4C4"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1745</w:t>
            </w:r>
          </w:p>
        </w:tc>
      </w:tr>
      <w:tr w:rsidR="00C72937" w:rsidRPr="00996974" w14:paraId="2FC7AC1F" w14:textId="77777777" w:rsidTr="00967B87">
        <w:trPr>
          <w:gridAfter w:val="1"/>
          <w:wAfter w:w="270" w:type="dxa"/>
          <w:trHeight w:val="324"/>
        </w:trPr>
        <w:tc>
          <w:tcPr>
            <w:tcW w:w="4050" w:type="dxa"/>
            <w:tcBorders>
              <w:top w:val="nil"/>
              <w:left w:val="nil"/>
              <w:bottom w:val="single" w:sz="8" w:space="0" w:color="auto"/>
              <w:right w:val="nil"/>
            </w:tcBorders>
            <w:shd w:val="clear" w:color="auto" w:fill="auto"/>
            <w:vAlign w:val="center"/>
            <w:hideMark/>
          </w:tcPr>
          <w:p w14:paraId="5F26C2FF"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R</w:t>
            </w:r>
            <w:r w:rsidRPr="00996974">
              <w:rPr>
                <w:rFonts w:ascii="Calibri" w:eastAsia="Times New Roman" w:hAnsi="Calibri" w:cs="Calibri"/>
                <w:color w:val="000000"/>
                <w:sz w:val="19"/>
                <w:szCs w:val="19"/>
                <w:vertAlign w:val="superscript"/>
              </w:rPr>
              <w:t>2</w:t>
            </w:r>
          </w:p>
        </w:tc>
        <w:tc>
          <w:tcPr>
            <w:tcW w:w="990" w:type="dxa"/>
            <w:tcBorders>
              <w:top w:val="nil"/>
              <w:left w:val="nil"/>
              <w:bottom w:val="single" w:sz="8" w:space="0" w:color="auto"/>
              <w:right w:val="nil"/>
            </w:tcBorders>
            <w:shd w:val="clear" w:color="auto" w:fill="auto"/>
            <w:vAlign w:val="center"/>
            <w:hideMark/>
          </w:tcPr>
          <w:p w14:paraId="6D139C4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362</w:t>
            </w:r>
          </w:p>
        </w:tc>
        <w:tc>
          <w:tcPr>
            <w:tcW w:w="990" w:type="dxa"/>
            <w:tcBorders>
              <w:top w:val="nil"/>
              <w:left w:val="nil"/>
              <w:bottom w:val="single" w:sz="8" w:space="0" w:color="auto"/>
              <w:right w:val="nil"/>
            </w:tcBorders>
            <w:shd w:val="clear" w:color="auto" w:fill="auto"/>
            <w:vAlign w:val="center"/>
            <w:hideMark/>
          </w:tcPr>
          <w:p w14:paraId="24605D37"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236</w:t>
            </w:r>
          </w:p>
        </w:tc>
        <w:tc>
          <w:tcPr>
            <w:tcW w:w="990" w:type="dxa"/>
            <w:tcBorders>
              <w:top w:val="nil"/>
              <w:left w:val="nil"/>
              <w:bottom w:val="single" w:sz="8" w:space="0" w:color="auto"/>
              <w:right w:val="nil"/>
            </w:tcBorders>
            <w:shd w:val="clear" w:color="auto" w:fill="auto"/>
            <w:vAlign w:val="center"/>
            <w:hideMark/>
          </w:tcPr>
          <w:p w14:paraId="1FE4CAA5"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197</w:t>
            </w:r>
          </w:p>
        </w:tc>
        <w:tc>
          <w:tcPr>
            <w:tcW w:w="990" w:type="dxa"/>
            <w:tcBorders>
              <w:top w:val="nil"/>
              <w:left w:val="nil"/>
              <w:bottom w:val="single" w:sz="8" w:space="0" w:color="auto"/>
              <w:right w:val="nil"/>
            </w:tcBorders>
            <w:shd w:val="clear" w:color="auto" w:fill="auto"/>
            <w:vAlign w:val="center"/>
            <w:hideMark/>
          </w:tcPr>
          <w:p w14:paraId="273ED03E" w14:textId="77777777" w:rsidR="00C72937" w:rsidRPr="00996974" w:rsidRDefault="00C72937" w:rsidP="00967B87">
            <w:pPr>
              <w:spacing w:after="0" w:line="240" w:lineRule="auto"/>
              <w:jc w:val="center"/>
              <w:rPr>
                <w:rFonts w:ascii="Palatino Linotype" w:eastAsia="Times New Roman" w:hAnsi="Palatino Linotype" w:cs="Calibri"/>
                <w:color w:val="000000"/>
                <w:sz w:val="19"/>
                <w:szCs w:val="19"/>
              </w:rPr>
            </w:pPr>
            <w:r w:rsidRPr="00996974">
              <w:rPr>
                <w:rFonts w:ascii="Palatino Linotype" w:eastAsia="Times New Roman" w:hAnsi="Palatino Linotype" w:cs="Calibri"/>
                <w:color w:val="000000"/>
                <w:sz w:val="19"/>
                <w:szCs w:val="19"/>
              </w:rPr>
              <w:t>0.</w:t>
            </w:r>
            <w:r>
              <w:rPr>
                <w:rFonts w:ascii="Palatino Linotype" w:eastAsia="Times New Roman" w:hAnsi="Palatino Linotype" w:cs="Calibri"/>
                <w:color w:val="000000"/>
                <w:sz w:val="19"/>
                <w:szCs w:val="19"/>
              </w:rPr>
              <w:t>140</w:t>
            </w:r>
          </w:p>
        </w:tc>
      </w:tr>
      <w:tr w:rsidR="00C72937" w:rsidRPr="00996974" w14:paraId="49EB52EC" w14:textId="77777777" w:rsidTr="00967B87">
        <w:trPr>
          <w:gridAfter w:val="1"/>
          <w:wAfter w:w="270" w:type="dxa"/>
          <w:trHeight w:val="646"/>
        </w:trPr>
        <w:tc>
          <w:tcPr>
            <w:tcW w:w="8010" w:type="dxa"/>
            <w:gridSpan w:val="5"/>
            <w:tcBorders>
              <w:top w:val="single" w:sz="8" w:space="0" w:color="auto"/>
              <w:left w:val="nil"/>
              <w:bottom w:val="nil"/>
              <w:right w:val="nil"/>
            </w:tcBorders>
            <w:shd w:val="clear" w:color="auto" w:fill="auto"/>
            <w:vAlign w:val="center"/>
            <w:hideMark/>
          </w:tcPr>
          <w:p w14:paraId="1A22F3AF" w14:textId="77777777" w:rsidR="00C72937" w:rsidRPr="00996974" w:rsidRDefault="00C72937" w:rsidP="00967B87">
            <w:pPr>
              <w:spacing w:after="0" w:line="240" w:lineRule="auto"/>
              <w:rPr>
                <w:rFonts w:ascii="Palatino Linotype" w:eastAsia="Times New Roman" w:hAnsi="Palatino Linotype" w:cs="Calibri"/>
                <w:b/>
                <w:bCs/>
                <w:color w:val="000000"/>
                <w:sz w:val="19"/>
                <w:szCs w:val="19"/>
              </w:rPr>
            </w:pPr>
            <w:r w:rsidRPr="00996974">
              <w:rPr>
                <w:rFonts w:ascii="Palatino Linotype" w:eastAsia="Times New Roman" w:hAnsi="Palatino Linotype" w:cs="Calibri"/>
                <w:b/>
                <w:bCs/>
                <w:color w:val="000000"/>
                <w:sz w:val="19"/>
                <w:szCs w:val="19"/>
              </w:rPr>
              <w:t>Note:</w:t>
            </w:r>
            <w:r w:rsidRPr="00996974">
              <w:rPr>
                <w:rFonts w:ascii="Palatino Linotype" w:eastAsia="Times New Roman" w:hAnsi="Palatino Linotype" w:cs="Calibri"/>
                <w:color w:val="000000"/>
                <w:sz w:val="19"/>
                <w:szCs w:val="19"/>
              </w:rPr>
              <w:t xml:space="preserve"> Each model includes post-stratification weights and controls for the pre-test measure of support for tuition-free community college policies (Baseline Support). Robust Standard Errors in parentheses. *p&lt;0.10 **p&lt;0.05 ***p&lt;0.01 </w:t>
            </w:r>
          </w:p>
        </w:tc>
      </w:tr>
    </w:tbl>
    <w:p w14:paraId="53569574" w14:textId="77777777" w:rsidR="00C72937" w:rsidRPr="003B2204" w:rsidRDefault="00C72937" w:rsidP="00E45E88">
      <w:pPr>
        <w:spacing w:after="0" w:line="480" w:lineRule="auto"/>
        <w:textAlignment w:val="center"/>
        <w:rPr>
          <w:rFonts w:ascii="Times New Roman" w:hAnsi="Times New Roman" w:cs="Times New Roman"/>
          <w:sz w:val="24"/>
          <w:szCs w:val="24"/>
        </w:rPr>
      </w:pPr>
    </w:p>
    <w:p w14:paraId="2925A8C3" w14:textId="77777777" w:rsidR="00E45E88" w:rsidRPr="003B2204" w:rsidRDefault="00E45E88" w:rsidP="00E45E88">
      <w:pPr>
        <w:spacing w:after="0" w:line="480" w:lineRule="auto"/>
        <w:textAlignment w:val="center"/>
        <w:rPr>
          <w:rFonts w:ascii="Times New Roman" w:hAnsi="Times New Roman" w:cs="Times New Roman"/>
          <w:b/>
          <w:sz w:val="24"/>
          <w:szCs w:val="24"/>
        </w:rPr>
      </w:pPr>
      <w:r w:rsidRPr="003B2204">
        <w:rPr>
          <w:rFonts w:ascii="Times New Roman" w:hAnsi="Times New Roman" w:cs="Times New Roman"/>
          <w:b/>
          <w:sz w:val="24"/>
          <w:szCs w:val="24"/>
        </w:rPr>
        <w:t>Conclusion</w:t>
      </w:r>
    </w:p>
    <w:p w14:paraId="24C806C0" w14:textId="77777777" w:rsidR="00E45E88" w:rsidRDefault="00E45E88" w:rsidP="00E45E88">
      <w:pPr>
        <w:spacing w:after="0" w:line="480" w:lineRule="auto"/>
        <w:ind w:firstLine="720"/>
        <w:rPr>
          <w:rFonts w:ascii="Times New Roman" w:hAnsi="Times New Roman" w:cs="Times New Roman"/>
          <w:sz w:val="24"/>
          <w:szCs w:val="24"/>
        </w:rPr>
      </w:pPr>
      <w:r w:rsidRPr="003B2204">
        <w:rPr>
          <w:rFonts w:ascii="Times New Roman" w:hAnsi="Times New Roman" w:cs="Times New Roman"/>
          <w:sz w:val="24"/>
          <w:szCs w:val="24"/>
        </w:rPr>
        <w:t>Tuition-free college policies have been rapidly spreading</w:t>
      </w:r>
      <w:r>
        <w:rPr>
          <w:rFonts w:ascii="Times New Roman" w:hAnsi="Times New Roman" w:cs="Times New Roman"/>
          <w:sz w:val="24"/>
          <w:szCs w:val="24"/>
        </w:rPr>
        <w:t xml:space="preserve"> across states and cities</w:t>
      </w:r>
      <w:r w:rsidRPr="003B2204">
        <w:rPr>
          <w:rFonts w:ascii="Times New Roman" w:hAnsi="Times New Roman" w:cs="Times New Roman"/>
          <w:sz w:val="24"/>
          <w:szCs w:val="24"/>
        </w:rPr>
        <w:t xml:space="preserve">, </w:t>
      </w:r>
      <w:r>
        <w:rPr>
          <w:rFonts w:ascii="Times New Roman" w:hAnsi="Times New Roman" w:cs="Times New Roman"/>
          <w:sz w:val="24"/>
          <w:szCs w:val="24"/>
        </w:rPr>
        <w:t xml:space="preserve">outpacing the accumulation of scholarly literature on the topic. So far, scholars studying tuition-free college have focused almost entirely on student outcomes, leaving the political dynamics of </w:t>
      </w:r>
      <w:r>
        <w:rPr>
          <w:rFonts w:ascii="Times New Roman" w:hAnsi="Times New Roman" w:cs="Times New Roman"/>
          <w:sz w:val="24"/>
          <w:szCs w:val="24"/>
        </w:rPr>
        <w:lastRenderedPageBreak/>
        <w:t>tuition-free college policies understudied</w:t>
      </w:r>
      <w:r w:rsidRPr="003B2204">
        <w:rPr>
          <w:rFonts w:ascii="Times New Roman" w:hAnsi="Times New Roman" w:cs="Times New Roman"/>
          <w:sz w:val="24"/>
          <w:szCs w:val="24"/>
        </w:rPr>
        <w:t xml:space="preserve">. </w:t>
      </w:r>
      <w:r>
        <w:rPr>
          <w:rFonts w:ascii="Times New Roman" w:hAnsi="Times New Roman" w:cs="Times New Roman"/>
          <w:sz w:val="24"/>
          <w:szCs w:val="24"/>
        </w:rPr>
        <w:t>In light of the recent calls for theoretically rigorous and policy relevant research on higher education policy (Hillman et al. 2015), this study integrates a prominent theory in public policy literature into the context of tuition-free college and provides insight into the most politically feasible policy design in the eyes of the public.</w:t>
      </w:r>
    </w:p>
    <w:p w14:paraId="28B7B949" w14:textId="77777777" w:rsidR="00E45E88" w:rsidRPr="002C2C86" w:rsidRDefault="00E45E88" w:rsidP="00E45E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Utilizing a nationally representative survey experiment, I highlight how socially constructed target groups invoked in policy designs impact public support for tuition-free college. T</w:t>
      </w:r>
      <w:r w:rsidRPr="003B2204">
        <w:rPr>
          <w:rFonts w:ascii="Times New Roman" w:hAnsi="Times New Roman" w:cs="Times New Roman"/>
          <w:sz w:val="24"/>
          <w:szCs w:val="24"/>
        </w:rPr>
        <w:t xml:space="preserve">he results of the survey experiment suggest that when tuition-free college policies are designed universally, so that all students in the residential area are eligible, rather than </w:t>
      </w:r>
      <w:r>
        <w:rPr>
          <w:rFonts w:ascii="Times New Roman" w:hAnsi="Times New Roman" w:cs="Times New Roman"/>
          <w:sz w:val="24"/>
          <w:szCs w:val="24"/>
        </w:rPr>
        <w:t>limiting eligibility to families making less than</w:t>
      </w:r>
      <w:r w:rsidRPr="003B2204">
        <w:rPr>
          <w:rFonts w:ascii="Times New Roman" w:hAnsi="Times New Roman" w:cs="Times New Roman"/>
          <w:sz w:val="24"/>
          <w:szCs w:val="24"/>
        </w:rPr>
        <w:t xml:space="preserve"> $50,000, respondents were more likely to view the policy as fair. Additionally, when </w:t>
      </w:r>
      <w:r>
        <w:rPr>
          <w:rFonts w:ascii="Times New Roman" w:hAnsi="Times New Roman" w:cs="Times New Roman"/>
          <w:sz w:val="24"/>
          <w:szCs w:val="24"/>
        </w:rPr>
        <w:t>tuition-free college</w:t>
      </w:r>
      <w:r w:rsidRPr="003B2204">
        <w:rPr>
          <w:rFonts w:ascii="Times New Roman" w:hAnsi="Times New Roman" w:cs="Times New Roman"/>
          <w:sz w:val="24"/>
          <w:szCs w:val="24"/>
        </w:rPr>
        <w:t xml:space="preserve"> policies incorporate academic merit requirements, </w:t>
      </w:r>
      <w:r>
        <w:rPr>
          <w:rFonts w:ascii="Times New Roman" w:hAnsi="Times New Roman" w:cs="Times New Roman"/>
          <w:sz w:val="24"/>
          <w:szCs w:val="24"/>
        </w:rPr>
        <w:t>the</w:t>
      </w:r>
      <w:r w:rsidRPr="003B2204">
        <w:rPr>
          <w:rFonts w:ascii="Times New Roman" w:hAnsi="Times New Roman" w:cs="Times New Roman"/>
          <w:sz w:val="24"/>
          <w:szCs w:val="24"/>
        </w:rPr>
        <w:t xml:space="preserve"> public </w:t>
      </w:r>
      <w:r>
        <w:rPr>
          <w:rFonts w:ascii="Times New Roman" w:hAnsi="Times New Roman" w:cs="Times New Roman"/>
          <w:sz w:val="24"/>
          <w:szCs w:val="24"/>
        </w:rPr>
        <w:t>is</w:t>
      </w:r>
      <w:r w:rsidRPr="003B2204">
        <w:rPr>
          <w:rFonts w:ascii="Times New Roman" w:hAnsi="Times New Roman" w:cs="Times New Roman"/>
          <w:sz w:val="24"/>
          <w:szCs w:val="24"/>
        </w:rPr>
        <w:t xml:space="preserve"> more likely to support the policy and more likely to view the policy as fair. </w:t>
      </w:r>
      <w:r>
        <w:rPr>
          <w:rFonts w:ascii="Times New Roman" w:hAnsi="Times New Roman" w:cs="Times New Roman"/>
          <w:sz w:val="24"/>
          <w:szCs w:val="24"/>
        </w:rPr>
        <w:t>However, these results are not entirely consistent across subgroups—unlike other respondents, c</w:t>
      </w:r>
      <w:r w:rsidRPr="003B2204">
        <w:rPr>
          <w:rFonts w:ascii="Times New Roman" w:hAnsi="Times New Roman" w:cs="Times New Roman"/>
          <w:sz w:val="24"/>
          <w:szCs w:val="24"/>
        </w:rPr>
        <w:t xml:space="preserve">onservative respondents </w:t>
      </w:r>
      <w:r>
        <w:rPr>
          <w:rFonts w:ascii="Times New Roman" w:hAnsi="Times New Roman" w:cs="Times New Roman"/>
          <w:sz w:val="24"/>
          <w:szCs w:val="24"/>
        </w:rPr>
        <w:t>are significantly more supportive of tuition-free college when it includes a</w:t>
      </w:r>
      <w:r w:rsidRPr="003B2204">
        <w:rPr>
          <w:rFonts w:ascii="Times New Roman" w:hAnsi="Times New Roman" w:cs="Times New Roman"/>
          <w:sz w:val="24"/>
          <w:szCs w:val="24"/>
        </w:rPr>
        <w:t xml:space="preserve"> minimum GPA requirement</w:t>
      </w:r>
      <w:r>
        <w:rPr>
          <w:rFonts w:ascii="Times New Roman" w:hAnsi="Times New Roman" w:cs="Times New Roman"/>
          <w:sz w:val="24"/>
          <w:szCs w:val="24"/>
        </w:rPr>
        <w:t xml:space="preserve"> and were significantly more likely to consider universal tuition-free college as fair</w:t>
      </w:r>
      <w:r w:rsidRPr="003B2204">
        <w:rPr>
          <w:rFonts w:ascii="Times New Roman" w:hAnsi="Times New Roman" w:cs="Times New Roman"/>
          <w:sz w:val="24"/>
          <w:szCs w:val="24"/>
        </w:rPr>
        <w:t xml:space="preserve">. This is consistent with </w:t>
      </w:r>
      <w:r>
        <w:rPr>
          <w:rFonts w:ascii="Times New Roman" w:hAnsi="Times New Roman" w:cs="Times New Roman"/>
          <w:sz w:val="24"/>
          <w:szCs w:val="24"/>
        </w:rPr>
        <w:t>the theoretical expectations and suggests</w:t>
      </w:r>
      <w:r w:rsidRPr="003B2204">
        <w:rPr>
          <w:rFonts w:ascii="Times New Roman" w:hAnsi="Times New Roman" w:cs="Times New Roman"/>
          <w:sz w:val="24"/>
          <w:szCs w:val="24"/>
        </w:rPr>
        <w:t xml:space="preserve"> that conservatives are more likely to differentiate between target populations on the basis of deservingness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{"citationID":"AZuwxmlp","properties":{"formattedCitation":"(Lawrence et al., 2013)","plainCitation":"(Lawrence et al., 2013)","noteIndex":0},"citationItems":[{"id":5945,"uris":["http://zotero.org/users/2595715/items/6BTVZCFA"],"uri":["http://zotero.org/users/2595715/items/6BTVZCFA"],"itemData":{"id":5945,"type":"article-journal","title":"The Effects of Beneficiary Targeting on Public Support for Social Policies","container-title":"Policy Studies Journal","page":"199-216","volume":"41","issue":"2","source":"Wiley Online Library","abstract":"We assess the tendency for the public to use group-centric policy evaluations with evidence from a survey experiment concerning two issues within the social policy domain, health care and aid to cities. By randomly varying target group identity within each issue and using both negatively and positively regarded groups our evidence shows that differences exist in the tendency for members of the public to use group-centric heuristics. Group-centric evaluations are related to party identification and political ideology. Across both issues conservatives and Republicans are more likely than liberals or Democrats to adopt a group-centric heuristic. Partisan and ideological differences suggest that established theories miss the mark by emphasizing how universal policy designs are preferred to designs that target unpopular groups.","DOI":"10.1111/psj.12014","ISSN":"1541-0072","journalAbbreviation":"Policy Stud J","language":"en","author":[{"family":"Lawrence","given":"Eric"},{"family":"Stoker","given":"Robert"},{"family":"Wolman","given":"Harold"}],"issued":{"date-parts":[["2013",5,1]]}}}],"schema":"https://github.com/citation-style-language/schema/raw/master/csl-citation.json"}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(Lawrence et al., 2013)</w:t>
      </w:r>
      <w:r w:rsidRPr="003B2204">
        <w:rPr>
          <w:rFonts w:ascii="Times New Roman" w:hAnsi="Times New Roman" w:cs="Times New Roman"/>
          <w:sz w:val="24"/>
          <w:szCs w:val="24"/>
        </w:rPr>
        <w:fldChar w:fldCharType="end"/>
      </w:r>
      <w:r w:rsidRPr="003B2204">
        <w:rPr>
          <w:rFonts w:ascii="Times New Roman" w:hAnsi="Times New Roman" w:cs="Times New Roman"/>
          <w:sz w:val="24"/>
          <w:szCs w:val="24"/>
        </w:rPr>
        <w:t xml:space="preserve">. </w:t>
      </w:r>
      <w:r>
        <w:rPr>
          <w:rFonts w:ascii="Times New Roman" w:hAnsi="Times New Roman" w:cs="Times New Roman"/>
          <w:sz w:val="24"/>
          <w:szCs w:val="24"/>
        </w:rPr>
        <w:t>In practice, this means that</w:t>
      </w:r>
      <w:r w:rsidRPr="003B2204">
        <w:rPr>
          <w:rFonts w:ascii="Times New Roman" w:hAnsi="Times New Roman" w:cs="Times New Roman"/>
          <w:sz w:val="24"/>
          <w:szCs w:val="24"/>
        </w:rPr>
        <w:t xml:space="preserve"> state or local leaders looking to implement a tuition-free college policy in a majority conservative area </w:t>
      </w:r>
      <w:r>
        <w:rPr>
          <w:rFonts w:ascii="Times New Roman" w:hAnsi="Times New Roman" w:cs="Times New Roman"/>
          <w:sz w:val="24"/>
          <w:szCs w:val="24"/>
        </w:rPr>
        <w:t>will</w:t>
      </w:r>
      <w:r w:rsidRPr="003B2204">
        <w:rPr>
          <w:rFonts w:ascii="Times New Roman" w:hAnsi="Times New Roman" w:cs="Times New Roman"/>
          <w:sz w:val="24"/>
          <w:szCs w:val="24"/>
        </w:rPr>
        <w:t xml:space="preserve"> find </w:t>
      </w:r>
      <w:r w:rsidRPr="000E0F3C">
        <w:rPr>
          <w:rFonts w:ascii="Times New Roman" w:hAnsi="Times New Roman" w:cs="Times New Roman"/>
          <w:sz w:val="24"/>
          <w:szCs w:val="24"/>
        </w:rPr>
        <w:t xml:space="preserve">more support when the policy </w:t>
      </w:r>
      <w:r>
        <w:rPr>
          <w:rFonts w:ascii="Times New Roman" w:hAnsi="Times New Roman" w:cs="Times New Roman"/>
          <w:sz w:val="24"/>
          <w:szCs w:val="24"/>
        </w:rPr>
        <w:t>is universal and merit-based</w:t>
      </w:r>
      <w:r w:rsidRPr="000E0F3C">
        <w:rPr>
          <w:rFonts w:ascii="Times New Roman" w:hAnsi="Times New Roman" w:cs="Times New Roman"/>
          <w:sz w:val="24"/>
          <w:szCs w:val="24"/>
        </w:rPr>
        <w:t>. Theoretically, this suggests that the social construction of target populations theory provide</w:t>
      </w:r>
      <w:r>
        <w:rPr>
          <w:rFonts w:ascii="Times New Roman" w:hAnsi="Times New Roman" w:cs="Times New Roman"/>
          <w:sz w:val="24"/>
          <w:szCs w:val="24"/>
        </w:rPr>
        <w:t>s</w:t>
      </w:r>
      <w:r w:rsidRPr="000E0F3C">
        <w:rPr>
          <w:rFonts w:ascii="Times New Roman" w:hAnsi="Times New Roman" w:cs="Times New Roman"/>
          <w:sz w:val="24"/>
          <w:szCs w:val="24"/>
        </w:rPr>
        <w:t xml:space="preserve"> </w:t>
      </w:r>
      <w:r>
        <w:rPr>
          <w:rFonts w:ascii="Times New Roman" w:hAnsi="Times New Roman" w:cs="Times New Roman"/>
          <w:sz w:val="24"/>
          <w:szCs w:val="24"/>
        </w:rPr>
        <w:t>significant insight</w:t>
      </w:r>
      <w:r w:rsidRPr="000E0F3C">
        <w:rPr>
          <w:rFonts w:ascii="Times New Roman" w:hAnsi="Times New Roman" w:cs="Times New Roman"/>
          <w:sz w:val="24"/>
          <w:szCs w:val="24"/>
        </w:rPr>
        <w:t xml:space="preserve"> the politics of designing tuition-free college and </w:t>
      </w:r>
      <w:r>
        <w:rPr>
          <w:rFonts w:ascii="Times New Roman" w:hAnsi="Times New Roman" w:cs="Times New Roman"/>
          <w:sz w:val="24"/>
          <w:szCs w:val="24"/>
        </w:rPr>
        <w:t>should be integrated into future research on higher education policymaking.</w:t>
      </w:r>
      <w:r w:rsidRPr="00B92188">
        <w:rPr>
          <w:rFonts w:ascii="Times New Roman" w:hAnsi="Times New Roman" w:cs="Times New Roman"/>
          <w:sz w:val="24"/>
          <w:szCs w:val="24"/>
        </w:rPr>
        <w:t xml:space="preserve"> </w:t>
      </w:r>
    </w:p>
    <w:p w14:paraId="2B4BEE94" w14:textId="77777777" w:rsidR="00E45E88" w:rsidRDefault="00E45E88" w:rsidP="00E45E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These findings also have a number of practical and normative implications for </w:t>
      </w:r>
      <w:r w:rsidRPr="00541EDF">
        <w:rPr>
          <w:rFonts w:ascii="Times New Roman" w:hAnsi="Times New Roman" w:cs="Times New Roman"/>
          <w:sz w:val="24"/>
          <w:szCs w:val="24"/>
        </w:rPr>
        <w:t xml:space="preserve">current discussions on the optimal policy design for sustainable, effective, and politically feasible tuition-free college </w:t>
      </w:r>
      <w:r w:rsidRPr="00541EDF">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{"citationID":"wbgegrcR","properties":{"formattedCitation":"(Garcia, 2018; Millett, 2017; Tisch, 2018)","plainCitation":"(Garcia, 2018; Millett, 2017; Tisch, 2018)","noteIndex":0},"citationItems":[{"id":6560,"uris":["http://zotero.org/users/2595715/items/MJFTZGXT"],"uri":["http://zotero.org/users/2595715/items/MJFTZGXT"],"itemData":{"id":6560,"type":"report","title":"4 Principles for a Free Community College Program That Works for All","abstract":"In order to ensure free community college proposals are equitable and work for all students, state policymakers should keep four key principles in mind.","URL":"https://www.americanprogress.org/issues/education-postsecondary/news/2018/05/24/451337/4-principles-free-community-college-program-works/","language":"en-US","author":[{"family":"Garcia","given":"Sara"}],"issued":{"date-parts":[["2018",5,24]]},"accessed":{"date-parts":[["2018",7,26]]}}},{"id":6200,"uris":["http://zotero.org/users/2595715/items/W3WBTC9R"],"uri":["http://zotero.org/users/2595715/items/W3WBTC9R"],"itemData":{"id":6200,"type":"article-journal","title":"Designing Sustainable Funding for College Promise Initiatives","container-title":"ETS Research Report Series","page":"1-55","volume":"2017","issue":"1","source":"Wiley Online Library","abstract":"College promise programs are spreading throughout this United States. These programs fund tuition and/or fees for eligible students who are actively progressing toward earning postsecondary certificates and undergraduate degrees. While existing college promise programs have varying designs, each one appears to be seeking continuous and long-term financial sustainability. The existing programs appear to be aimed toward ensuring that the promise of college tuition and fees can be fulfilled for future generations of students. Towards that end, ETS and the College Promise Campaign convened the “Designing Sustainable Funding for College Promise Initiatives” conference on June 2 and 3, 2016, for the primary purpose of reviewing and refining five models. This report contains the five papers that the appointed design teams presented.","DOI":"10.1002/ets2.12161","ISSN":"2330-8516","language":"en","author":[{"family":"Millett","given":"Catherine"}],"issued":{"date-parts":[["2017",12,1]]}}},{"id":6562,"uris":["http://zotero.org/users/2595715/items/PTFVNLT6"],"uri":["http://zotero.org/users/2595715/items/PTFVNLT6"],"itemData":{"id":6562,"type":"webpage","title":"Free-college programs are valuable, but must be done right","container-title":"TheHill","genre":"Text","abstract":"Wisely-designed programs can change the odds for high school grads in need of assistance and, in turn, significantly benefit state and local economies.","URL":"http://thehill.com/opinion/education/389399-free-college-programs-are-valuable-but-must-be-done-right","language":"en","author":[{"family":"Tisch","given":"Merryl"}],"issued":{"date-parts":[["2018",5,29]]},"accessed":{"date-parts":[["2018",7,26]]}}}],"schema":"https://github.com/citation-style-language/schema/raw/master/csl-citation.json"} </w:instrText>
      </w:r>
      <w:r w:rsidRPr="00541EDF">
        <w:rPr>
          <w:rFonts w:ascii="Times New Roman" w:hAnsi="Times New Roman" w:cs="Times New Roman"/>
          <w:sz w:val="24"/>
          <w:szCs w:val="24"/>
        </w:rPr>
        <w:fldChar w:fldCharType="separate"/>
      </w:r>
      <w:r w:rsidRPr="00022923">
        <w:rPr>
          <w:rFonts w:ascii="Times New Roman" w:hAnsi="Times New Roman" w:cs="Times New Roman"/>
          <w:sz w:val="24"/>
        </w:rPr>
        <w:t>(Garcia, 2018; Millett, 2017; Tisch, 2018)</w:t>
      </w:r>
      <w:r w:rsidRPr="00541EDF">
        <w:rPr>
          <w:rFonts w:ascii="Times New Roman" w:hAnsi="Times New Roman" w:cs="Times New Roman"/>
          <w:sz w:val="24"/>
          <w:szCs w:val="24"/>
        </w:rPr>
        <w:fldChar w:fldCharType="end"/>
      </w:r>
      <w:r w:rsidRPr="00541EDF">
        <w:rPr>
          <w:rFonts w:ascii="Times New Roman" w:hAnsi="Times New Roman" w:cs="Times New Roman"/>
          <w:sz w:val="24"/>
          <w:szCs w:val="24"/>
        </w:rPr>
        <w:t>.</w:t>
      </w:r>
      <w:r>
        <w:rPr>
          <w:rFonts w:ascii="Times New Roman" w:hAnsi="Times New Roman" w:cs="Times New Roman"/>
          <w:sz w:val="24"/>
          <w:szCs w:val="24"/>
        </w:rPr>
        <w:t xml:space="preserve"> By shedding light on the political dynamics of public opinion on tuition-free college, this study advances current discussions on political feasibility, </w:t>
      </w:r>
      <w:r w:rsidRPr="00AC6521">
        <w:rPr>
          <w:rFonts w:ascii="Times New Roman" w:hAnsi="Times New Roman" w:cs="Times New Roman"/>
          <w:sz w:val="24"/>
          <w:szCs w:val="24"/>
        </w:rPr>
        <w:t xml:space="preserve">which have almost solely focused on the funding streams </w:t>
      </w:r>
      <w:r w:rsidRPr="00B3543A">
        <w:rPr>
          <w:rFonts w:ascii="Times New Roman" w:hAnsi="Times New Roman" w:cs="Times New Roman"/>
          <w:sz w:val="24"/>
          <w:szCs w:val="24"/>
        </w:rPr>
        <w:t xml:space="preserve">and neglected the influences of political constituencies </w:t>
      </w:r>
      <w:r w:rsidRPr="00B3543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{"citationID":"YJjdJubS","properties":{"formattedCitation":"(Garcia, 2018; Millett, 2017; Tisch, 2018)","plainCitation":"(Garcia, 2018; Millett, 2017; Tisch, 2018)","noteIndex":0},"citationItems":[{"id":6560,"uris":["http://zotero.org/users/2595715/items/MJFTZGXT"],"uri":["http://zotero.org/users/2595715/items/MJFTZGXT"],"itemData":{"id":6560,"type":"report","title":"4 Principles for a Free Community College Program That Works for All","abstract":"In order to ensure free community college proposals are equitable and work for all students, state policymakers should keep four key principles in mind.","URL":"https://www.americanprogress.org/issues/education-postsecondary/news/2018/05/24/451337/4-principles-free-community-college-program-works/","language":"en-US","author":[{"family":"Garcia","given":"Sara"}],"issued":{"date-parts":[["2018",5,24]]},"accessed":{"date-parts":[["2018",7,26]]}}},{"id":6200,"uris":["http://zotero.org/users/2595715/items/W3WBTC9R"],"uri":["http://zotero.org/users/2595715/items/W3WBTC9R"],"itemData":{"id":6200,"type":"article-journal","title":"Designing Sustainable Funding for College Promise Initiatives","container-title":"ETS Research Report Series","page":"1-55","volume":"2017","issue":"1","source":"Wiley Online Library","abstract":"College promise programs are spreading throughout this United States. These programs fund tuition and/or fees for eligible students who are actively progressing toward earning postsecondary certificates and undergraduate degrees. While existing college promise programs have varying designs, each one appears to be seeking continuous and long-term financial sustainability. The existing programs appear to be aimed toward ensuring that the promise of college tuition and fees can be fulfilled for future generations of students. Towards that end, ETS and the College Promise Campaign convened the “Designing Sustainable Funding for College Promise Initiatives” conference on June 2 and 3, 2016, for the primary purpose of reviewing and refining five models. This report contains the five papers that the appointed design teams presented.","DOI":"10.1002/ets2.12161","ISSN":"2330-8516","language":"en","author":[{"family":"Millett","given":"Catherine"}],"issued":{"date-parts":[["2017",12,1]]}}},{"id":6562,"uris":["http://zotero.org/users/2595715/items/PTFVNLT6"],"uri":["http://zotero.org/users/2595715/items/PTFVNLT6"],"itemData":{"id":6562,"type":"webpage","title":"Free-college programs are valuable, but must be done right","container-title":"TheHill","genre":"Text","abstract":"Wisely-designed programs can change the odds for high school grads in need of assistance and, in turn, significantly benefit state and local economies.","URL":"http://thehill.com/opinion/education/389399-free-college-programs-are-valuable-but-must-be-done-right","language":"en","author":[{"family":"Tisch","given":"Merryl"}],"issued":{"date-parts":[["2018",5,29]]},"accessed":{"date-parts":[["2018",7,26]]}}}],"schema":"https://github.com/citation-style-language/schema/raw/master/csl-citation.json"} </w:instrText>
      </w:r>
      <w:r w:rsidRPr="00B3543A">
        <w:rPr>
          <w:rFonts w:ascii="Times New Roman" w:hAnsi="Times New Roman" w:cs="Times New Roman"/>
          <w:sz w:val="24"/>
          <w:szCs w:val="24"/>
        </w:rPr>
        <w:fldChar w:fldCharType="separate"/>
      </w:r>
      <w:r w:rsidRPr="00022923">
        <w:rPr>
          <w:rFonts w:ascii="Times New Roman" w:hAnsi="Times New Roman" w:cs="Times New Roman"/>
          <w:sz w:val="24"/>
        </w:rPr>
        <w:t>(Garcia, 2018; Millett, 2017; Tisch, 2018)</w:t>
      </w:r>
      <w:r w:rsidRPr="00B3543A">
        <w:rPr>
          <w:rFonts w:ascii="Times New Roman" w:hAnsi="Times New Roman" w:cs="Times New Roman"/>
          <w:sz w:val="24"/>
          <w:szCs w:val="24"/>
        </w:rPr>
        <w:fldChar w:fldCharType="end"/>
      </w:r>
      <w:r w:rsidRPr="00B3543A">
        <w:rPr>
          <w:rFonts w:ascii="Times New Roman" w:hAnsi="Times New Roman" w:cs="Times New Roman"/>
          <w:sz w:val="24"/>
          <w:szCs w:val="24"/>
        </w:rPr>
        <w:t xml:space="preserve">. Given the challenges many tuition-free college policies have already had maintaining sustainability in funding and political support (Oregon, for instance), it is imperative to better understand which programs are likely to mobilize an active constituency committed to its longevity. In a representative democratic system in which political elites must justify policies to the public in order to get re-elected, scholars interested in policy design and tuition-free college must recognize that “there is social value in making policies correspond to common perceptions of fairness” </w:t>
      </w:r>
      <w:r w:rsidRPr="00B3543A">
        <w:rPr>
          <w:rFonts w:ascii="Times New Roman" w:hAnsi="Times New Roman" w:cs="Times New Roman"/>
          <w:sz w:val="24"/>
          <w:szCs w:val="24"/>
        </w:rPr>
        <w:fldChar w:fldCharType="begin"/>
      </w:r>
      <w:r w:rsidRPr="00B3543A">
        <w:rPr>
          <w:rFonts w:ascii="Times New Roman" w:hAnsi="Times New Roman" w:cs="Times New Roman"/>
          <w:sz w:val="24"/>
          <w:szCs w:val="24"/>
        </w:rPr>
        <w:instrText xml:space="preserve"> ADDIN ZOTERO_ITEM CSL_CITATION {"citationID":"UV6QkRnS","properties":{"formattedCitation":"(Weimer &amp; Vining, 2017)","plainCitation":"(Weimer &amp; Vining, 2017)","dontUpdate":true,"noteIndex":0},"citationItems":[{"id":96,"uris":["http://zotero.org/users/2595715/items/P98R6KAF"],"uri":["http://zotero.org/users/2595715/items/P98R6KAF"],"itemData":{"id":96,"type":"book","title":"Policy Analysis: Concepts and Practice","publisher":"Taylor &amp; Francis","number-of-pages":"503","source":"Google Books","abstract":"Often described as a public policy “bible,” Weimer and Vining remains the essential primer it ever was. Now in its sixth edition, Policy Analysis provides a strong conceptual foundation of the rationales for and the limitations to public policy. It offers practical advice about how to do policy analysis, but goes a bit deeper to demonstrate the application of advanced analytical techniques through the use of case studies. Updates to this edition include:   A chapter dedicated to distinguishing between policy analysis, policy research, stakeholder analysis, and research about the policy process. An extensively updated chapter on policy problems as market and governmental failure that explores the popularity of Uber and its consequences. The presentation of a property rights perspective in the chapter on government supply to help show the goal tensions that arise from mixed ownership. An entirely new chapter on performing analysis from the perspective of a public agency and a particular program within the agency’s portfolio: public agency strategic analysis (PASA). A substantially rewritten chapter on cost–benefit analysis, to better prepare students to become producers and consumers of the types of cost–benefit analyses they will encounter in regulatory analysis and social policy careers. A new introductory case with a debriefing that provides advice to help students immediately begin work on their own projects.  Policy Analysis: Concepts and Practices remains a comprehensive, serious, and rich introduction to policy analysis for students in public policy, public administration, and business programs.","ISBN":"978-1-315-44211-2","note":"Google-Books-ID: xT4lDwAAQBAJ","shortTitle":"Policy Analysis","language":"en","author":[{"family":"Weimer","given":"David L."},{"family":"Vining","given":"Aidan R."}],"issued":{"date-parts":[["2017",3,31]]}}}],"schema":"https://github.com/citation-style-language/schema/raw/master/csl-citation.json"} </w:instrText>
      </w:r>
      <w:r w:rsidRPr="00B3543A">
        <w:rPr>
          <w:rFonts w:ascii="Times New Roman" w:hAnsi="Times New Roman" w:cs="Times New Roman"/>
          <w:sz w:val="24"/>
          <w:szCs w:val="24"/>
        </w:rPr>
        <w:fldChar w:fldCharType="separate"/>
      </w:r>
      <w:r w:rsidRPr="00B3543A">
        <w:rPr>
          <w:rFonts w:ascii="Times New Roman" w:hAnsi="Times New Roman" w:cs="Times New Roman"/>
          <w:sz w:val="24"/>
          <w:szCs w:val="24"/>
        </w:rPr>
        <w:t>(Weimer &amp; Vining, 2017, 141)</w:t>
      </w:r>
      <w:r w:rsidRPr="00B3543A">
        <w:rPr>
          <w:rFonts w:ascii="Times New Roman" w:hAnsi="Times New Roman" w:cs="Times New Roman"/>
          <w:sz w:val="24"/>
          <w:szCs w:val="24"/>
        </w:rPr>
        <w:fldChar w:fldCharType="end"/>
      </w:r>
      <w:r w:rsidRPr="00B3543A">
        <w:rPr>
          <w:rFonts w:ascii="Times New Roman" w:hAnsi="Times New Roman" w:cs="Times New Roman"/>
          <w:sz w:val="24"/>
          <w:szCs w:val="24"/>
        </w:rPr>
        <w:t xml:space="preserve">. When policies are perceived as legitimate and enjoy support from political elites and the public, they gain constituencies committed to retaining the status quo, which make it harder to abolish or disinvest in programs </w:t>
      </w:r>
      <w:r w:rsidRPr="00B3543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{"citationID":"rW0X3hPr","properties":{"formattedCitation":"(Campbell, 2002; Hacker, 2004; May, 1991)","plainCitation":"(Campbell, 2002; Hacker, 2004; May, 1991)","noteIndex":0},"citationItems":[{"id":67,"uris":["http://zotero.org/users/2595715/items/NMMHQKTK"],"uri":["http://zotero.org/users/2595715/items/NMMHQKTK"],"itemData":{"id":67,"type":"webpage","title":"Self-Interest, Social Security, and the Distinctive Participation Patterns of Senior Citizens","container-title":"American Political Science Review","abstract":"&lt;div class=\"title\"&gt;Self-Interest, Social Security, and the Distinctive Participation Patterns of Senior Citizens&lt;/div&gt; - Volume 96 Issue 3 - ANDREA LOUISE CAMPBELL","URL":"/core/journals/american-political-science-review/article/self-interest-social-security-and-the-distinctive-participation-patterns-of-senior-citizens/AF817D0A75DAE0FA536693CCA6AF48F9","note":"DOI: 10.1017/S0003055402000333","author":[{"family":"Campbell","given":"Andrea Louise"}],"issued":{"date-parts":[["2002",9]]},"accessed":{"date-parts":[["2017",6,25]]}}},{"id":78,"uris":["http://zotero.org/users/2595715/items/288R9T2H"],"uri":["http://zotero.org/users/2595715/items/288R9T2H"],"itemData":{"id":78,"type":"article-journal","title":"Privatizing risk without privatizing the welfare state: The hidden politics of social policy retrenchment in the United States","container-title":"The American political science review.","page":"243","volume":"98","issue":"02","source":"ou-primo.com","DOI":"10.1017/S0003055404001121","ISSN":"0003-0554","shortTitle":"Privatizing risk without privatizing the welfare state","author":[{"family":"Hacker","given":"Jacob S."}],"issued":{"date-parts":[["2004"]]}}},{"id":97,"uris":["http://zotero.org/users/2595715/items/SF4D7285"],"uri":["http://zotero.org/users/2595715/items/SF4D7285"],"itemData":{"id":97,"type":"article-journal","title":"Reconsidering Policy Design: Policies and Publics","container-title":"Journal of Public Policy","page":"187-206","volume":"11","issue":"2","source":"JSTOR","abstract":"One of the emerging areas in the public policy literature concerns new modes of thought about the construction and analysis of public policy. This article extends notions about politics within the 'policy design' literature by considering the implications of different political environments for policy design and implementation. Two different political environments -- policies with and without publics -- that form ends of a continuum of policy publics are discussed. A contrast is drawn between these two polar political environments with respect to differing policy design and implementation challenges, as well as with respect to differing opportunities for policy learning.","ISSN":"0143-814X","shortTitle":"Reconsidering Policy Design","author":[{"family":"May","given":"Peter J."}],"issued":{"date-parts":[["1991"]]}}}],"schema":"https://github.com/citation-style-language/schema/raw/master/csl-citation.json"} </w:instrText>
      </w:r>
      <w:r w:rsidRPr="00B3543A">
        <w:rPr>
          <w:rFonts w:ascii="Times New Roman" w:hAnsi="Times New Roman" w:cs="Times New Roman"/>
          <w:sz w:val="24"/>
          <w:szCs w:val="24"/>
        </w:rPr>
        <w:fldChar w:fldCharType="separate"/>
      </w:r>
      <w:r w:rsidRPr="00604B44">
        <w:rPr>
          <w:rFonts w:ascii="Times New Roman" w:hAnsi="Times New Roman" w:cs="Times New Roman"/>
          <w:sz w:val="24"/>
        </w:rPr>
        <w:t>(Campbell, 2002; Hacker, 2004; May, 1991)</w:t>
      </w:r>
      <w:r w:rsidRPr="00B3543A">
        <w:rPr>
          <w:rFonts w:ascii="Times New Roman" w:hAnsi="Times New Roman" w:cs="Times New Roman"/>
          <w:sz w:val="24"/>
          <w:szCs w:val="24"/>
        </w:rPr>
        <w:fldChar w:fldCharType="end"/>
      </w:r>
      <w:r>
        <w:rPr>
          <w:rFonts w:ascii="Times New Roman" w:hAnsi="Times New Roman" w:cs="Times New Roman"/>
          <w:sz w:val="24"/>
          <w:szCs w:val="24"/>
        </w:rPr>
        <w:t>.</w:t>
      </w:r>
      <w:r w:rsidRPr="00B3543A">
        <w:rPr>
          <w:rFonts w:ascii="Times New Roman" w:hAnsi="Times New Roman" w:cs="Times New Roman"/>
          <w:sz w:val="24"/>
          <w:szCs w:val="24"/>
        </w:rPr>
        <w:t xml:space="preserve"> </w:t>
      </w:r>
      <w:r>
        <w:rPr>
          <w:rFonts w:ascii="Times New Roman" w:hAnsi="Times New Roman" w:cs="Times New Roman"/>
          <w:sz w:val="24"/>
          <w:szCs w:val="24"/>
        </w:rPr>
        <w:t>Scholars and pundits speculating about the optimal policy design of tuition-free college, therefore, must recognize the importance of public sentiment in driving the strategic choice of policy</w:t>
      </w:r>
      <w:r w:rsidRPr="003B2204">
        <w:rPr>
          <w:rFonts w:ascii="Times New Roman" w:hAnsi="Times New Roman" w:cs="Times New Roman"/>
          <w:sz w:val="24"/>
          <w:szCs w:val="24"/>
        </w:rPr>
        <w:t xml:space="preserve"> design</w:t>
      </w:r>
      <w:r>
        <w:rPr>
          <w:rFonts w:ascii="Times New Roman" w:hAnsi="Times New Roman" w:cs="Times New Roman"/>
          <w:sz w:val="24"/>
          <w:szCs w:val="24"/>
        </w:rPr>
        <w:t xml:space="preserve"> by policymakers looking to solidify favorable and </w:t>
      </w:r>
      <w:r w:rsidRPr="003B2204">
        <w:rPr>
          <w:rFonts w:ascii="Times New Roman" w:hAnsi="Times New Roman" w:cs="Times New Roman"/>
          <w:sz w:val="24"/>
          <w:szCs w:val="24"/>
        </w:rPr>
        <w:t>sustainable constituenc</w:t>
      </w:r>
      <w:r>
        <w:rPr>
          <w:rFonts w:ascii="Times New Roman" w:hAnsi="Times New Roman" w:cs="Times New Roman"/>
          <w:sz w:val="24"/>
          <w:szCs w:val="24"/>
        </w:rPr>
        <w:t>ies</w:t>
      </w:r>
      <w:r w:rsidRPr="003B2204">
        <w:rPr>
          <w:rFonts w:ascii="Times New Roman" w:hAnsi="Times New Roman" w:cs="Times New Roman"/>
          <w:sz w:val="24"/>
          <w:szCs w:val="24"/>
        </w:rPr>
        <w:t xml:space="preserve"> </w:t>
      </w:r>
      <w:r w:rsidRPr="003B2204">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{"citationID":"RmSEgdxK","properties":{"formattedCitation":"(Campbell, 2002; Doyle, 2007; May, 1991; Mettler, 2007)","plainCitation":"(Campbell, 2002; Doyle, 2007; May, 1991; Mettler, 2007)","noteIndex":0},"citationItems":[{"id":67,"uris":["http://zotero.org/users/2595715/items/NMMHQKTK"],"uri":["http://zotero.org/users/2595715/items/NMMHQKTK"],"itemData":{"id":67,"type":"webpage","title":"Self-Interest, Social Security, and the Distinctive Participation Patterns of Senior Citizens","container-title":"American Political Science Review","abstract":"&lt;div class=\"title\"&gt;Self-Interest, Social Security, and the Distinctive Participation Patterns of Senior Citizens&lt;/div&gt; - Volume 96 Issue 3 - ANDREA LOUISE CAMPBELL","URL":"/core/journals/american-political-science-review/article/self-interest-social-security-and-the-distinctive-participation-patterns-of-senior-citizens/AF817D0A75DAE0FA536693CCA6AF48F9","note":"DOI: 10.1017/S0003055402000333","author":[{"family":"Campbell","given":"Andrea Louise"}],"issued":{"date-parts":[["2002",9]]},"accessed":{"date-parts":[["2017",6,25]]}}},{"id":97,"uris":["http://zotero.org/users/2595715/items/SF4D7285"],"uri":["http://zotero.org/users/2595715/items/SF4D7285"],"itemData":{"id":97,"type":"article-journal","title":"Reconsidering Policy Design: Policies and Publics","container-title":"Journal of Public Policy","page":"187-206","volume":"11","issue":"2","source":"JSTOR","abstract":"One of the emerging areas in the public policy literature concerns new modes of thought about the construction and analysis of public policy. This article extends notions about politics within the 'policy design' literature by considering the implications of different political environments for policy design and implementation. Two different political environments -- policies with and without publics -- that form ends of a continuum of policy publics are discussed. A contrast is drawn between these two polar political environments with respect to differing policy design and implementation challenges, as well as with respect to differing opportunities for policy learning.","ISSN":"0143-814X","shortTitle":"Reconsidering Policy Design","author":[{"family":"May","given":"Peter J."}],"issued":{"date-parts":[["1991"]]}}},{"id":3346,"uris":["http://zotero.org/users/2595715/items/HZWXSDJS"],"uri":["http://zotero.org/users/2595715/items/HZWXSDJS"],"itemData":{"id":3346,"type":"book","title":"Soldiers to Citizens: The G.I. Bill and the Making of the Greatest Generation","publisher":"Oxford University Press","publisher-place":"Oxford ; New York","number-of-pages":"288","edition":"1 edition","source":"Amazon","event-place":"Oxford ; New York","abstract":"The G.I. Bill fueled not only the development of the middle class: it also revitalized American democracy. Americans who came of age during World War II joined fraternal groups and neighborhood and community organizations and took part in politics at rates that made the postwar era the twentieth century's civic \"golden age.\" Drawing on extensive interviews and surveys with hundreds of members of the \"greatest generation,\" Suzanne Mettler finds that by treating veterans as first-class citizens and in granting advanced education, the Bill inspired them to become the active participants thanks to whom memberships in civic organizations soared and levels of political activity peaked.  Mettler probes how this landmark law produced such a civic renaissance.  Most fundamentally, she discovers, it communicated to veterans that government was for and about people like them, and they responded in turn.  In our current age of rising inequality and declining civic engagement, Soldiers to Citizens offers critical lessons about how public programs can make a difference.","ISBN":"978-0-19-533130-1","shortTitle":"Soldiers to Citizens","language":"English","author":[{"family":"Mettler","given":"Suzanne"}],"issued":{"date-parts":[["2007",9,10]]}}},{"id":7098,"uris":["http://zotero.org/users/2595715/items/LCPLGWYC"],"uri":["http://zotero.org/users/2595715/items/LCPLGWYC"],"itemData":{"id":7098,"type":"article-journal","title":"Public Opinion, Partisan Identification, and Higher Education Policy","container-title":"The Journal of Higher Education","page":"369-401","volume":"78","issue":"4","source":"Taylor and Francis+NEJM","DOI":"10.1080/00221546.2007.11772321","ISSN":"0022-1546","author":[{"family":"Doyle","given":"William R."}],"issued":{"date-parts":[["2007",7,1]]}}}],"schema":"https://github.com/citation-style-language/schema/raw/master/csl-citation.json"} </w:instrText>
      </w:r>
      <w:r w:rsidRPr="003B2204">
        <w:rPr>
          <w:rFonts w:ascii="Times New Roman" w:hAnsi="Times New Roman" w:cs="Times New Roman"/>
          <w:sz w:val="24"/>
          <w:szCs w:val="24"/>
        </w:rPr>
        <w:fldChar w:fldCharType="separate"/>
      </w:r>
      <w:r w:rsidRPr="00022923">
        <w:rPr>
          <w:rFonts w:ascii="Times New Roman" w:hAnsi="Times New Roman" w:cs="Times New Roman"/>
          <w:sz w:val="24"/>
        </w:rPr>
        <w:t>(Campbell, 2002; Doyle, 2007; May, 1991; Mettler, 2007)</w:t>
      </w:r>
      <w:r w:rsidRPr="003B2204">
        <w:rPr>
          <w:rFonts w:ascii="Times New Roman" w:hAnsi="Times New Roman" w:cs="Times New Roman"/>
          <w:sz w:val="24"/>
          <w:szCs w:val="24"/>
        </w:rPr>
        <w:fldChar w:fldCharType="end"/>
      </w:r>
      <w:r>
        <w:rPr>
          <w:rFonts w:ascii="Times New Roman" w:hAnsi="Times New Roman" w:cs="Times New Roman"/>
          <w:sz w:val="24"/>
          <w:szCs w:val="24"/>
        </w:rPr>
        <w:t>.</w:t>
      </w:r>
    </w:p>
    <w:p w14:paraId="1B0C5B11" w14:textId="77777777" w:rsidR="00E45E88" w:rsidRPr="00617F06" w:rsidRDefault="00E45E88" w:rsidP="00E45E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Next</w:t>
      </w:r>
      <w:r w:rsidRPr="002C2C86">
        <w:rPr>
          <w:rFonts w:ascii="Times New Roman" w:hAnsi="Times New Roman" w:cs="Times New Roman"/>
          <w:sz w:val="24"/>
          <w:szCs w:val="24"/>
        </w:rPr>
        <w:t>, the normative policy implications of these findings are especially important to reflect on. There is a substantial body of evidence suggesting that merit-based financial aid widen</w:t>
      </w:r>
      <w:r>
        <w:rPr>
          <w:rFonts w:ascii="Times New Roman" w:hAnsi="Times New Roman" w:cs="Times New Roman"/>
          <w:sz w:val="24"/>
          <w:szCs w:val="24"/>
        </w:rPr>
        <w:t>s</w:t>
      </w:r>
      <w:r w:rsidRPr="002C2C86">
        <w:rPr>
          <w:rFonts w:ascii="Times New Roman" w:hAnsi="Times New Roman" w:cs="Times New Roman"/>
          <w:sz w:val="24"/>
          <w:szCs w:val="24"/>
        </w:rPr>
        <w:t xml:space="preserve"> the gap between rich and poor in college access and success </w:t>
      </w:r>
      <w:r w:rsidRPr="002C2C86">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{"citationID":"SlQgnonL","properties":{"formattedCitation":"(Dynarski, 2000, 2002; Dynarski &amp; Scott-Clayton, 2013; Heller &amp; Marin, 2002)","plainCitation":"(Dynarski, 2000, 2002; Dynarski &amp; Scott-Clayton, 2013; Heller &amp; Marin, 2002)","noteIndex":0},"citationItems":[{"id":5853,"uris":["http://zotero.org/users/2595715/items/9QL6RSCD"],"uri":["http://zotero.org/users/2595715/items/9QL6RSCD"],"itemData":{"id":5853,"type":"report","title":"Hope for Whom? Financial Aid for the Middle Class and Its Impact on College Attendance","publisher":"National Bureau of Economic Research","genre":"Working Paper","source":"National Bureau of Economic Research","abstract":"The federal government and the states have recently enacted a slew of aid policies aimed at college students from middle- and high-income families. I estimate the impact of aid on the college attendance of middle- and upper-income youth by evaluating Georgia's HOPE Scholarship, the inspiration of the new federal Hope Scholarship. The results suggest that Georgia's program has had a surprisingly large impact on the college attendance rate of middle- and high-income youth. Using a set of nearby states as a control group, I find that Georgia's program has likely increased the college attendance rate of all 18- to 19-year-olds by 7.0 to 7.9 percentage points. The results suggest that each $1,000 in aid ($1998) increased the college attendance rate in Georgia by 3.7 to 4.2 percentage points. Due to key differences between the federal and Georgia programs, these estimates should be treated as a generous upper bound on the predicted effect of the federal Hope Scholarship. Further, the evidence suggests that Georgia's program has widened the gap in college attendance between blacks and whites and between those from low- and high-income families. The federal Hope Scholarship, should it have its intended effect on middle- and upper-income attendance, will also widen already large racial and income gaps in college attendance in the US.","URL":"http://www.nber.org/papers/w7756","note":"DOI: 10.3386/w7756","number":"7756","shortTitle":"Hope for Whom?","author":[{"family":"Dynarski","given":"Susan"}],"issued":{"date-parts":[["2000",6]]},"accessed":{"date-parts":[["2017",10,27]]}}},{"id":6321,"uris":["http://zotero.org/users/2595715/items/2L3ZWKSP"],"uri":["http://zotero.org/users/2595715/items/2L3ZWKSP"],"itemData":{"id":6321,"type":"article-journal","title":"The Behavioral and Distributional Implications of Aid for College","container-title":"American Economic Review","page":"279-285","volume":"92","issue":"2","source":"www.aeaweb.org","DOI":"10.1257/000282802320189401","ISSN":"0002-8282","language":"en","author":[{"family":"Dynarski","given":"Susan"}],"issued":{"date-parts":[["2002",5]]}}},{"id":5927,"uris":["http://zotero.org/users/2595715/items/Z7BFDDDM"],"uri":["http://zotero.org/users/2595715/items/Z7BFDDDM"],"itemData":{"id":5927,"type":"article-journal","title":"Financial aid policy: lessons from research","container-title":"The Future of Children","page":"67-91","volume":"23","issue":"1","source":"PubMed","abstract":"In the nearly fifty years since the adoption of the Higher Education Act of 1965, financial aid programs have grown in scale, expanded in scope, and multiplied in form. As a result, financial aid has become the norm among college enrollees. Aid now flows not only to traditional college students but also to part-time students, older students, and students who never graduated from high school. Today aid is available not only to low-income students but also to middle- and even high-income families, in the form of grants, subsidized loans, and tax credits. The increasing size and complexity of the nation's student aid system has generated questions about effectiveness, heightened confusion among students and parents, and raised concerns about how program rules may interact. In this article, Susan Dynarski and Judith Scott-Clayton review what is known, and just as important, what is not known, about how well various student aid programs work. The evidence, the authors write, clearly shows that lowering costs can improve college access and completion. But this general rule is not without exception. First, they note, the complexity of program eligibility and delivery appears to moderate the impact of aid on college enrollment and persistence after enrollment. Second, for students who have already decided to enroll, grants that tie financial aid to academic achievement appear to boost college outcomes such as persistence more than do grants with no strings attached. Third, compared with grant aid, relatively little rigorous research has been conducted on the effectiveness of student loans. The paucity of evidence on student loans is particularly problematic both because they represent a large share of student aid overall and because their low cost (relative to grant aid) makes them an attractive option for policy makers. Future research is likely to focus on several issues: the importance of program design and delivery, whether there are unanticipated interactions between programs, and to what extent program effects vary across different types of students. The results of this evidence will be critical, the authors say, as politicians look for ways to control spending.","ISSN":"1054-8289","note":"PMID: 25522646","shortTitle":"Financial aid policy","journalAbbreviation":"Future Child","language":"eng","author":[{"family":"Dynarski","given":"Susan"},{"family":"Scott-Clayton","given":"Judith"}],"issued":{"date-parts":[["2013"]]}}},{"id":5984,"uris":["http://zotero.org/users/2595715/items/2WH2P2N7"],"uri":["http://zotero.org/users/2595715/items/2WH2P2N7"],"itemData":{"id":5984,"type":"book","title":"Who Should We Help? The Negative Social Consequences of Merit Scholarships","publisher":"Civil Rights Project, Harvard University, 124 Mt","source":"ERIC","abstract":"This is a collection of papers from a 2001 symposium at Harvard University entitled \"State Merit Aid Programs: College Access and Equity.\" After a Foreword by Gary Orfield, the seven papers are (1) \"State Merit Scholarship Programs: An Introduction\" (Donald E. Heller); (2) \"Merit Scholarships and College Access: Evidence from Florida and Michigan\" (Donald E. Heller and Christopher J. Rasmussen); (3) \"Incentive Effects of New Mexico's Merit-Based Scholarship Program: Who Responds and How?\" (Melissa Binder, Philip T. Ganderton, and Kristin Hutchens); (4) \"Race and the Effects of Georgia's HOPE Scholarship\" (Christopher Cornwell and David B. Mustard); (5) \"Race, Income, and the Impact of Merit Aid\" (Susan Dynarski); (6) \"Do State Financial Aid Programs Cause Colleges To Raise  Prices? The Case of the Georgia HOPE Scholarship\" (Bridget Terry Long); and (7) \"Merit Scholarships and the Outlook for Equal Opportunities in Higher Education\" (Patricia Marin). (Individual papers contain references.) (SM)","URL":"https://eric.ed.gov/?id=ED468845","shortTitle":"Who Should We Help?","language":"en","author":[{"family":"Heller","given":"Donald E."},{"family":"Marin","given":"Patricia"}],"issued":{"date-parts":[["2002",8,23]]},"accessed":{"date-parts":[["2018",1,15]]}}}],"schema":"https://github.com/citation-style-language/schema/raw/master/csl-citation.json"} </w:instrText>
      </w:r>
      <w:r w:rsidRPr="002C2C86">
        <w:rPr>
          <w:rFonts w:ascii="Times New Roman" w:hAnsi="Times New Roman" w:cs="Times New Roman"/>
          <w:sz w:val="24"/>
          <w:szCs w:val="24"/>
        </w:rPr>
        <w:fldChar w:fldCharType="separate"/>
      </w:r>
      <w:r w:rsidRPr="00022923">
        <w:rPr>
          <w:rFonts w:ascii="Times New Roman" w:hAnsi="Times New Roman" w:cs="Times New Roman"/>
          <w:sz w:val="24"/>
        </w:rPr>
        <w:t>(Dynarski, 2000, 2002; Dynarski &amp; Scott-Clayton, 2013; Heller &amp; Marin, 2002)</w:t>
      </w:r>
      <w:r w:rsidRPr="002C2C86">
        <w:rPr>
          <w:rFonts w:ascii="Times New Roman" w:hAnsi="Times New Roman" w:cs="Times New Roman"/>
          <w:sz w:val="24"/>
          <w:szCs w:val="24"/>
        </w:rPr>
        <w:fldChar w:fldCharType="end"/>
      </w:r>
      <w:r w:rsidRPr="002C2C86">
        <w:rPr>
          <w:rFonts w:ascii="Times New Roman" w:hAnsi="Times New Roman" w:cs="Times New Roman"/>
          <w:sz w:val="24"/>
          <w:szCs w:val="24"/>
        </w:rPr>
        <w:t xml:space="preserve">. </w:t>
      </w:r>
      <w:r>
        <w:rPr>
          <w:rFonts w:ascii="Times New Roman" w:hAnsi="Times New Roman" w:cs="Times New Roman"/>
          <w:sz w:val="24"/>
          <w:szCs w:val="24"/>
        </w:rPr>
        <w:t xml:space="preserve">In fact, </w:t>
      </w:r>
      <w:r w:rsidRPr="002C2C86">
        <w:rPr>
          <w:rFonts w:ascii="Times New Roman" w:hAnsi="Times New Roman" w:cs="Times New Roman"/>
          <w:sz w:val="24"/>
          <w:szCs w:val="24"/>
        </w:rPr>
        <w:t>recent</w:t>
      </w:r>
      <w:r>
        <w:rPr>
          <w:rFonts w:ascii="Times New Roman" w:hAnsi="Times New Roman" w:cs="Times New Roman"/>
          <w:sz w:val="24"/>
          <w:szCs w:val="24"/>
        </w:rPr>
        <w:t xml:space="preserve"> experimental</w:t>
      </w:r>
      <w:r w:rsidRPr="002C2C86">
        <w:rPr>
          <w:rFonts w:ascii="Times New Roman" w:hAnsi="Times New Roman" w:cs="Times New Roman"/>
          <w:sz w:val="24"/>
          <w:szCs w:val="24"/>
        </w:rPr>
        <w:t xml:space="preserve"> evidence </w:t>
      </w:r>
      <w:r w:rsidRPr="002C2C86">
        <w:rPr>
          <w:rFonts w:ascii="Times New Roman" w:hAnsi="Times New Roman" w:cs="Times New Roman"/>
          <w:sz w:val="24"/>
          <w:szCs w:val="24"/>
        </w:rPr>
        <w:lastRenderedPageBreak/>
        <w:t>sugges</w:t>
      </w:r>
      <w:r>
        <w:rPr>
          <w:rFonts w:ascii="Times New Roman" w:hAnsi="Times New Roman" w:cs="Times New Roman"/>
          <w:sz w:val="24"/>
          <w:szCs w:val="24"/>
        </w:rPr>
        <w:t xml:space="preserve">ts </w:t>
      </w:r>
      <w:r w:rsidRPr="002C2C86">
        <w:rPr>
          <w:rFonts w:ascii="Times New Roman" w:hAnsi="Times New Roman" w:cs="Times New Roman"/>
          <w:sz w:val="24"/>
          <w:szCs w:val="24"/>
        </w:rPr>
        <w:t xml:space="preserve">that the inclusion of merit requirements </w:t>
      </w:r>
      <w:r>
        <w:rPr>
          <w:rFonts w:ascii="Times New Roman" w:hAnsi="Times New Roman" w:cs="Times New Roman"/>
          <w:sz w:val="24"/>
          <w:szCs w:val="24"/>
        </w:rPr>
        <w:t>may undermine</w:t>
      </w:r>
      <w:r w:rsidRPr="002C2C86">
        <w:rPr>
          <w:rFonts w:ascii="Times New Roman" w:hAnsi="Times New Roman" w:cs="Times New Roman"/>
          <w:sz w:val="24"/>
          <w:szCs w:val="24"/>
        </w:rPr>
        <w:t xml:space="preserve"> ability of tuition-free college policies to expand college access and affordability</w:t>
      </w:r>
      <w:r>
        <w:rPr>
          <w:rFonts w:ascii="Times New Roman" w:hAnsi="Times New Roman" w:cs="Times New Roman"/>
          <w:sz w:val="24"/>
          <w:szCs w:val="24"/>
        </w:rPr>
        <w:t xml:space="preserve"> and reinforce existing inequality</w:t>
      </w:r>
      <w:r w:rsidRPr="002C2C86">
        <w:rPr>
          <w:rFonts w:ascii="Times New Roman" w:hAnsi="Times New Roman" w:cs="Times New Roman"/>
          <w:sz w:val="24"/>
          <w:szCs w:val="24"/>
        </w:rPr>
        <w:t xml:space="preserve"> </w:t>
      </w:r>
      <w:r w:rsidRPr="002C2C86">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{"citationID":"EUJiqR3l","properties":{"formattedCitation":"(Harris et al., 2018)","plainCitation":"(Harris et al., 2018)","noteIndex":0},"citationItems":[{"id":6841,"uris":["http://zotero.org/users/2595715/items/HS57KK8S"],"uri":["http://zotero.org/users/2595715/items/HS57KK8S"],"itemData":{"id":6841,"type":"article-journal","title":"The promise of free college (and its potential pitfalls)","container-title":"Brown Center for Education Policy, The Brookings Institution","page":"38","source":"Zotero","language":"en","author":[{"family":"Harris","given":"Douglas N"},{"family":"Farmer-Hinton","given":"Raquel"},{"family":"Kim","given":"Debbie"},{"family":"Diamond","given":"John"},{"family":"Reavis","given":"Blakely"},{"family":"Rifelj","given":"Kelly Krupa"},{"family":"Lustick","given":"Hilary"},{"family":"Carl","given":"Bradley"}],"issued":{"date-parts":[["2018"]]}}}],"schema":"https://github.com/citation-style-language/schema/raw/master/csl-citation.json"} </w:instrText>
      </w:r>
      <w:r w:rsidRPr="002C2C86">
        <w:rPr>
          <w:rFonts w:ascii="Times New Roman" w:hAnsi="Times New Roman" w:cs="Times New Roman"/>
          <w:sz w:val="24"/>
          <w:szCs w:val="24"/>
        </w:rPr>
        <w:fldChar w:fldCharType="separate"/>
      </w:r>
      <w:r w:rsidRPr="00022923">
        <w:rPr>
          <w:rFonts w:ascii="Times New Roman" w:hAnsi="Times New Roman" w:cs="Times New Roman"/>
          <w:sz w:val="24"/>
        </w:rPr>
        <w:t>(Harris et al., 2018)</w:t>
      </w:r>
      <w:r w:rsidRPr="002C2C86">
        <w:rPr>
          <w:rFonts w:ascii="Times New Roman" w:hAnsi="Times New Roman" w:cs="Times New Roman"/>
          <w:sz w:val="24"/>
          <w:szCs w:val="24"/>
        </w:rPr>
        <w:fldChar w:fldCharType="end"/>
      </w:r>
      <w:r w:rsidRPr="002C2C86">
        <w:rPr>
          <w:rFonts w:ascii="Times New Roman" w:hAnsi="Times New Roman" w:cs="Times New Roman"/>
          <w:sz w:val="24"/>
          <w:szCs w:val="24"/>
        </w:rPr>
        <w:t>. Therefore, if tuition-free college policies become the next form of merit-based aid, they may fail to accomplish the goals of expanding college access and success.</w:t>
      </w:r>
      <w:r w:rsidRPr="00E3535F">
        <w:rPr>
          <w:rStyle w:val="FootnoteReference"/>
        </w:rPr>
        <w:footnoteReference w:id="5"/>
      </w:r>
      <w:r w:rsidRPr="002C2C86">
        <w:rPr>
          <w:rFonts w:ascii="Times New Roman" w:hAnsi="Times New Roman" w:cs="Times New Roman"/>
          <w:sz w:val="24"/>
          <w:szCs w:val="24"/>
        </w:rPr>
        <w:t xml:space="preserve"> </w:t>
      </w:r>
      <w:r>
        <w:rPr>
          <w:rFonts w:ascii="Times New Roman" w:hAnsi="Times New Roman" w:cs="Times New Roman"/>
          <w:sz w:val="24"/>
          <w:szCs w:val="24"/>
        </w:rPr>
        <w:t xml:space="preserve">This means that the most politically feasible policy design—especially in jurisdictions with conservative majorities—may not necessarily be the most effective for expanding college access and success. </w:t>
      </w:r>
    </w:p>
    <w:p w14:paraId="440E509A" w14:textId="77777777" w:rsidR="00E45E88" w:rsidRPr="00617F06" w:rsidRDefault="00E45E88" w:rsidP="00E45E88">
      <w:pPr>
        <w:spacing w:line="480" w:lineRule="auto"/>
        <w:ind w:firstLine="720"/>
        <w:rPr>
          <w:rFonts w:ascii="Times New Roman" w:hAnsi="Times New Roman" w:cs="Times New Roman"/>
          <w:sz w:val="24"/>
          <w:szCs w:val="24"/>
        </w:rPr>
      </w:pPr>
      <w:r w:rsidRPr="00617F06">
        <w:rPr>
          <w:rFonts w:ascii="Times New Roman" w:hAnsi="Times New Roman" w:cs="Times New Roman"/>
          <w:sz w:val="24"/>
          <w:szCs w:val="24"/>
        </w:rPr>
        <w:t>This paper represents the first step toward nuanced understanding of tuition-free college policy design and public opinions. That said, there is much more work to do in better understanding the relationship between tuition-free college policy designs and sustainability. Future research should address the impacts of other elements of design on the feasibility and sustainability of tuition-free college</w:t>
      </w:r>
      <w:r>
        <w:rPr>
          <w:rFonts w:ascii="Times New Roman" w:hAnsi="Times New Roman" w:cs="Times New Roman"/>
          <w:sz w:val="24"/>
          <w:szCs w:val="24"/>
        </w:rPr>
        <w:t xml:space="preserve"> and investigate the politics involved in the design and adoption of promise policies</w:t>
      </w:r>
      <w:r w:rsidRPr="00617F06">
        <w:rPr>
          <w:rFonts w:ascii="Times New Roman" w:hAnsi="Times New Roman" w:cs="Times New Roman"/>
          <w:sz w:val="24"/>
          <w:szCs w:val="24"/>
        </w:rPr>
        <w:t>. The most effective, feasible, and sustainable tuition-free college policy is still up for debate. Higher education policy scholars should be weighing into this debate and contribute to evidence to the conversations surrounding the delicate balancing act between politics, economics, and effectiveness of tuition-free college policies.</w:t>
      </w:r>
    </w:p>
    <w:p w14:paraId="7436EAF9" w14:textId="77777777" w:rsidR="00E45E88" w:rsidRDefault="00E45E88" w:rsidP="00E45E88">
      <w:pPr>
        <w:spacing w:after="0" w:line="480" w:lineRule="auto"/>
        <w:ind w:firstLine="720"/>
        <w:rPr>
          <w:rFonts w:ascii="Times New Roman" w:hAnsi="Times New Roman" w:cs="Times New Roman"/>
          <w:sz w:val="24"/>
          <w:szCs w:val="24"/>
        </w:rPr>
      </w:pPr>
    </w:p>
    <w:p w14:paraId="79E15A26" w14:textId="77777777" w:rsidR="00E45E88" w:rsidRDefault="00E45E88" w:rsidP="00E45E88">
      <w:pPr>
        <w:spacing w:line="480" w:lineRule="auto"/>
        <w:ind w:firstLine="720"/>
        <w:rPr>
          <w:rFonts w:ascii="Times New Roman" w:hAnsi="Times New Roman" w:cs="Times New Roman"/>
          <w:sz w:val="24"/>
          <w:szCs w:val="24"/>
        </w:rPr>
      </w:pPr>
    </w:p>
    <w:p w14:paraId="0E1406D5" w14:textId="24F992D0" w:rsidR="00E45E88" w:rsidRPr="00FB461F" w:rsidRDefault="00E45E88" w:rsidP="00FB461F">
      <w:pPr>
        <w:rPr>
          <w:rFonts w:ascii="Garamond" w:hAnsi="Garamond" w:cs="Times New Roman"/>
          <w:sz w:val="24"/>
          <w:szCs w:val="24"/>
        </w:rPr>
      </w:pPr>
    </w:p>
    <w:p w14:paraId="3156C583" w14:textId="77777777" w:rsidR="00E45E88" w:rsidRPr="00750986" w:rsidRDefault="00E45E88" w:rsidP="00E45E88">
      <w:pPr>
        <w:rPr>
          <w:rFonts w:ascii="Times New Roman" w:hAnsi="Times New Roman" w:cs="Times New Roman"/>
          <w:b/>
          <w:sz w:val="24"/>
          <w:szCs w:val="24"/>
        </w:rPr>
      </w:pPr>
    </w:p>
    <w:p w14:paraId="657C0A24" w14:textId="77777777" w:rsidR="00C86DD1" w:rsidRPr="005B2DFB" w:rsidRDefault="00C86DD1" w:rsidP="001D6A71">
      <w:pPr>
        <w:spacing w:after="120" w:line="240" w:lineRule="auto"/>
        <w:textAlignment w:val="center"/>
        <w:rPr>
          <w:rFonts w:ascii="Times New Roman" w:hAnsi="Times New Roman" w:cs="Times New Roman"/>
          <w:b/>
          <w:sz w:val="24"/>
          <w:szCs w:val="24"/>
        </w:rPr>
      </w:pPr>
    </w:p>
    <w:p w14:paraId="245C1796" w14:textId="77777777" w:rsidR="005429D0" w:rsidRPr="005B2DFB" w:rsidRDefault="005429D0" w:rsidP="009C4ED3">
      <w:pPr>
        <w:spacing w:after="0" w:line="240" w:lineRule="auto"/>
        <w:rPr>
          <w:rFonts w:ascii="Times New Roman" w:hAnsi="Times New Roman" w:cs="Times New Roman"/>
          <w:b/>
          <w:bCs/>
          <w:sz w:val="24"/>
          <w:szCs w:val="24"/>
        </w:rPr>
      </w:pPr>
    </w:p>
    <w:p w14:paraId="1C781D41" w14:textId="77777777" w:rsidR="003413EC" w:rsidRDefault="003413EC">
      <w:pPr>
        <w:rPr>
          <w:rFonts w:ascii="Times New Roman" w:hAnsi="Times New Roman" w:cs="Times New Roman"/>
          <w:b/>
          <w:bCs/>
          <w:sz w:val="24"/>
          <w:szCs w:val="24"/>
        </w:rPr>
      </w:pPr>
      <w:r>
        <w:rPr>
          <w:rFonts w:ascii="Times New Roman" w:hAnsi="Times New Roman" w:cs="Times New Roman"/>
          <w:b/>
          <w:bCs/>
          <w:sz w:val="24"/>
          <w:szCs w:val="24"/>
        </w:rPr>
        <w:br w:type="page"/>
      </w:r>
    </w:p>
    <w:p w14:paraId="719B7F23" w14:textId="1B83704E" w:rsidR="00172318" w:rsidRPr="005B2DFB" w:rsidRDefault="00172318" w:rsidP="00172318">
      <w:pPr>
        <w:spacing w:after="0" w:line="240" w:lineRule="auto"/>
        <w:ind w:left="720" w:hanging="720"/>
        <w:jc w:val="center"/>
        <w:rPr>
          <w:rFonts w:ascii="Times New Roman" w:hAnsi="Times New Roman" w:cs="Times New Roman"/>
          <w:b/>
          <w:bCs/>
          <w:sz w:val="24"/>
          <w:szCs w:val="24"/>
        </w:rPr>
      </w:pPr>
      <w:r w:rsidRPr="005B2DFB">
        <w:rPr>
          <w:rFonts w:ascii="Times New Roman" w:hAnsi="Times New Roman" w:cs="Times New Roman"/>
          <w:b/>
          <w:bCs/>
          <w:sz w:val="24"/>
          <w:szCs w:val="24"/>
        </w:rPr>
        <w:lastRenderedPageBreak/>
        <w:t>Appendix A: Survey Experiment Methodology, Representativeness &amp; Instrument</w:t>
      </w:r>
    </w:p>
    <w:p w14:paraId="7569648A" w14:textId="77777777" w:rsidR="00172318" w:rsidRPr="005B2DFB" w:rsidRDefault="00172318" w:rsidP="00172318">
      <w:pPr>
        <w:suppressAutoHyphens/>
        <w:jc w:val="both"/>
        <w:rPr>
          <w:rFonts w:ascii="Times New Roman" w:hAnsi="Times New Roman" w:cs="Times New Roman"/>
          <w:sz w:val="24"/>
          <w:szCs w:val="24"/>
        </w:rPr>
      </w:pPr>
    </w:p>
    <w:p w14:paraId="6742F898" w14:textId="77777777" w:rsidR="00172318" w:rsidRPr="00742587" w:rsidRDefault="00172318" w:rsidP="00742587">
      <w:pPr>
        <w:suppressAutoHyphens/>
        <w:spacing w:line="480" w:lineRule="auto"/>
        <w:jc w:val="both"/>
        <w:rPr>
          <w:rFonts w:ascii="Times New Roman" w:hAnsi="Times New Roman" w:cs="Times New Roman"/>
          <w:b/>
          <w:sz w:val="24"/>
          <w:szCs w:val="24"/>
        </w:rPr>
      </w:pPr>
      <w:bookmarkStart w:id="12" w:name="_Hlk517625328"/>
      <w:r w:rsidRPr="00742587">
        <w:rPr>
          <w:rFonts w:ascii="Times New Roman" w:hAnsi="Times New Roman" w:cs="Times New Roman"/>
          <w:b/>
          <w:bCs/>
          <w:sz w:val="24"/>
          <w:szCs w:val="24"/>
        </w:rPr>
        <w:t>Methodology</w:t>
      </w:r>
    </w:p>
    <w:p w14:paraId="0F47BFCE" w14:textId="264C4937" w:rsidR="00172318" w:rsidRPr="005B2DFB" w:rsidRDefault="00172318" w:rsidP="00742587">
      <w:pPr>
        <w:suppressAutoHyphens/>
        <w:spacing w:line="480" w:lineRule="auto"/>
        <w:ind w:firstLine="720"/>
        <w:jc w:val="both"/>
        <w:rPr>
          <w:rFonts w:ascii="Times New Roman" w:hAnsi="Times New Roman" w:cs="Times New Roman"/>
          <w:sz w:val="24"/>
          <w:szCs w:val="24"/>
        </w:rPr>
      </w:pPr>
      <w:r w:rsidRPr="005B2DFB">
        <w:rPr>
          <w:rFonts w:ascii="Times New Roman" w:hAnsi="Times New Roman" w:cs="Times New Roman"/>
          <w:sz w:val="24"/>
          <w:szCs w:val="24"/>
        </w:rPr>
        <w:t>The</w:t>
      </w:r>
      <w:r w:rsidR="00F0479E" w:rsidRPr="005B2DFB">
        <w:rPr>
          <w:rFonts w:ascii="Times New Roman" w:hAnsi="Times New Roman" w:cs="Times New Roman"/>
          <w:sz w:val="24"/>
          <w:szCs w:val="24"/>
        </w:rPr>
        <w:t xml:space="preserve"> survey respondents</w:t>
      </w:r>
      <w:r w:rsidRPr="005B2DFB">
        <w:rPr>
          <w:rFonts w:ascii="Times New Roman" w:hAnsi="Times New Roman" w:cs="Times New Roman"/>
          <w:sz w:val="24"/>
          <w:szCs w:val="24"/>
        </w:rPr>
        <w:t xml:space="preserve"> w</w:t>
      </w:r>
      <w:r w:rsidR="00F0479E" w:rsidRPr="005B2DFB">
        <w:rPr>
          <w:rFonts w:ascii="Times New Roman" w:hAnsi="Times New Roman" w:cs="Times New Roman"/>
          <w:sz w:val="24"/>
          <w:szCs w:val="24"/>
        </w:rPr>
        <w:t>ere</w:t>
      </w:r>
      <w:r w:rsidRPr="005B2DFB">
        <w:rPr>
          <w:rFonts w:ascii="Times New Roman" w:hAnsi="Times New Roman" w:cs="Times New Roman"/>
          <w:sz w:val="24"/>
          <w:szCs w:val="24"/>
        </w:rPr>
        <w:t xml:space="preserve"> recruited by Qualtrics, the </w:t>
      </w:r>
      <w:r w:rsidR="00F0479E" w:rsidRPr="005B2DFB">
        <w:rPr>
          <w:rFonts w:ascii="Times New Roman" w:hAnsi="Times New Roman" w:cs="Times New Roman"/>
          <w:sz w:val="24"/>
          <w:szCs w:val="24"/>
        </w:rPr>
        <w:t>leading survey administration company</w:t>
      </w:r>
      <w:r w:rsidRPr="005B2DFB">
        <w:rPr>
          <w:rFonts w:ascii="Times New Roman" w:hAnsi="Times New Roman" w:cs="Times New Roman"/>
          <w:sz w:val="24"/>
          <w:szCs w:val="24"/>
        </w:rPr>
        <w:t xml:space="preserve">. The participants </w:t>
      </w:r>
      <w:r w:rsidR="00F0479E" w:rsidRPr="005B2DFB">
        <w:rPr>
          <w:rFonts w:ascii="Times New Roman" w:hAnsi="Times New Roman" w:cs="Times New Roman"/>
          <w:sz w:val="24"/>
          <w:szCs w:val="24"/>
        </w:rPr>
        <w:t>are recruited</w:t>
      </w:r>
      <w:r w:rsidRPr="005B2DFB">
        <w:rPr>
          <w:rFonts w:ascii="Times New Roman" w:hAnsi="Times New Roman" w:cs="Times New Roman"/>
          <w:sz w:val="24"/>
          <w:szCs w:val="24"/>
        </w:rPr>
        <w:t xml:space="preserve"> through partnerships with 20 online panel </w:t>
      </w:r>
      <w:r w:rsidR="00F0479E" w:rsidRPr="005B2DFB">
        <w:rPr>
          <w:rFonts w:ascii="Times New Roman" w:hAnsi="Times New Roman" w:cs="Times New Roman"/>
          <w:sz w:val="24"/>
          <w:szCs w:val="24"/>
        </w:rPr>
        <w:t xml:space="preserve">maintenance firms </w:t>
      </w:r>
      <w:r w:rsidRPr="005B2DFB">
        <w:rPr>
          <w:rFonts w:ascii="Times New Roman" w:hAnsi="Times New Roman" w:cs="Times New Roman"/>
          <w:sz w:val="24"/>
          <w:szCs w:val="24"/>
        </w:rPr>
        <w:t xml:space="preserve">that provide a </w:t>
      </w:r>
      <w:r w:rsidR="00F0479E" w:rsidRPr="005B2DFB">
        <w:rPr>
          <w:rFonts w:ascii="Times New Roman" w:hAnsi="Times New Roman" w:cs="Times New Roman"/>
          <w:sz w:val="24"/>
          <w:szCs w:val="24"/>
        </w:rPr>
        <w:t xml:space="preserve">set of </w:t>
      </w:r>
      <w:r w:rsidRPr="005B2DFB">
        <w:rPr>
          <w:rFonts w:ascii="Times New Roman" w:hAnsi="Times New Roman" w:cs="Times New Roman"/>
          <w:sz w:val="24"/>
          <w:szCs w:val="24"/>
        </w:rPr>
        <w:t xml:space="preserve">diverse respondents across the country. </w:t>
      </w:r>
      <w:r w:rsidR="00F0479E" w:rsidRPr="005B2DFB">
        <w:rPr>
          <w:rFonts w:ascii="Times New Roman" w:hAnsi="Times New Roman" w:cs="Times New Roman"/>
          <w:sz w:val="24"/>
          <w:szCs w:val="24"/>
        </w:rPr>
        <w:t xml:space="preserve">To recruit respondents, </w:t>
      </w:r>
      <w:r w:rsidRPr="005B2DFB">
        <w:rPr>
          <w:rFonts w:ascii="Times New Roman" w:hAnsi="Times New Roman" w:cs="Times New Roman"/>
          <w:sz w:val="24"/>
          <w:szCs w:val="24"/>
        </w:rPr>
        <w:t xml:space="preserve">Qualtrics </w:t>
      </w:r>
      <w:r w:rsidR="00F0479E" w:rsidRPr="005B2DFB">
        <w:rPr>
          <w:rFonts w:ascii="Times New Roman" w:hAnsi="Times New Roman" w:cs="Times New Roman"/>
          <w:sz w:val="24"/>
          <w:szCs w:val="24"/>
        </w:rPr>
        <w:t>reaches out via</w:t>
      </w:r>
      <w:r w:rsidRPr="005B2DFB">
        <w:rPr>
          <w:rFonts w:ascii="Times New Roman" w:hAnsi="Times New Roman" w:cs="Times New Roman"/>
          <w:sz w:val="24"/>
          <w:szCs w:val="24"/>
        </w:rPr>
        <w:t xml:space="preserve"> email communication, and advertisements on social media and phone applications.</w:t>
      </w:r>
    </w:p>
    <w:p w14:paraId="4E95FA7B" w14:textId="35F77AC7" w:rsidR="00172318" w:rsidRPr="005B2DFB" w:rsidRDefault="00FD5EB6" w:rsidP="00742587">
      <w:pPr>
        <w:suppressAutoHyphens/>
        <w:spacing w:line="480" w:lineRule="auto"/>
        <w:ind w:firstLine="720"/>
        <w:jc w:val="both"/>
        <w:rPr>
          <w:rFonts w:ascii="Times New Roman" w:hAnsi="Times New Roman" w:cs="Times New Roman"/>
          <w:sz w:val="24"/>
          <w:szCs w:val="24"/>
        </w:rPr>
      </w:pPr>
      <w:r w:rsidRPr="005B2DFB">
        <w:rPr>
          <w:rFonts w:ascii="Times New Roman" w:hAnsi="Times New Roman" w:cs="Times New Roman"/>
          <w:sz w:val="24"/>
          <w:szCs w:val="24"/>
        </w:rPr>
        <w:t xml:space="preserve">Qualtrics acts as a panel aggregator in which </w:t>
      </w:r>
      <w:r w:rsidR="00172318" w:rsidRPr="005B2DFB">
        <w:rPr>
          <w:rFonts w:ascii="Times New Roman" w:hAnsi="Times New Roman" w:cs="Times New Roman"/>
          <w:sz w:val="24"/>
          <w:szCs w:val="24"/>
        </w:rPr>
        <w:t>market research panels are leveraged to provide a sample that meets the quotas</w:t>
      </w:r>
      <w:r w:rsidRPr="005B2DFB">
        <w:rPr>
          <w:rFonts w:ascii="Times New Roman" w:hAnsi="Times New Roman" w:cs="Times New Roman"/>
          <w:sz w:val="24"/>
          <w:szCs w:val="24"/>
        </w:rPr>
        <w:t xml:space="preserve"> and demographic proportions needed for a nationally representative sample</w:t>
      </w:r>
      <w:r w:rsidR="00172318" w:rsidRPr="005B2DFB">
        <w:rPr>
          <w:rFonts w:ascii="Times New Roman" w:hAnsi="Times New Roman" w:cs="Times New Roman"/>
          <w:sz w:val="24"/>
          <w:szCs w:val="24"/>
        </w:rPr>
        <w:t xml:space="preserve">. </w:t>
      </w:r>
      <w:r w:rsidRPr="005B2DFB">
        <w:rPr>
          <w:rFonts w:ascii="Times New Roman" w:hAnsi="Times New Roman" w:cs="Times New Roman"/>
          <w:sz w:val="24"/>
          <w:szCs w:val="24"/>
        </w:rPr>
        <w:t xml:space="preserve">The quotas set in this survey required every respondent to </w:t>
      </w:r>
      <w:r w:rsidR="00172318" w:rsidRPr="005B2DFB">
        <w:rPr>
          <w:rFonts w:ascii="Times New Roman" w:hAnsi="Times New Roman" w:cs="Times New Roman"/>
          <w:sz w:val="24"/>
          <w:szCs w:val="24"/>
        </w:rPr>
        <w:t xml:space="preserve">be age 18+ and 50% of respondents </w:t>
      </w:r>
      <w:r w:rsidRPr="005B2DFB">
        <w:rPr>
          <w:rFonts w:ascii="Times New Roman" w:hAnsi="Times New Roman" w:cs="Times New Roman"/>
          <w:sz w:val="24"/>
          <w:szCs w:val="24"/>
        </w:rPr>
        <w:t xml:space="preserve">to have </w:t>
      </w:r>
      <w:r w:rsidR="00172318" w:rsidRPr="005B2DFB">
        <w:rPr>
          <w:rFonts w:ascii="Times New Roman" w:hAnsi="Times New Roman" w:cs="Times New Roman"/>
          <w:sz w:val="24"/>
          <w:szCs w:val="24"/>
        </w:rPr>
        <w:t xml:space="preserve">children </w:t>
      </w:r>
      <w:r w:rsidRPr="005B2DFB">
        <w:rPr>
          <w:rFonts w:ascii="Times New Roman" w:hAnsi="Times New Roman" w:cs="Times New Roman"/>
          <w:sz w:val="24"/>
          <w:szCs w:val="24"/>
        </w:rPr>
        <w:t xml:space="preserve">anywhere between </w:t>
      </w:r>
      <w:r w:rsidR="00172318" w:rsidRPr="005B2DFB">
        <w:rPr>
          <w:rFonts w:ascii="Times New Roman" w:hAnsi="Times New Roman" w:cs="Times New Roman"/>
          <w:sz w:val="24"/>
          <w:szCs w:val="24"/>
        </w:rPr>
        <w:t xml:space="preserve">5 years to 25 years of age. </w:t>
      </w:r>
      <w:r w:rsidRPr="005B2DFB">
        <w:rPr>
          <w:rFonts w:ascii="Times New Roman" w:hAnsi="Times New Roman" w:cs="Times New Roman"/>
          <w:sz w:val="24"/>
          <w:szCs w:val="24"/>
        </w:rPr>
        <w:t>T</w:t>
      </w:r>
      <w:r w:rsidR="00172318" w:rsidRPr="005B2DFB">
        <w:rPr>
          <w:rFonts w:ascii="Times New Roman" w:hAnsi="Times New Roman" w:cs="Times New Roman"/>
          <w:sz w:val="24"/>
          <w:szCs w:val="24"/>
        </w:rPr>
        <w:t xml:space="preserve">he panel base is </w:t>
      </w:r>
      <w:r w:rsidRPr="005B2DFB">
        <w:rPr>
          <w:rFonts w:ascii="Times New Roman" w:hAnsi="Times New Roman" w:cs="Times New Roman"/>
          <w:sz w:val="24"/>
          <w:szCs w:val="24"/>
        </w:rPr>
        <w:t>randomized to avoid any source bias and proportioned to the demographic proportions in the U.S. census to ensure the sample is reflective of the national population.</w:t>
      </w:r>
    </w:p>
    <w:p w14:paraId="6AAEC22F" w14:textId="77777777" w:rsidR="007C7CD2" w:rsidRPr="00742587" w:rsidRDefault="007C7CD2" w:rsidP="00742587">
      <w:pPr>
        <w:suppressAutoHyphens/>
        <w:spacing w:line="480" w:lineRule="auto"/>
        <w:jc w:val="both"/>
        <w:rPr>
          <w:rFonts w:ascii="Times New Roman" w:hAnsi="Times New Roman" w:cs="Times New Roman"/>
          <w:b/>
          <w:sz w:val="24"/>
          <w:szCs w:val="24"/>
        </w:rPr>
      </w:pPr>
      <w:r w:rsidRPr="00742587">
        <w:rPr>
          <w:rFonts w:ascii="Times New Roman" w:hAnsi="Times New Roman" w:cs="Times New Roman"/>
          <w:b/>
          <w:bCs/>
          <w:sz w:val="24"/>
          <w:szCs w:val="24"/>
        </w:rPr>
        <w:t>Data Weighting</w:t>
      </w:r>
    </w:p>
    <w:p w14:paraId="4D5C71F2" w14:textId="77777777" w:rsidR="007C7CD2" w:rsidRPr="005B2DFB" w:rsidRDefault="007C7CD2" w:rsidP="00742587">
      <w:pPr>
        <w:suppressAutoHyphens/>
        <w:spacing w:line="480" w:lineRule="auto"/>
        <w:ind w:firstLine="360"/>
        <w:jc w:val="both"/>
        <w:rPr>
          <w:rFonts w:ascii="Times New Roman" w:eastAsia="MS Mincho" w:hAnsi="Times New Roman" w:cs="Times New Roman"/>
          <w:sz w:val="24"/>
          <w:szCs w:val="24"/>
        </w:rPr>
      </w:pPr>
      <w:r w:rsidRPr="005B2DFB">
        <w:rPr>
          <w:rFonts w:ascii="Times New Roman" w:hAnsi="Times New Roman" w:cs="Times New Roman"/>
          <w:sz w:val="24"/>
          <w:szCs w:val="24"/>
        </w:rPr>
        <w:t>To increase the representativeness of the sample and generalizability of results, I apply post-stratification weights to the survey data. To do so, I first</w:t>
      </w:r>
      <w:r w:rsidRPr="005B2DFB">
        <w:rPr>
          <w:rFonts w:ascii="Times New Roman" w:eastAsia="MS Mincho" w:hAnsi="Times New Roman" w:cs="Times New Roman"/>
          <w:sz w:val="24"/>
          <w:szCs w:val="24"/>
        </w:rPr>
        <w:t xml:space="preserve"> calculate the proportion of the U.S. population that shares the demographic characteristics of each respondent according to Census data. Then, I calculate the proportion of the sample that shares the demographic characteristics of each respondent and divide the population proportion from the Census by the sample proportion to provide a weight for each respondent. In effect, this standard post-stratification weighting process determines whether a respondent </w:t>
      </w:r>
      <w:r w:rsidRPr="005B2DFB">
        <w:rPr>
          <w:rFonts w:ascii="Times New Roman" w:hAnsi="Times New Roman" w:cs="Times New Roman"/>
          <w:sz w:val="24"/>
          <w:szCs w:val="24"/>
        </w:rPr>
        <w:t xml:space="preserve">with a given set of demographic attributes is underrepresented or overrepresented in the survey sample (relative to the national population). Then, in order to account for the under or overrepresentation of certain demographic populations, </w:t>
      </w:r>
      <w:r w:rsidRPr="005B2DFB">
        <w:rPr>
          <w:rFonts w:ascii="Times New Roman" w:hAnsi="Times New Roman" w:cs="Times New Roman"/>
          <w:sz w:val="24"/>
          <w:szCs w:val="24"/>
        </w:rPr>
        <w:lastRenderedPageBreak/>
        <w:t xml:space="preserve">the weight either increases the statistical emphasis or decreases the statistical emphasis of each respondent. These weights are calculated within </w:t>
      </w:r>
      <w:r w:rsidRPr="005B2DFB">
        <w:rPr>
          <w:rFonts w:ascii="Times New Roman" w:eastAsia="MS Mincho" w:hAnsi="Times New Roman" w:cs="Times New Roman"/>
          <w:sz w:val="24"/>
          <w:szCs w:val="24"/>
        </w:rPr>
        <w:t xml:space="preserve">Census regions to enable </w:t>
      </w:r>
      <w:r w:rsidRPr="005B2DFB">
        <w:rPr>
          <w:rFonts w:ascii="Times New Roman" w:hAnsi="Times New Roman" w:cs="Times New Roman"/>
          <w:sz w:val="24"/>
          <w:szCs w:val="24"/>
        </w:rPr>
        <w:t>generalization</w:t>
      </w:r>
      <w:r w:rsidRPr="005B2DFB">
        <w:rPr>
          <w:rFonts w:ascii="Times New Roman" w:eastAsia="MS Mincho" w:hAnsi="Times New Roman" w:cs="Times New Roman"/>
          <w:sz w:val="24"/>
          <w:szCs w:val="24"/>
        </w:rPr>
        <w:t xml:space="preserve"> within and comparison across the regions.</w:t>
      </w:r>
    </w:p>
    <w:p w14:paraId="722E0626" w14:textId="77777777" w:rsidR="007C7CD2" w:rsidRPr="005B2DFB" w:rsidRDefault="007C7CD2" w:rsidP="00742587">
      <w:pPr>
        <w:suppressAutoHyphens/>
        <w:spacing w:line="480" w:lineRule="auto"/>
        <w:ind w:firstLine="720"/>
        <w:jc w:val="both"/>
        <w:rPr>
          <w:rFonts w:ascii="Times New Roman" w:hAnsi="Times New Roman" w:cs="Times New Roman"/>
          <w:sz w:val="24"/>
          <w:szCs w:val="24"/>
        </w:rPr>
      </w:pPr>
    </w:p>
    <w:tbl>
      <w:tblPr>
        <w:tblW w:w="8280" w:type="dxa"/>
        <w:jc w:val="center"/>
        <w:tblLayout w:type="fixed"/>
        <w:tblLook w:val="00A0" w:firstRow="1" w:lastRow="0" w:firstColumn="1" w:lastColumn="0" w:noHBand="0" w:noVBand="0"/>
      </w:tblPr>
      <w:tblGrid>
        <w:gridCol w:w="3420"/>
        <w:gridCol w:w="2520"/>
        <w:gridCol w:w="2340"/>
      </w:tblGrid>
      <w:tr w:rsidR="00172318" w:rsidRPr="005B2DFB" w14:paraId="0F58C325" w14:textId="77777777" w:rsidTr="00190B73">
        <w:trPr>
          <w:trHeight w:val="402"/>
          <w:jc w:val="center"/>
        </w:trPr>
        <w:tc>
          <w:tcPr>
            <w:tcW w:w="8280" w:type="dxa"/>
            <w:gridSpan w:val="3"/>
            <w:vAlign w:val="center"/>
          </w:tcPr>
          <w:p w14:paraId="6AB726CF" w14:textId="2CEDE955" w:rsidR="00172318" w:rsidRPr="005B2DFB" w:rsidRDefault="00172318" w:rsidP="00190B73">
            <w:pPr>
              <w:pStyle w:val="List2"/>
              <w:keepNext/>
              <w:keepLines/>
              <w:spacing w:after="80"/>
              <w:ind w:left="0" w:firstLine="0"/>
            </w:pPr>
            <w:bookmarkStart w:id="13" w:name="_Toc497827325"/>
            <w:r w:rsidRPr="005B2DFB">
              <w:lastRenderedPageBreak/>
              <w:t xml:space="preserve">Table </w:t>
            </w:r>
            <w:r w:rsidR="006847DB">
              <w:t>3-</w:t>
            </w:r>
            <w:r w:rsidRPr="005B2DFB">
              <w:t xml:space="preserve">A1. </w:t>
            </w:r>
            <w:bookmarkStart w:id="14" w:name="_Hlk6223926"/>
            <w:r w:rsidRPr="005B2DFB">
              <w:t>Demographic Attributes of Survey Respondents Compared to 2016 US Census Estimation</w:t>
            </w:r>
            <w:bookmarkEnd w:id="13"/>
            <w:bookmarkEnd w:id="14"/>
          </w:p>
        </w:tc>
      </w:tr>
      <w:tr w:rsidR="00172318" w:rsidRPr="005B2DFB" w14:paraId="17ACB98B" w14:textId="77777777" w:rsidTr="00190B73">
        <w:trPr>
          <w:trHeight w:val="402"/>
          <w:jc w:val="center"/>
        </w:trPr>
        <w:tc>
          <w:tcPr>
            <w:tcW w:w="3420" w:type="dxa"/>
            <w:tcBorders>
              <w:bottom w:val="double" w:sz="4" w:space="0" w:color="auto"/>
            </w:tcBorders>
          </w:tcPr>
          <w:p w14:paraId="5B432427" w14:textId="77777777" w:rsidR="00172318" w:rsidRPr="003413EC" w:rsidRDefault="00172318" w:rsidP="00190B73">
            <w:pPr>
              <w:pStyle w:val="List2"/>
              <w:keepNext/>
              <w:keepLines/>
              <w:spacing w:after="80"/>
              <w:ind w:left="0" w:firstLine="0"/>
              <w:jc w:val="center"/>
              <w:rPr>
                <w:b/>
                <w:sz w:val="22"/>
              </w:rPr>
            </w:pPr>
          </w:p>
          <w:p w14:paraId="39CED179" w14:textId="77777777" w:rsidR="00172318" w:rsidRPr="003413EC" w:rsidRDefault="00172318" w:rsidP="00190B73">
            <w:pPr>
              <w:pStyle w:val="List2"/>
              <w:keepNext/>
              <w:keepLines/>
              <w:spacing w:after="80"/>
              <w:ind w:left="0" w:firstLine="0"/>
              <w:jc w:val="center"/>
              <w:rPr>
                <w:b/>
                <w:sz w:val="22"/>
              </w:rPr>
            </w:pPr>
            <w:r w:rsidRPr="003413EC">
              <w:rPr>
                <w:b/>
                <w:sz w:val="22"/>
              </w:rPr>
              <w:t>Demographic</w:t>
            </w:r>
          </w:p>
        </w:tc>
        <w:tc>
          <w:tcPr>
            <w:tcW w:w="2520" w:type="dxa"/>
            <w:tcBorders>
              <w:bottom w:val="double" w:sz="4" w:space="0" w:color="auto"/>
            </w:tcBorders>
          </w:tcPr>
          <w:p w14:paraId="4E46D89C" w14:textId="77777777" w:rsidR="00172318" w:rsidRPr="003413EC" w:rsidRDefault="00172318" w:rsidP="00190B73">
            <w:pPr>
              <w:pStyle w:val="List2"/>
              <w:keepNext/>
              <w:keepLines/>
              <w:spacing w:after="80"/>
              <w:ind w:left="0" w:firstLine="0"/>
              <w:jc w:val="center"/>
              <w:rPr>
                <w:b/>
                <w:sz w:val="22"/>
              </w:rPr>
            </w:pPr>
            <w:r w:rsidRPr="003413EC">
              <w:rPr>
                <w:b/>
                <w:sz w:val="22"/>
              </w:rPr>
              <w:t>% US Population</w:t>
            </w:r>
          </w:p>
          <w:p w14:paraId="0EF0C7B8" w14:textId="77777777" w:rsidR="00172318" w:rsidRPr="003413EC" w:rsidRDefault="00172318" w:rsidP="00190B73">
            <w:pPr>
              <w:pStyle w:val="List2"/>
              <w:keepNext/>
              <w:keepLines/>
              <w:spacing w:after="80"/>
              <w:ind w:left="0" w:firstLine="0"/>
              <w:jc w:val="center"/>
              <w:rPr>
                <w:b/>
                <w:sz w:val="22"/>
              </w:rPr>
            </w:pPr>
            <w:r w:rsidRPr="003413EC">
              <w:rPr>
                <w:b/>
                <w:sz w:val="22"/>
              </w:rPr>
              <w:t>18 Yrs. of Age and Above*</w:t>
            </w:r>
          </w:p>
        </w:tc>
        <w:tc>
          <w:tcPr>
            <w:tcW w:w="2340" w:type="dxa"/>
            <w:tcBorders>
              <w:bottom w:val="double" w:sz="4" w:space="0" w:color="auto"/>
            </w:tcBorders>
          </w:tcPr>
          <w:p w14:paraId="462A98AA" w14:textId="77777777" w:rsidR="00172318" w:rsidRPr="003413EC" w:rsidRDefault="00172318" w:rsidP="00190B73">
            <w:pPr>
              <w:pStyle w:val="List2"/>
              <w:keepNext/>
              <w:keepLines/>
              <w:spacing w:after="80"/>
              <w:ind w:left="0" w:firstLine="0"/>
              <w:jc w:val="center"/>
              <w:rPr>
                <w:b/>
                <w:sz w:val="22"/>
              </w:rPr>
            </w:pPr>
            <w:r w:rsidRPr="003413EC">
              <w:rPr>
                <w:b/>
                <w:sz w:val="22"/>
              </w:rPr>
              <w:t>% Survey</w:t>
            </w:r>
          </w:p>
          <w:p w14:paraId="6B2F7BC9" w14:textId="77777777" w:rsidR="00172318" w:rsidRPr="003413EC" w:rsidRDefault="00172318" w:rsidP="00190B73">
            <w:pPr>
              <w:pStyle w:val="List2"/>
              <w:keepNext/>
              <w:keepLines/>
              <w:spacing w:after="80"/>
              <w:ind w:left="0" w:firstLine="0"/>
              <w:jc w:val="center"/>
              <w:rPr>
                <w:b/>
                <w:sz w:val="22"/>
              </w:rPr>
            </w:pPr>
            <w:r w:rsidRPr="003413EC">
              <w:rPr>
                <w:b/>
                <w:sz w:val="22"/>
              </w:rPr>
              <w:t>Respondents</w:t>
            </w:r>
          </w:p>
        </w:tc>
      </w:tr>
      <w:tr w:rsidR="00172318" w:rsidRPr="005B2DFB" w14:paraId="14E5B899" w14:textId="77777777" w:rsidTr="00190B73">
        <w:trPr>
          <w:trHeight w:val="221"/>
          <w:jc w:val="center"/>
        </w:trPr>
        <w:tc>
          <w:tcPr>
            <w:tcW w:w="3420" w:type="dxa"/>
            <w:tcBorders>
              <w:top w:val="double" w:sz="4" w:space="0" w:color="auto"/>
            </w:tcBorders>
          </w:tcPr>
          <w:p w14:paraId="5856D626" w14:textId="77777777" w:rsidR="00172318" w:rsidRPr="003413EC" w:rsidRDefault="00172318" w:rsidP="00190B73">
            <w:pPr>
              <w:pStyle w:val="List2"/>
              <w:keepNext/>
              <w:keepLines/>
              <w:spacing w:before="80" w:after="40"/>
              <w:ind w:left="0" w:firstLine="0"/>
              <w:rPr>
                <w:b/>
                <w:sz w:val="22"/>
              </w:rPr>
            </w:pPr>
            <w:r w:rsidRPr="003413EC">
              <w:rPr>
                <w:b/>
                <w:sz w:val="22"/>
              </w:rPr>
              <w:t>Gender</w:t>
            </w:r>
          </w:p>
        </w:tc>
        <w:tc>
          <w:tcPr>
            <w:tcW w:w="2520" w:type="dxa"/>
            <w:tcBorders>
              <w:top w:val="double" w:sz="4" w:space="0" w:color="auto"/>
            </w:tcBorders>
            <w:vAlign w:val="center"/>
          </w:tcPr>
          <w:p w14:paraId="166242AE" w14:textId="77777777" w:rsidR="00172318" w:rsidRPr="003413EC" w:rsidRDefault="00172318" w:rsidP="00190B73">
            <w:pPr>
              <w:pStyle w:val="List2"/>
              <w:keepNext/>
              <w:keepLines/>
              <w:spacing w:before="80" w:after="40"/>
              <w:ind w:left="0" w:firstLine="0"/>
              <w:jc w:val="center"/>
              <w:rPr>
                <w:sz w:val="22"/>
              </w:rPr>
            </w:pPr>
          </w:p>
        </w:tc>
        <w:tc>
          <w:tcPr>
            <w:tcW w:w="2340" w:type="dxa"/>
            <w:tcBorders>
              <w:top w:val="double" w:sz="4" w:space="0" w:color="auto"/>
            </w:tcBorders>
            <w:vAlign w:val="center"/>
          </w:tcPr>
          <w:p w14:paraId="52A4BCA4" w14:textId="77777777" w:rsidR="00172318" w:rsidRPr="003413EC" w:rsidRDefault="00172318" w:rsidP="00190B73">
            <w:pPr>
              <w:pStyle w:val="List2"/>
              <w:keepNext/>
              <w:keepLines/>
              <w:spacing w:before="80" w:after="40"/>
              <w:ind w:left="0" w:firstLine="0"/>
              <w:jc w:val="center"/>
              <w:rPr>
                <w:sz w:val="22"/>
              </w:rPr>
            </w:pPr>
          </w:p>
        </w:tc>
      </w:tr>
      <w:tr w:rsidR="00172318" w:rsidRPr="005B2DFB" w14:paraId="3F717AFF" w14:textId="77777777" w:rsidTr="00190B73">
        <w:trPr>
          <w:trHeight w:val="209"/>
          <w:jc w:val="center"/>
        </w:trPr>
        <w:tc>
          <w:tcPr>
            <w:tcW w:w="3420" w:type="dxa"/>
          </w:tcPr>
          <w:p w14:paraId="4BE770F7" w14:textId="77777777" w:rsidR="00172318" w:rsidRPr="003413EC" w:rsidRDefault="00172318" w:rsidP="00190B73">
            <w:pPr>
              <w:pStyle w:val="List2"/>
              <w:keepNext/>
              <w:keepLines/>
              <w:tabs>
                <w:tab w:val="left" w:pos="180"/>
              </w:tabs>
              <w:spacing w:before="40" w:after="40"/>
              <w:ind w:left="0" w:firstLine="0"/>
              <w:rPr>
                <w:sz w:val="22"/>
              </w:rPr>
            </w:pPr>
            <w:r w:rsidRPr="003413EC">
              <w:rPr>
                <w:sz w:val="22"/>
              </w:rPr>
              <w:t xml:space="preserve">   Female</w:t>
            </w:r>
          </w:p>
        </w:tc>
        <w:tc>
          <w:tcPr>
            <w:tcW w:w="2520" w:type="dxa"/>
            <w:vAlign w:val="center"/>
          </w:tcPr>
          <w:p w14:paraId="08E59418"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51.3</w:t>
            </w:r>
          </w:p>
        </w:tc>
        <w:tc>
          <w:tcPr>
            <w:tcW w:w="2340" w:type="dxa"/>
            <w:vAlign w:val="center"/>
          </w:tcPr>
          <w:p w14:paraId="6A6F0075"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61.2</w:t>
            </w:r>
          </w:p>
        </w:tc>
      </w:tr>
      <w:tr w:rsidR="00172318" w:rsidRPr="005B2DFB" w14:paraId="463188AF" w14:textId="77777777" w:rsidTr="00190B73">
        <w:trPr>
          <w:trHeight w:val="197"/>
          <w:jc w:val="center"/>
        </w:trPr>
        <w:tc>
          <w:tcPr>
            <w:tcW w:w="3420" w:type="dxa"/>
          </w:tcPr>
          <w:p w14:paraId="7F885117" w14:textId="77777777" w:rsidR="00172318" w:rsidRPr="003413EC" w:rsidRDefault="00172318" w:rsidP="00190B73">
            <w:pPr>
              <w:pStyle w:val="List2"/>
              <w:keepNext/>
              <w:keepLines/>
              <w:tabs>
                <w:tab w:val="left" w:pos="180"/>
              </w:tabs>
              <w:spacing w:before="40" w:after="40"/>
              <w:ind w:left="0" w:firstLine="0"/>
              <w:rPr>
                <w:sz w:val="22"/>
              </w:rPr>
            </w:pPr>
            <w:r w:rsidRPr="003413EC">
              <w:rPr>
                <w:sz w:val="22"/>
              </w:rPr>
              <w:t xml:space="preserve">   Male</w:t>
            </w:r>
          </w:p>
        </w:tc>
        <w:tc>
          <w:tcPr>
            <w:tcW w:w="2520" w:type="dxa"/>
            <w:vAlign w:val="center"/>
          </w:tcPr>
          <w:p w14:paraId="2B9BD1FF"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48.7</w:t>
            </w:r>
          </w:p>
        </w:tc>
        <w:tc>
          <w:tcPr>
            <w:tcW w:w="2340" w:type="dxa"/>
            <w:vAlign w:val="center"/>
          </w:tcPr>
          <w:p w14:paraId="13D3FA2F"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38.8</w:t>
            </w:r>
          </w:p>
        </w:tc>
      </w:tr>
      <w:tr w:rsidR="00172318" w:rsidRPr="005B2DFB" w14:paraId="381BB711" w14:textId="77777777" w:rsidTr="00190B73">
        <w:trPr>
          <w:trHeight w:val="228"/>
          <w:jc w:val="center"/>
        </w:trPr>
        <w:tc>
          <w:tcPr>
            <w:tcW w:w="3420" w:type="dxa"/>
          </w:tcPr>
          <w:p w14:paraId="75557079" w14:textId="77777777" w:rsidR="00172318" w:rsidRPr="003413EC" w:rsidRDefault="00172318" w:rsidP="00190B73">
            <w:pPr>
              <w:pStyle w:val="List2"/>
              <w:keepNext/>
              <w:keepLines/>
              <w:tabs>
                <w:tab w:val="left" w:pos="180"/>
              </w:tabs>
              <w:spacing w:before="80" w:after="40"/>
              <w:ind w:left="0" w:firstLine="0"/>
              <w:rPr>
                <w:b/>
                <w:sz w:val="22"/>
              </w:rPr>
            </w:pPr>
            <w:r w:rsidRPr="003413EC">
              <w:rPr>
                <w:b/>
                <w:sz w:val="22"/>
              </w:rPr>
              <w:t>Age</w:t>
            </w:r>
          </w:p>
        </w:tc>
        <w:tc>
          <w:tcPr>
            <w:tcW w:w="2520" w:type="dxa"/>
            <w:vAlign w:val="center"/>
          </w:tcPr>
          <w:p w14:paraId="69C8B60F" w14:textId="77777777" w:rsidR="00172318" w:rsidRPr="003413EC" w:rsidRDefault="00172318" w:rsidP="00190B73">
            <w:pPr>
              <w:pStyle w:val="List2"/>
              <w:keepNext/>
              <w:keepLines/>
              <w:tabs>
                <w:tab w:val="decimal" w:pos="1300"/>
              </w:tabs>
              <w:spacing w:before="80" w:after="40"/>
              <w:ind w:left="0" w:firstLine="0"/>
              <w:rPr>
                <w:sz w:val="22"/>
                <w:highlight w:val="yellow"/>
              </w:rPr>
            </w:pPr>
          </w:p>
        </w:tc>
        <w:tc>
          <w:tcPr>
            <w:tcW w:w="2340" w:type="dxa"/>
            <w:vAlign w:val="center"/>
          </w:tcPr>
          <w:p w14:paraId="53FD5110" w14:textId="77777777" w:rsidR="00172318" w:rsidRPr="003413EC" w:rsidRDefault="00172318" w:rsidP="00190B73">
            <w:pPr>
              <w:pStyle w:val="List2"/>
              <w:keepNext/>
              <w:keepLines/>
              <w:tabs>
                <w:tab w:val="decimal" w:pos="1300"/>
              </w:tabs>
              <w:spacing w:before="80" w:after="40"/>
              <w:ind w:left="0" w:firstLine="0"/>
              <w:rPr>
                <w:sz w:val="22"/>
              </w:rPr>
            </w:pPr>
          </w:p>
        </w:tc>
      </w:tr>
      <w:tr w:rsidR="00172318" w:rsidRPr="005B2DFB" w14:paraId="3B186454" w14:textId="77777777" w:rsidTr="00190B73">
        <w:trPr>
          <w:trHeight w:val="168"/>
          <w:jc w:val="center"/>
        </w:trPr>
        <w:tc>
          <w:tcPr>
            <w:tcW w:w="3420" w:type="dxa"/>
          </w:tcPr>
          <w:p w14:paraId="1A4AE25E"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18-29</w:t>
            </w:r>
          </w:p>
        </w:tc>
        <w:tc>
          <w:tcPr>
            <w:tcW w:w="2520" w:type="dxa"/>
            <w:vAlign w:val="center"/>
          </w:tcPr>
          <w:p w14:paraId="45DAE5CC"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21.5</w:t>
            </w:r>
          </w:p>
        </w:tc>
        <w:tc>
          <w:tcPr>
            <w:tcW w:w="2340" w:type="dxa"/>
            <w:vAlign w:val="center"/>
          </w:tcPr>
          <w:p w14:paraId="79AE9F0B"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18.8</w:t>
            </w:r>
          </w:p>
        </w:tc>
      </w:tr>
      <w:tr w:rsidR="00172318" w:rsidRPr="005B2DFB" w14:paraId="1137A7C2" w14:textId="77777777" w:rsidTr="00190B73">
        <w:trPr>
          <w:trHeight w:val="180"/>
          <w:jc w:val="center"/>
        </w:trPr>
        <w:tc>
          <w:tcPr>
            <w:tcW w:w="3420" w:type="dxa"/>
          </w:tcPr>
          <w:p w14:paraId="31CDC3C2"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30-49</w:t>
            </w:r>
          </w:p>
        </w:tc>
        <w:tc>
          <w:tcPr>
            <w:tcW w:w="2520" w:type="dxa"/>
            <w:vAlign w:val="center"/>
          </w:tcPr>
          <w:p w14:paraId="3DDBA9C4"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33.3</w:t>
            </w:r>
          </w:p>
        </w:tc>
        <w:tc>
          <w:tcPr>
            <w:tcW w:w="2340" w:type="dxa"/>
            <w:vAlign w:val="center"/>
          </w:tcPr>
          <w:p w14:paraId="2F0C9833"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43.2</w:t>
            </w:r>
          </w:p>
        </w:tc>
      </w:tr>
      <w:tr w:rsidR="00172318" w:rsidRPr="005B2DFB" w14:paraId="576BF67C" w14:textId="77777777" w:rsidTr="00190B73">
        <w:trPr>
          <w:trHeight w:val="168"/>
          <w:jc w:val="center"/>
        </w:trPr>
        <w:tc>
          <w:tcPr>
            <w:tcW w:w="3420" w:type="dxa"/>
          </w:tcPr>
          <w:p w14:paraId="1F2B7F0B"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50+</w:t>
            </w:r>
          </w:p>
        </w:tc>
        <w:tc>
          <w:tcPr>
            <w:tcW w:w="2520" w:type="dxa"/>
            <w:vAlign w:val="center"/>
          </w:tcPr>
          <w:p w14:paraId="62B579FF"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45.1</w:t>
            </w:r>
          </w:p>
        </w:tc>
        <w:tc>
          <w:tcPr>
            <w:tcW w:w="2340" w:type="dxa"/>
            <w:vAlign w:val="center"/>
          </w:tcPr>
          <w:p w14:paraId="671623E5"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38.0</w:t>
            </w:r>
          </w:p>
        </w:tc>
      </w:tr>
      <w:tr w:rsidR="00172318" w:rsidRPr="005B2DFB" w14:paraId="7DDEBAF6" w14:textId="77777777" w:rsidTr="00190B73">
        <w:trPr>
          <w:trHeight w:val="228"/>
          <w:jc w:val="center"/>
        </w:trPr>
        <w:tc>
          <w:tcPr>
            <w:tcW w:w="3420" w:type="dxa"/>
          </w:tcPr>
          <w:p w14:paraId="63DBDB45" w14:textId="77777777" w:rsidR="00172318" w:rsidRPr="003413EC" w:rsidRDefault="00172318" w:rsidP="00190B73">
            <w:pPr>
              <w:pStyle w:val="List2"/>
              <w:keepNext/>
              <w:keepLines/>
              <w:spacing w:before="80" w:after="40"/>
              <w:ind w:left="0" w:firstLine="0"/>
              <w:rPr>
                <w:b/>
                <w:sz w:val="22"/>
              </w:rPr>
            </w:pPr>
            <w:r w:rsidRPr="003413EC">
              <w:rPr>
                <w:b/>
                <w:sz w:val="22"/>
              </w:rPr>
              <w:t>Education</w:t>
            </w:r>
          </w:p>
        </w:tc>
        <w:tc>
          <w:tcPr>
            <w:tcW w:w="2520" w:type="dxa"/>
            <w:vAlign w:val="center"/>
          </w:tcPr>
          <w:p w14:paraId="0477D94F" w14:textId="77777777" w:rsidR="00172318" w:rsidRPr="003413EC" w:rsidRDefault="00172318" w:rsidP="00190B73">
            <w:pPr>
              <w:pStyle w:val="List2"/>
              <w:keepNext/>
              <w:keepLines/>
              <w:tabs>
                <w:tab w:val="decimal" w:pos="1300"/>
              </w:tabs>
              <w:spacing w:before="40" w:after="40"/>
              <w:ind w:left="0" w:firstLine="0"/>
              <w:rPr>
                <w:sz w:val="22"/>
              </w:rPr>
            </w:pPr>
          </w:p>
        </w:tc>
        <w:tc>
          <w:tcPr>
            <w:tcW w:w="2340" w:type="dxa"/>
            <w:vAlign w:val="center"/>
          </w:tcPr>
          <w:p w14:paraId="04D86D1E" w14:textId="77777777" w:rsidR="00172318" w:rsidRPr="003413EC" w:rsidRDefault="00172318" w:rsidP="00190B73">
            <w:pPr>
              <w:pStyle w:val="List2"/>
              <w:keepNext/>
              <w:keepLines/>
              <w:tabs>
                <w:tab w:val="decimal" w:pos="1300"/>
              </w:tabs>
              <w:spacing w:before="40" w:after="40"/>
              <w:ind w:left="0" w:firstLine="0"/>
              <w:rPr>
                <w:sz w:val="22"/>
              </w:rPr>
            </w:pPr>
          </w:p>
        </w:tc>
      </w:tr>
      <w:tr w:rsidR="00172318" w:rsidRPr="005B2DFB" w14:paraId="65BA244D" w14:textId="77777777" w:rsidTr="00190B73">
        <w:trPr>
          <w:trHeight w:val="180"/>
          <w:jc w:val="center"/>
        </w:trPr>
        <w:tc>
          <w:tcPr>
            <w:tcW w:w="3420" w:type="dxa"/>
          </w:tcPr>
          <w:p w14:paraId="64B76FDE"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High School Graduate or higher</w:t>
            </w:r>
          </w:p>
        </w:tc>
        <w:tc>
          <w:tcPr>
            <w:tcW w:w="2520" w:type="dxa"/>
            <w:vAlign w:val="center"/>
          </w:tcPr>
          <w:p w14:paraId="6C4B8544"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87.4</w:t>
            </w:r>
          </w:p>
        </w:tc>
        <w:tc>
          <w:tcPr>
            <w:tcW w:w="2340" w:type="dxa"/>
            <w:vAlign w:val="center"/>
          </w:tcPr>
          <w:p w14:paraId="284477F1"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98.1</w:t>
            </w:r>
          </w:p>
        </w:tc>
      </w:tr>
      <w:tr w:rsidR="00172318" w:rsidRPr="005B2DFB" w14:paraId="17FF84F8" w14:textId="77777777" w:rsidTr="00190B73">
        <w:trPr>
          <w:trHeight w:val="180"/>
          <w:jc w:val="center"/>
        </w:trPr>
        <w:tc>
          <w:tcPr>
            <w:tcW w:w="3420" w:type="dxa"/>
          </w:tcPr>
          <w:p w14:paraId="310F9051"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Bachelor’s Degree or higher</w:t>
            </w:r>
          </w:p>
        </w:tc>
        <w:tc>
          <w:tcPr>
            <w:tcW w:w="2520" w:type="dxa"/>
            <w:vAlign w:val="center"/>
          </w:tcPr>
          <w:p w14:paraId="3D202DF2"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31.2</w:t>
            </w:r>
          </w:p>
        </w:tc>
        <w:tc>
          <w:tcPr>
            <w:tcW w:w="2340" w:type="dxa"/>
            <w:vAlign w:val="center"/>
          </w:tcPr>
          <w:p w14:paraId="168F717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26.2</w:t>
            </w:r>
          </w:p>
        </w:tc>
      </w:tr>
      <w:tr w:rsidR="00172318" w:rsidRPr="005B2DFB" w14:paraId="3F341353" w14:textId="77777777" w:rsidTr="00190B73">
        <w:trPr>
          <w:trHeight w:val="221"/>
          <w:jc w:val="center"/>
        </w:trPr>
        <w:tc>
          <w:tcPr>
            <w:tcW w:w="3420" w:type="dxa"/>
          </w:tcPr>
          <w:p w14:paraId="409CE92C" w14:textId="77777777" w:rsidR="00172318" w:rsidRPr="003413EC" w:rsidRDefault="00172318" w:rsidP="00190B73">
            <w:pPr>
              <w:pStyle w:val="List2"/>
              <w:keepNext/>
              <w:keepLines/>
              <w:spacing w:before="80" w:after="40"/>
              <w:ind w:left="0" w:firstLine="0"/>
              <w:rPr>
                <w:b/>
                <w:sz w:val="22"/>
              </w:rPr>
            </w:pPr>
            <w:r w:rsidRPr="003413EC">
              <w:rPr>
                <w:b/>
                <w:sz w:val="22"/>
              </w:rPr>
              <w:t>Ethnicity</w:t>
            </w:r>
          </w:p>
        </w:tc>
        <w:tc>
          <w:tcPr>
            <w:tcW w:w="2520" w:type="dxa"/>
            <w:vAlign w:val="center"/>
          </w:tcPr>
          <w:p w14:paraId="5EAA16F9" w14:textId="77777777" w:rsidR="00172318" w:rsidRPr="003413EC" w:rsidRDefault="00172318" w:rsidP="00190B73">
            <w:pPr>
              <w:pStyle w:val="List2"/>
              <w:keepNext/>
              <w:keepLines/>
              <w:tabs>
                <w:tab w:val="decimal" w:pos="1300"/>
              </w:tabs>
              <w:spacing w:before="40" w:after="40"/>
              <w:ind w:left="0" w:firstLine="0"/>
              <w:rPr>
                <w:sz w:val="22"/>
              </w:rPr>
            </w:pPr>
          </w:p>
        </w:tc>
        <w:tc>
          <w:tcPr>
            <w:tcW w:w="2340" w:type="dxa"/>
            <w:vAlign w:val="center"/>
          </w:tcPr>
          <w:p w14:paraId="3E402E11" w14:textId="77777777" w:rsidR="00172318" w:rsidRPr="003413EC" w:rsidRDefault="00172318" w:rsidP="00190B73">
            <w:pPr>
              <w:pStyle w:val="List2"/>
              <w:keepNext/>
              <w:keepLines/>
              <w:tabs>
                <w:tab w:val="decimal" w:pos="1300"/>
              </w:tabs>
              <w:spacing w:before="40" w:after="40"/>
              <w:ind w:left="0" w:firstLine="0"/>
              <w:rPr>
                <w:sz w:val="22"/>
              </w:rPr>
            </w:pPr>
          </w:p>
        </w:tc>
      </w:tr>
      <w:tr w:rsidR="00172318" w:rsidRPr="005B2DFB" w14:paraId="12C3332A" w14:textId="77777777" w:rsidTr="00190B73">
        <w:trPr>
          <w:trHeight w:val="180"/>
          <w:jc w:val="center"/>
        </w:trPr>
        <w:tc>
          <w:tcPr>
            <w:tcW w:w="3420" w:type="dxa"/>
          </w:tcPr>
          <w:p w14:paraId="4BD62620"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Hispanic</w:t>
            </w:r>
          </w:p>
        </w:tc>
        <w:tc>
          <w:tcPr>
            <w:tcW w:w="2520" w:type="dxa"/>
            <w:vAlign w:val="center"/>
          </w:tcPr>
          <w:p w14:paraId="718184B2"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15.8</w:t>
            </w:r>
          </w:p>
        </w:tc>
        <w:tc>
          <w:tcPr>
            <w:tcW w:w="2340" w:type="dxa"/>
            <w:vAlign w:val="center"/>
          </w:tcPr>
          <w:p w14:paraId="10CC9029"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12.5</w:t>
            </w:r>
          </w:p>
        </w:tc>
      </w:tr>
      <w:tr w:rsidR="00172318" w:rsidRPr="005B2DFB" w14:paraId="54BFA264" w14:textId="77777777" w:rsidTr="00190B73">
        <w:trPr>
          <w:trHeight w:val="180"/>
          <w:jc w:val="center"/>
        </w:trPr>
        <w:tc>
          <w:tcPr>
            <w:tcW w:w="3420" w:type="dxa"/>
          </w:tcPr>
          <w:p w14:paraId="658E838F"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Non-Hispanic</w:t>
            </w:r>
          </w:p>
        </w:tc>
        <w:tc>
          <w:tcPr>
            <w:tcW w:w="2520" w:type="dxa"/>
            <w:vAlign w:val="center"/>
          </w:tcPr>
          <w:p w14:paraId="2759F2B9"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84.2</w:t>
            </w:r>
          </w:p>
        </w:tc>
        <w:tc>
          <w:tcPr>
            <w:tcW w:w="2340" w:type="dxa"/>
            <w:vAlign w:val="center"/>
          </w:tcPr>
          <w:p w14:paraId="40C15AA7"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87.5</w:t>
            </w:r>
          </w:p>
        </w:tc>
      </w:tr>
      <w:tr w:rsidR="00172318" w:rsidRPr="005B2DFB" w14:paraId="231F930F" w14:textId="77777777" w:rsidTr="00190B73">
        <w:trPr>
          <w:trHeight w:val="221"/>
          <w:jc w:val="center"/>
        </w:trPr>
        <w:tc>
          <w:tcPr>
            <w:tcW w:w="3420" w:type="dxa"/>
          </w:tcPr>
          <w:p w14:paraId="56C5BB7B" w14:textId="77777777" w:rsidR="00172318" w:rsidRPr="003413EC" w:rsidRDefault="00172318" w:rsidP="00190B73">
            <w:pPr>
              <w:pStyle w:val="List2"/>
              <w:keepNext/>
              <w:keepLines/>
              <w:tabs>
                <w:tab w:val="left" w:pos="180"/>
              </w:tabs>
              <w:spacing w:before="80" w:after="40"/>
              <w:ind w:left="0" w:firstLine="0"/>
              <w:rPr>
                <w:b/>
                <w:sz w:val="22"/>
              </w:rPr>
            </w:pPr>
            <w:r w:rsidRPr="003413EC">
              <w:rPr>
                <w:b/>
                <w:sz w:val="22"/>
              </w:rPr>
              <w:t>Race</w:t>
            </w:r>
          </w:p>
        </w:tc>
        <w:tc>
          <w:tcPr>
            <w:tcW w:w="2520" w:type="dxa"/>
            <w:vAlign w:val="center"/>
          </w:tcPr>
          <w:p w14:paraId="7AB63FC3" w14:textId="77777777" w:rsidR="00172318" w:rsidRPr="003413EC" w:rsidRDefault="00172318" w:rsidP="00190B73">
            <w:pPr>
              <w:pStyle w:val="List2"/>
              <w:keepNext/>
              <w:keepLines/>
              <w:tabs>
                <w:tab w:val="decimal" w:pos="1300"/>
              </w:tabs>
              <w:spacing w:before="40" w:after="40"/>
              <w:ind w:left="0" w:firstLine="0"/>
              <w:rPr>
                <w:sz w:val="22"/>
              </w:rPr>
            </w:pPr>
          </w:p>
        </w:tc>
        <w:tc>
          <w:tcPr>
            <w:tcW w:w="2340" w:type="dxa"/>
            <w:vAlign w:val="center"/>
          </w:tcPr>
          <w:p w14:paraId="3CB91320" w14:textId="77777777" w:rsidR="00172318" w:rsidRPr="003413EC" w:rsidRDefault="00172318" w:rsidP="00190B73">
            <w:pPr>
              <w:pStyle w:val="List2"/>
              <w:keepNext/>
              <w:keepLines/>
              <w:tabs>
                <w:tab w:val="decimal" w:pos="1300"/>
              </w:tabs>
              <w:spacing w:before="40" w:after="40"/>
              <w:ind w:left="0" w:firstLine="0"/>
              <w:rPr>
                <w:sz w:val="22"/>
              </w:rPr>
            </w:pPr>
          </w:p>
        </w:tc>
      </w:tr>
      <w:tr w:rsidR="00172318" w:rsidRPr="005B2DFB" w14:paraId="3843E553" w14:textId="77777777" w:rsidTr="00190B73">
        <w:trPr>
          <w:trHeight w:val="180"/>
          <w:jc w:val="center"/>
        </w:trPr>
        <w:tc>
          <w:tcPr>
            <w:tcW w:w="3420" w:type="dxa"/>
          </w:tcPr>
          <w:p w14:paraId="0D597786"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White</w:t>
            </w:r>
          </w:p>
        </w:tc>
        <w:tc>
          <w:tcPr>
            <w:tcW w:w="2520" w:type="dxa"/>
            <w:vAlign w:val="center"/>
          </w:tcPr>
          <w:p w14:paraId="3C4B17B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78.5</w:t>
            </w:r>
          </w:p>
        </w:tc>
        <w:tc>
          <w:tcPr>
            <w:tcW w:w="2340" w:type="dxa"/>
            <w:vAlign w:val="center"/>
          </w:tcPr>
          <w:p w14:paraId="27D883C5"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78.9</w:t>
            </w:r>
          </w:p>
        </w:tc>
      </w:tr>
      <w:tr w:rsidR="00172318" w:rsidRPr="005B2DFB" w14:paraId="41B48179" w14:textId="77777777" w:rsidTr="00190B73">
        <w:trPr>
          <w:trHeight w:val="180"/>
          <w:jc w:val="center"/>
        </w:trPr>
        <w:tc>
          <w:tcPr>
            <w:tcW w:w="3420" w:type="dxa"/>
          </w:tcPr>
          <w:p w14:paraId="1FC162F1"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Black or African American</w:t>
            </w:r>
          </w:p>
        </w:tc>
        <w:tc>
          <w:tcPr>
            <w:tcW w:w="2520" w:type="dxa"/>
            <w:vAlign w:val="center"/>
          </w:tcPr>
          <w:p w14:paraId="58FD7D75"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12.8</w:t>
            </w:r>
          </w:p>
        </w:tc>
        <w:tc>
          <w:tcPr>
            <w:tcW w:w="2340" w:type="dxa"/>
            <w:vAlign w:val="center"/>
          </w:tcPr>
          <w:p w14:paraId="0FC2DD67"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11.2</w:t>
            </w:r>
          </w:p>
        </w:tc>
      </w:tr>
      <w:tr w:rsidR="00172318" w:rsidRPr="005B2DFB" w14:paraId="381BD1ED" w14:textId="77777777" w:rsidTr="00190B73">
        <w:trPr>
          <w:trHeight w:val="168"/>
          <w:jc w:val="center"/>
        </w:trPr>
        <w:tc>
          <w:tcPr>
            <w:tcW w:w="3420" w:type="dxa"/>
          </w:tcPr>
          <w:p w14:paraId="44D7DC9E"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American Indian or Alaska Native</w:t>
            </w:r>
          </w:p>
        </w:tc>
        <w:tc>
          <w:tcPr>
            <w:tcW w:w="2520" w:type="dxa"/>
            <w:vAlign w:val="center"/>
          </w:tcPr>
          <w:p w14:paraId="2837753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1.1</w:t>
            </w:r>
          </w:p>
        </w:tc>
        <w:tc>
          <w:tcPr>
            <w:tcW w:w="2340" w:type="dxa"/>
            <w:vAlign w:val="center"/>
          </w:tcPr>
          <w:p w14:paraId="72977977"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0.8</w:t>
            </w:r>
          </w:p>
        </w:tc>
      </w:tr>
      <w:tr w:rsidR="00172318" w:rsidRPr="005B2DFB" w14:paraId="24F7AD6C" w14:textId="77777777" w:rsidTr="00190B73">
        <w:trPr>
          <w:trHeight w:val="209"/>
          <w:jc w:val="center"/>
        </w:trPr>
        <w:tc>
          <w:tcPr>
            <w:tcW w:w="3420" w:type="dxa"/>
          </w:tcPr>
          <w:p w14:paraId="1E514924"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Asian</w:t>
            </w:r>
          </w:p>
        </w:tc>
        <w:tc>
          <w:tcPr>
            <w:tcW w:w="2520" w:type="dxa"/>
            <w:vAlign w:val="center"/>
          </w:tcPr>
          <w:p w14:paraId="2F6FADF7"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5.6</w:t>
            </w:r>
          </w:p>
        </w:tc>
        <w:tc>
          <w:tcPr>
            <w:tcW w:w="2340" w:type="dxa"/>
            <w:vAlign w:val="center"/>
          </w:tcPr>
          <w:p w14:paraId="6A71A5EF"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6.6</w:t>
            </w:r>
          </w:p>
        </w:tc>
      </w:tr>
      <w:tr w:rsidR="00172318" w:rsidRPr="005B2DFB" w14:paraId="4B432CF0" w14:textId="77777777" w:rsidTr="00190B73">
        <w:trPr>
          <w:trHeight w:val="209"/>
          <w:jc w:val="center"/>
        </w:trPr>
        <w:tc>
          <w:tcPr>
            <w:tcW w:w="3420" w:type="dxa"/>
          </w:tcPr>
          <w:p w14:paraId="4CC4DBC7"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Native Hawaiian or Pacific Islander</w:t>
            </w:r>
          </w:p>
        </w:tc>
        <w:tc>
          <w:tcPr>
            <w:tcW w:w="2520" w:type="dxa"/>
            <w:vAlign w:val="center"/>
          </w:tcPr>
          <w:p w14:paraId="37304F7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0.2</w:t>
            </w:r>
          </w:p>
        </w:tc>
        <w:tc>
          <w:tcPr>
            <w:tcW w:w="2340" w:type="dxa"/>
            <w:vAlign w:val="center"/>
          </w:tcPr>
          <w:p w14:paraId="536455FA"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0.04</w:t>
            </w:r>
          </w:p>
        </w:tc>
      </w:tr>
      <w:tr w:rsidR="00172318" w:rsidRPr="005B2DFB" w14:paraId="5B3B982A" w14:textId="77777777" w:rsidTr="00190B73">
        <w:trPr>
          <w:trHeight w:val="221"/>
          <w:jc w:val="center"/>
        </w:trPr>
        <w:tc>
          <w:tcPr>
            <w:tcW w:w="3420" w:type="dxa"/>
          </w:tcPr>
          <w:p w14:paraId="6B1FDA36"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Two or more races</w:t>
            </w:r>
          </w:p>
        </w:tc>
        <w:tc>
          <w:tcPr>
            <w:tcW w:w="2520" w:type="dxa"/>
            <w:vAlign w:val="center"/>
          </w:tcPr>
          <w:p w14:paraId="40034074"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1.8</w:t>
            </w:r>
          </w:p>
        </w:tc>
        <w:tc>
          <w:tcPr>
            <w:tcW w:w="2340" w:type="dxa"/>
            <w:vAlign w:val="center"/>
          </w:tcPr>
          <w:p w14:paraId="57CC7F46"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1.5</w:t>
            </w:r>
          </w:p>
        </w:tc>
      </w:tr>
      <w:tr w:rsidR="00172318" w:rsidRPr="005B2DFB" w14:paraId="41E49042" w14:textId="77777777" w:rsidTr="00190B73">
        <w:trPr>
          <w:trHeight w:val="221"/>
          <w:jc w:val="center"/>
        </w:trPr>
        <w:tc>
          <w:tcPr>
            <w:tcW w:w="3420" w:type="dxa"/>
          </w:tcPr>
          <w:p w14:paraId="18496724" w14:textId="77777777" w:rsidR="00172318" w:rsidRPr="003413EC" w:rsidRDefault="00172318" w:rsidP="00190B73">
            <w:pPr>
              <w:pStyle w:val="List2"/>
              <w:keepNext/>
              <w:keepLines/>
              <w:tabs>
                <w:tab w:val="left" w:pos="180"/>
              </w:tabs>
              <w:spacing w:after="80"/>
              <w:ind w:left="0" w:firstLine="0"/>
              <w:rPr>
                <w:sz w:val="22"/>
              </w:rPr>
            </w:pPr>
            <w:r w:rsidRPr="003413EC">
              <w:rPr>
                <w:b/>
                <w:sz w:val="22"/>
              </w:rPr>
              <w:t>Household Income</w:t>
            </w:r>
          </w:p>
        </w:tc>
        <w:tc>
          <w:tcPr>
            <w:tcW w:w="2520" w:type="dxa"/>
            <w:vAlign w:val="center"/>
          </w:tcPr>
          <w:p w14:paraId="5306886C" w14:textId="77777777" w:rsidR="00172318" w:rsidRPr="003413EC" w:rsidRDefault="00172318" w:rsidP="00190B73">
            <w:pPr>
              <w:pStyle w:val="List2"/>
              <w:keepNext/>
              <w:keepLines/>
              <w:tabs>
                <w:tab w:val="decimal" w:pos="1300"/>
              </w:tabs>
              <w:spacing w:before="40" w:after="40"/>
              <w:ind w:left="0" w:firstLine="0"/>
              <w:rPr>
                <w:sz w:val="22"/>
              </w:rPr>
            </w:pPr>
          </w:p>
        </w:tc>
        <w:tc>
          <w:tcPr>
            <w:tcW w:w="2340" w:type="dxa"/>
            <w:vAlign w:val="center"/>
          </w:tcPr>
          <w:p w14:paraId="3CAC87DA" w14:textId="77777777" w:rsidR="00172318" w:rsidRPr="003413EC" w:rsidRDefault="00172318" w:rsidP="00190B73">
            <w:pPr>
              <w:pStyle w:val="List2"/>
              <w:keepNext/>
              <w:keepLines/>
              <w:tabs>
                <w:tab w:val="decimal" w:pos="1300"/>
              </w:tabs>
              <w:spacing w:before="40" w:after="40"/>
              <w:ind w:left="0" w:firstLine="0"/>
              <w:rPr>
                <w:sz w:val="22"/>
              </w:rPr>
            </w:pPr>
          </w:p>
        </w:tc>
      </w:tr>
      <w:tr w:rsidR="00172318" w:rsidRPr="005B2DFB" w14:paraId="53640B27" w14:textId="77777777" w:rsidTr="00190B73">
        <w:trPr>
          <w:trHeight w:val="221"/>
          <w:jc w:val="center"/>
        </w:trPr>
        <w:tc>
          <w:tcPr>
            <w:tcW w:w="3420" w:type="dxa"/>
          </w:tcPr>
          <w:p w14:paraId="787F1A8D"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$0–49,999</w:t>
            </w:r>
          </w:p>
        </w:tc>
        <w:tc>
          <w:tcPr>
            <w:tcW w:w="2520" w:type="dxa"/>
            <w:vAlign w:val="center"/>
          </w:tcPr>
          <w:p w14:paraId="3F2A869D"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46.7</w:t>
            </w:r>
          </w:p>
        </w:tc>
        <w:tc>
          <w:tcPr>
            <w:tcW w:w="2340" w:type="dxa"/>
            <w:vAlign w:val="center"/>
          </w:tcPr>
          <w:p w14:paraId="5D7B0462"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46.6</w:t>
            </w:r>
          </w:p>
        </w:tc>
      </w:tr>
      <w:tr w:rsidR="00172318" w:rsidRPr="005B2DFB" w14:paraId="2B88A37B" w14:textId="77777777" w:rsidTr="00190B73">
        <w:trPr>
          <w:trHeight w:val="209"/>
          <w:jc w:val="center"/>
        </w:trPr>
        <w:tc>
          <w:tcPr>
            <w:tcW w:w="3420" w:type="dxa"/>
          </w:tcPr>
          <w:p w14:paraId="400CB20E"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$50–99,999</w:t>
            </w:r>
          </w:p>
        </w:tc>
        <w:tc>
          <w:tcPr>
            <w:tcW w:w="2520" w:type="dxa"/>
            <w:vAlign w:val="center"/>
          </w:tcPr>
          <w:p w14:paraId="4217A997"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29.8</w:t>
            </w:r>
          </w:p>
        </w:tc>
        <w:tc>
          <w:tcPr>
            <w:tcW w:w="2340" w:type="dxa"/>
            <w:vAlign w:val="center"/>
          </w:tcPr>
          <w:p w14:paraId="20D1CBEA"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36.2</w:t>
            </w:r>
          </w:p>
        </w:tc>
      </w:tr>
      <w:tr w:rsidR="00172318" w:rsidRPr="005B2DFB" w14:paraId="7375C57E" w14:textId="77777777" w:rsidTr="00190B73">
        <w:trPr>
          <w:trHeight w:val="221"/>
          <w:jc w:val="center"/>
        </w:trPr>
        <w:tc>
          <w:tcPr>
            <w:tcW w:w="3420" w:type="dxa"/>
          </w:tcPr>
          <w:p w14:paraId="33F4667F"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$100–149,999</w:t>
            </w:r>
          </w:p>
        </w:tc>
        <w:tc>
          <w:tcPr>
            <w:tcW w:w="2520" w:type="dxa"/>
            <w:vAlign w:val="center"/>
          </w:tcPr>
          <w:p w14:paraId="420CF48C"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13.0</w:t>
            </w:r>
          </w:p>
        </w:tc>
        <w:tc>
          <w:tcPr>
            <w:tcW w:w="2340" w:type="dxa"/>
            <w:vAlign w:val="center"/>
          </w:tcPr>
          <w:p w14:paraId="060E739B"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11.5</w:t>
            </w:r>
          </w:p>
        </w:tc>
      </w:tr>
      <w:tr w:rsidR="00172318" w:rsidRPr="005B2DFB" w14:paraId="492BCAF9" w14:textId="77777777" w:rsidTr="00190B73">
        <w:trPr>
          <w:trHeight w:val="221"/>
          <w:jc w:val="center"/>
        </w:trPr>
        <w:tc>
          <w:tcPr>
            <w:tcW w:w="3420" w:type="dxa"/>
          </w:tcPr>
          <w:p w14:paraId="082657DB" w14:textId="77777777" w:rsidR="00172318" w:rsidRPr="003413EC" w:rsidRDefault="00172318" w:rsidP="00190B73">
            <w:pPr>
              <w:pStyle w:val="List2"/>
              <w:keepNext/>
              <w:keepLines/>
              <w:tabs>
                <w:tab w:val="left" w:pos="180"/>
              </w:tabs>
              <w:spacing w:after="40"/>
              <w:ind w:left="0" w:firstLine="0"/>
              <w:rPr>
                <w:sz w:val="22"/>
              </w:rPr>
            </w:pPr>
            <w:r w:rsidRPr="003413EC">
              <w:rPr>
                <w:sz w:val="22"/>
              </w:rPr>
              <w:t xml:space="preserve">   $150–or more</w:t>
            </w:r>
          </w:p>
        </w:tc>
        <w:tc>
          <w:tcPr>
            <w:tcW w:w="2520" w:type="dxa"/>
            <w:vAlign w:val="center"/>
          </w:tcPr>
          <w:p w14:paraId="42052162"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10.4</w:t>
            </w:r>
          </w:p>
        </w:tc>
        <w:tc>
          <w:tcPr>
            <w:tcW w:w="2340" w:type="dxa"/>
            <w:vAlign w:val="center"/>
          </w:tcPr>
          <w:p w14:paraId="59DE889D"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5.7</w:t>
            </w:r>
          </w:p>
        </w:tc>
      </w:tr>
      <w:tr w:rsidR="00172318" w:rsidRPr="005B2DFB" w14:paraId="407CFBE8" w14:textId="77777777" w:rsidTr="00190B73">
        <w:trPr>
          <w:trHeight w:val="221"/>
          <w:jc w:val="center"/>
        </w:trPr>
        <w:tc>
          <w:tcPr>
            <w:tcW w:w="3420" w:type="dxa"/>
          </w:tcPr>
          <w:p w14:paraId="3016876D" w14:textId="77777777" w:rsidR="00172318" w:rsidRPr="003413EC" w:rsidRDefault="00172318" w:rsidP="00190B73">
            <w:pPr>
              <w:pStyle w:val="List2"/>
              <w:keepNext/>
              <w:keepLines/>
              <w:tabs>
                <w:tab w:val="left" w:pos="180"/>
              </w:tabs>
              <w:spacing w:after="80"/>
              <w:ind w:left="0" w:firstLine="0"/>
              <w:rPr>
                <w:sz w:val="22"/>
              </w:rPr>
            </w:pPr>
            <w:r w:rsidRPr="003413EC">
              <w:rPr>
                <w:b/>
                <w:sz w:val="22"/>
              </w:rPr>
              <w:t>Census Region</w:t>
            </w:r>
          </w:p>
        </w:tc>
        <w:tc>
          <w:tcPr>
            <w:tcW w:w="2520" w:type="dxa"/>
            <w:vAlign w:val="center"/>
          </w:tcPr>
          <w:p w14:paraId="6B5639AF" w14:textId="77777777" w:rsidR="00172318" w:rsidRPr="003413EC" w:rsidRDefault="00172318" w:rsidP="00190B73">
            <w:pPr>
              <w:pStyle w:val="List2"/>
              <w:keepNext/>
              <w:keepLines/>
              <w:tabs>
                <w:tab w:val="decimal" w:pos="1300"/>
              </w:tabs>
              <w:spacing w:before="40" w:after="40"/>
              <w:ind w:left="0" w:firstLine="0"/>
              <w:rPr>
                <w:sz w:val="22"/>
              </w:rPr>
            </w:pPr>
          </w:p>
        </w:tc>
        <w:tc>
          <w:tcPr>
            <w:tcW w:w="2340" w:type="dxa"/>
            <w:vAlign w:val="center"/>
          </w:tcPr>
          <w:p w14:paraId="65EFEDA7" w14:textId="77777777" w:rsidR="00172318" w:rsidRPr="003413EC" w:rsidRDefault="00172318" w:rsidP="00190B73">
            <w:pPr>
              <w:pStyle w:val="List2"/>
              <w:keepNext/>
              <w:keepLines/>
              <w:tabs>
                <w:tab w:val="decimal" w:pos="1300"/>
              </w:tabs>
              <w:spacing w:before="40" w:after="40"/>
              <w:ind w:left="0" w:firstLine="0"/>
              <w:rPr>
                <w:sz w:val="22"/>
              </w:rPr>
            </w:pPr>
          </w:p>
        </w:tc>
      </w:tr>
      <w:tr w:rsidR="00172318" w:rsidRPr="005B2DFB" w14:paraId="041A3BA4" w14:textId="77777777" w:rsidTr="00190B73">
        <w:trPr>
          <w:trHeight w:val="221"/>
          <w:jc w:val="center"/>
        </w:trPr>
        <w:tc>
          <w:tcPr>
            <w:tcW w:w="3420" w:type="dxa"/>
          </w:tcPr>
          <w:p w14:paraId="15D8BDC3" w14:textId="77777777" w:rsidR="00172318" w:rsidRPr="003413EC" w:rsidRDefault="00172318" w:rsidP="00190B73">
            <w:pPr>
              <w:pStyle w:val="List2"/>
              <w:keepNext/>
              <w:keepLines/>
              <w:tabs>
                <w:tab w:val="left" w:pos="180"/>
              </w:tabs>
              <w:spacing w:after="80"/>
              <w:ind w:left="0" w:firstLine="0"/>
              <w:rPr>
                <w:sz w:val="22"/>
              </w:rPr>
            </w:pPr>
            <w:r w:rsidRPr="003413EC">
              <w:rPr>
                <w:sz w:val="22"/>
              </w:rPr>
              <w:t xml:space="preserve">   Northeast</w:t>
            </w:r>
          </w:p>
        </w:tc>
        <w:tc>
          <w:tcPr>
            <w:tcW w:w="2520" w:type="dxa"/>
            <w:shd w:val="clear" w:color="auto" w:fill="auto"/>
            <w:vAlign w:val="center"/>
          </w:tcPr>
          <w:p w14:paraId="36F4AA72"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18.0</w:t>
            </w:r>
          </w:p>
        </w:tc>
        <w:tc>
          <w:tcPr>
            <w:tcW w:w="2340" w:type="dxa"/>
            <w:vAlign w:val="center"/>
          </w:tcPr>
          <w:p w14:paraId="633BB1A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18.9</w:t>
            </w:r>
          </w:p>
        </w:tc>
      </w:tr>
      <w:tr w:rsidR="00172318" w:rsidRPr="005B2DFB" w14:paraId="76FAF895" w14:textId="77777777" w:rsidTr="00190B73">
        <w:trPr>
          <w:trHeight w:val="221"/>
          <w:jc w:val="center"/>
        </w:trPr>
        <w:tc>
          <w:tcPr>
            <w:tcW w:w="3420" w:type="dxa"/>
          </w:tcPr>
          <w:p w14:paraId="7D6EC75C" w14:textId="77777777" w:rsidR="00172318" w:rsidRPr="003413EC" w:rsidRDefault="00172318" w:rsidP="00190B73">
            <w:pPr>
              <w:pStyle w:val="List2"/>
              <w:keepNext/>
              <w:keepLines/>
              <w:tabs>
                <w:tab w:val="left" w:pos="180"/>
              </w:tabs>
              <w:spacing w:after="80"/>
              <w:ind w:left="0" w:firstLine="0"/>
              <w:rPr>
                <w:sz w:val="22"/>
              </w:rPr>
            </w:pPr>
            <w:r w:rsidRPr="003413EC">
              <w:rPr>
                <w:sz w:val="22"/>
              </w:rPr>
              <w:t xml:space="preserve">   Midwest</w:t>
            </w:r>
          </w:p>
        </w:tc>
        <w:tc>
          <w:tcPr>
            <w:tcW w:w="2520" w:type="dxa"/>
            <w:shd w:val="clear" w:color="auto" w:fill="auto"/>
            <w:vAlign w:val="center"/>
          </w:tcPr>
          <w:p w14:paraId="1DE30AE3"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21.2</w:t>
            </w:r>
          </w:p>
        </w:tc>
        <w:tc>
          <w:tcPr>
            <w:tcW w:w="2340" w:type="dxa"/>
            <w:vAlign w:val="center"/>
          </w:tcPr>
          <w:p w14:paraId="2A2560B0"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22.5</w:t>
            </w:r>
          </w:p>
        </w:tc>
      </w:tr>
      <w:tr w:rsidR="00172318" w:rsidRPr="005B2DFB" w14:paraId="050524BE" w14:textId="77777777" w:rsidTr="00190B73">
        <w:trPr>
          <w:trHeight w:val="209"/>
          <w:jc w:val="center"/>
        </w:trPr>
        <w:tc>
          <w:tcPr>
            <w:tcW w:w="3420" w:type="dxa"/>
          </w:tcPr>
          <w:p w14:paraId="151F5242" w14:textId="77777777" w:rsidR="00172318" w:rsidRPr="003413EC" w:rsidRDefault="00172318" w:rsidP="00190B73">
            <w:pPr>
              <w:pStyle w:val="List2"/>
              <w:keepNext/>
              <w:keepLines/>
              <w:tabs>
                <w:tab w:val="left" w:pos="180"/>
              </w:tabs>
              <w:spacing w:after="80"/>
              <w:ind w:left="0" w:firstLine="0"/>
              <w:rPr>
                <w:sz w:val="22"/>
              </w:rPr>
            </w:pPr>
            <w:r w:rsidRPr="003413EC">
              <w:rPr>
                <w:sz w:val="22"/>
              </w:rPr>
              <w:t xml:space="preserve">   South</w:t>
            </w:r>
          </w:p>
        </w:tc>
        <w:tc>
          <w:tcPr>
            <w:tcW w:w="2520" w:type="dxa"/>
            <w:shd w:val="clear" w:color="auto" w:fill="auto"/>
            <w:vAlign w:val="center"/>
          </w:tcPr>
          <w:p w14:paraId="6DA377A1"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37.8</w:t>
            </w:r>
          </w:p>
        </w:tc>
        <w:tc>
          <w:tcPr>
            <w:tcW w:w="2340" w:type="dxa"/>
            <w:vAlign w:val="center"/>
          </w:tcPr>
          <w:p w14:paraId="33314A88"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36.1</w:t>
            </w:r>
          </w:p>
        </w:tc>
      </w:tr>
      <w:tr w:rsidR="00172318" w:rsidRPr="005B2DFB" w14:paraId="0E79A909" w14:textId="77777777" w:rsidTr="00190B73">
        <w:trPr>
          <w:trHeight w:val="209"/>
          <w:jc w:val="center"/>
        </w:trPr>
        <w:tc>
          <w:tcPr>
            <w:tcW w:w="3420" w:type="dxa"/>
            <w:tcBorders>
              <w:bottom w:val="double" w:sz="4" w:space="0" w:color="auto"/>
            </w:tcBorders>
          </w:tcPr>
          <w:p w14:paraId="315F3EA1" w14:textId="77777777" w:rsidR="00172318" w:rsidRPr="003413EC" w:rsidRDefault="00172318" w:rsidP="00190B73">
            <w:pPr>
              <w:pStyle w:val="List2"/>
              <w:keepNext/>
              <w:keepLines/>
              <w:tabs>
                <w:tab w:val="left" w:pos="180"/>
              </w:tabs>
              <w:spacing w:after="80"/>
              <w:ind w:left="0" w:firstLine="0"/>
              <w:rPr>
                <w:sz w:val="22"/>
              </w:rPr>
            </w:pPr>
            <w:r w:rsidRPr="003413EC">
              <w:rPr>
                <w:sz w:val="22"/>
              </w:rPr>
              <w:t xml:space="preserve">   West</w:t>
            </w:r>
          </w:p>
        </w:tc>
        <w:tc>
          <w:tcPr>
            <w:tcW w:w="2520" w:type="dxa"/>
            <w:tcBorders>
              <w:bottom w:val="double" w:sz="4" w:space="0" w:color="auto"/>
            </w:tcBorders>
            <w:shd w:val="clear" w:color="auto" w:fill="auto"/>
            <w:vAlign w:val="center"/>
          </w:tcPr>
          <w:p w14:paraId="2DF26368"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23.1</w:t>
            </w:r>
          </w:p>
        </w:tc>
        <w:tc>
          <w:tcPr>
            <w:tcW w:w="2340" w:type="dxa"/>
            <w:tcBorders>
              <w:bottom w:val="double" w:sz="4" w:space="0" w:color="auto"/>
            </w:tcBorders>
            <w:vAlign w:val="center"/>
          </w:tcPr>
          <w:p w14:paraId="46DC5A1B" w14:textId="77777777" w:rsidR="00172318" w:rsidRPr="003413EC" w:rsidRDefault="00172318" w:rsidP="00190B73">
            <w:pPr>
              <w:pStyle w:val="List2"/>
              <w:keepNext/>
              <w:keepLines/>
              <w:tabs>
                <w:tab w:val="decimal" w:pos="1300"/>
              </w:tabs>
              <w:spacing w:before="40" w:after="40"/>
              <w:ind w:left="0" w:firstLine="0"/>
              <w:rPr>
                <w:sz w:val="22"/>
              </w:rPr>
            </w:pPr>
            <w:r w:rsidRPr="003413EC">
              <w:rPr>
                <w:sz w:val="22"/>
              </w:rPr>
              <w:t>22.5</w:t>
            </w:r>
          </w:p>
        </w:tc>
      </w:tr>
      <w:tr w:rsidR="00172318" w:rsidRPr="005B2DFB" w14:paraId="4AEC22D8" w14:textId="77777777" w:rsidTr="00190B73">
        <w:trPr>
          <w:trHeight w:val="209"/>
          <w:jc w:val="center"/>
        </w:trPr>
        <w:tc>
          <w:tcPr>
            <w:tcW w:w="8280" w:type="dxa"/>
            <w:gridSpan w:val="3"/>
            <w:tcBorders>
              <w:top w:val="double" w:sz="4" w:space="0" w:color="auto"/>
            </w:tcBorders>
          </w:tcPr>
          <w:p w14:paraId="6C566EF8" w14:textId="77777777" w:rsidR="00172318" w:rsidRPr="003413EC" w:rsidRDefault="00172318" w:rsidP="00190B73">
            <w:pPr>
              <w:suppressAutoHyphens/>
              <w:jc w:val="both"/>
              <w:rPr>
                <w:rFonts w:ascii="Times New Roman" w:hAnsi="Times New Roman" w:cs="Times New Roman"/>
                <w:b/>
                <w:szCs w:val="24"/>
              </w:rPr>
            </w:pPr>
            <w:r w:rsidRPr="003413EC">
              <w:rPr>
                <w:rFonts w:ascii="Times New Roman" w:hAnsi="Times New Roman" w:cs="Times New Roman"/>
                <w:szCs w:val="24"/>
              </w:rPr>
              <w:t xml:space="preserve">*Note: U.S. Population estimates exclude AK, HI, and the District of Columbia.  </w:t>
            </w:r>
            <w:r w:rsidRPr="003413EC">
              <w:rPr>
                <w:rFonts w:ascii="Times New Roman" w:hAnsi="Times New Roman" w:cs="Times New Roman"/>
                <w:color w:val="000000" w:themeColor="text1"/>
                <w:szCs w:val="24"/>
              </w:rPr>
              <w:t xml:space="preserve">Population estimates were obtained from the U.S. Census </w:t>
            </w:r>
            <w:r w:rsidRPr="003413EC">
              <w:rPr>
                <w:rFonts w:ascii="Times New Roman" w:hAnsi="Times New Roman" w:cs="Times New Roman"/>
                <w:color w:val="000000" w:themeColor="text1"/>
                <w:szCs w:val="24"/>
                <w:shd w:val="clear" w:color="auto" w:fill="FFFFFF"/>
              </w:rPr>
              <w:t>Annual Estimates of the Resident Population by Sex, Age, Race, and Hispanic Origin for the United States and States: April 1, 2010 to July 1, 2016 (PEPASR6H).</w:t>
            </w:r>
          </w:p>
        </w:tc>
      </w:tr>
    </w:tbl>
    <w:p w14:paraId="600190F5" w14:textId="7F795ECC" w:rsidR="00172318" w:rsidRDefault="00172318" w:rsidP="00172318">
      <w:pPr>
        <w:suppressAutoHyphens/>
        <w:ind w:firstLine="720"/>
        <w:jc w:val="both"/>
        <w:rPr>
          <w:rFonts w:ascii="Times New Roman" w:hAnsi="Times New Roman" w:cs="Times New Roman"/>
          <w:sz w:val="24"/>
          <w:szCs w:val="24"/>
        </w:rPr>
      </w:pPr>
    </w:p>
    <w:bookmarkEnd w:id="12"/>
    <w:p w14:paraId="5A6AFC15" w14:textId="77777777" w:rsidR="00F10E58" w:rsidRPr="005B2DFB" w:rsidRDefault="00F10E58" w:rsidP="00172318">
      <w:pPr>
        <w:spacing w:after="0" w:line="240" w:lineRule="auto"/>
        <w:rPr>
          <w:rFonts w:ascii="Times New Roman" w:hAnsi="Times New Roman" w:cs="Times New Roman"/>
          <w:sz w:val="24"/>
          <w:szCs w:val="24"/>
        </w:rPr>
      </w:pPr>
    </w:p>
    <w:p w14:paraId="1FF23588" w14:textId="78689BCE" w:rsidR="00420AFE" w:rsidRPr="005B2DFB" w:rsidRDefault="00420AFE">
      <w:pPr>
        <w:rPr>
          <w:rFonts w:ascii="Times New Roman" w:hAnsi="Times New Roman" w:cs="Times New Roman"/>
          <w:sz w:val="24"/>
          <w:szCs w:val="24"/>
        </w:rPr>
      </w:pPr>
      <w:r w:rsidRPr="005B2DFB">
        <w:rPr>
          <w:rFonts w:ascii="Times New Roman" w:hAnsi="Times New Roman" w:cs="Times New Roman"/>
          <w:sz w:val="24"/>
          <w:szCs w:val="24"/>
        </w:rPr>
        <w:br w:type="page"/>
      </w:r>
    </w:p>
    <w:p w14:paraId="45AC1358" w14:textId="268C74F2" w:rsidR="00420AFE" w:rsidRPr="005B2DFB" w:rsidRDefault="00274DED" w:rsidP="00AC5332">
      <w:pPr>
        <w:jc w:val="center"/>
        <w:rPr>
          <w:rFonts w:ascii="Times New Roman" w:hAnsi="Times New Roman" w:cs="Times New Roman"/>
          <w:b/>
          <w:sz w:val="24"/>
          <w:szCs w:val="24"/>
        </w:rPr>
      </w:pPr>
      <w:r w:rsidRPr="005B2DFB">
        <w:rPr>
          <w:rFonts w:ascii="Times New Roman" w:hAnsi="Times New Roman" w:cs="Times New Roman"/>
          <w:b/>
          <w:sz w:val="24"/>
          <w:szCs w:val="24"/>
        </w:rPr>
        <w:lastRenderedPageBreak/>
        <w:t xml:space="preserve">Appendix B: </w:t>
      </w:r>
      <w:r w:rsidR="00420AFE" w:rsidRPr="005B2DFB">
        <w:rPr>
          <w:rFonts w:ascii="Times New Roman" w:hAnsi="Times New Roman" w:cs="Times New Roman"/>
          <w:b/>
          <w:sz w:val="24"/>
          <w:szCs w:val="24"/>
        </w:rPr>
        <w:t>Ordinal Logistic Regression Results</w:t>
      </w:r>
    </w:p>
    <w:tbl>
      <w:tblPr>
        <w:tblW w:w="7111" w:type="dxa"/>
        <w:tblLook w:val="04A0" w:firstRow="1" w:lastRow="0" w:firstColumn="1" w:lastColumn="0" w:noHBand="0" w:noVBand="1"/>
      </w:tblPr>
      <w:tblGrid>
        <w:gridCol w:w="3725"/>
        <w:gridCol w:w="1580"/>
        <w:gridCol w:w="1694"/>
        <w:gridCol w:w="112"/>
      </w:tblGrid>
      <w:tr w:rsidR="00420AFE" w:rsidRPr="005B2DFB" w14:paraId="3DA5B506" w14:textId="77777777" w:rsidTr="00C274B1">
        <w:trPr>
          <w:gridAfter w:val="1"/>
          <w:wAfter w:w="112" w:type="dxa"/>
          <w:trHeight w:val="252"/>
        </w:trPr>
        <w:tc>
          <w:tcPr>
            <w:tcW w:w="6999" w:type="dxa"/>
            <w:gridSpan w:val="3"/>
            <w:tcBorders>
              <w:top w:val="nil"/>
              <w:left w:val="nil"/>
              <w:bottom w:val="nil"/>
              <w:right w:val="nil"/>
            </w:tcBorders>
            <w:shd w:val="clear" w:color="auto" w:fill="auto"/>
            <w:noWrap/>
            <w:vAlign w:val="center"/>
            <w:hideMark/>
          </w:tcPr>
          <w:p w14:paraId="756EFB25" w14:textId="7DB1EB40"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 xml:space="preserve">Table </w:t>
            </w:r>
            <w:r w:rsidR="006847DB">
              <w:rPr>
                <w:rFonts w:ascii="Times New Roman" w:eastAsia="Times New Roman" w:hAnsi="Times New Roman" w:cs="Times New Roman"/>
                <w:color w:val="000000"/>
                <w:sz w:val="24"/>
                <w:szCs w:val="24"/>
              </w:rPr>
              <w:t>3-</w:t>
            </w:r>
            <w:r w:rsidR="00274DED" w:rsidRPr="005B2DFB">
              <w:rPr>
                <w:rFonts w:ascii="Times New Roman" w:eastAsia="Times New Roman" w:hAnsi="Times New Roman" w:cs="Times New Roman"/>
                <w:color w:val="000000"/>
                <w:sz w:val="24"/>
                <w:szCs w:val="24"/>
              </w:rPr>
              <w:t>B1</w:t>
            </w:r>
            <w:r w:rsidRPr="005B2DFB">
              <w:rPr>
                <w:rFonts w:ascii="Times New Roman" w:eastAsia="Times New Roman" w:hAnsi="Times New Roman" w:cs="Times New Roman"/>
                <w:color w:val="000000"/>
                <w:sz w:val="24"/>
                <w:szCs w:val="24"/>
              </w:rPr>
              <w:t xml:space="preserve">. Ordinal Logistic Regression results </w:t>
            </w:r>
          </w:p>
        </w:tc>
      </w:tr>
      <w:tr w:rsidR="00420AFE" w:rsidRPr="005B2DFB" w14:paraId="50BAF9BB" w14:textId="77777777" w:rsidTr="00C274B1">
        <w:trPr>
          <w:trHeight w:val="737"/>
        </w:trPr>
        <w:tc>
          <w:tcPr>
            <w:tcW w:w="3725" w:type="dxa"/>
            <w:tcBorders>
              <w:top w:val="nil"/>
              <w:left w:val="nil"/>
              <w:bottom w:val="single" w:sz="8" w:space="0" w:color="auto"/>
              <w:right w:val="nil"/>
            </w:tcBorders>
            <w:shd w:val="clear" w:color="auto" w:fill="auto"/>
            <w:vAlign w:val="center"/>
            <w:hideMark/>
          </w:tcPr>
          <w:p w14:paraId="191E8751"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Explanatory Variables</w:t>
            </w:r>
          </w:p>
        </w:tc>
        <w:tc>
          <w:tcPr>
            <w:tcW w:w="1580" w:type="dxa"/>
            <w:tcBorders>
              <w:top w:val="nil"/>
              <w:left w:val="nil"/>
              <w:bottom w:val="single" w:sz="8" w:space="0" w:color="auto"/>
              <w:right w:val="nil"/>
            </w:tcBorders>
            <w:shd w:val="clear" w:color="auto" w:fill="auto"/>
            <w:vAlign w:val="center"/>
            <w:hideMark/>
          </w:tcPr>
          <w:p w14:paraId="4339E3A0"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Model 1: Support</w:t>
            </w:r>
          </w:p>
        </w:tc>
        <w:tc>
          <w:tcPr>
            <w:tcW w:w="1806" w:type="dxa"/>
            <w:gridSpan w:val="2"/>
            <w:tcBorders>
              <w:top w:val="nil"/>
              <w:left w:val="nil"/>
              <w:bottom w:val="single" w:sz="8" w:space="0" w:color="auto"/>
              <w:right w:val="nil"/>
            </w:tcBorders>
            <w:shd w:val="clear" w:color="auto" w:fill="auto"/>
            <w:vAlign w:val="center"/>
            <w:hideMark/>
          </w:tcPr>
          <w:p w14:paraId="1EDE499E"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Model 2: Fairness</w:t>
            </w:r>
          </w:p>
        </w:tc>
      </w:tr>
      <w:tr w:rsidR="00420AFE" w:rsidRPr="005B2DFB" w14:paraId="43E60B5B" w14:textId="77777777" w:rsidTr="00C274B1">
        <w:trPr>
          <w:trHeight w:val="354"/>
        </w:trPr>
        <w:tc>
          <w:tcPr>
            <w:tcW w:w="3725" w:type="dxa"/>
            <w:tcBorders>
              <w:top w:val="nil"/>
              <w:left w:val="nil"/>
              <w:bottom w:val="nil"/>
              <w:right w:val="nil"/>
            </w:tcBorders>
            <w:shd w:val="clear" w:color="auto" w:fill="auto"/>
            <w:vAlign w:val="center"/>
            <w:hideMark/>
          </w:tcPr>
          <w:p w14:paraId="300B51C7"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Family Income Cap</w:t>
            </w:r>
          </w:p>
        </w:tc>
        <w:tc>
          <w:tcPr>
            <w:tcW w:w="1580" w:type="dxa"/>
            <w:tcBorders>
              <w:top w:val="nil"/>
              <w:left w:val="nil"/>
              <w:bottom w:val="nil"/>
              <w:right w:val="nil"/>
            </w:tcBorders>
            <w:shd w:val="clear" w:color="auto" w:fill="auto"/>
            <w:vAlign w:val="center"/>
            <w:hideMark/>
          </w:tcPr>
          <w:p w14:paraId="3D4D06C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0.00162</w:t>
            </w:r>
          </w:p>
        </w:tc>
        <w:tc>
          <w:tcPr>
            <w:tcW w:w="1806" w:type="dxa"/>
            <w:gridSpan w:val="2"/>
            <w:tcBorders>
              <w:top w:val="nil"/>
              <w:left w:val="nil"/>
              <w:bottom w:val="nil"/>
              <w:right w:val="nil"/>
            </w:tcBorders>
            <w:shd w:val="clear" w:color="auto" w:fill="auto"/>
            <w:vAlign w:val="center"/>
            <w:hideMark/>
          </w:tcPr>
          <w:p w14:paraId="4F09BEB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-0.209**</w:t>
            </w:r>
          </w:p>
        </w:tc>
      </w:tr>
      <w:tr w:rsidR="00420AFE" w:rsidRPr="005B2DFB" w14:paraId="2899F678" w14:textId="77777777" w:rsidTr="00C274B1">
        <w:trPr>
          <w:trHeight w:val="57"/>
        </w:trPr>
        <w:tc>
          <w:tcPr>
            <w:tcW w:w="3725" w:type="dxa"/>
            <w:tcBorders>
              <w:top w:val="nil"/>
              <w:left w:val="nil"/>
              <w:bottom w:val="nil"/>
              <w:right w:val="nil"/>
            </w:tcBorders>
            <w:shd w:val="clear" w:color="auto" w:fill="auto"/>
            <w:vAlign w:val="center"/>
            <w:hideMark/>
          </w:tcPr>
          <w:p w14:paraId="6B4E879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3EB4640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(0.0901)</w:t>
            </w:r>
          </w:p>
        </w:tc>
        <w:tc>
          <w:tcPr>
            <w:tcW w:w="1806" w:type="dxa"/>
            <w:gridSpan w:val="2"/>
            <w:tcBorders>
              <w:top w:val="nil"/>
              <w:left w:val="nil"/>
              <w:bottom w:val="nil"/>
              <w:right w:val="nil"/>
            </w:tcBorders>
            <w:shd w:val="clear" w:color="auto" w:fill="auto"/>
            <w:vAlign w:val="center"/>
            <w:hideMark/>
          </w:tcPr>
          <w:p w14:paraId="296F298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(0.0948)</w:t>
            </w:r>
          </w:p>
        </w:tc>
      </w:tr>
      <w:tr w:rsidR="00420AFE" w:rsidRPr="005B2DFB" w14:paraId="76F63716" w14:textId="77777777" w:rsidTr="00C274B1">
        <w:trPr>
          <w:trHeight w:val="166"/>
        </w:trPr>
        <w:tc>
          <w:tcPr>
            <w:tcW w:w="3725" w:type="dxa"/>
            <w:tcBorders>
              <w:top w:val="nil"/>
              <w:left w:val="nil"/>
              <w:bottom w:val="nil"/>
              <w:right w:val="nil"/>
            </w:tcBorders>
            <w:shd w:val="clear" w:color="auto" w:fill="auto"/>
            <w:vAlign w:val="center"/>
            <w:hideMark/>
          </w:tcPr>
          <w:p w14:paraId="359110D1"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Academic Merit Requirement</w:t>
            </w:r>
          </w:p>
        </w:tc>
        <w:tc>
          <w:tcPr>
            <w:tcW w:w="1580" w:type="dxa"/>
            <w:tcBorders>
              <w:top w:val="nil"/>
              <w:left w:val="nil"/>
              <w:bottom w:val="nil"/>
              <w:right w:val="nil"/>
            </w:tcBorders>
            <w:shd w:val="clear" w:color="auto" w:fill="auto"/>
            <w:vAlign w:val="center"/>
            <w:hideMark/>
          </w:tcPr>
          <w:p w14:paraId="193EF6B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0.191**</w:t>
            </w:r>
          </w:p>
        </w:tc>
        <w:tc>
          <w:tcPr>
            <w:tcW w:w="1806" w:type="dxa"/>
            <w:gridSpan w:val="2"/>
            <w:tcBorders>
              <w:top w:val="nil"/>
              <w:left w:val="nil"/>
              <w:bottom w:val="nil"/>
              <w:right w:val="nil"/>
            </w:tcBorders>
            <w:shd w:val="clear" w:color="auto" w:fill="auto"/>
            <w:vAlign w:val="center"/>
            <w:hideMark/>
          </w:tcPr>
          <w:p w14:paraId="1F8CC88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0.356***</w:t>
            </w:r>
          </w:p>
        </w:tc>
      </w:tr>
      <w:tr w:rsidR="00420AFE" w:rsidRPr="005B2DFB" w14:paraId="0434FDEF" w14:textId="77777777" w:rsidTr="00C274B1">
        <w:trPr>
          <w:trHeight w:val="242"/>
        </w:trPr>
        <w:tc>
          <w:tcPr>
            <w:tcW w:w="3725" w:type="dxa"/>
            <w:tcBorders>
              <w:top w:val="nil"/>
              <w:left w:val="nil"/>
              <w:bottom w:val="nil"/>
              <w:right w:val="nil"/>
            </w:tcBorders>
            <w:shd w:val="clear" w:color="auto" w:fill="auto"/>
            <w:vAlign w:val="center"/>
            <w:hideMark/>
          </w:tcPr>
          <w:p w14:paraId="5EAC48D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1273581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(0.0906)</w:t>
            </w:r>
          </w:p>
        </w:tc>
        <w:tc>
          <w:tcPr>
            <w:tcW w:w="1806" w:type="dxa"/>
            <w:gridSpan w:val="2"/>
            <w:tcBorders>
              <w:top w:val="nil"/>
              <w:left w:val="nil"/>
              <w:bottom w:val="nil"/>
              <w:right w:val="nil"/>
            </w:tcBorders>
            <w:shd w:val="clear" w:color="auto" w:fill="auto"/>
            <w:vAlign w:val="center"/>
            <w:hideMark/>
          </w:tcPr>
          <w:p w14:paraId="6E06569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(0.0948)</w:t>
            </w:r>
          </w:p>
        </w:tc>
      </w:tr>
      <w:tr w:rsidR="00420AFE" w:rsidRPr="005B2DFB" w14:paraId="54CA1EEA" w14:textId="77777777" w:rsidTr="00C274B1">
        <w:trPr>
          <w:trHeight w:val="242"/>
        </w:trPr>
        <w:tc>
          <w:tcPr>
            <w:tcW w:w="3725" w:type="dxa"/>
            <w:tcBorders>
              <w:top w:val="nil"/>
              <w:left w:val="nil"/>
              <w:bottom w:val="nil"/>
              <w:right w:val="nil"/>
            </w:tcBorders>
            <w:shd w:val="clear" w:color="auto" w:fill="auto"/>
            <w:vAlign w:val="center"/>
            <w:hideMark/>
          </w:tcPr>
          <w:p w14:paraId="7FFE5EE9"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White</w:t>
            </w:r>
          </w:p>
        </w:tc>
        <w:tc>
          <w:tcPr>
            <w:tcW w:w="1580" w:type="dxa"/>
            <w:tcBorders>
              <w:top w:val="nil"/>
              <w:left w:val="nil"/>
              <w:bottom w:val="nil"/>
              <w:right w:val="nil"/>
            </w:tcBorders>
            <w:shd w:val="clear" w:color="auto" w:fill="auto"/>
            <w:vAlign w:val="center"/>
            <w:hideMark/>
          </w:tcPr>
          <w:p w14:paraId="5C8C0D7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-0.290**</w:t>
            </w:r>
          </w:p>
        </w:tc>
        <w:tc>
          <w:tcPr>
            <w:tcW w:w="1806" w:type="dxa"/>
            <w:gridSpan w:val="2"/>
            <w:tcBorders>
              <w:top w:val="nil"/>
              <w:left w:val="nil"/>
              <w:bottom w:val="nil"/>
              <w:right w:val="nil"/>
            </w:tcBorders>
            <w:shd w:val="clear" w:color="auto" w:fill="auto"/>
            <w:vAlign w:val="center"/>
            <w:hideMark/>
          </w:tcPr>
          <w:p w14:paraId="03EDCC7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0.0285</w:t>
            </w:r>
          </w:p>
        </w:tc>
      </w:tr>
      <w:tr w:rsidR="00420AFE" w:rsidRPr="005B2DFB" w14:paraId="1E14BC4D" w14:textId="77777777" w:rsidTr="00C274B1">
        <w:trPr>
          <w:trHeight w:val="242"/>
        </w:trPr>
        <w:tc>
          <w:tcPr>
            <w:tcW w:w="3725" w:type="dxa"/>
            <w:tcBorders>
              <w:top w:val="nil"/>
              <w:left w:val="nil"/>
              <w:bottom w:val="nil"/>
              <w:right w:val="nil"/>
            </w:tcBorders>
            <w:shd w:val="clear" w:color="auto" w:fill="auto"/>
            <w:vAlign w:val="center"/>
            <w:hideMark/>
          </w:tcPr>
          <w:p w14:paraId="6910D27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456823A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(0.117)</w:t>
            </w:r>
          </w:p>
        </w:tc>
        <w:tc>
          <w:tcPr>
            <w:tcW w:w="1806" w:type="dxa"/>
            <w:gridSpan w:val="2"/>
            <w:tcBorders>
              <w:top w:val="nil"/>
              <w:left w:val="nil"/>
              <w:bottom w:val="nil"/>
              <w:right w:val="nil"/>
            </w:tcBorders>
            <w:shd w:val="clear" w:color="auto" w:fill="auto"/>
            <w:vAlign w:val="center"/>
            <w:hideMark/>
          </w:tcPr>
          <w:p w14:paraId="472CD5D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(0.112)</w:t>
            </w:r>
          </w:p>
        </w:tc>
      </w:tr>
      <w:tr w:rsidR="00420AFE" w:rsidRPr="005B2DFB" w14:paraId="499D2284" w14:textId="77777777" w:rsidTr="00C274B1">
        <w:trPr>
          <w:trHeight w:val="242"/>
        </w:trPr>
        <w:tc>
          <w:tcPr>
            <w:tcW w:w="3725" w:type="dxa"/>
            <w:tcBorders>
              <w:top w:val="nil"/>
              <w:left w:val="nil"/>
              <w:bottom w:val="nil"/>
              <w:right w:val="nil"/>
            </w:tcBorders>
            <w:shd w:val="clear" w:color="auto" w:fill="auto"/>
            <w:vAlign w:val="center"/>
            <w:hideMark/>
          </w:tcPr>
          <w:p w14:paraId="1C88A0FA"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Male</w:t>
            </w:r>
          </w:p>
        </w:tc>
        <w:tc>
          <w:tcPr>
            <w:tcW w:w="1580" w:type="dxa"/>
            <w:tcBorders>
              <w:top w:val="nil"/>
              <w:left w:val="nil"/>
              <w:bottom w:val="nil"/>
              <w:right w:val="nil"/>
            </w:tcBorders>
            <w:shd w:val="clear" w:color="auto" w:fill="auto"/>
            <w:vAlign w:val="center"/>
            <w:hideMark/>
          </w:tcPr>
          <w:p w14:paraId="409469D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0.118</w:t>
            </w:r>
          </w:p>
        </w:tc>
        <w:tc>
          <w:tcPr>
            <w:tcW w:w="1806" w:type="dxa"/>
            <w:gridSpan w:val="2"/>
            <w:tcBorders>
              <w:top w:val="nil"/>
              <w:left w:val="nil"/>
              <w:bottom w:val="nil"/>
              <w:right w:val="nil"/>
            </w:tcBorders>
            <w:shd w:val="clear" w:color="auto" w:fill="auto"/>
            <w:vAlign w:val="center"/>
            <w:hideMark/>
          </w:tcPr>
          <w:p w14:paraId="18AD40D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0.153</w:t>
            </w:r>
          </w:p>
        </w:tc>
      </w:tr>
      <w:tr w:rsidR="00420AFE" w:rsidRPr="005B2DFB" w14:paraId="09480AC6" w14:textId="77777777" w:rsidTr="00C274B1">
        <w:trPr>
          <w:trHeight w:val="242"/>
        </w:trPr>
        <w:tc>
          <w:tcPr>
            <w:tcW w:w="3725" w:type="dxa"/>
            <w:tcBorders>
              <w:top w:val="nil"/>
              <w:left w:val="nil"/>
              <w:bottom w:val="nil"/>
              <w:right w:val="nil"/>
            </w:tcBorders>
            <w:shd w:val="clear" w:color="auto" w:fill="auto"/>
            <w:vAlign w:val="center"/>
            <w:hideMark/>
          </w:tcPr>
          <w:p w14:paraId="2C41F47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794BB91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(0.0917)</w:t>
            </w:r>
          </w:p>
        </w:tc>
        <w:tc>
          <w:tcPr>
            <w:tcW w:w="1806" w:type="dxa"/>
            <w:gridSpan w:val="2"/>
            <w:tcBorders>
              <w:top w:val="nil"/>
              <w:left w:val="nil"/>
              <w:bottom w:val="nil"/>
              <w:right w:val="nil"/>
            </w:tcBorders>
            <w:shd w:val="clear" w:color="auto" w:fill="auto"/>
            <w:vAlign w:val="center"/>
            <w:hideMark/>
          </w:tcPr>
          <w:p w14:paraId="690894F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(0.0951)</w:t>
            </w:r>
          </w:p>
        </w:tc>
      </w:tr>
      <w:tr w:rsidR="00420AFE" w:rsidRPr="005B2DFB" w14:paraId="0B2E1EF7" w14:textId="77777777" w:rsidTr="00C274B1">
        <w:trPr>
          <w:trHeight w:val="242"/>
        </w:trPr>
        <w:tc>
          <w:tcPr>
            <w:tcW w:w="3725" w:type="dxa"/>
            <w:tcBorders>
              <w:top w:val="nil"/>
              <w:left w:val="nil"/>
              <w:bottom w:val="nil"/>
              <w:right w:val="nil"/>
            </w:tcBorders>
            <w:shd w:val="clear" w:color="auto" w:fill="auto"/>
            <w:vAlign w:val="center"/>
            <w:hideMark/>
          </w:tcPr>
          <w:p w14:paraId="2BD1FA24"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Income</w:t>
            </w:r>
          </w:p>
        </w:tc>
        <w:tc>
          <w:tcPr>
            <w:tcW w:w="1580" w:type="dxa"/>
            <w:tcBorders>
              <w:top w:val="nil"/>
              <w:left w:val="nil"/>
              <w:bottom w:val="nil"/>
              <w:right w:val="nil"/>
            </w:tcBorders>
            <w:shd w:val="clear" w:color="auto" w:fill="auto"/>
            <w:vAlign w:val="center"/>
            <w:hideMark/>
          </w:tcPr>
          <w:p w14:paraId="3175F10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-0.0437***</w:t>
            </w:r>
          </w:p>
        </w:tc>
        <w:tc>
          <w:tcPr>
            <w:tcW w:w="1806" w:type="dxa"/>
            <w:gridSpan w:val="2"/>
            <w:tcBorders>
              <w:top w:val="nil"/>
              <w:left w:val="nil"/>
              <w:bottom w:val="nil"/>
              <w:right w:val="nil"/>
            </w:tcBorders>
            <w:shd w:val="clear" w:color="auto" w:fill="auto"/>
            <w:vAlign w:val="center"/>
            <w:hideMark/>
          </w:tcPr>
          <w:p w14:paraId="14AB502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-0.0268**</w:t>
            </w:r>
          </w:p>
        </w:tc>
      </w:tr>
      <w:tr w:rsidR="00420AFE" w:rsidRPr="005B2DFB" w14:paraId="2BA8DD66" w14:textId="77777777" w:rsidTr="00C274B1">
        <w:trPr>
          <w:trHeight w:val="242"/>
        </w:trPr>
        <w:tc>
          <w:tcPr>
            <w:tcW w:w="3725" w:type="dxa"/>
            <w:tcBorders>
              <w:top w:val="nil"/>
              <w:left w:val="nil"/>
              <w:bottom w:val="nil"/>
              <w:right w:val="nil"/>
            </w:tcBorders>
            <w:shd w:val="clear" w:color="auto" w:fill="auto"/>
            <w:vAlign w:val="center"/>
            <w:hideMark/>
          </w:tcPr>
          <w:p w14:paraId="0366B1D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15C0485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(0.0101)</w:t>
            </w:r>
          </w:p>
        </w:tc>
        <w:tc>
          <w:tcPr>
            <w:tcW w:w="1806" w:type="dxa"/>
            <w:gridSpan w:val="2"/>
            <w:tcBorders>
              <w:top w:val="nil"/>
              <w:left w:val="nil"/>
              <w:bottom w:val="nil"/>
              <w:right w:val="nil"/>
            </w:tcBorders>
            <w:shd w:val="clear" w:color="auto" w:fill="auto"/>
            <w:vAlign w:val="center"/>
            <w:hideMark/>
          </w:tcPr>
          <w:p w14:paraId="0CA4DC6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(0.0120)</w:t>
            </w:r>
          </w:p>
        </w:tc>
      </w:tr>
      <w:tr w:rsidR="00420AFE" w:rsidRPr="005B2DFB" w14:paraId="05352F9C" w14:textId="77777777" w:rsidTr="00C274B1">
        <w:trPr>
          <w:trHeight w:val="242"/>
        </w:trPr>
        <w:tc>
          <w:tcPr>
            <w:tcW w:w="3725" w:type="dxa"/>
            <w:tcBorders>
              <w:top w:val="nil"/>
              <w:left w:val="nil"/>
              <w:bottom w:val="nil"/>
              <w:right w:val="nil"/>
            </w:tcBorders>
            <w:shd w:val="clear" w:color="auto" w:fill="auto"/>
            <w:vAlign w:val="center"/>
            <w:hideMark/>
          </w:tcPr>
          <w:p w14:paraId="08425472"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Age</w:t>
            </w:r>
          </w:p>
        </w:tc>
        <w:tc>
          <w:tcPr>
            <w:tcW w:w="1580" w:type="dxa"/>
            <w:tcBorders>
              <w:top w:val="nil"/>
              <w:left w:val="nil"/>
              <w:bottom w:val="nil"/>
              <w:right w:val="nil"/>
            </w:tcBorders>
            <w:shd w:val="clear" w:color="auto" w:fill="auto"/>
            <w:vAlign w:val="center"/>
            <w:hideMark/>
          </w:tcPr>
          <w:p w14:paraId="73AE4A5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-0.00159</w:t>
            </w:r>
          </w:p>
        </w:tc>
        <w:tc>
          <w:tcPr>
            <w:tcW w:w="1806" w:type="dxa"/>
            <w:gridSpan w:val="2"/>
            <w:tcBorders>
              <w:top w:val="nil"/>
              <w:left w:val="nil"/>
              <w:bottom w:val="nil"/>
              <w:right w:val="nil"/>
            </w:tcBorders>
            <w:shd w:val="clear" w:color="auto" w:fill="auto"/>
            <w:vAlign w:val="center"/>
            <w:hideMark/>
          </w:tcPr>
          <w:p w14:paraId="0066DCE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-0.00544</w:t>
            </w:r>
          </w:p>
        </w:tc>
      </w:tr>
      <w:tr w:rsidR="00420AFE" w:rsidRPr="005B2DFB" w14:paraId="0027BE5C" w14:textId="77777777" w:rsidTr="00C274B1">
        <w:trPr>
          <w:trHeight w:val="242"/>
        </w:trPr>
        <w:tc>
          <w:tcPr>
            <w:tcW w:w="3725" w:type="dxa"/>
            <w:tcBorders>
              <w:top w:val="nil"/>
              <w:left w:val="nil"/>
              <w:bottom w:val="nil"/>
              <w:right w:val="nil"/>
            </w:tcBorders>
            <w:shd w:val="clear" w:color="auto" w:fill="auto"/>
            <w:vAlign w:val="center"/>
            <w:hideMark/>
          </w:tcPr>
          <w:p w14:paraId="6470352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3FB444A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(0.00300)</w:t>
            </w:r>
          </w:p>
        </w:tc>
        <w:tc>
          <w:tcPr>
            <w:tcW w:w="1806" w:type="dxa"/>
            <w:gridSpan w:val="2"/>
            <w:tcBorders>
              <w:top w:val="nil"/>
              <w:left w:val="nil"/>
              <w:bottom w:val="nil"/>
              <w:right w:val="nil"/>
            </w:tcBorders>
            <w:shd w:val="clear" w:color="auto" w:fill="auto"/>
            <w:vAlign w:val="center"/>
            <w:hideMark/>
          </w:tcPr>
          <w:p w14:paraId="01BB0E7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(0.00364)</w:t>
            </w:r>
          </w:p>
        </w:tc>
      </w:tr>
      <w:tr w:rsidR="00420AFE" w:rsidRPr="005B2DFB" w14:paraId="0F15DFC2" w14:textId="77777777" w:rsidTr="00C274B1">
        <w:trPr>
          <w:trHeight w:val="242"/>
        </w:trPr>
        <w:tc>
          <w:tcPr>
            <w:tcW w:w="3725" w:type="dxa"/>
            <w:tcBorders>
              <w:top w:val="nil"/>
              <w:left w:val="nil"/>
              <w:bottom w:val="nil"/>
              <w:right w:val="nil"/>
            </w:tcBorders>
            <w:shd w:val="clear" w:color="auto" w:fill="auto"/>
            <w:vAlign w:val="center"/>
            <w:hideMark/>
          </w:tcPr>
          <w:p w14:paraId="0FBE86F3"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Region</w:t>
            </w:r>
          </w:p>
        </w:tc>
        <w:tc>
          <w:tcPr>
            <w:tcW w:w="1580" w:type="dxa"/>
            <w:tcBorders>
              <w:top w:val="nil"/>
              <w:left w:val="nil"/>
              <w:bottom w:val="nil"/>
              <w:right w:val="nil"/>
            </w:tcBorders>
            <w:shd w:val="clear" w:color="auto" w:fill="auto"/>
            <w:vAlign w:val="center"/>
            <w:hideMark/>
          </w:tcPr>
          <w:p w14:paraId="1B4BD33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-0.0601</w:t>
            </w:r>
          </w:p>
        </w:tc>
        <w:tc>
          <w:tcPr>
            <w:tcW w:w="1806" w:type="dxa"/>
            <w:gridSpan w:val="2"/>
            <w:tcBorders>
              <w:top w:val="nil"/>
              <w:left w:val="nil"/>
              <w:bottom w:val="nil"/>
              <w:right w:val="nil"/>
            </w:tcBorders>
            <w:shd w:val="clear" w:color="auto" w:fill="auto"/>
            <w:vAlign w:val="center"/>
            <w:hideMark/>
          </w:tcPr>
          <w:p w14:paraId="46F3B93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-0.0419</w:t>
            </w:r>
          </w:p>
        </w:tc>
      </w:tr>
      <w:tr w:rsidR="00420AFE" w:rsidRPr="005B2DFB" w14:paraId="7BF246BE" w14:textId="77777777" w:rsidTr="00C274B1">
        <w:trPr>
          <w:trHeight w:val="242"/>
        </w:trPr>
        <w:tc>
          <w:tcPr>
            <w:tcW w:w="3725" w:type="dxa"/>
            <w:tcBorders>
              <w:top w:val="nil"/>
              <w:left w:val="nil"/>
              <w:bottom w:val="nil"/>
              <w:right w:val="nil"/>
            </w:tcBorders>
            <w:shd w:val="clear" w:color="auto" w:fill="auto"/>
            <w:vAlign w:val="center"/>
            <w:hideMark/>
          </w:tcPr>
          <w:p w14:paraId="5535C85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0B540B5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(0.0420)</w:t>
            </w:r>
          </w:p>
        </w:tc>
        <w:tc>
          <w:tcPr>
            <w:tcW w:w="1806" w:type="dxa"/>
            <w:gridSpan w:val="2"/>
            <w:tcBorders>
              <w:top w:val="nil"/>
              <w:left w:val="nil"/>
              <w:bottom w:val="nil"/>
              <w:right w:val="nil"/>
            </w:tcBorders>
            <w:shd w:val="clear" w:color="auto" w:fill="auto"/>
            <w:vAlign w:val="center"/>
            <w:hideMark/>
          </w:tcPr>
          <w:p w14:paraId="3244295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(0.0437)</w:t>
            </w:r>
          </w:p>
        </w:tc>
      </w:tr>
      <w:tr w:rsidR="00420AFE" w:rsidRPr="005B2DFB" w14:paraId="1425F7EE" w14:textId="77777777" w:rsidTr="00C274B1">
        <w:trPr>
          <w:trHeight w:val="242"/>
        </w:trPr>
        <w:tc>
          <w:tcPr>
            <w:tcW w:w="3725" w:type="dxa"/>
            <w:tcBorders>
              <w:top w:val="nil"/>
              <w:left w:val="nil"/>
              <w:bottom w:val="nil"/>
              <w:right w:val="nil"/>
            </w:tcBorders>
            <w:shd w:val="clear" w:color="auto" w:fill="auto"/>
            <w:vAlign w:val="center"/>
            <w:hideMark/>
          </w:tcPr>
          <w:p w14:paraId="1890CEF4"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Education</w:t>
            </w:r>
          </w:p>
        </w:tc>
        <w:tc>
          <w:tcPr>
            <w:tcW w:w="1580" w:type="dxa"/>
            <w:tcBorders>
              <w:top w:val="nil"/>
              <w:left w:val="nil"/>
              <w:bottom w:val="nil"/>
              <w:right w:val="nil"/>
            </w:tcBorders>
            <w:shd w:val="clear" w:color="auto" w:fill="auto"/>
            <w:vAlign w:val="center"/>
            <w:hideMark/>
          </w:tcPr>
          <w:p w14:paraId="066017B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0.0150</w:t>
            </w:r>
          </w:p>
        </w:tc>
        <w:tc>
          <w:tcPr>
            <w:tcW w:w="1806" w:type="dxa"/>
            <w:gridSpan w:val="2"/>
            <w:tcBorders>
              <w:top w:val="nil"/>
              <w:left w:val="nil"/>
              <w:bottom w:val="nil"/>
              <w:right w:val="nil"/>
            </w:tcBorders>
            <w:shd w:val="clear" w:color="auto" w:fill="auto"/>
            <w:vAlign w:val="center"/>
            <w:hideMark/>
          </w:tcPr>
          <w:p w14:paraId="2F7AC6B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0.00347</w:t>
            </w:r>
          </w:p>
        </w:tc>
      </w:tr>
      <w:tr w:rsidR="00420AFE" w:rsidRPr="005B2DFB" w14:paraId="776BF03B" w14:textId="77777777" w:rsidTr="00C274B1">
        <w:trPr>
          <w:trHeight w:val="242"/>
        </w:trPr>
        <w:tc>
          <w:tcPr>
            <w:tcW w:w="3725" w:type="dxa"/>
            <w:tcBorders>
              <w:top w:val="nil"/>
              <w:left w:val="nil"/>
              <w:bottom w:val="nil"/>
              <w:right w:val="nil"/>
            </w:tcBorders>
            <w:shd w:val="clear" w:color="auto" w:fill="auto"/>
            <w:vAlign w:val="center"/>
            <w:hideMark/>
          </w:tcPr>
          <w:p w14:paraId="0FA527B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4DF0C76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(0.0279)</w:t>
            </w:r>
          </w:p>
        </w:tc>
        <w:tc>
          <w:tcPr>
            <w:tcW w:w="1806" w:type="dxa"/>
            <w:gridSpan w:val="2"/>
            <w:tcBorders>
              <w:top w:val="nil"/>
              <w:left w:val="nil"/>
              <w:bottom w:val="nil"/>
              <w:right w:val="nil"/>
            </w:tcBorders>
            <w:shd w:val="clear" w:color="auto" w:fill="auto"/>
            <w:vAlign w:val="center"/>
            <w:hideMark/>
          </w:tcPr>
          <w:p w14:paraId="291DCDC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(0.0312)</w:t>
            </w:r>
          </w:p>
        </w:tc>
      </w:tr>
      <w:tr w:rsidR="00420AFE" w:rsidRPr="005B2DFB" w14:paraId="403D71F3" w14:textId="77777777" w:rsidTr="00C274B1">
        <w:trPr>
          <w:trHeight w:val="242"/>
        </w:trPr>
        <w:tc>
          <w:tcPr>
            <w:tcW w:w="3725" w:type="dxa"/>
            <w:tcBorders>
              <w:top w:val="nil"/>
              <w:left w:val="nil"/>
              <w:bottom w:val="nil"/>
              <w:right w:val="nil"/>
            </w:tcBorders>
            <w:shd w:val="clear" w:color="auto" w:fill="auto"/>
            <w:vAlign w:val="center"/>
            <w:hideMark/>
          </w:tcPr>
          <w:p w14:paraId="02EBF655"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Ideology</w:t>
            </w:r>
          </w:p>
        </w:tc>
        <w:tc>
          <w:tcPr>
            <w:tcW w:w="1580" w:type="dxa"/>
            <w:tcBorders>
              <w:top w:val="nil"/>
              <w:left w:val="nil"/>
              <w:bottom w:val="nil"/>
              <w:right w:val="nil"/>
            </w:tcBorders>
            <w:shd w:val="clear" w:color="auto" w:fill="auto"/>
            <w:vAlign w:val="center"/>
            <w:hideMark/>
          </w:tcPr>
          <w:p w14:paraId="3155C7C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-0.0710**</w:t>
            </w:r>
          </w:p>
        </w:tc>
        <w:tc>
          <w:tcPr>
            <w:tcW w:w="1806" w:type="dxa"/>
            <w:gridSpan w:val="2"/>
            <w:tcBorders>
              <w:top w:val="nil"/>
              <w:left w:val="nil"/>
              <w:bottom w:val="nil"/>
              <w:right w:val="nil"/>
            </w:tcBorders>
            <w:shd w:val="clear" w:color="auto" w:fill="auto"/>
            <w:vAlign w:val="center"/>
            <w:hideMark/>
          </w:tcPr>
          <w:p w14:paraId="42DD561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0.00768</w:t>
            </w:r>
          </w:p>
        </w:tc>
      </w:tr>
      <w:tr w:rsidR="00420AFE" w:rsidRPr="005B2DFB" w14:paraId="11E557D3" w14:textId="77777777" w:rsidTr="00C274B1">
        <w:trPr>
          <w:trHeight w:val="242"/>
        </w:trPr>
        <w:tc>
          <w:tcPr>
            <w:tcW w:w="3725" w:type="dxa"/>
            <w:tcBorders>
              <w:top w:val="nil"/>
              <w:left w:val="nil"/>
              <w:bottom w:val="nil"/>
              <w:right w:val="nil"/>
            </w:tcBorders>
            <w:shd w:val="clear" w:color="auto" w:fill="auto"/>
            <w:vAlign w:val="center"/>
            <w:hideMark/>
          </w:tcPr>
          <w:p w14:paraId="104941D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656F57F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(0.0351)</w:t>
            </w:r>
          </w:p>
        </w:tc>
        <w:tc>
          <w:tcPr>
            <w:tcW w:w="1806" w:type="dxa"/>
            <w:gridSpan w:val="2"/>
            <w:tcBorders>
              <w:top w:val="nil"/>
              <w:left w:val="nil"/>
              <w:bottom w:val="nil"/>
              <w:right w:val="nil"/>
            </w:tcBorders>
            <w:shd w:val="clear" w:color="auto" w:fill="auto"/>
            <w:vAlign w:val="center"/>
            <w:hideMark/>
          </w:tcPr>
          <w:p w14:paraId="7B8E01B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(0.0416)</w:t>
            </w:r>
          </w:p>
        </w:tc>
      </w:tr>
      <w:tr w:rsidR="00420AFE" w:rsidRPr="005B2DFB" w14:paraId="5C7E4A8D" w14:textId="77777777" w:rsidTr="00C274B1">
        <w:trPr>
          <w:trHeight w:val="242"/>
        </w:trPr>
        <w:tc>
          <w:tcPr>
            <w:tcW w:w="3725" w:type="dxa"/>
            <w:tcBorders>
              <w:top w:val="nil"/>
              <w:left w:val="nil"/>
              <w:bottom w:val="nil"/>
              <w:right w:val="nil"/>
            </w:tcBorders>
            <w:shd w:val="clear" w:color="auto" w:fill="auto"/>
            <w:vAlign w:val="center"/>
            <w:hideMark/>
          </w:tcPr>
          <w:p w14:paraId="2666FAEB"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Party ID-Republican</w:t>
            </w:r>
          </w:p>
        </w:tc>
        <w:tc>
          <w:tcPr>
            <w:tcW w:w="1580" w:type="dxa"/>
            <w:tcBorders>
              <w:top w:val="nil"/>
              <w:left w:val="nil"/>
              <w:bottom w:val="nil"/>
              <w:right w:val="nil"/>
            </w:tcBorders>
            <w:shd w:val="clear" w:color="auto" w:fill="auto"/>
            <w:vAlign w:val="center"/>
            <w:hideMark/>
          </w:tcPr>
          <w:p w14:paraId="57B4C4D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0.00457</w:t>
            </w:r>
          </w:p>
        </w:tc>
        <w:tc>
          <w:tcPr>
            <w:tcW w:w="1806" w:type="dxa"/>
            <w:gridSpan w:val="2"/>
            <w:tcBorders>
              <w:top w:val="nil"/>
              <w:left w:val="nil"/>
              <w:bottom w:val="nil"/>
              <w:right w:val="nil"/>
            </w:tcBorders>
            <w:shd w:val="clear" w:color="auto" w:fill="auto"/>
            <w:vAlign w:val="center"/>
            <w:hideMark/>
          </w:tcPr>
          <w:p w14:paraId="4CF134A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-0.222*</w:t>
            </w:r>
          </w:p>
        </w:tc>
      </w:tr>
      <w:tr w:rsidR="00420AFE" w:rsidRPr="005B2DFB" w14:paraId="1058D9B5" w14:textId="77777777" w:rsidTr="00C274B1">
        <w:trPr>
          <w:trHeight w:val="242"/>
        </w:trPr>
        <w:tc>
          <w:tcPr>
            <w:tcW w:w="3725" w:type="dxa"/>
            <w:tcBorders>
              <w:top w:val="nil"/>
              <w:left w:val="nil"/>
              <w:bottom w:val="nil"/>
              <w:right w:val="nil"/>
            </w:tcBorders>
            <w:shd w:val="clear" w:color="auto" w:fill="auto"/>
            <w:vAlign w:val="center"/>
            <w:hideMark/>
          </w:tcPr>
          <w:p w14:paraId="73FEF98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17B7CF5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(0.115)</w:t>
            </w:r>
          </w:p>
        </w:tc>
        <w:tc>
          <w:tcPr>
            <w:tcW w:w="1806" w:type="dxa"/>
            <w:gridSpan w:val="2"/>
            <w:tcBorders>
              <w:top w:val="nil"/>
              <w:left w:val="nil"/>
              <w:bottom w:val="nil"/>
              <w:right w:val="nil"/>
            </w:tcBorders>
            <w:shd w:val="clear" w:color="auto" w:fill="auto"/>
            <w:vAlign w:val="center"/>
            <w:hideMark/>
          </w:tcPr>
          <w:p w14:paraId="019A1D0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(0.130)</w:t>
            </w:r>
          </w:p>
        </w:tc>
      </w:tr>
      <w:tr w:rsidR="00420AFE" w:rsidRPr="005B2DFB" w14:paraId="37588298" w14:textId="77777777" w:rsidTr="00C274B1">
        <w:trPr>
          <w:trHeight w:val="242"/>
        </w:trPr>
        <w:tc>
          <w:tcPr>
            <w:tcW w:w="3725" w:type="dxa"/>
            <w:tcBorders>
              <w:top w:val="nil"/>
              <w:left w:val="nil"/>
              <w:bottom w:val="nil"/>
              <w:right w:val="nil"/>
            </w:tcBorders>
            <w:shd w:val="clear" w:color="auto" w:fill="auto"/>
            <w:vAlign w:val="center"/>
            <w:hideMark/>
          </w:tcPr>
          <w:p w14:paraId="3BA4BCC3"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Voted in Last Election</w:t>
            </w:r>
          </w:p>
        </w:tc>
        <w:tc>
          <w:tcPr>
            <w:tcW w:w="1580" w:type="dxa"/>
            <w:tcBorders>
              <w:top w:val="nil"/>
              <w:left w:val="nil"/>
              <w:bottom w:val="nil"/>
              <w:right w:val="nil"/>
            </w:tcBorders>
            <w:shd w:val="clear" w:color="auto" w:fill="auto"/>
            <w:vAlign w:val="center"/>
            <w:hideMark/>
          </w:tcPr>
          <w:p w14:paraId="39EA592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0.228**</w:t>
            </w:r>
          </w:p>
        </w:tc>
        <w:tc>
          <w:tcPr>
            <w:tcW w:w="1806" w:type="dxa"/>
            <w:gridSpan w:val="2"/>
            <w:tcBorders>
              <w:top w:val="nil"/>
              <w:left w:val="nil"/>
              <w:bottom w:val="nil"/>
              <w:right w:val="nil"/>
            </w:tcBorders>
            <w:shd w:val="clear" w:color="auto" w:fill="auto"/>
            <w:vAlign w:val="center"/>
            <w:hideMark/>
          </w:tcPr>
          <w:p w14:paraId="6E6BC45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0.117</w:t>
            </w:r>
          </w:p>
        </w:tc>
      </w:tr>
      <w:tr w:rsidR="00420AFE" w:rsidRPr="005B2DFB" w14:paraId="21ADAAA3" w14:textId="77777777" w:rsidTr="00C274B1">
        <w:trPr>
          <w:trHeight w:val="242"/>
        </w:trPr>
        <w:tc>
          <w:tcPr>
            <w:tcW w:w="3725" w:type="dxa"/>
            <w:tcBorders>
              <w:top w:val="nil"/>
              <w:left w:val="nil"/>
              <w:bottom w:val="nil"/>
              <w:right w:val="nil"/>
            </w:tcBorders>
            <w:shd w:val="clear" w:color="auto" w:fill="auto"/>
            <w:vAlign w:val="center"/>
            <w:hideMark/>
          </w:tcPr>
          <w:p w14:paraId="5996C93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08B27EE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(0.116)</w:t>
            </w:r>
          </w:p>
        </w:tc>
        <w:tc>
          <w:tcPr>
            <w:tcW w:w="1806" w:type="dxa"/>
            <w:gridSpan w:val="2"/>
            <w:tcBorders>
              <w:top w:val="nil"/>
              <w:left w:val="nil"/>
              <w:bottom w:val="nil"/>
              <w:right w:val="nil"/>
            </w:tcBorders>
            <w:shd w:val="clear" w:color="auto" w:fill="auto"/>
            <w:vAlign w:val="center"/>
            <w:hideMark/>
          </w:tcPr>
          <w:p w14:paraId="42BB2CA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(0.119)</w:t>
            </w:r>
          </w:p>
        </w:tc>
      </w:tr>
      <w:tr w:rsidR="00420AFE" w:rsidRPr="005B2DFB" w14:paraId="66D70303" w14:textId="77777777" w:rsidTr="00C274B1">
        <w:trPr>
          <w:trHeight w:val="242"/>
        </w:trPr>
        <w:tc>
          <w:tcPr>
            <w:tcW w:w="3725" w:type="dxa"/>
            <w:tcBorders>
              <w:top w:val="nil"/>
              <w:left w:val="nil"/>
              <w:bottom w:val="nil"/>
              <w:right w:val="nil"/>
            </w:tcBorders>
            <w:shd w:val="clear" w:color="auto" w:fill="auto"/>
            <w:vAlign w:val="center"/>
            <w:hideMark/>
          </w:tcPr>
          <w:p w14:paraId="1E77F520"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Baseline Support</w:t>
            </w:r>
          </w:p>
        </w:tc>
        <w:tc>
          <w:tcPr>
            <w:tcW w:w="1580" w:type="dxa"/>
            <w:tcBorders>
              <w:top w:val="nil"/>
              <w:left w:val="nil"/>
              <w:bottom w:val="nil"/>
              <w:right w:val="nil"/>
            </w:tcBorders>
            <w:shd w:val="clear" w:color="auto" w:fill="auto"/>
            <w:vAlign w:val="center"/>
            <w:hideMark/>
          </w:tcPr>
          <w:p w14:paraId="7B03922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1.071***</w:t>
            </w:r>
          </w:p>
        </w:tc>
        <w:tc>
          <w:tcPr>
            <w:tcW w:w="1806" w:type="dxa"/>
            <w:gridSpan w:val="2"/>
            <w:tcBorders>
              <w:top w:val="nil"/>
              <w:left w:val="nil"/>
              <w:bottom w:val="nil"/>
              <w:right w:val="nil"/>
            </w:tcBorders>
            <w:shd w:val="clear" w:color="auto" w:fill="auto"/>
            <w:vAlign w:val="center"/>
            <w:hideMark/>
          </w:tcPr>
          <w:p w14:paraId="530AF7F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0.776***</w:t>
            </w:r>
          </w:p>
        </w:tc>
      </w:tr>
      <w:tr w:rsidR="00420AFE" w:rsidRPr="005B2DFB" w14:paraId="31EB6761" w14:textId="77777777" w:rsidTr="00C274B1">
        <w:trPr>
          <w:trHeight w:val="242"/>
        </w:trPr>
        <w:tc>
          <w:tcPr>
            <w:tcW w:w="3725" w:type="dxa"/>
            <w:tcBorders>
              <w:top w:val="nil"/>
              <w:left w:val="nil"/>
              <w:bottom w:val="nil"/>
              <w:right w:val="nil"/>
            </w:tcBorders>
            <w:shd w:val="clear" w:color="auto" w:fill="auto"/>
            <w:vAlign w:val="center"/>
            <w:hideMark/>
          </w:tcPr>
          <w:p w14:paraId="619B6CD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580" w:type="dxa"/>
            <w:tcBorders>
              <w:top w:val="nil"/>
              <w:left w:val="nil"/>
              <w:bottom w:val="nil"/>
              <w:right w:val="nil"/>
            </w:tcBorders>
            <w:shd w:val="clear" w:color="auto" w:fill="auto"/>
            <w:vAlign w:val="center"/>
            <w:hideMark/>
          </w:tcPr>
          <w:p w14:paraId="22AB83B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(0.0629)</w:t>
            </w:r>
          </w:p>
        </w:tc>
        <w:tc>
          <w:tcPr>
            <w:tcW w:w="1806" w:type="dxa"/>
            <w:gridSpan w:val="2"/>
            <w:tcBorders>
              <w:top w:val="nil"/>
              <w:left w:val="nil"/>
              <w:bottom w:val="nil"/>
              <w:right w:val="nil"/>
            </w:tcBorders>
            <w:shd w:val="clear" w:color="auto" w:fill="auto"/>
            <w:vAlign w:val="center"/>
            <w:hideMark/>
          </w:tcPr>
          <w:p w14:paraId="28E9F1B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(0.0589)</w:t>
            </w:r>
          </w:p>
        </w:tc>
      </w:tr>
      <w:tr w:rsidR="00420AFE" w:rsidRPr="005B2DFB" w14:paraId="48CF33C7" w14:textId="77777777" w:rsidTr="00C274B1">
        <w:trPr>
          <w:trHeight w:val="242"/>
        </w:trPr>
        <w:tc>
          <w:tcPr>
            <w:tcW w:w="3725" w:type="dxa"/>
            <w:tcBorders>
              <w:top w:val="nil"/>
              <w:left w:val="nil"/>
              <w:right w:val="nil"/>
            </w:tcBorders>
            <w:shd w:val="clear" w:color="auto" w:fill="auto"/>
            <w:vAlign w:val="center"/>
            <w:hideMark/>
          </w:tcPr>
          <w:p w14:paraId="2EE9C2E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N</w:t>
            </w:r>
          </w:p>
        </w:tc>
        <w:tc>
          <w:tcPr>
            <w:tcW w:w="1580" w:type="dxa"/>
            <w:tcBorders>
              <w:top w:val="nil"/>
              <w:left w:val="nil"/>
              <w:right w:val="nil"/>
            </w:tcBorders>
            <w:shd w:val="clear" w:color="auto" w:fill="auto"/>
            <w:vAlign w:val="center"/>
            <w:hideMark/>
          </w:tcPr>
          <w:p w14:paraId="58E75A3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2,624</w:t>
            </w:r>
          </w:p>
        </w:tc>
        <w:tc>
          <w:tcPr>
            <w:tcW w:w="1806" w:type="dxa"/>
            <w:gridSpan w:val="2"/>
            <w:tcBorders>
              <w:top w:val="nil"/>
              <w:left w:val="nil"/>
              <w:right w:val="nil"/>
            </w:tcBorders>
            <w:shd w:val="clear" w:color="auto" w:fill="auto"/>
            <w:vAlign w:val="center"/>
            <w:hideMark/>
          </w:tcPr>
          <w:p w14:paraId="3E7C7CD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2,614</w:t>
            </w:r>
          </w:p>
        </w:tc>
      </w:tr>
      <w:tr w:rsidR="00420AFE" w:rsidRPr="005B2DFB" w14:paraId="67969B81" w14:textId="77777777" w:rsidTr="00C274B1">
        <w:trPr>
          <w:trHeight w:val="242"/>
        </w:trPr>
        <w:tc>
          <w:tcPr>
            <w:tcW w:w="3725" w:type="dxa"/>
            <w:tcBorders>
              <w:top w:val="nil"/>
              <w:left w:val="nil"/>
              <w:bottom w:val="nil"/>
              <w:right w:val="nil"/>
            </w:tcBorders>
            <w:shd w:val="clear" w:color="auto" w:fill="auto"/>
            <w:vAlign w:val="center"/>
            <w:hideMark/>
          </w:tcPr>
          <w:p w14:paraId="50023F0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Log Likelihood</w:t>
            </w:r>
          </w:p>
        </w:tc>
        <w:tc>
          <w:tcPr>
            <w:tcW w:w="1580" w:type="dxa"/>
            <w:tcBorders>
              <w:top w:val="nil"/>
              <w:left w:val="nil"/>
              <w:bottom w:val="nil"/>
              <w:right w:val="nil"/>
            </w:tcBorders>
            <w:shd w:val="clear" w:color="auto" w:fill="auto"/>
            <w:vAlign w:val="center"/>
            <w:hideMark/>
          </w:tcPr>
          <w:p w14:paraId="01397C7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-2975.15</w:t>
            </w:r>
          </w:p>
        </w:tc>
        <w:tc>
          <w:tcPr>
            <w:tcW w:w="1806" w:type="dxa"/>
            <w:gridSpan w:val="2"/>
            <w:tcBorders>
              <w:top w:val="nil"/>
              <w:left w:val="nil"/>
              <w:bottom w:val="nil"/>
              <w:right w:val="nil"/>
            </w:tcBorders>
            <w:shd w:val="clear" w:color="auto" w:fill="auto"/>
            <w:vAlign w:val="center"/>
            <w:hideMark/>
          </w:tcPr>
          <w:p w14:paraId="1568913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-3135.62</w:t>
            </w:r>
          </w:p>
        </w:tc>
      </w:tr>
      <w:tr w:rsidR="00420AFE" w:rsidRPr="005B2DFB" w14:paraId="3CC12626" w14:textId="77777777" w:rsidTr="00C274B1">
        <w:trPr>
          <w:trHeight w:val="262"/>
        </w:trPr>
        <w:tc>
          <w:tcPr>
            <w:tcW w:w="3725" w:type="dxa"/>
            <w:tcBorders>
              <w:top w:val="nil"/>
              <w:left w:val="nil"/>
              <w:right w:val="nil"/>
            </w:tcBorders>
            <w:shd w:val="clear" w:color="auto" w:fill="auto"/>
            <w:vAlign w:val="center"/>
            <w:hideMark/>
          </w:tcPr>
          <w:p w14:paraId="17D88AA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w:t>
            </w:r>
            <w:r w:rsidRPr="005B2DFB">
              <w:rPr>
                <w:rFonts w:ascii="Times New Roman" w:eastAsia="Times New Roman" w:hAnsi="Times New Roman" w:cs="Times New Roman"/>
                <w:color w:val="000000"/>
                <w:sz w:val="24"/>
                <w:szCs w:val="24"/>
                <w:vertAlign w:val="superscript"/>
              </w:rPr>
              <w:t>2</w:t>
            </w:r>
          </w:p>
        </w:tc>
        <w:tc>
          <w:tcPr>
            <w:tcW w:w="1580" w:type="dxa"/>
            <w:tcBorders>
              <w:top w:val="nil"/>
              <w:left w:val="nil"/>
              <w:right w:val="nil"/>
            </w:tcBorders>
            <w:shd w:val="clear" w:color="auto" w:fill="auto"/>
            <w:vAlign w:val="center"/>
            <w:hideMark/>
          </w:tcPr>
          <w:p w14:paraId="694B0DB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0.12</w:t>
            </w:r>
          </w:p>
        </w:tc>
        <w:tc>
          <w:tcPr>
            <w:tcW w:w="1806" w:type="dxa"/>
            <w:gridSpan w:val="2"/>
            <w:tcBorders>
              <w:top w:val="nil"/>
              <w:left w:val="nil"/>
              <w:right w:val="nil"/>
            </w:tcBorders>
            <w:shd w:val="clear" w:color="auto" w:fill="auto"/>
            <w:vAlign w:val="center"/>
            <w:hideMark/>
          </w:tcPr>
          <w:p w14:paraId="7F5A0D6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w:t>
            </w:r>
          </w:p>
        </w:tc>
      </w:tr>
      <w:tr w:rsidR="00420AFE" w:rsidRPr="005B2DFB" w14:paraId="570DEE10" w14:textId="77777777" w:rsidTr="00C274B1">
        <w:trPr>
          <w:gridAfter w:val="1"/>
          <w:wAfter w:w="112" w:type="dxa"/>
          <w:trHeight w:val="889"/>
        </w:trPr>
        <w:tc>
          <w:tcPr>
            <w:tcW w:w="6999" w:type="dxa"/>
            <w:gridSpan w:val="3"/>
            <w:tcBorders>
              <w:top w:val="single" w:sz="4" w:space="0" w:color="auto"/>
              <w:left w:val="nil"/>
              <w:bottom w:val="nil"/>
              <w:right w:val="nil"/>
            </w:tcBorders>
            <w:shd w:val="clear" w:color="auto" w:fill="auto"/>
            <w:vAlign w:val="center"/>
            <w:hideMark/>
          </w:tcPr>
          <w:p w14:paraId="58E151DA"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b/>
                <w:bCs/>
                <w:color w:val="000000"/>
                <w:sz w:val="24"/>
                <w:szCs w:val="24"/>
              </w:rPr>
              <w:t>Note</w:t>
            </w:r>
            <w:r w:rsidRPr="005B2DFB">
              <w:rPr>
                <w:rFonts w:ascii="Times New Roman" w:eastAsia="Times New Roman" w:hAnsi="Times New Roman" w:cs="Times New Roman"/>
                <w:color w:val="000000"/>
                <w:sz w:val="24"/>
                <w:szCs w:val="24"/>
              </w:rPr>
              <w:t>: Each model includes post-stratification weights and controls for the pre-test measure of support for tuition-free community college policies (Baseline Support). Robust Standard Errors in parentheses. *p&lt;0.10 **p&lt;0.05 ***p&lt;0.01</w:t>
            </w:r>
          </w:p>
        </w:tc>
      </w:tr>
    </w:tbl>
    <w:p w14:paraId="4C72BBCC" w14:textId="77777777" w:rsidR="00420AFE" w:rsidRPr="005B2DFB" w:rsidRDefault="00420AFE" w:rsidP="00420AFE">
      <w:pPr>
        <w:spacing w:after="0" w:line="480" w:lineRule="auto"/>
        <w:textAlignment w:val="center"/>
        <w:rPr>
          <w:rFonts w:ascii="Times New Roman" w:hAnsi="Times New Roman" w:cs="Times New Roman"/>
          <w:sz w:val="24"/>
          <w:szCs w:val="24"/>
        </w:rPr>
      </w:pPr>
    </w:p>
    <w:p w14:paraId="689B4EBC" w14:textId="77777777" w:rsidR="00420AFE" w:rsidRPr="005B2DFB" w:rsidRDefault="00420AFE" w:rsidP="00420AFE">
      <w:pPr>
        <w:rPr>
          <w:rFonts w:ascii="Times New Roman" w:hAnsi="Times New Roman" w:cs="Times New Roman"/>
          <w:sz w:val="24"/>
          <w:szCs w:val="24"/>
        </w:rPr>
      </w:pPr>
    </w:p>
    <w:p w14:paraId="29286308" w14:textId="77777777" w:rsidR="00420AFE" w:rsidRPr="005B2DFB" w:rsidRDefault="00420AFE" w:rsidP="00420AFE">
      <w:pPr>
        <w:rPr>
          <w:rFonts w:ascii="Times New Roman" w:hAnsi="Times New Roman" w:cs="Times New Roman"/>
          <w:sz w:val="24"/>
          <w:szCs w:val="24"/>
        </w:rPr>
      </w:pPr>
      <w:r w:rsidRPr="005B2DFB">
        <w:rPr>
          <w:rFonts w:ascii="Times New Roman" w:hAnsi="Times New Roman" w:cs="Times New Roman"/>
          <w:sz w:val="24"/>
          <w:szCs w:val="24"/>
        </w:rPr>
        <w:br w:type="page"/>
      </w:r>
    </w:p>
    <w:tbl>
      <w:tblPr>
        <w:tblW w:w="6030" w:type="dxa"/>
        <w:tblLook w:val="04A0" w:firstRow="1" w:lastRow="0" w:firstColumn="1" w:lastColumn="0" w:noHBand="0" w:noVBand="1"/>
      </w:tblPr>
      <w:tblGrid>
        <w:gridCol w:w="3510"/>
        <w:gridCol w:w="1260"/>
        <w:gridCol w:w="1260"/>
      </w:tblGrid>
      <w:tr w:rsidR="00420AFE" w:rsidRPr="005B2DFB" w14:paraId="00F5C94D" w14:textId="77777777" w:rsidTr="00E53343">
        <w:trPr>
          <w:trHeight w:val="348"/>
        </w:trPr>
        <w:tc>
          <w:tcPr>
            <w:tcW w:w="6030" w:type="dxa"/>
            <w:gridSpan w:val="3"/>
            <w:tcBorders>
              <w:top w:val="nil"/>
              <w:left w:val="nil"/>
              <w:bottom w:val="nil"/>
              <w:right w:val="nil"/>
            </w:tcBorders>
            <w:shd w:val="clear" w:color="auto" w:fill="auto"/>
            <w:noWrap/>
            <w:vAlign w:val="bottom"/>
            <w:hideMark/>
          </w:tcPr>
          <w:p w14:paraId="0D6BF07E" w14:textId="70C3214C" w:rsidR="00420AFE" w:rsidRPr="005B2DFB" w:rsidRDefault="00420AFE" w:rsidP="00E53343">
            <w:pPr>
              <w:spacing w:after="0" w:line="240" w:lineRule="auto"/>
              <w:rPr>
                <w:rFonts w:ascii="Times New Roman" w:eastAsia="Times New Roman" w:hAnsi="Times New Roman" w:cs="Times New Roman"/>
                <w:bCs/>
                <w:sz w:val="24"/>
                <w:szCs w:val="24"/>
              </w:rPr>
            </w:pPr>
            <w:r w:rsidRPr="005B2DFB">
              <w:rPr>
                <w:rFonts w:ascii="Times New Roman" w:eastAsia="Times New Roman" w:hAnsi="Times New Roman" w:cs="Times New Roman"/>
                <w:bCs/>
                <w:sz w:val="24"/>
                <w:szCs w:val="24"/>
              </w:rPr>
              <w:lastRenderedPageBreak/>
              <w:t xml:space="preserve">Table </w:t>
            </w:r>
            <w:r w:rsidR="006A4673">
              <w:rPr>
                <w:rFonts w:ascii="Times New Roman" w:eastAsia="Times New Roman" w:hAnsi="Times New Roman" w:cs="Times New Roman"/>
                <w:bCs/>
                <w:sz w:val="24"/>
                <w:szCs w:val="24"/>
              </w:rPr>
              <w:t>3-</w:t>
            </w:r>
            <w:r w:rsidR="00274DED" w:rsidRPr="005B2DFB">
              <w:rPr>
                <w:rFonts w:ascii="Times New Roman" w:eastAsia="Times New Roman" w:hAnsi="Times New Roman" w:cs="Times New Roman"/>
                <w:bCs/>
                <w:sz w:val="24"/>
                <w:szCs w:val="24"/>
              </w:rPr>
              <w:t>B2</w:t>
            </w:r>
            <w:r w:rsidRPr="005B2DFB">
              <w:rPr>
                <w:rFonts w:ascii="Times New Roman" w:eastAsia="Times New Roman" w:hAnsi="Times New Roman" w:cs="Times New Roman"/>
                <w:bCs/>
                <w:sz w:val="24"/>
                <w:szCs w:val="24"/>
              </w:rPr>
              <w:t>. Ordinal Logistic Regression Results-Restricted Sample with Comprehension</w:t>
            </w:r>
          </w:p>
        </w:tc>
      </w:tr>
      <w:tr w:rsidR="00420AFE" w:rsidRPr="005B2DFB" w14:paraId="7B0211D3" w14:textId="77777777" w:rsidTr="00E53343">
        <w:trPr>
          <w:trHeight w:val="876"/>
        </w:trPr>
        <w:tc>
          <w:tcPr>
            <w:tcW w:w="3510" w:type="dxa"/>
            <w:tcBorders>
              <w:top w:val="nil"/>
              <w:left w:val="nil"/>
              <w:bottom w:val="single" w:sz="8" w:space="0" w:color="auto"/>
              <w:right w:val="nil"/>
            </w:tcBorders>
            <w:shd w:val="clear" w:color="auto" w:fill="auto"/>
            <w:vAlign w:val="center"/>
            <w:hideMark/>
          </w:tcPr>
          <w:p w14:paraId="703832F0"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Explanatory Variables</w:t>
            </w:r>
          </w:p>
        </w:tc>
        <w:tc>
          <w:tcPr>
            <w:tcW w:w="1260" w:type="dxa"/>
            <w:tcBorders>
              <w:top w:val="nil"/>
              <w:left w:val="nil"/>
              <w:bottom w:val="single" w:sz="8" w:space="0" w:color="auto"/>
              <w:right w:val="nil"/>
            </w:tcBorders>
            <w:shd w:val="clear" w:color="auto" w:fill="auto"/>
            <w:vAlign w:val="center"/>
            <w:hideMark/>
          </w:tcPr>
          <w:p w14:paraId="37070239"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Model 1: Support</w:t>
            </w:r>
          </w:p>
        </w:tc>
        <w:tc>
          <w:tcPr>
            <w:tcW w:w="1260" w:type="dxa"/>
            <w:tcBorders>
              <w:top w:val="nil"/>
              <w:left w:val="nil"/>
              <w:bottom w:val="single" w:sz="8" w:space="0" w:color="auto"/>
              <w:right w:val="nil"/>
            </w:tcBorders>
            <w:shd w:val="clear" w:color="auto" w:fill="auto"/>
            <w:vAlign w:val="center"/>
            <w:hideMark/>
          </w:tcPr>
          <w:p w14:paraId="22ED0C6A"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Model 2: Fairness</w:t>
            </w:r>
          </w:p>
        </w:tc>
      </w:tr>
      <w:tr w:rsidR="00420AFE" w:rsidRPr="005B2DFB" w14:paraId="22133726" w14:textId="77777777" w:rsidTr="00E53343">
        <w:trPr>
          <w:trHeight w:val="300"/>
        </w:trPr>
        <w:tc>
          <w:tcPr>
            <w:tcW w:w="3510" w:type="dxa"/>
            <w:tcBorders>
              <w:top w:val="nil"/>
              <w:left w:val="nil"/>
              <w:bottom w:val="nil"/>
              <w:right w:val="nil"/>
            </w:tcBorders>
            <w:shd w:val="clear" w:color="auto" w:fill="auto"/>
            <w:vAlign w:val="center"/>
            <w:hideMark/>
          </w:tcPr>
          <w:p w14:paraId="1972CB42"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Targeted at Low-Income Students</w:t>
            </w:r>
          </w:p>
        </w:tc>
        <w:tc>
          <w:tcPr>
            <w:tcW w:w="1260" w:type="dxa"/>
            <w:tcBorders>
              <w:top w:val="nil"/>
              <w:left w:val="nil"/>
              <w:bottom w:val="nil"/>
              <w:right w:val="nil"/>
            </w:tcBorders>
            <w:shd w:val="clear" w:color="auto" w:fill="auto"/>
            <w:noWrap/>
            <w:vAlign w:val="center"/>
            <w:hideMark/>
          </w:tcPr>
          <w:p w14:paraId="63EC6357"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0.0483</w:t>
            </w:r>
          </w:p>
        </w:tc>
        <w:tc>
          <w:tcPr>
            <w:tcW w:w="1260" w:type="dxa"/>
            <w:tcBorders>
              <w:top w:val="nil"/>
              <w:left w:val="nil"/>
              <w:bottom w:val="nil"/>
              <w:right w:val="nil"/>
            </w:tcBorders>
            <w:shd w:val="clear" w:color="auto" w:fill="auto"/>
            <w:noWrap/>
            <w:vAlign w:val="center"/>
            <w:hideMark/>
          </w:tcPr>
          <w:p w14:paraId="7EABDB91"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-0.206</w:t>
            </w:r>
          </w:p>
        </w:tc>
      </w:tr>
      <w:tr w:rsidR="00420AFE" w:rsidRPr="005B2DFB" w14:paraId="03A72459" w14:textId="77777777" w:rsidTr="00E53343">
        <w:trPr>
          <w:trHeight w:val="300"/>
        </w:trPr>
        <w:tc>
          <w:tcPr>
            <w:tcW w:w="3510" w:type="dxa"/>
            <w:tcBorders>
              <w:top w:val="nil"/>
              <w:left w:val="nil"/>
              <w:bottom w:val="nil"/>
              <w:right w:val="nil"/>
            </w:tcBorders>
            <w:shd w:val="clear" w:color="auto" w:fill="auto"/>
            <w:vAlign w:val="center"/>
            <w:hideMark/>
          </w:tcPr>
          <w:p w14:paraId="56376ED1"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27A322BE"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(0.136)</w:t>
            </w:r>
          </w:p>
        </w:tc>
        <w:tc>
          <w:tcPr>
            <w:tcW w:w="1260" w:type="dxa"/>
            <w:tcBorders>
              <w:top w:val="nil"/>
              <w:left w:val="nil"/>
              <w:bottom w:val="nil"/>
              <w:right w:val="nil"/>
            </w:tcBorders>
            <w:shd w:val="clear" w:color="auto" w:fill="auto"/>
            <w:noWrap/>
            <w:vAlign w:val="center"/>
            <w:hideMark/>
          </w:tcPr>
          <w:p w14:paraId="38788C3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(0.143)</w:t>
            </w:r>
          </w:p>
        </w:tc>
      </w:tr>
      <w:tr w:rsidR="00420AFE" w:rsidRPr="005B2DFB" w14:paraId="11125679" w14:textId="77777777" w:rsidTr="00E53343">
        <w:trPr>
          <w:trHeight w:val="135"/>
        </w:trPr>
        <w:tc>
          <w:tcPr>
            <w:tcW w:w="3510" w:type="dxa"/>
            <w:tcBorders>
              <w:top w:val="nil"/>
              <w:left w:val="nil"/>
              <w:bottom w:val="nil"/>
              <w:right w:val="nil"/>
            </w:tcBorders>
            <w:shd w:val="clear" w:color="auto" w:fill="auto"/>
            <w:vAlign w:val="center"/>
            <w:hideMark/>
          </w:tcPr>
          <w:p w14:paraId="3E2A1711"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Includes Academic Merit Requirement</w:t>
            </w:r>
          </w:p>
        </w:tc>
        <w:tc>
          <w:tcPr>
            <w:tcW w:w="1260" w:type="dxa"/>
            <w:tcBorders>
              <w:top w:val="nil"/>
              <w:left w:val="nil"/>
              <w:bottom w:val="nil"/>
              <w:right w:val="nil"/>
            </w:tcBorders>
            <w:shd w:val="clear" w:color="auto" w:fill="auto"/>
            <w:noWrap/>
            <w:vAlign w:val="center"/>
            <w:hideMark/>
          </w:tcPr>
          <w:p w14:paraId="6FC3AB8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0.550***</w:t>
            </w:r>
          </w:p>
        </w:tc>
        <w:tc>
          <w:tcPr>
            <w:tcW w:w="1260" w:type="dxa"/>
            <w:tcBorders>
              <w:top w:val="nil"/>
              <w:left w:val="nil"/>
              <w:bottom w:val="nil"/>
              <w:right w:val="nil"/>
            </w:tcBorders>
            <w:shd w:val="clear" w:color="auto" w:fill="auto"/>
            <w:noWrap/>
            <w:vAlign w:val="center"/>
            <w:hideMark/>
          </w:tcPr>
          <w:p w14:paraId="40978D3E"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0.421***</w:t>
            </w:r>
          </w:p>
        </w:tc>
      </w:tr>
      <w:tr w:rsidR="00420AFE" w:rsidRPr="005B2DFB" w14:paraId="24358CAE" w14:textId="77777777" w:rsidTr="00E53343">
        <w:trPr>
          <w:trHeight w:val="68"/>
        </w:trPr>
        <w:tc>
          <w:tcPr>
            <w:tcW w:w="3510" w:type="dxa"/>
            <w:tcBorders>
              <w:top w:val="nil"/>
              <w:left w:val="nil"/>
              <w:bottom w:val="nil"/>
              <w:right w:val="nil"/>
            </w:tcBorders>
            <w:shd w:val="clear" w:color="auto" w:fill="auto"/>
            <w:vAlign w:val="center"/>
            <w:hideMark/>
          </w:tcPr>
          <w:p w14:paraId="078C165C"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244275F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(0.138)</w:t>
            </w:r>
          </w:p>
        </w:tc>
        <w:tc>
          <w:tcPr>
            <w:tcW w:w="1260" w:type="dxa"/>
            <w:tcBorders>
              <w:top w:val="nil"/>
              <w:left w:val="nil"/>
              <w:bottom w:val="nil"/>
              <w:right w:val="nil"/>
            </w:tcBorders>
            <w:shd w:val="clear" w:color="auto" w:fill="auto"/>
            <w:noWrap/>
            <w:vAlign w:val="center"/>
            <w:hideMark/>
          </w:tcPr>
          <w:p w14:paraId="24B3E3C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(0.139)</w:t>
            </w:r>
          </w:p>
        </w:tc>
      </w:tr>
      <w:tr w:rsidR="00420AFE" w:rsidRPr="005B2DFB" w14:paraId="20505E84" w14:textId="77777777" w:rsidTr="00E53343">
        <w:trPr>
          <w:trHeight w:val="300"/>
        </w:trPr>
        <w:tc>
          <w:tcPr>
            <w:tcW w:w="3510" w:type="dxa"/>
            <w:tcBorders>
              <w:top w:val="nil"/>
              <w:left w:val="nil"/>
              <w:bottom w:val="nil"/>
              <w:right w:val="nil"/>
            </w:tcBorders>
            <w:shd w:val="clear" w:color="auto" w:fill="auto"/>
            <w:vAlign w:val="center"/>
            <w:hideMark/>
          </w:tcPr>
          <w:p w14:paraId="3562A4B6"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White</w:t>
            </w:r>
          </w:p>
        </w:tc>
        <w:tc>
          <w:tcPr>
            <w:tcW w:w="1260" w:type="dxa"/>
            <w:tcBorders>
              <w:top w:val="nil"/>
              <w:left w:val="nil"/>
              <w:bottom w:val="nil"/>
              <w:right w:val="nil"/>
            </w:tcBorders>
            <w:shd w:val="clear" w:color="auto" w:fill="auto"/>
            <w:noWrap/>
            <w:vAlign w:val="center"/>
            <w:hideMark/>
          </w:tcPr>
          <w:p w14:paraId="2455A81F"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-0.225</w:t>
            </w:r>
          </w:p>
        </w:tc>
        <w:tc>
          <w:tcPr>
            <w:tcW w:w="1260" w:type="dxa"/>
            <w:tcBorders>
              <w:top w:val="nil"/>
              <w:left w:val="nil"/>
              <w:bottom w:val="nil"/>
              <w:right w:val="nil"/>
            </w:tcBorders>
            <w:shd w:val="clear" w:color="auto" w:fill="auto"/>
            <w:noWrap/>
            <w:vAlign w:val="center"/>
            <w:hideMark/>
          </w:tcPr>
          <w:p w14:paraId="051F641D"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-0.107</w:t>
            </w:r>
          </w:p>
        </w:tc>
      </w:tr>
      <w:tr w:rsidR="00420AFE" w:rsidRPr="005B2DFB" w14:paraId="1DE312C5" w14:textId="77777777" w:rsidTr="00E53343">
        <w:trPr>
          <w:trHeight w:val="300"/>
        </w:trPr>
        <w:tc>
          <w:tcPr>
            <w:tcW w:w="3510" w:type="dxa"/>
            <w:tcBorders>
              <w:top w:val="nil"/>
              <w:left w:val="nil"/>
              <w:bottom w:val="nil"/>
              <w:right w:val="nil"/>
            </w:tcBorders>
            <w:shd w:val="clear" w:color="auto" w:fill="auto"/>
            <w:vAlign w:val="center"/>
            <w:hideMark/>
          </w:tcPr>
          <w:p w14:paraId="4646A759"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1F8EE06B"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(0.166)</w:t>
            </w:r>
          </w:p>
        </w:tc>
        <w:tc>
          <w:tcPr>
            <w:tcW w:w="1260" w:type="dxa"/>
            <w:tcBorders>
              <w:top w:val="nil"/>
              <w:left w:val="nil"/>
              <w:bottom w:val="nil"/>
              <w:right w:val="nil"/>
            </w:tcBorders>
            <w:shd w:val="clear" w:color="auto" w:fill="auto"/>
            <w:noWrap/>
            <w:vAlign w:val="center"/>
            <w:hideMark/>
          </w:tcPr>
          <w:p w14:paraId="47442F9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(0.172)</w:t>
            </w:r>
          </w:p>
        </w:tc>
      </w:tr>
      <w:tr w:rsidR="00420AFE" w:rsidRPr="005B2DFB" w14:paraId="6862BA5A" w14:textId="77777777" w:rsidTr="00E53343">
        <w:trPr>
          <w:trHeight w:val="300"/>
        </w:trPr>
        <w:tc>
          <w:tcPr>
            <w:tcW w:w="3510" w:type="dxa"/>
            <w:tcBorders>
              <w:top w:val="nil"/>
              <w:left w:val="nil"/>
              <w:bottom w:val="nil"/>
              <w:right w:val="nil"/>
            </w:tcBorders>
            <w:shd w:val="clear" w:color="auto" w:fill="auto"/>
            <w:vAlign w:val="center"/>
            <w:hideMark/>
          </w:tcPr>
          <w:p w14:paraId="2B53D1A8"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Male</w:t>
            </w:r>
          </w:p>
        </w:tc>
        <w:tc>
          <w:tcPr>
            <w:tcW w:w="1260" w:type="dxa"/>
            <w:tcBorders>
              <w:top w:val="nil"/>
              <w:left w:val="nil"/>
              <w:bottom w:val="nil"/>
              <w:right w:val="nil"/>
            </w:tcBorders>
            <w:shd w:val="clear" w:color="auto" w:fill="auto"/>
            <w:noWrap/>
            <w:vAlign w:val="center"/>
            <w:hideMark/>
          </w:tcPr>
          <w:p w14:paraId="499ED573"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-0.188</w:t>
            </w:r>
          </w:p>
        </w:tc>
        <w:tc>
          <w:tcPr>
            <w:tcW w:w="1260" w:type="dxa"/>
            <w:tcBorders>
              <w:top w:val="nil"/>
              <w:left w:val="nil"/>
              <w:bottom w:val="nil"/>
              <w:right w:val="nil"/>
            </w:tcBorders>
            <w:shd w:val="clear" w:color="auto" w:fill="auto"/>
            <w:noWrap/>
            <w:vAlign w:val="center"/>
            <w:hideMark/>
          </w:tcPr>
          <w:p w14:paraId="6D6F7830"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0.0820</w:t>
            </w:r>
          </w:p>
        </w:tc>
      </w:tr>
      <w:tr w:rsidR="00420AFE" w:rsidRPr="005B2DFB" w14:paraId="39BC9A97" w14:textId="77777777" w:rsidTr="00E53343">
        <w:trPr>
          <w:trHeight w:val="300"/>
        </w:trPr>
        <w:tc>
          <w:tcPr>
            <w:tcW w:w="3510" w:type="dxa"/>
            <w:tcBorders>
              <w:top w:val="nil"/>
              <w:left w:val="nil"/>
              <w:bottom w:val="nil"/>
              <w:right w:val="nil"/>
            </w:tcBorders>
            <w:shd w:val="clear" w:color="auto" w:fill="auto"/>
            <w:vAlign w:val="center"/>
            <w:hideMark/>
          </w:tcPr>
          <w:p w14:paraId="2E9404B5"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7F8570D0"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(0.139)</w:t>
            </w:r>
          </w:p>
        </w:tc>
        <w:tc>
          <w:tcPr>
            <w:tcW w:w="1260" w:type="dxa"/>
            <w:tcBorders>
              <w:top w:val="nil"/>
              <w:left w:val="nil"/>
              <w:bottom w:val="nil"/>
              <w:right w:val="nil"/>
            </w:tcBorders>
            <w:shd w:val="clear" w:color="auto" w:fill="auto"/>
            <w:noWrap/>
            <w:vAlign w:val="center"/>
            <w:hideMark/>
          </w:tcPr>
          <w:p w14:paraId="3D45CC5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(0.142)</w:t>
            </w:r>
          </w:p>
        </w:tc>
      </w:tr>
      <w:tr w:rsidR="00420AFE" w:rsidRPr="005B2DFB" w14:paraId="4BFB5A19" w14:textId="77777777" w:rsidTr="00E53343">
        <w:trPr>
          <w:trHeight w:val="300"/>
        </w:trPr>
        <w:tc>
          <w:tcPr>
            <w:tcW w:w="3510" w:type="dxa"/>
            <w:tcBorders>
              <w:top w:val="nil"/>
              <w:left w:val="nil"/>
              <w:bottom w:val="nil"/>
              <w:right w:val="nil"/>
            </w:tcBorders>
            <w:shd w:val="clear" w:color="auto" w:fill="auto"/>
            <w:vAlign w:val="center"/>
            <w:hideMark/>
          </w:tcPr>
          <w:p w14:paraId="13837829"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Income</w:t>
            </w:r>
          </w:p>
        </w:tc>
        <w:tc>
          <w:tcPr>
            <w:tcW w:w="1260" w:type="dxa"/>
            <w:tcBorders>
              <w:top w:val="nil"/>
              <w:left w:val="nil"/>
              <w:bottom w:val="nil"/>
              <w:right w:val="nil"/>
            </w:tcBorders>
            <w:shd w:val="clear" w:color="auto" w:fill="auto"/>
            <w:noWrap/>
            <w:vAlign w:val="center"/>
            <w:hideMark/>
          </w:tcPr>
          <w:p w14:paraId="35A5868D"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-0.0359**</w:t>
            </w:r>
          </w:p>
        </w:tc>
        <w:tc>
          <w:tcPr>
            <w:tcW w:w="1260" w:type="dxa"/>
            <w:tcBorders>
              <w:top w:val="nil"/>
              <w:left w:val="nil"/>
              <w:bottom w:val="nil"/>
              <w:right w:val="nil"/>
            </w:tcBorders>
            <w:shd w:val="clear" w:color="auto" w:fill="auto"/>
            <w:noWrap/>
            <w:vAlign w:val="center"/>
            <w:hideMark/>
          </w:tcPr>
          <w:p w14:paraId="2A2797E8"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-0.0222</w:t>
            </w:r>
          </w:p>
        </w:tc>
      </w:tr>
      <w:tr w:rsidR="00420AFE" w:rsidRPr="005B2DFB" w14:paraId="39A15F3E" w14:textId="77777777" w:rsidTr="00E53343">
        <w:trPr>
          <w:trHeight w:val="300"/>
        </w:trPr>
        <w:tc>
          <w:tcPr>
            <w:tcW w:w="3510" w:type="dxa"/>
            <w:tcBorders>
              <w:top w:val="nil"/>
              <w:left w:val="nil"/>
              <w:bottom w:val="nil"/>
              <w:right w:val="nil"/>
            </w:tcBorders>
            <w:shd w:val="clear" w:color="auto" w:fill="auto"/>
            <w:vAlign w:val="center"/>
            <w:hideMark/>
          </w:tcPr>
          <w:p w14:paraId="04BC617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49F44A7B"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(0.0152)</w:t>
            </w:r>
          </w:p>
        </w:tc>
        <w:tc>
          <w:tcPr>
            <w:tcW w:w="1260" w:type="dxa"/>
            <w:tcBorders>
              <w:top w:val="nil"/>
              <w:left w:val="nil"/>
              <w:bottom w:val="nil"/>
              <w:right w:val="nil"/>
            </w:tcBorders>
            <w:shd w:val="clear" w:color="auto" w:fill="auto"/>
            <w:noWrap/>
            <w:vAlign w:val="center"/>
            <w:hideMark/>
          </w:tcPr>
          <w:p w14:paraId="3BDA1D43"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(0.0175)</w:t>
            </w:r>
          </w:p>
        </w:tc>
      </w:tr>
      <w:tr w:rsidR="00420AFE" w:rsidRPr="005B2DFB" w14:paraId="5BF25890" w14:textId="77777777" w:rsidTr="00E53343">
        <w:trPr>
          <w:trHeight w:val="300"/>
        </w:trPr>
        <w:tc>
          <w:tcPr>
            <w:tcW w:w="3510" w:type="dxa"/>
            <w:tcBorders>
              <w:top w:val="nil"/>
              <w:left w:val="nil"/>
              <w:bottom w:val="nil"/>
              <w:right w:val="nil"/>
            </w:tcBorders>
            <w:shd w:val="clear" w:color="auto" w:fill="auto"/>
            <w:vAlign w:val="center"/>
            <w:hideMark/>
          </w:tcPr>
          <w:p w14:paraId="7ECFA76F"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Age</w:t>
            </w:r>
          </w:p>
        </w:tc>
        <w:tc>
          <w:tcPr>
            <w:tcW w:w="1260" w:type="dxa"/>
            <w:tcBorders>
              <w:top w:val="nil"/>
              <w:left w:val="nil"/>
              <w:bottom w:val="nil"/>
              <w:right w:val="nil"/>
            </w:tcBorders>
            <w:shd w:val="clear" w:color="auto" w:fill="auto"/>
            <w:noWrap/>
            <w:vAlign w:val="center"/>
            <w:hideMark/>
          </w:tcPr>
          <w:p w14:paraId="7F574C53"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0.00180</w:t>
            </w:r>
          </w:p>
        </w:tc>
        <w:tc>
          <w:tcPr>
            <w:tcW w:w="1260" w:type="dxa"/>
            <w:tcBorders>
              <w:top w:val="nil"/>
              <w:left w:val="nil"/>
              <w:bottom w:val="nil"/>
              <w:right w:val="nil"/>
            </w:tcBorders>
            <w:shd w:val="clear" w:color="auto" w:fill="auto"/>
            <w:noWrap/>
            <w:vAlign w:val="center"/>
            <w:hideMark/>
          </w:tcPr>
          <w:p w14:paraId="531807DC"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-0.000654</w:t>
            </w:r>
          </w:p>
        </w:tc>
      </w:tr>
      <w:tr w:rsidR="00420AFE" w:rsidRPr="005B2DFB" w14:paraId="0338421C" w14:textId="77777777" w:rsidTr="00E53343">
        <w:trPr>
          <w:trHeight w:val="300"/>
        </w:trPr>
        <w:tc>
          <w:tcPr>
            <w:tcW w:w="3510" w:type="dxa"/>
            <w:tcBorders>
              <w:top w:val="nil"/>
              <w:left w:val="nil"/>
              <w:bottom w:val="nil"/>
              <w:right w:val="nil"/>
            </w:tcBorders>
            <w:shd w:val="clear" w:color="auto" w:fill="auto"/>
            <w:vAlign w:val="center"/>
            <w:hideMark/>
          </w:tcPr>
          <w:p w14:paraId="7B3C7DC0"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5AB12F1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(0.00483)</w:t>
            </w:r>
          </w:p>
        </w:tc>
        <w:tc>
          <w:tcPr>
            <w:tcW w:w="1260" w:type="dxa"/>
            <w:tcBorders>
              <w:top w:val="nil"/>
              <w:left w:val="nil"/>
              <w:bottom w:val="nil"/>
              <w:right w:val="nil"/>
            </w:tcBorders>
            <w:shd w:val="clear" w:color="auto" w:fill="auto"/>
            <w:noWrap/>
            <w:vAlign w:val="center"/>
            <w:hideMark/>
          </w:tcPr>
          <w:p w14:paraId="5A68D821"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(0.00475)</w:t>
            </w:r>
          </w:p>
        </w:tc>
      </w:tr>
      <w:tr w:rsidR="00420AFE" w:rsidRPr="005B2DFB" w14:paraId="140D1997" w14:textId="77777777" w:rsidTr="00E53343">
        <w:trPr>
          <w:trHeight w:val="300"/>
        </w:trPr>
        <w:tc>
          <w:tcPr>
            <w:tcW w:w="3510" w:type="dxa"/>
            <w:tcBorders>
              <w:top w:val="nil"/>
              <w:left w:val="nil"/>
              <w:bottom w:val="nil"/>
              <w:right w:val="nil"/>
            </w:tcBorders>
            <w:shd w:val="clear" w:color="auto" w:fill="auto"/>
            <w:vAlign w:val="center"/>
            <w:hideMark/>
          </w:tcPr>
          <w:p w14:paraId="204CD0AA"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Region</w:t>
            </w:r>
          </w:p>
        </w:tc>
        <w:tc>
          <w:tcPr>
            <w:tcW w:w="1260" w:type="dxa"/>
            <w:tcBorders>
              <w:top w:val="nil"/>
              <w:left w:val="nil"/>
              <w:bottom w:val="nil"/>
              <w:right w:val="nil"/>
            </w:tcBorders>
            <w:shd w:val="clear" w:color="auto" w:fill="auto"/>
            <w:noWrap/>
            <w:vAlign w:val="center"/>
            <w:hideMark/>
          </w:tcPr>
          <w:p w14:paraId="3DEDCED8"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-0.0970</w:t>
            </w:r>
          </w:p>
        </w:tc>
        <w:tc>
          <w:tcPr>
            <w:tcW w:w="1260" w:type="dxa"/>
            <w:tcBorders>
              <w:top w:val="nil"/>
              <w:left w:val="nil"/>
              <w:bottom w:val="nil"/>
              <w:right w:val="nil"/>
            </w:tcBorders>
            <w:shd w:val="clear" w:color="auto" w:fill="auto"/>
            <w:noWrap/>
            <w:vAlign w:val="center"/>
            <w:hideMark/>
          </w:tcPr>
          <w:p w14:paraId="6725111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-0.0468</w:t>
            </w:r>
          </w:p>
        </w:tc>
      </w:tr>
      <w:tr w:rsidR="00420AFE" w:rsidRPr="005B2DFB" w14:paraId="50A5E3AE" w14:textId="77777777" w:rsidTr="00E53343">
        <w:trPr>
          <w:trHeight w:val="300"/>
        </w:trPr>
        <w:tc>
          <w:tcPr>
            <w:tcW w:w="3510" w:type="dxa"/>
            <w:tcBorders>
              <w:top w:val="nil"/>
              <w:left w:val="nil"/>
              <w:bottom w:val="nil"/>
              <w:right w:val="nil"/>
            </w:tcBorders>
            <w:shd w:val="clear" w:color="auto" w:fill="auto"/>
            <w:vAlign w:val="center"/>
            <w:hideMark/>
          </w:tcPr>
          <w:p w14:paraId="559B69DB"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4638D2A5"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(0.0648)</w:t>
            </w:r>
          </w:p>
        </w:tc>
        <w:tc>
          <w:tcPr>
            <w:tcW w:w="1260" w:type="dxa"/>
            <w:tcBorders>
              <w:top w:val="nil"/>
              <w:left w:val="nil"/>
              <w:bottom w:val="nil"/>
              <w:right w:val="nil"/>
            </w:tcBorders>
            <w:shd w:val="clear" w:color="auto" w:fill="auto"/>
            <w:noWrap/>
            <w:vAlign w:val="center"/>
            <w:hideMark/>
          </w:tcPr>
          <w:p w14:paraId="0CF5E6D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(0.0687)</w:t>
            </w:r>
          </w:p>
        </w:tc>
      </w:tr>
      <w:tr w:rsidR="00420AFE" w:rsidRPr="005B2DFB" w14:paraId="2A1EC6D8" w14:textId="77777777" w:rsidTr="00E53343">
        <w:trPr>
          <w:trHeight w:val="300"/>
        </w:trPr>
        <w:tc>
          <w:tcPr>
            <w:tcW w:w="3510" w:type="dxa"/>
            <w:tcBorders>
              <w:top w:val="nil"/>
              <w:left w:val="nil"/>
              <w:bottom w:val="nil"/>
              <w:right w:val="nil"/>
            </w:tcBorders>
            <w:shd w:val="clear" w:color="auto" w:fill="auto"/>
            <w:vAlign w:val="center"/>
            <w:hideMark/>
          </w:tcPr>
          <w:p w14:paraId="071C63AE"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Education</w:t>
            </w:r>
          </w:p>
        </w:tc>
        <w:tc>
          <w:tcPr>
            <w:tcW w:w="1260" w:type="dxa"/>
            <w:tcBorders>
              <w:top w:val="nil"/>
              <w:left w:val="nil"/>
              <w:bottom w:val="nil"/>
              <w:right w:val="nil"/>
            </w:tcBorders>
            <w:shd w:val="clear" w:color="auto" w:fill="auto"/>
            <w:noWrap/>
            <w:vAlign w:val="center"/>
            <w:hideMark/>
          </w:tcPr>
          <w:p w14:paraId="6728B90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-0.0418</w:t>
            </w:r>
          </w:p>
        </w:tc>
        <w:tc>
          <w:tcPr>
            <w:tcW w:w="1260" w:type="dxa"/>
            <w:tcBorders>
              <w:top w:val="nil"/>
              <w:left w:val="nil"/>
              <w:bottom w:val="nil"/>
              <w:right w:val="nil"/>
            </w:tcBorders>
            <w:shd w:val="clear" w:color="auto" w:fill="auto"/>
            <w:noWrap/>
            <w:vAlign w:val="center"/>
            <w:hideMark/>
          </w:tcPr>
          <w:p w14:paraId="204FA2A1"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0.0260</w:t>
            </w:r>
          </w:p>
        </w:tc>
      </w:tr>
      <w:tr w:rsidR="00420AFE" w:rsidRPr="005B2DFB" w14:paraId="5658E4BA" w14:textId="77777777" w:rsidTr="00E53343">
        <w:trPr>
          <w:trHeight w:val="300"/>
        </w:trPr>
        <w:tc>
          <w:tcPr>
            <w:tcW w:w="3510" w:type="dxa"/>
            <w:tcBorders>
              <w:top w:val="nil"/>
              <w:left w:val="nil"/>
              <w:bottom w:val="nil"/>
              <w:right w:val="nil"/>
            </w:tcBorders>
            <w:shd w:val="clear" w:color="auto" w:fill="auto"/>
            <w:vAlign w:val="center"/>
            <w:hideMark/>
          </w:tcPr>
          <w:p w14:paraId="79BF0377"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2FF4D28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(0.0422)</w:t>
            </w:r>
          </w:p>
        </w:tc>
        <w:tc>
          <w:tcPr>
            <w:tcW w:w="1260" w:type="dxa"/>
            <w:tcBorders>
              <w:top w:val="nil"/>
              <w:left w:val="nil"/>
              <w:bottom w:val="nil"/>
              <w:right w:val="nil"/>
            </w:tcBorders>
            <w:shd w:val="clear" w:color="auto" w:fill="auto"/>
            <w:noWrap/>
            <w:vAlign w:val="center"/>
            <w:hideMark/>
          </w:tcPr>
          <w:p w14:paraId="5E3C9CD1"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(0.0427)</w:t>
            </w:r>
          </w:p>
        </w:tc>
      </w:tr>
      <w:tr w:rsidR="00420AFE" w:rsidRPr="005B2DFB" w14:paraId="12DDDC8E" w14:textId="77777777" w:rsidTr="00E53343">
        <w:trPr>
          <w:trHeight w:val="300"/>
        </w:trPr>
        <w:tc>
          <w:tcPr>
            <w:tcW w:w="3510" w:type="dxa"/>
            <w:tcBorders>
              <w:top w:val="nil"/>
              <w:left w:val="nil"/>
              <w:bottom w:val="nil"/>
              <w:right w:val="nil"/>
            </w:tcBorders>
            <w:shd w:val="clear" w:color="auto" w:fill="auto"/>
            <w:vAlign w:val="center"/>
            <w:hideMark/>
          </w:tcPr>
          <w:p w14:paraId="2B4B9581"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Ideology</w:t>
            </w:r>
          </w:p>
        </w:tc>
        <w:tc>
          <w:tcPr>
            <w:tcW w:w="1260" w:type="dxa"/>
            <w:tcBorders>
              <w:top w:val="nil"/>
              <w:left w:val="nil"/>
              <w:bottom w:val="nil"/>
              <w:right w:val="nil"/>
            </w:tcBorders>
            <w:shd w:val="clear" w:color="auto" w:fill="auto"/>
            <w:noWrap/>
            <w:vAlign w:val="center"/>
            <w:hideMark/>
          </w:tcPr>
          <w:p w14:paraId="0DB338D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-0.105*</w:t>
            </w:r>
          </w:p>
        </w:tc>
        <w:tc>
          <w:tcPr>
            <w:tcW w:w="1260" w:type="dxa"/>
            <w:tcBorders>
              <w:top w:val="nil"/>
              <w:left w:val="nil"/>
              <w:bottom w:val="nil"/>
              <w:right w:val="nil"/>
            </w:tcBorders>
            <w:shd w:val="clear" w:color="auto" w:fill="auto"/>
            <w:noWrap/>
            <w:vAlign w:val="center"/>
            <w:hideMark/>
          </w:tcPr>
          <w:p w14:paraId="2F98C58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-0.0849</w:t>
            </w:r>
          </w:p>
        </w:tc>
      </w:tr>
      <w:tr w:rsidR="00420AFE" w:rsidRPr="005B2DFB" w14:paraId="67E321B6" w14:textId="77777777" w:rsidTr="00E53343">
        <w:trPr>
          <w:trHeight w:val="300"/>
        </w:trPr>
        <w:tc>
          <w:tcPr>
            <w:tcW w:w="3510" w:type="dxa"/>
            <w:tcBorders>
              <w:top w:val="nil"/>
              <w:left w:val="nil"/>
              <w:bottom w:val="nil"/>
              <w:right w:val="nil"/>
            </w:tcBorders>
            <w:shd w:val="clear" w:color="auto" w:fill="auto"/>
            <w:vAlign w:val="center"/>
            <w:hideMark/>
          </w:tcPr>
          <w:p w14:paraId="6462DC45"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3FA9351C"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(0.0588)</w:t>
            </w:r>
          </w:p>
        </w:tc>
        <w:tc>
          <w:tcPr>
            <w:tcW w:w="1260" w:type="dxa"/>
            <w:tcBorders>
              <w:top w:val="nil"/>
              <w:left w:val="nil"/>
              <w:bottom w:val="nil"/>
              <w:right w:val="nil"/>
            </w:tcBorders>
            <w:shd w:val="clear" w:color="auto" w:fill="auto"/>
            <w:noWrap/>
            <w:vAlign w:val="center"/>
            <w:hideMark/>
          </w:tcPr>
          <w:p w14:paraId="5967382E"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(0.0590)</w:t>
            </w:r>
          </w:p>
        </w:tc>
      </w:tr>
      <w:tr w:rsidR="00420AFE" w:rsidRPr="005B2DFB" w14:paraId="7A89CCCA" w14:textId="77777777" w:rsidTr="00E53343">
        <w:trPr>
          <w:trHeight w:val="300"/>
        </w:trPr>
        <w:tc>
          <w:tcPr>
            <w:tcW w:w="3510" w:type="dxa"/>
            <w:tcBorders>
              <w:top w:val="nil"/>
              <w:left w:val="nil"/>
              <w:bottom w:val="nil"/>
              <w:right w:val="nil"/>
            </w:tcBorders>
            <w:shd w:val="clear" w:color="auto" w:fill="auto"/>
            <w:vAlign w:val="center"/>
            <w:hideMark/>
          </w:tcPr>
          <w:p w14:paraId="0F913DA1"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Party ID-Republican</w:t>
            </w:r>
          </w:p>
        </w:tc>
        <w:tc>
          <w:tcPr>
            <w:tcW w:w="1260" w:type="dxa"/>
            <w:tcBorders>
              <w:top w:val="nil"/>
              <w:left w:val="nil"/>
              <w:bottom w:val="nil"/>
              <w:right w:val="nil"/>
            </w:tcBorders>
            <w:shd w:val="clear" w:color="auto" w:fill="auto"/>
            <w:noWrap/>
            <w:vAlign w:val="center"/>
            <w:hideMark/>
          </w:tcPr>
          <w:p w14:paraId="51F5FC4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-0.00447</w:t>
            </w:r>
          </w:p>
        </w:tc>
        <w:tc>
          <w:tcPr>
            <w:tcW w:w="1260" w:type="dxa"/>
            <w:tcBorders>
              <w:top w:val="nil"/>
              <w:left w:val="nil"/>
              <w:bottom w:val="nil"/>
              <w:right w:val="nil"/>
            </w:tcBorders>
            <w:shd w:val="clear" w:color="auto" w:fill="auto"/>
            <w:noWrap/>
            <w:vAlign w:val="center"/>
            <w:hideMark/>
          </w:tcPr>
          <w:p w14:paraId="64DC8290"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-0.00139</w:t>
            </w:r>
          </w:p>
        </w:tc>
      </w:tr>
      <w:tr w:rsidR="00420AFE" w:rsidRPr="005B2DFB" w14:paraId="654014DE" w14:textId="77777777" w:rsidTr="00E53343">
        <w:trPr>
          <w:trHeight w:val="300"/>
        </w:trPr>
        <w:tc>
          <w:tcPr>
            <w:tcW w:w="3510" w:type="dxa"/>
            <w:tcBorders>
              <w:top w:val="nil"/>
              <w:left w:val="nil"/>
              <w:bottom w:val="nil"/>
              <w:right w:val="nil"/>
            </w:tcBorders>
            <w:shd w:val="clear" w:color="auto" w:fill="auto"/>
            <w:vAlign w:val="center"/>
            <w:hideMark/>
          </w:tcPr>
          <w:p w14:paraId="1382529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09A7A31C"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(0.180)</w:t>
            </w:r>
          </w:p>
        </w:tc>
        <w:tc>
          <w:tcPr>
            <w:tcW w:w="1260" w:type="dxa"/>
            <w:tcBorders>
              <w:top w:val="nil"/>
              <w:left w:val="nil"/>
              <w:bottom w:val="nil"/>
              <w:right w:val="nil"/>
            </w:tcBorders>
            <w:shd w:val="clear" w:color="auto" w:fill="auto"/>
            <w:noWrap/>
            <w:vAlign w:val="center"/>
            <w:hideMark/>
          </w:tcPr>
          <w:p w14:paraId="7F290F6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(0.182)</w:t>
            </w:r>
          </w:p>
        </w:tc>
      </w:tr>
      <w:tr w:rsidR="00420AFE" w:rsidRPr="005B2DFB" w14:paraId="5AE17072" w14:textId="77777777" w:rsidTr="00E53343">
        <w:trPr>
          <w:trHeight w:val="300"/>
        </w:trPr>
        <w:tc>
          <w:tcPr>
            <w:tcW w:w="3510" w:type="dxa"/>
            <w:tcBorders>
              <w:top w:val="nil"/>
              <w:left w:val="nil"/>
              <w:bottom w:val="nil"/>
              <w:right w:val="nil"/>
            </w:tcBorders>
            <w:shd w:val="clear" w:color="auto" w:fill="auto"/>
            <w:vAlign w:val="center"/>
            <w:hideMark/>
          </w:tcPr>
          <w:p w14:paraId="666D62A3"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Voted in Last Election</w:t>
            </w:r>
          </w:p>
        </w:tc>
        <w:tc>
          <w:tcPr>
            <w:tcW w:w="1260" w:type="dxa"/>
            <w:tcBorders>
              <w:top w:val="nil"/>
              <w:left w:val="nil"/>
              <w:bottom w:val="nil"/>
              <w:right w:val="nil"/>
            </w:tcBorders>
            <w:shd w:val="clear" w:color="auto" w:fill="auto"/>
            <w:noWrap/>
            <w:vAlign w:val="center"/>
            <w:hideMark/>
          </w:tcPr>
          <w:p w14:paraId="0D6DE6D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0.366**</w:t>
            </w:r>
          </w:p>
        </w:tc>
        <w:tc>
          <w:tcPr>
            <w:tcW w:w="1260" w:type="dxa"/>
            <w:tcBorders>
              <w:top w:val="nil"/>
              <w:left w:val="nil"/>
              <w:bottom w:val="nil"/>
              <w:right w:val="nil"/>
            </w:tcBorders>
            <w:shd w:val="clear" w:color="auto" w:fill="auto"/>
            <w:noWrap/>
            <w:vAlign w:val="center"/>
            <w:hideMark/>
          </w:tcPr>
          <w:p w14:paraId="4C3CFDCD"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0.0603</w:t>
            </w:r>
          </w:p>
        </w:tc>
      </w:tr>
      <w:tr w:rsidR="00420AFE" w:rsidRPr="005B2DFB" w14:paraId="5BED2E81" w14:textId="77777777" w:rsidTr="00E53343">
        <w:trPr>
          <w:trHeight w:val="300"/>
        </w:trPr>
        <w:tc>
          <w:tcPr>
            <w:tcW w:w="3510" w:type="dxa"/>
            <w:tcBorders>
              <w:top w:val="nil"/>
              <w:left w:val="nil"/>
              <w:bottom w:val="nil"/>
              <w:right w:val="nil"/>
            </w:tcBorders>
            <w:shd w:val="clear" w:color="auto" w:fill="auto"/>
            <w:vAlign w:val="center"/>
            <w:hideMark/>
          </w:tcPr>
          <w:p w14:paraId="15A3B07D"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43B6748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(0.182)</w:t>
            </w:r>
          </w:p>
        </w:tc>
        <w:tc>
          <w:tcPr>
            <w:tcW w:w="1260" w:type="dxa"/>
            <w:tcBorders>
              <w:top w:val="nil"/>
              <w:left w:val="nil"/>
              <w:bottom w:val="nil"/>
              <w:right w:val="nil"/>
            </w:tcBorders>
            <w:shd w:val="clear" w:color="auto" w:fill="auto"/>
            <w:noWrap/>
            <w:vAlign w:val="center"/>
            <w:hideMark/>
          </w:tcPr>
          <w:p w14:paraId="49A1B6C3"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(0.176)</w:t>
            </w:r>
          </w:p>
        </w:tc>
      </w:tr>
      <w:tr w:rsidR="00420AFE" w:rsidRPr="005B2DFB" w14:paraId="1816A90E" w14:textId="77777777" w:rsidTr="00E53343">
        <w:trPr>
          <w:trHeight w:val="300"/>
        </w:trPr>
        <w:tc>
          <w:tcPr>
            <w:tcW w:w="3510" w:type="dxa"/>
            <w:tcBorders>
              <w:top w:val="nil"/>
              <w:left w:val="nil"/>
              <w:bottom w:val="nil"/>
              <w:right w:val="nil"/>
            </w:tcBorders>
            <w:shd w:val="clear" w:color="auto" w:fill="auto"/>
            <w:vAlign w:val="center"/>
            <w:hideMark/>
          </w:tcPr>
          <w:p w14:paraId="351DF8A2"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Baseline Support</w:t>
            </w:r>
          </w:p>
        </w:tc>
        <w:tc>
          <w:tcPr>
            <w:tcW w:w="1260" w:type="dxa"/>
            <w:tcBorders>
              <w:top w:val="nil"/>
              <w:left w:val="nil"/>
              <w:bottom w:val="nil"/>
              <w:right w:val="nil"/>
            </w:tcBorders>
            <w:shd w:val="clear" w:color="auto" w:fill="auto"/>
            <w:noWrap/>
            <w:vAlign w:val="center"/>
            <w:hideMark/>
          </w:tcPr>
          <w:p w14:paraId="59D83CA9"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1.060***</w:t>
            </w:r>
          </w:p>
        </w:tc>
        <w:tc>
          <w:tcPr>
            <w:tcW w:w="1260" w:type="dxa"/>
            <w:tcBorders>
              <w:top w:val="nil"/>
              <w:left w:val="nil"/>
              <w:bottom w:val="nil"/>
              <w:right w:val="nil"/>
            </w:tcBorders>
            <w:shd w:val="clear" w:color="auto" w:fill="auto"/>
            <w:noWrap/>
            <w:vAlign w:val="center"/>
            <w:hideMark/>
          </w:tcPr>
          <w:p w14:paraId="579C091E"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0.790***</w:t>
            </w:r>
          </w:p>
        </w:tc>
      </w:tr>
      <w:tr w:rsidR="00420AFE" w:rsidRPr="005B2DFB" w14:paraId="1B4129B8" w14:textId="77777777" w:rsidTr="00E53343">
        <w:trPr>
          <w:trHeight w:val="300"/>
        </w:trPr>
        <w:tc>
          <w:tcPr>
            <w:tcW w:w="3510" w:type="dxa"/>
            <w:tcBorders>
              <w:top w:val="nil"/>
              <w:left w:val="nil"/>
              <w:bottom w:val="nil"/>
              <w:right w:val="nil"/>
            </w:tcBorders>
            <w:shd w:val="clear" w:color="auto" w:fill="auto"/>
            <w:vAlign w:val="center"/>
            <w:hideMark/>
          </w:tcPr>
          <w:p w14:paraId="386039CE"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p>
        </w:tc>
        <w:tc>
          <w:tcPr>
            <w:tcW w:w="1260" w:type="dxa"/>
            <w:tcBorders>
              <w:top w:val="nil"/>
              <w:left w:val="nil"/>
              <w:bottom w:val="nil"/>
              <w:right w:val="nil"/>
            </w:tcBorders>
            <w:shd w:val="clear" w:color="auto" w:fill="auto"/>
            <w:noWrap/>
            <w:vAlign w:val="center"/>
            <w:hideMark/>
          </w:tcPr>
          <w:p w14:paraId="5E9664C2"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(0.0926)</w:t>
            </w:r>
          </w:p>
        </w:tc>
        <w:tc>
          <w:tcPr>
            <w:tcW w:w="1260" w:type="dxa"/>
            <w:tcBorders>
              <w:top w:val="nil"/>
              <w:left w:val="nil"/>
              <w:bottom w:val="nil"/>
              <w:right w:val="nil"/>
            </w:tcBorders>
            <w:shd w:val="clear" w:color="auto" w:fill="auto"/>
            <w:noWrap/>
            <w:vAlign w:val="center"/>
            <w:hideMark/>
          </w:tcPr>
          <w:p w14:paraId="4AA446E9"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(0.0951)</w:t>
            </w:r>
          </w:p>
        </w:tc>
      </w:tr>
      <w:tr w:rsidR="00420AFE" w:rsidRPr="005B2DFB" w14:paraId="41DBFBC3" w14:textId="77777777" w:rsidTr="00E53343">
        <w:trPr>
          <w:trHeight w:val="300"/>
        </w:trPr>
        <w:tc>
          <w:tcPr>
            <w:tcW w:w="3510" w:type="dxa"/>
            <w:tcBorders>
              <w:top w:val="nil"/>
              <w:left w:val="nil"/>
              <w:bottom w:val="nil"/>
              <w:right w:val="nil"/>
            </w:tcBorders>
            <w:shd w:val="clear" w:color="auto" w:fill="auto"/>
            <w:noWrap/>
            <w:vAlign w:val="center"/>
            <w:hideMark/>
          </w:tcPr>
          <w:p w14:paraId="2DEA3FDA"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N</w:t>
            </w:r>
          </w:p>
        </w:tc>
        <w:tc>
          <w:tcPr>
            <w:tcW w:w="1260" w:type="dxa"/>
            <w:tcBorders>
              <w:top w:val="nil"/>
              <w:left w:val="nil"/>
              <w:bottom w:val="nil"/>
              <w:right w:val="nil"/>
            </w:tcBorders>
            <w:shd w:val="clear" w:color="auto" w:fill="auto"/>
            <w:noWrap/>
            <w:vAlign w:val="bottom"/>
            <w:hideMark/>
          </w:tcPr>
          <w:p w14:paraId="0EA05707"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1,142</w:t>
            </w:r>
          </w:p>
        </w:tc>
        <w:tc>
          <w:tcPr>
            <w:tcW w:w="1260" w:type="dxa"/>
            <w:tcBorders>
              <w:top w:val="nil"/>
              <w:left w:val="nil"/>
              <w:bottom w:val="nil"/>
              <w:right w:val="nil"/>
            </w:tcBorders>
            <w:shd w:val="clear" w:color="auto" w:fill="auto"/>
            <w:noWrap/>
            <w:vAlign w:val="bottom"/>
            <w:hideMark/>
          </w:tcPr>
          <w:p w14:paraId="3837704D"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1,141</w:t>
            </w:r>
          </w:p>
        </w:tc>
      </w:tr>
      <w:tr w:rsidR="00420AFE" w:rsidRPr="005B2DFB" w14:paraId="034B1E11" w14:textId="77777777" w:rsidTr="00E53343">
        <w:trPr>
          <w:trHeight w:val="300"/>
        </w:trPr>
        <w:tc>
          <w:tcPr>
            <w:tcW w:w="3510" w:type="dxa"/>
            <w:tcBorders>
              <w:top w:val="nil"/>
              <w:left w:val="nil"/>
              <w:bottom w:val="nil"/>
              <w:right w:val="nil"/>
            </w:tcBorders>
            <w:shd w:val="clear" w:color="auto" w:fill="auto"/>
            <w:noWrap/>
            <w:vAlign w:val="center"/>
            <w:hideMark/>
          </w:tcPr>
          <w:p w14:paraId="2F562DC0"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Log Likelihood</w:t>
            </w:r>
          </w:p>
        </w:tc>
        <w:tc>
          <w:tcPr>
            <w:tcW w:w="1260" w:type="dxa"/>
            <w:tcBorders>
              <w:top w:val="nil"/>
              <w:left w:val="nil"/>
              <w:bottom w:val="nil"/>
              <w:right w:val="nil"/>
            </w:tcBorders>
            <w:shd w:val="clear" w:color="auto" w:fill="auto"/>
            <w:noWrap/>
            <w:vAlign w:val="bottom"/>
            <w:hideMark/>
          </w:tcPr>
          <w:p w14:paraId="1825E449"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-1290.71</w:t>
            </w:r>
          </w:p>
        </w:tc>
        <w:tc>
          <w:tcPr>
            <w:tcW w:w="1260" w:type="dxa"/>
            <w:tcBorders>
              <w:top w:val="nil"/>
              <w:left w:val="nil"/>
              <w:bottom w:val="nil"/>
              <w:right w:val="nil"/>
            </w:tcBorders>
            <w:shd w:val="clear" w:color="auto" w:fill="auto"/>
            <w:noWrap/>
            <w:vAlign w:val="bottom"/>
            <w:hideMark/>
          </w:tcPr>
          <w:p w14:paraId="00B38D94"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-1338.62</w:t>
            </w:r>
          </w:p>
        </w:tc>
      </w:tr>
      <w:tr w:rsidR="00420AFE" w:rsidRPr="005B2DFB" w14:paraId="2CC8EADC" w14:textId="77777777" w:rsidTr="00E53343">
        <w:trPr>
          <w:trHeight w:val="312"/>
        </w:trPr>
        <w:tc>
          <w:tcPr>
            <w:tcW w:w="3510" w:type="dxa"/>
            <w:tcBorders>
              <w:top w:val="nil"/>
              <w:left w:val="nil"/>
              <w:bottom w:val="single" w:sz="4" w:space="0" w:color="auto"/>
              <w:right w:val="nil"/>
            </w:tcBorders>
            <w:shd w:val="clear" w:color="auto" w:fill="auto"/>
            <w:vAlign w:val="center"/>
            <w:hideMark/>
          </w:tcPr>
          <w:p w14:paraId="73CD279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w:t>
            </w:r>
            <w:r w:rsidRPr="005B2DFB">
              <w:rPr>
                <w:rFonts w:ascii="Times New Roman" w:eastAsia="Times New Roman" w:hAnsi="Times New Roman" w:cs="Times New Roman"/>
                <w:color w:val="000000"/>
                <w:sz w:val="24"/>
                <w:szCs w:val="24"/>
                <w:vertAlign w:val="superscript"/>
              </w:rPr>
              <w:t>2</w:t>
            </w:r>
          </w:p>
        </w:tc>
        <w:tc>
          <w:tcPr>
            <w:tcW w:w="1260" w:type="dxa"/>
            <w:tcBorders>
              <w:top w:val="nil"/>
              <w:left w:val="nil"/>
              <w:bottom w:val="single" w:sz="4" w:space="0" w:color="auto"/>
              <w:right w:val="nil"/>
            </w:tcBorders>
            <w:shd w:val="clear" w:color="auto" w:fill="auto"/>
            <w:noWrap/>
            <w:vAlign w:val="bottom"/>
            <w:hideMark/>
          </w:tcPr>
          <w:p w14:paraId="2075117B"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0.14</w:t>
            </w:r>
          </w:p>
        </w:tc>
        <w:tc>
          <w:tcPr>
            <w:tcW w:w="1260" w:type="dxa"/>
            <w:tcBorders>
              <w:top w:val="nil"/>
              <w:left w:val="nil"/>
              <w:bottom w:val="single" w:sz="4" w:space="0" w:color="auto"/>
              <w:right w:val="nil"/>
            </w:tcBorders>
            <w:shd w:val="clear" w:color="auto" w:fill="auto"/>
            <w:noWrap/>
            <w:vAlign w:val="bottom"/>
            <w:hideMark/>
          </w:tcPr>
          <w:p w14:paraId="462C4E69" w14:textId="77777777" w:rsidR="00420AFE" w:rsidRPr="005B2DFB" w:rsidRDefault="00420AFE" w:rsidP="00E53343">
            <w:pPr>
              <w:spacing w:after="0" w:line="240" w:lineRule="auto"/>
              <w:jc w:val="center"/>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0.08</w:t>
            </w:r>
          </w:p>
        </w:tc>
      </w:tr>
      <w:tr w:rsidR="00420AFE" w:rsidRPr="005B2DFB" w14:paraId="5CB2AD5F" w14:textId="77777777" w:rsidTr="00E53343">
        <w:trPr>
          <w:trHeight w:val="960"/>
        </w:trPr>
        <w:tc>
          <w:tcPr>
            <w:tcW w:w="6030" w:type="dxa"/>
            <w:gridSpan w:val="3"/>
            <w:tcBorders>
              <w:top w:val="single" w:sz="4" w:space="0" w:color="auto"/>
              <w:left w:val="nil"/>
              <w:bottom w:val="nil"/>
              <w:right w:val="nil"/>
            </w:tcBorders>
            <w:shd w:val="clear" w:color="auto" w:fill="auto"/>
            <w:vAlign w:val="bottom"/>
            <w:hideMark/>
          </w:tcPr>
          <w:p w14:paraId="32E6D629" w14:textId="77777777" w:rsidR="00420AFE" w:rsidRPr="005B2DFB" w:rsidRDefault="00420AFE" w:rsidP="00E53343">
            <w:p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b/>
                <w:bCs/>
                <w:sz w:val="24"/>
                <w:szCs w:val="24"/>
              </w:rPr>
              <w:t>Note:</w:t>
            </w:r>
            <w:r w:rsidRPr="005B2DFB">
              <w:rPr>
                <w:rFonts w:ascii="Times New Roman" w:eastAsia="Times New Roman" w:hAnsi="Times New Roman" w:cs="Times New Roman"/>
                <w:sz w:val="24"/>
                <w:szCs w:val="24"/>
              </w:rPr>
              <w:t xml:space="preserve"> Each model includes post-stratification weights and controls for the pre-test measure of support for tuition-free community college policies (Baseline Support). Robust Standard Errors in parentheses. *p&lt;0.10 **p&lt;0.05 ***p&lt;0.01</w:t>
            </w:r>
          </w:p>
        </w:tc>
      </w:tr>
    </w:tbl>
    <w:p w14:paraId="4DB2047B" w14:textId="77777777" w:rsidR="00420AFE" w:rsidRPr="005B2DFB" w:rsidRDefault="00420AFE" w:rsidP="00420AFE">
      <w:pPr>
        <w:spacing w:after="0" w:line="480" w:lineRule="auto"/>
        <w:textAlignment w:val="center"/>
        <w:rPr>
          <w:rFonts w:ascii="Times New Roman" w:hAnsi="Times New Roman" w:cs="Times New Roman"/>
          <w:sz w:val="24"/>
          <w:szCs w:val="24"/>
        </w:rPr>
      </w:pPr>
    </w:p>
    <w:p w14:paraId="4162BCE6" w14:textId="77777777" w:rsidR="00420AFE" w:rsidRPr="005B2DFB" w:rsidRDefault="00420AFE" w:rsidP="00420AFE">
      <w:pPr>
        <w:spacing w:after="0" w:line="480" w:lineRule="auto"/>
        <w:textAlignment w:val="center"/>
        <w:rPr>
          <w:rFonts w:ascii="Times New Roman" w:hAnsi="Times New Roman" w:cs="Times New Roman"/>
          <w:sz w:val="24"/>
          <w:szCs w:val="24"/>
        </w:rPr>
      </w:pPr>
    </w:p>
    <w:p w14:paraId="03F591B5" w14:textId="77777777" w:rsidR="00420AFE" w:rsidRPr="005B2DFB" w:rsidRDefault="00420AFE" w:rsidP="00420AFE">
      <w:pPr>
        <w:rPr>
          <w:rFonts w:ascii="Times New Roman" w:hAnsi="Times New Roman" w:cs="Times New Roman"/>
          <w:sz w:val="24"/>
          <w:szCs w:val="24"/>
        </w:rPr>
      </w:pPr>
      <w:r w:rsidRPr="005B2DFB">
        <w:rPr>
          <w:rFonts w:ascii="Times New Roman" w:hAnsi="Times New Roman" w:cs="Times New Roman"/>
          <w:sz w:val="24"/>
          <w:szCs w:val="24"/>
        </w:rPr>
        <w:br w:type="page"/>
      </w:r>
    </w:p>
    <w:p w14:paraId="7EE39189" w14:textId="77777777" w:rsidR="00420AFE" w:rsidRPr="005B2DFB" w:rsidRDefault="00420AFE" w:rsidP="00420AFE">
      <w:pPr>
        <w:rPr>
          <w:rFonts w:ascii="Times New Roman" w:hAnsi="Times New Roman" w:cs="Times New Roman"/>
          <w:b/>
          <w:bCs/>
          <w:sz w:val="24"/>
          <w:szCs w:val="24"/>
        </w:rPr>
      </w:pPr>
    </w:p>
    <w:tbl>
      <w:tblPr>
        <w:tblW w:w="8171" w:type="dxa"/>
        <w:tblLook w:val="04A0" w:firstRow="1" w:lastRow="0" w:firstColumn="1" w:lastColumn="0" w:noHBand="0" w:noVBand="1"/>
      </w:tblPr>
      <w:tblGrid>
        <w:gridCol w:w="2230"/>
        <w:gridCol w:w="1498"/>
        <w:gridCol w:w="1401"/>
        <w:gridCol w:w="1401"/>
        <w:gridCol w:w="1478"/>
        <w:gridCol w:w="163"/>
      </w:tblGrid>
      <w:tr w:rsidR="00420AFE" w:rsidRPr="005B2DFB" w14:paraId="40AE5704" w14:textId="77777777" w:rsidTr="00C274B1">
        <w:trPr>
          <w:trHeight w:val="242"/>
        </w:trPr>
        <w:tc>
          <w:tcPr>
            <w:tcW w:w="8171" w:type="dxa"/>
            <w:gridSpan w:val="6"/>
            <w:tcBorders>
              <w:top w:val="nil"/>
              <w:left w:val="nil"/>
              <w:bottom w:val="nil"/>
              <w:right w:val="nil"/>
            </w:tcBorders>
            <w:shd w:val="clear" w:color="auto" w:fill="auto"/>
            <w:noWrap/>
            <w:vAlign w:val="center"/>
            <w:hideMark/>
          </w:tcPr>
          <w:p w14:paraId="7B532B3A" w14:textId="45272D1B"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 xml:space="preserve">Table </w:t>
            </w:r>
            <w:r w:rsidR="006A4673">
              <w:rPr>
                <w:rFonts w:ascii="Times New Roman" w:eastAsia="Times New Roman" w:hAnsi="Times New Roman" w:cs="Times New Roman"/>
                <w:color w:val="000000"/>
                <w:sz w:val="24"/>
                <w:szCs w:val="24"/>
              </w:rPr>
              <w:t>3-</w:t>
            </w:r>
            <w:r w:rsidR="00274DED" w:rsidRPr="005B2DFB">
              <w:rPr>
                <w:rFonts w:ascii="Times New Roman" w:eastAsia="Times New Roman" w:hAnsi="Times New Roman" w:cs="Times New Roman"/>
                <w:color w:val="000000"/>
                <w:sz w:val="24"/>
                <w:szCs w:val="24"/>
              </w:rPr>
              <w:t>B3</w:t>
            </w:r>
            <w:r w:rsidRPr="005B2DFB">
              <w:rPr>
                <w:rFonts w:ascii="Times New Roman" w:eastAsia="Times New Roman" w:hAnsi="Times New Roman" w:cs="Times New Roman"/>
                <w:color w:val="000000"/>
                <w:sz w:val="24"/>
                <w:szCs w:val="24"/>
              </w:rPr>
              <w:t>. Ordinal Logistic Regression results- Ideological Subgroup Analysis</w:t>
            </w:r>
          </w:p>
        </w:tc>
      </w:tr>
      <w:tr w:rsidR="00420AFE" w:rsidRPr="005B2DFB" w14:paraId="24880943" w14:textId="77777777" w:rsidTr="00C274B1">
        <w:trPr>
          <w:gridAfter w:val="1"/>
          <w:wAfter w:w="162" w:type="dxa"/>
          <w:trHeight w:val="433"/>
        </w:trPr>
        <w:tc>
          <w:tcPr>
            <w:tcW w:w="2230" w:type="dxa"/>
            <w:tcBorders>
              <w:top w:val="nil"/>
              <w:left w:val="nil"/>
              <w:bottom w:val="nil"/>
              <w:right w:val="nil"/>
            </w:tcBorders>
            <w:shd w:val="clear" w:color="auto" w:fill="auto"/>
            <w:vAlign w:val="center"/>
            <w:hideMark/>
          </w:tcPr>
          <w:p w14:paraId="7B4D1389"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p>
        </w:tc>
        <w:tc>
          <w:tcPr>
            <w:tcW w:w="2899" w:type="dxa"/>
            <w:gridSpan w:val="2"/>
            <w:tcBorders>
              <w:top w:val="nil"/>
              <w:left w:val="nil"/>
              <w:bottom w:val="nil"/>
              <w:right w:val="nil"/>
            </w:tcBorders>
            <w:shd w:val="clear" w:color="auto" w:fill="auto"/>
            <w:noWrap/>
            <w:vAlign w:val="center"/>
            <w:hideMark/>
          </w:tcPr>
          <w:p w14:paraId="56F35BDD"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Conservative</w:t>
            </w:r>
          </w:p>
        </w:tc>
        <w:tc>
          <w:tcPr>
            <w:tcW w:w="2880" w:type="dxa"/>
            <w:gridSpan w:val="2"/>
            <w:tcBorders>
              <w:top w:val="nil"/>
              <w:left w:val="nil"/>
              <w:bottom w:val="nil"/>
              <w:right w:val="nil"/>
            </w:tcBorders>
            <w:shd w:val="clear" w:color="auto" w:fill="auto"/>
            <w:vAlign w:val="center"/>
            <w:hideMark/>
          </w:tcPr>
          <w:p w14:paraId="5118191B"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Non-Conservatives</w:t>
            </w:r>
          </w:p>
        </w:tc>
      </w:tr>
      <w:tr w:rsidR="00420AFE" w:rsidRPr="005B2DFB" w14:paraId="79CDC0A6" w14:textId="77777777" w:rsidTr="00C274B1">
        <w:trPr>
          <w:gridAfter w:val="1"/>
          <w:wAfter w:w="163" w:type="dxa"/>
          <w:trHeight w:val="484"/>
        </w:trPr>
        <w:tc>
          <w:tcPr>
            <w:tcW w:w="2230" w:type="dxa"/>
            <w:tcBorders>
              <w:top w:val="nil"/>
              <w:left w:val="nil"/>
              <w:bottom w:val="nil"/>
              <w:right w:val="nil"/>
            </w:tcBorders>
            <w:shd w:val="clear" w:color="auto" w:fill="auto"/>
            <w:vAlign w:val="center"/>
            <w:hideMark/>
          </w:tcPr>
          <w:p w14:paraId="11D80AC3" w14:textId="77777777" w:rsidR="00420AFE" w:rsidRPr="005B2DFB" w:rsidRDefault="00420AFE" w:rsidP="00E5334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Explanatory Variables</w:t>
            </w:r>
          </w:p>
        </w:tc>
        <w:tc>
          <w:tcPr>
            <w:tcW w:w="1498" w:type="dxa"/>
            <w:tcBorders>
              <w:top w:val="nil"/>
              <w:left w:val="nil"/>
              <w:bottom w:val="nil"/>
              <w:right w:val="nil"/>
            </w:tcBorders>
            <w:shd w:val="clear" w:color="auto" w:fill="auto"/>
            <w:vAlign w:val="center"/>
            <w:hideMark/>
          </w:tcPr>
          <w:p w14:paraId="28218FE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Model 1: Support</w:t>
            </w:r>
          </w:p>
        </w:tc>
        <w:tc>
          <w:tcPr>
            <w:tcW w:w="1401" w:type="dxa"/>
            <w:tcBorders>
              <w:top w:val="nil"/>
              <w:left w:val="nil"/>
              <w:bottom w:val="nil"/>
              <w:right w:val="nil"/>
            </w:tcBorders>
            <w:shd w:val="clear" w:color="auto" w:fill="auto"/>
            <w:vAlign w:val="center"/>
            <w:hideMark/>
          </w:tcPr>
          <w:p w14:paraId="2A99E86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Model 2: Fairness</w:t>
            </w:r>
          </w:p>
        </w:tc>
        <w:tc>
          <w:tcPr>
            <w:tcW w:w="1401" w:type="dxa"/>
            <w:tcBorders>
              <w:top w:val="nil"/>
              <w:left w:val="nil"/>
              <w:bottom w:val="nil"/>
              <w:right w:val="nil"/>
            </w:tcBorders>
            <w:shd w:val="clear" w:color="auto" w:fill="auto"/>
            <w:vAlign w:val="center"/>
            <w:hideMark/>
          </w:tcPr>
          <w:p w14:paraId="6D74C72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Model 1: Support</w:t>
            </w:r>
          </w:p>
        </w:tc>
        <w:tc>
          <w:tcPr>
            <w:tcW w:w="1478" w:type="dxa"/>
            <w:tcBorders>
              <w:top w:val="nil"/>
              <w:left w:val="nil"/>
              <w:bottom w:val="nil"/>
              <w:right w:val="nil"/>
            </w:tcBorders>
            <w:shd w:val="clear" w:color="auto" w:fill="auto"/>
            <w:vAlign w:val="center"/>
            <w:hideMark/>
          </w:tcPr>
          <w:p w14:paraId="3409DF7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Model 2: Fairness</w:t>
            </w:r>
          </w:p>
        </w:tc>
      </w:tr>
      <w:tr w:rsidR="00420AFE" w:rsidRPr="005B2DFB" w14:paraId="45E09A58"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5648EE6"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Targeted</w:t>
            </w:r>
          </w:p>
        </w:tc>
        <w:tc>
          <w:tcPr>
            <w:tcW w:w="1498" w:type="dxa"/>
            <w:tcBorders>
              <w:top w:val="nil"/>
              <w:left w:val="nil"/>
              <w:bottom w:val="nil"/>
              <w:right w:val="nil"/>
            </w:tcBorders>
            <w:shd w:val="clear" w:color="auto" w:fill="auto"/>
            <w:vAlign w:val="center"/>
            <w:hideMark/>
          </w:tcPr>
          <w:p w14:paraId="5DCAEB4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-0.0737</w:t>
            </w:r>
          </w:p>
        </w:tc>
        <w:tc>
          <w:tcPr>
            <w:tcW w:w="1401" w:type="dxa"/>
            <w:tcBorders>
              <w:top w:val="nil"/>
              <w:left w:val="nil"/>
              <w:bottom w:val="nil"/>
              <w:right w:val="nil"/>
            </w:tcBorders>
            <w:shd w:val="clear" w:color="auto" w:fill="auto"/>
            <w:vAlign w:val="center"/>
            <w:hideMark/>
          </w:tcPr>
          <w:p w14:paraId="4CB158A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-0.298*</w:t>
            </w:r>
          </w:p>
        </w:tc>
        <w:tc>
          <w:tcPr>
            <w:tcW w:w="1401" w:type="dxa"/>
            <w:tcBorders>
              <w:top w:val="nil"/>
              <w:left w:val="nil"/>
              <w:bottom w:val="nil"/>
              <w:right w:val="nil"/>
            </w:tcBorders>
            <w:shd w:val="clear" w:color="auto" w:fill="auto"/>
            <w:vAlign w:val="center"/>
            <w:hideMark/>
          </w:tcPr>
          <w:p w14:paraId="4AA24E7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0.0594</w:t>
            </w:r>
          </w:p>
        </w:tc>
        <w:tc>
          <w:tcPr>
            <w:tcW w:w="1478" w:type="dxa"/>
            <w:tcBorders>
              <w:top w:val="nil"/>
              <w:left w:val="nil"/>
              <w:bottom w:val="nil"/>
              <w:right w:val="nil"/>
            </w:tcBorders>
            <w:shd w:val="clear" w:color="auto" w:fill="auto"/>
            <w:vAlign w:val="center"/>
            <w:hideMark/>
          </w:tcPr>
          <w:p w14:paraId="4FA9F31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-0.131</w:t>
            </w:r>
          </w:p>
        </w:tc>
      </w:tr>
      <w:tr w:rsidR="00420AFE" w:rsidRPr="005B2DFB" w14:paraId="7BE72694"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548DF0A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6455B92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(0.163)</w:t>
            </w:r>
          </w:p>
        </w:tc>
        <w:tc>
          <w:tcPr>
            <w:tcW w:w="1401" w:type="dxa"/>
            <w:tcBorders>
              <w:top w:val="nil"/>
              <w:left w:val="nil"/>
              <w:bottom w:val="nil"/>
              <w:right w:val="nil"/>
            </w:tcBorders>
            <w:shd w:val="clear" w:color="auto" w:fill="auto"/>
            <w:vAlign w:val="center"/>
            <w:hideMark/>
          </w:tcPr>
          <w:p w14:paraId="47AC73B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(0.172)</w:t>
            </w:r>
          </w:p>
        </w:tc>
        <w:tc>
          <w:tcPr>
            <w:tcW w:w="1401" w:type="dxa"/>
            <w:tcBorders>
              <w:top w:val="nil"/>
              <w:left w:val="nil"/>
              <w:bottom w:val="nil"/>
              <w:right w:val="nil"/>
            </w:tcBorders>
            <w:shd w:val="clear" w:color="auto" w:fill="auto"/>
            <w:vAlign w:val="center"/>
            <w:hideMark/>
          </w:tcPr>
          <w:p w14:paraId="3DDF306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(0.108)</w:t>
            </w:r>
          </w:p>
        </w:tc>
        <w:tc>
          <w:tcPr>
            <w:tcW w:w="1478" w:type="dxa"/>
            <w:tcBorders>
              <w:top w:val="nil"/>
              <w:left w:val="nil"/>
              <w:bottom w:val="nil"/>
              <w:right w:val="nil"/>
            </w:tcBorders>
            <w:shd w:val="clear" w:color="auto" w:fill="auto"/>
            <w:vAlign w:val="center"/>
            <w:hideMark/>
          </w:tcPr>
          <w:p w14:paraId="3651D1B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(0.111)</w:t>
            </w:r>
          </w:p>
        </w:tc>
      </w:tr>
      <w:tr w:rsidR="00420AFE" w:rsidRPr="005B2DFB" w14:paraId="567ECB17"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DBFF872"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Merit Requirement</w:t>
            </w:r>
          </w:p>
        </w:tc>
        <w:tc>
          <w:tcPr>
            <w:tcW w:w="1498" w:type="dxa"/>
            <w:tcBorders>
              <w:top w:val="nil"/>
              <w:left w:val="nil"/>
              <w:bottom w:val="nil"/>
              <w:right w:val="nil"/>
            </w:tcBorders>
            <w:shd w:val="clear" w:color="auto" w:fill="auto"/>
            <w:vAlign w:val="center"/>
            <w:hideMark/>
          </w:tcPr>
          <w:p w14:paraId="78AB10D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0.392**</w:t>
            </w:r>
          </w:p>
        </w:tc>
        <w:tc>
          <w:tcPr>
            <w:tcW w:w="1401" w:type="dxa"/>
            <w:tcBorders>
              <w:top w:val="nil"/>
              <w:left w:val="nil"/>
              <w:bottom w:val="nil"/>
              <w:right w:val="nil"/>
            </w:tcBorders>
            <w:shd w:val="clear" w:color="auto" w:fill="auto"/>
            <w:vAlign w:val="center"/>
            <w:hideMark/>
          </w:tcPr>
          <w:p w14:paraId="55B209C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0.396**</w:t>
            </w:r>
          </w:p>
        </w:tc>
        <w:tc>
          <w:tcPr>
            <w:tcW w:w="1401" w:type="dxa"/>
            <w:tcBorders>
              <w:top w:val="nil"/>
              <w:left w:val="nil"/>
              <w:bottom w:val="nil"/>
              <w:right w:val="nil"/>
            </w:tcBorders>
            <w:shd w:val="clear" w:color="auto" w:fill="auto"/>
            <w:vAlign w:val="center"/>
            <w:hideMark/>
          </w:tcPr>
          <w:p w14:paraId="2A2F0DD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0.102</w:t>
            </w:r>
          </w:p>
        </w:tc>
        <w:tc>
          <w:tcPr>
            <w:tcW w:w="1478" w:type="dxa"/>
            <w:tcBorders>
              <w:top w:val="nil"/>
              <w:left w:val="nil"/>
              <w:bottom w:val="nil"/>
              <w:right w:val="nil"/>
            </w:tcBorders>
            <w:shd w:val="clear" w:color="auto" w:fill="auto"/>
            <w:vAlign w:val="center"/>
            <w:hideMark/>
          </w:tcPr>
          <w:p w14:paraId="6A338B9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0.370***</w:t>
            </w:r>
          </w:p>
        </w:tc>
      </w:tr>
      <w:tr w:rsidR="00420AFE" w:rsidRPr="005B2DFB" w14:paraId="4E292A8E"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594203C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5497BBA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(0.163)</w:t>
            </w:r>
          </w:p>
        </w:tc>
        <w:tc>
          <w:tcPr>
            <w:tcW w:w="1401" w:type="dxa"/>
            <w:tcBorders>
              <w:top w:val="nil"/>
              <w:left w:val="nil"/>
              <w:bottom w:val="nil"/>
              <w:right w:val="nil"/>
            </w:tcBorders>
            <w:shd w:val="clear" w:color="auto" w:fill="auto"/>
            <w:vAlign w:val="center"/>
            <w:hideMark/>
          </w:tcPr>
          <w:p w14:paraId="5C064DF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(0.173)</w:t>
            </w:r>
          </w:p>
        </w:tc>
        <w:tc>
          <w:tcPr>
            <w:tcW w:w="1401" w:type="dxa"/>
            <w:tcBorders>
              <w:top w:val="nil"/>
              <w:left w:val="nil"/>
              <w:bottom w:val="nil"/>
              <w:right w:val="nil"/>
            </w:tcBorders>
            <w:shd w:val="clear" w:color="auto" w:fill="auto"/>
            <w:vAlign w:val="center"/>
            <w:hideMark/>
          </w:tcPr>
          <w:p w14:paraId="78E97F8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(0.109)</w:t>
            </w:r>
          </w:p>
        </w:tc>
        <w:tc>
          <w:tcPr>
            <w:tcW w:w="1478" w:type="dxa"/>
            <w:tcBorders>
              <w:top w:val="nil"/>
              <w:left w:val="nil"/>
              <w:bottom w:val="nil"/>
              <w:right w:val="nil"/>
            </w:tcBorders>
            <w:shd w:val="clear" w:color="auto" w:fill="auto"/>
            <w:vAlign w:val="center"/>
            <w:hideMark/>
          </w:tcPr>
          <w:p w14:paraId="30CD46F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(0.112)</w:t>
            </w:r>
          </w:p>
        </w:tc>
      </w:tr>
      <w:tr w:rsidR="00420AFE" w:rsidRPr="005B2DFB" w14:paraId="773CD52A"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1C5270D7"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White</w:t>
            </w:r>
          </w:p>
        </w:tc>
        <w:tc>
          <w:tcPr>
            <w:tcW w:w="1498" w:type="dxa"/>
            <w:tcBorders>
              <w:top w:val="nil"/>
              <w:left w:val="nil"/>
              <w:bottom w:val="nil"/>
              <w:right w:val="nil"/>
            </w:tcBorders>
            <w:shd w:val="clear" w:color="auto" w:fill="auto"/>
            <w:vAlign w:val="center"/>
            <w:hideMark/>
          </w:tcPr>
          <w:p w14:paraId="21BFA71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-0.408</w:t>
            </w:r>
          </w:p>
        </w:tc>
        <w:tc>
          <w:tcPr>
            <w:tcW w:w="1401" w:type="dxa"/>
            <w:tcBorders>
              <w:top w:val="nil"/>
              <w:left w:val="nil"/>
              <w:bottom w:val="nil"/>
              <w:right w:val="nil"/>
            </w:tcBorders>
            <w:shd w:val="clear" w:color="auto" w:fill="auto"/>
            <w:vAlign w:val="center"/>
            <w:hideMark/>
          </w:tcPr>
          <w:p w14:paraId="507B20E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0.330</w:t>
            </w:r>
          </w:p>
        </w:tc>
        <w:tc>
          <w:tcPr>
            <w:tcW w:w="1401" w:type="dxa"/>
            <w:tcBorders>
              <w:top w:val="nil"/>
              <w:left w:val="nil"/>
              <w:bottom w:val="nil"/>
              <w:right w:val="nil"/>
            </w:tcBorders>
            <w:shd w:val="clear" w:color="auto" w:fill="auto"/>
            <w:vAlign w:val="center"/>
            <w:hideMark/>
          </w:tcPr>
          <w:p w14:paraId="1EA9690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-0.242*</w:t>
            </w:r>
          </w:p>
        </w:tc>
        <w:tc>
          <w:tcPr>
            <w:tcW w:w="1478" w:type="dxa"/>
            <w:tcBorders>
              <w:top w:val="nil"/>
              <w:left w:val="nil"/>
              <w:bottom w:val="nil"/>
              <w:right w:val="nil"/>
            </w:tcBorders>
            <w:shd w:val="clear" w:color="auto" w:fill="auto"/>
            <w:vAlign w:val="center"/>
            <w:hideMark/>
          </w:tcPr>
          <w:p w14:paraId="642EECB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-0.0159</w:t>
            </w:r>
          </w:p>
        </w:tc>
      </w:tr>
      <w:tr w:rsidR="00420AFE" w:rsidRPr="005B2DFB" w14:paraId="1090651A"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73CAA98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40D6E19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(0.269)</w:t>
            </w:r>
          </w:p>
        </w:tc>
        <w:tc>
          <w:tcPr>
            <w:tcW w:w="1401" w:type="dxa"/>
            <w:tcBorders>
              <w:top w:val="nil"/>
              <w:left w:val="nil"/>
              <w:bottom w:val="nil"/>
              <w:right w:val="nil"/>
            </w:tcBorders>
            <w:shd w:val="clear" w:color="auto" w:fill="auto"/>
            <w:vAlign w:val="center"/>
            <w:hideMark/>
          </w:tcPr>
          <w:p w14:paraId="0E98F1D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(0.231)</w:t>
            </w:r>
          </w:p>
        </w:tc>
        <w:tc>
          <w:tcPr>
            <w:tcW w:w="1401" w:type="dxa"/>
            <w:tcBorders>
              <w:top w:val="nil"/>
              <w:left w:val="nil"/>
              <w:bottom w:val="nil"/>
              <w:right w:val="nil"/>
            </w:tcBorders>
            <w:shd w:val="clear" w:color="auto" w:fill="auto"/>
            <w:vAlign w:val="center"/>
            <w:hideMark/>
          </w:tcPr>
          <w:p w14:paraId="1C8371D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(0.130)</w:t>
            </w:r>
          </w:p>
        </w:tc>
        <w:tc>
          <w:tcPr>
            <w:tcW w:w="1478" w:type="dxa"/>
            <w:tcBorders>
              <w:top w:val="nil"/>
              <w:left w:val="nil"/>
              <w:bottom w:val="nil"/>
              <w:right w:val="nil"/>
            </w:tcBorders>
            <w:shd w:val="clear" w:color="auto" w:fill="auto"/>
            <w:vAlign w:val="center"/>
            <w:hideMark/>
          </w:tcPr>
          <w:p w14:paraId="79B42F8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(0.132)</w:t>
            </w:r>
          </w:p>
        </w:tc>
      </w:tr>
      <w:tr w:rsidR="00420AFE" w:rsidRPr="005B2DFB" w14:paraId="07F1CB83"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0E83511E"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Male</w:t>
            </w:r>
          </w:p>
        </w:tc>
        <w:tc>
          <w:tcPr>
            <w:tcW w:w="1498" w:type="dxa"/>
            <w:tcBorders>
              <w:top w:val="nil"/>
              <w:left w:val="nil"/>
              <w:bottom w:val="nil"/>
              <w:right w:val="nil"/>
            </w:tcBorders>
            <w:shd w:val="clear" w:color="auto" w:fill="auto"/>
            <w:vAlign w:val="center"/>
            <w:hideMark/>
          </w:tcPr>
          <w:p w14:paraId="5ECBA7F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0.0251</w:t>
            </w:r>
          </w:p>
        </w:tc>
        <w:tc>
          <w:tcPr>
            <w:tcW w:w="1401" w:type="dxa"/>
            <w:tcBorders>
              <w:top w:val="nil"/>
              <w:left w:val="nil"/>
              <w:bottom w:val="nil"/>
              <w:right w:val="nil"/>
            </w:tcBorders>
            <w:shd w:val="clear" w:color="auto" w:fill="auto"/>
            <w:vAlign w:val="center"/>
            <w:hideMark/>
          </w:tcPr>
          <w:p w14:paraId="45F888A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0.130</w:t>
            </w:r>
          </w:p>
        </w:tc>
        <w:tc>
          <w:tcPr>
            <w:tcW w:w="1401" w:type="dxa"/>
            <w:tcBorders>
              <w:top w:val="nil"/>
              <w:left w:val="nil"/>
              <w:bottom w:val="nil"/>
              <w:right w:val="nil"/>
            </w:tcBorders>
            <w:shd w:val="clear" w:color="auto" w:fill="auto"/>
            <w:vAlign w:val="center"/>
            <w:hideMark/>
          </w:tcPr>
          <w:p w14:paraId="6AA020A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0.170</w:t>
            </w:r>
          </w:p>
        </w:tc>
        <w:tc>
          <w:tcPr>
            <w:tcW w:w="1478" w:type="dxa"/>
            <w:tcBorders>
              <w:top w:val="nil"/>
              <w:left w:val="nil"/>
              <w:bottom w:val="nil"/>
              <w:right w:val="nil"/>
            </w:tcBorders>
            <w:shd w:val="clear" w:color="auto" w:fill="auto"/>
            <w:vAlign w:val="center"/>
            <w:hideMark/>
          </w:tcPr>
          <w:p w14:paraId="1C125FC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0.124</w:t>
            </w:r>
          </w:p>
        </w:tc>
      </w:tr>
      <w:tr w:rsidR="00420AFE" w:rsidRPr="005B2DFB" w14:paraId="51C72ECF"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2190F1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7665EA6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(0.166)</w:t>
            </w:r>
          </w:p>
        </w:tc>
        <w:tc>
          <w:tcPr>
            <w:tcW w:w="1401" w:type="dxa"/>
            <w:tcBorders>
              <w:top w:val="nil"/>
              <w:left w:val="nil"/>
              <w:bottom w:val="nil"/>
              <w:right w:val="nil"/>
            </w:tcBorders>
            <w:shd w:val="clear" w:color="auto" w:fill="auto"/>
            <w:vAlign w:val="center"/>
            <w:hideMark/>
          </w:tcPr>
          <w:p w14:paraId="3EDD8E7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(0.171)</w:t>
            </w:r>
          </w:p>
        </w:tc>
        <w:tc>
          <w:tcPr>
            <w:tcW w:w="1401" w:type="dxa"/>
            <w:tcBorders>
              <w:top w:val="nil"/>
              <w:left w:val="nil"/>
              <w:bottom w:val="nil"/>
              <w:right w:val="nil"/>
            </w:tcBorders>
            <w:shd w:val="clear" w:color="auto" w:fill="auto"/>
            <w:vAlign w:val="center"/>
            <w:hideMark/>
          </w:tcPr>
          <w:p w14:paraId="54AE3AA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(0.112)</w:t>
            </w:r>
          </w:p>
        </w:tc>
        <w:tc>
          <w:tcPr>
            <w:tcW w:w="1478" w:type="dxa"/>
            <w:tcBorders>
              <w:top w:val="nil"/>
              <w:left w:val="nil"/>
              <w:bottom w:val="nil"/>
              <w:right w:val="nil"/>
            </w:tcBorders>
            <w:shd w:val="clear" w:color="auto" w:fill="auto"/>
            <w:vAlign w:val="center"/>
            <w:hideMark/>
          </w:tcPr>
          <w:p w14:paraId="3B0BE11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(0.112)</w:t>
            </w:r>
          </w:p>
        </w:tc>
      </w:tr>
      <w:tr w:rsidR="00420AFE" w:rsidRPr="005B2DFB" w14:paraId="59665BAA"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15B93EA"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Income</w:t>
            </w:r>
          </w:p>
        </w:tc>
        <w:tc>
          <w:tcPr>
            <w:tcW w:w="1498" w:type="dxa"/>
            <w:tcBorders>
              <w:top w:val="nil"/>
              <w:left w:val="nil"/>
              <w:bottom w:val="nil"/>
              <w:right w:val="nil"/>
            </w:tcBorders>
            <w:shd w:val="clear" w:color="auto" w:fill="auto"/>
            <w:vAlign w:val="center"/>
            <w:hideMark/>
          </w:tcPr>
          <w:p w14:paraId="1146543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-0.0645***</w:t>
            </w:r>
          </w:p>
        </w:tc>
        <w:tc>
          <w:tcPr>
            <w:tcW w:w="1401" w:type="dxa"/>
            <w:tcBorders>
              <w:top w:val="nil"/>
              <w:left w:val="nil"/>
              <w:bottom w:val="nil"/>
              <w:right w:val="nil"/>
            </w:tcBorders>
            <w:shd w:val="clear" w:color="auto" w:fill="auto"/>
            <w:vAlign w:val="center"/>
            <w:hideMark/>
          </w:tcPr>
          <w:p w14:paraId="521ABF5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-0.0257</w:t>
            </w:r>
          </w:p>
        </w:tc>
        <w:tc>
          <w:tcPr>
            <w:tcW w:w="1401" w:type="dxa"/>
            <w:tcBorders>
              <w:top w:val="nil"/>
              <w:left w:val="nil"/>
              <w:bottom w:val="nil"/>
              <w:right w:val="nil"/>
            </w:tcBorders>
            <w:shd w:val="clear" w:color="auto" w:fill="auto"/>
            <w:vAlign w:val="center"/>
            <w:hideMark/>
          </w:tcPr>
          <w:p w14:paraId="672C41C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-0.0292**</w:t>
            </w:r>
          </w:p>
        </w:tc>
        <w:tc>
          <w:tcPr>
            <w:tcW w:w="1478" w:type="dxa"/>
            <w:tcBorders>
              <w:top w:val="nil"/>
              <w:left w:val="nil"/>
              <w:bottom w:val="nil"/>
              <w:right w:val="nil"/>
            </w:tcBorders>
            <w:shd w:val="clear" w:color="auto" w:fill="auto"/>
            <w:vAlign w:val="center"/>
            <w:hideMark/>
          </w:tcPr>
          <w:p w14:paraId="27E3635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-0.0260*</w:t>
            </w:r>
          </w:p>
        </w:tc>
      </w:tr>
      <w:tr w:rsidR="00420AFE" w:rsidRPr="005B2DFB" w14:paraId="506EF809"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46D773E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52865B6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(0.0176)</w:t>
            </w:r>
          </w:p>
        </w:tc>
        <w:tc>
          <w:tcPr>
            <w:tcW w:w="1401" w:type="dxa"/>
            <w:tcBorders>
              <w:top w:val="nil"/>
              <w:left w:val="nil"/>
              <w:bottom w:val="nil"/>
              <w:right w:val="nil"/>
            </w:tcBorders>
            <w:shd w:val="clear" w:color="auto" w:fill="auto"/>
            <w:vAlign w:val="center"/>
            <w:hideMark/>
          </w:tcPr>
          <w:p w14:paraId="076C78C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(0.0217)</w:t>
            </w:r>
          </w:p>
        </w:tc>
        <w:tc>
          <w:tcPr>
            <w:tcW w:w="1401" w:type="dxa"/>
            <w:tcBorders>
              <w:top w:val="nil"/>
              <w:left w:val="nil"/>
              <w:bottom w:val="nil"/>
              <w:right w:val="nil"/>
            </w:tcBorders>
            <w:shd w:val="clear" w:color="auto" w:fill="auto"/>
            <w:vAlign w:val="center"/>
            <w:hideMark/>
          </w:tcPr>
          <w:p w14:paraId="67610F6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(0.0128)</w:t>
            </w:r>
          </w:p>
        </w:tc>
        <w:tc>
          <w:tcPr>
            <w:tcW w:w="1478" w:type="dxa"/>
            <w:tcBorders>
              <w:top w:val="nil"/>
              <w:left w:val="nil"/>
              <w:bottom w:val="nil"/>
              <w:right w:val="nil"/>
            </w:tcBorders>
            <w:shd w:val="clear" w:color="auto" w:fill="auto"/>
            <w:vAlign w:val="center"/>
            <w:hideMark/>
          </w:tcPr>
          <w:p w14:paraId="1199B2D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(0.0137)</w:t>
            </w:r>
          </w:p>
        </w:tc>
      </w:tr>
      <w:tr w:rsidR="00420AFE" w:rsidRPr="005B2DFB" w14:paraId="13140A38"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4C2E5CDE"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Age</w:t>
            </w:r>
          </w:p>
        </w:tc>
        <w:tc>
          <w:tcPr>
            <w:tcW w:w="1498" w:type="dxa"/>
            <w:tcBorders>
              <w:top w:val="nil"/>
              <w:left w:val="nil"/>
              <w:bottom w:val="nil"/>
              <w:right w:val="nil"/>
            </w:tcBorders>
            <w:shd w:val="clear" w:color="auto" w:fill="auto"/>
            <w:vAlign w:val="center"/>
            <w:hideMark/>
          </w:tcPr>
          <w:p w14:paraId="29AD843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0.000256</w:t>
            </w:r>
          </w:p>
        </w:tc>
        <w:tc>
          <w:tcPr>
            <w:tcW w:w="1401" w:type="dxa"/>
            <w:tcBorders>
              <w:top w:val="nil"/>
              <w:left w:val="nil"/>
              <w:bottom w:val="nil"/>
              <w:right w:val="nil"/>
            </w:tcBorders>
            <w:shd w:val="clear" w:color="auto" w:fill="auto"/>
            <w:vAlign w:val="center"/>
            <w:hideMark/>
          </w:tcPr>
          <w:p w14:paraId="00B539F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-0.00267</w:t>
            </w:r>
          </w:p>
        </w:tc>
        <w:tc>
          <w:tcPr>
            <w:tcW w:w="1401" w:type="dxa"/>
            <w:tcBorders>
              <w:top w:val="nil"/>
              <w:left w:val="nil"/>
              <w:bottom w:val="nil"/>
              <w:right w:val="nil"/>
            </w:tcBorders>
            <w:shd w:val="clear" w:color="auto" w:fill="auto"/>
            <w:vAlign w:val="center"/>
            <w:hideMark/>
          </w:tcPr>
          <w:p w14:paraId="437CD33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-0.000873</w:t>
            </w:r>
          </w:p>
        </w:tc>
        <w:tc>
          <w:tcPr>
            <w:tcW w:w="1478" w:type="dxa"/>
            <w:tcBorders>
              <w:top w:val="nil"/>
              <w:left w:val="nil"/>
              <w:bottom w:val="nil"/>
              <w:right w:val="nil"/>
            </w:tcBorders>
            <w:shd w:val="clear" w:color="auto" w:fill="auto"/>
            <w:vAlign w:val="center"/>
            <w:hideMark/>
          </w:tcPr>
          <w:p w14:paraId="26BF470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-0.00605</w:t>
            </w:r>
          </w:p>
        </w:tc>
      </w:tr>
      <w:tr w:rsidR="00420AFE" w:rsidRPr="005B2DFB" w14:paraId="357F3E87"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02D8CEC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52825AC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(0.00605)</w:t>
            </w:r>
          </w:p>
        </w:tc>
        <w:tc>
          <w:tcPr>
            <w:tcW w:w="1401" w:type="dxa"/>
            <w:tcBorders>
              <w:top w:val="nil"/>
              <w:left w:val="nil"/>
              <w:bottom w:val="nil"/>
              <w:right w:val="nil"/>
            </w:tcBorders>
            <w:shd w:val="clear" w:color="auto" w:fill="auto"/>
            <w:vAlign w:val="center"/>
            <w:hideMark/>
          </w:tcPr>
          <w:p w14:paraId="6DE04E2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(0.00681)</w:t>
            </w:r>
          </w:p>
        </w:tc>
        <w:tc>
          <w:tcPr>
            <w:tcW w:w="1401" w:type="dxa"/>
            <w:tcBorders>
              <w:top w:val="nil"/>
              <w:left w:val="nil"/>
              <w:bottom w:val="nil"/>
              <w:right w:val="nil"/>
            </w:tcBorders>
            <w:shd w:val="clear" w:color="auto" w:fill="auto"/>
            <w:vAlign w:val="center"/>
            <w:hideMark/>
          </w:tcPr>
          <w:p w14:paraId="5122BC7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(0.00331)</w:t>
            </w:r>
          </w:p>
        </w:tc>
        <w:tc>
          <w:tcPr>
            <w:tcW w:w="1478" w:type="dxa"/>
            <w:tcBorders>
              <w:top w:val="nil"/>
              <w:left w:val="nil"/>
              <w:bottom w:val="nil"/>
              <w:right w:val="nil"/>
            </w:tcBorders>
            <w:shd w:val="clear" w:color="auto" w:fill="auto"/>
            <w:vAlign w:val="center"/>
            <w:hideMark/>
          </w:tcPr>
          <w:p w14:paraId="3CA588D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(0.00395)</w:t>
            </w:r>
          </w:p>
        </w:tc>
      </w:tr>
      <w:tr w:rsidR="00420AFE" w:rsidRPr="005B2DFB" w14:paraId="67CD5677"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D8E9124"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Region</w:t>
            </w:r>
          </w:p>
        </w:tc>
        <w:tc>
          <w:tcPr>
            <w:tcW w:w="1498" w:type="dxa"/>
            <w:tcBorders>
              <w:top w:val="nil"/>
              <w:left w:val="nil"/>
              <w:bottom w:val="nil"/>
              <w:right w:val="nil"/>
            </w:tcBorders>
            <w:shd w:val="clear" w:color="auto" w:fill="auto"/>
            <w:vAlign w:val="center"/>
            <w:hideMark/>
          </w:tcPr>
          <w:p w14:paraId="1162F29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-0.153*</w:t>
            </w:r>
          </w:p>
        </w:tc>
        <w:tc>
          <w:tcPr>
            <w:tcW w:w="1401" w:type="dxa"/>
            <w:tcBorders>
              <w:top w:val="nil"/>
              <w:left w:val="nil"/>
              <w:bottom w:val="nil"/>
              <w:right w:val="nil"/>
            </w:tcBorders>
            <w:shd w:val="clear" w:color="auto" w:fill="auto"/>
            <w:vAlign w:val="center"/>
            <w:hideMark/>
          </w:tcPr>
          <w:p w14:paraId="1C013C8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-0.0549</w:t>
            </w:r>
          </w:p>
        </w:tc>
        <w:tc>
          <w:tcPr>
            <w:tcW w:w="1401" w:type="dxa"/>
            <w:tcBorders>
              <w:top w:val="nil"/>
              <w:left w:val="nil"/>
              <w:bottom w:val="nil"/>
              <w:right w:val="nil"/>
            </w:tcBorders>
            <w:shd w:val="clear" w:color="auto" w:fill="auto"/>
            <w:vAlign w:val="center"/>
            <w:hideMark/>
          </w:tcPr>
          <w:p w14:paraId="767C17A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-0.0246</w:t>
            </w:r>
          </w:p>
        </w:tc>
        <w:tc>
          <w:tcPr>
            <w:tcW w:w="1478" w:type="dxa"/>
            <w:tcBorders>
              <w:top w:val="nil"/>
              <w:left w:val="nil"/>
              <w:bottom w:val="nil"/>
              <w:right w:val="nil"/>
            </w:tcBorders>
            <w:shd w:val="clear" w:color="auto" w:fill="auto"/>
            <w:vAlign w:val="center"/>
            <w:hideMark/>
          </w:tcPr>
          <w:p w14:paraId="11A4513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-0.0334</w:t>
            </w:r>
          </w:p>
        </w:tc>
      </w:tr>
      <w:tr w:rsidR="00420AFE" w:rsidRPr="005B2DFB" w14:paraId="109CE7EE"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4B7B141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4BBF39D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(0.0788)</w:t>
            </w:r>
          </w:p>
        </w:tc>
        <w:tc>
          <w:tcPr>
            <w:tcW w:w="1401" w:type="dxa"/>
            <w:tcBorders>
              <w:top w:val="nil"/>
              <w:left w:val="nil"/>
              <w:bottom w:val="nil"/>
              <w:right w:val="nil"/>
            </w:tcBorders>
            <w:shd w:val="clear" w:color="auto" w:fill="auto"/>
            <w:vAlign w:val="center"/>
            <w:hideMark/>
          </w:tcPr>
          <w:p w14:paraId="021A7B0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(0.0819)</w:t>
            </w:r>
          </w:p>
        </w:tc>
        <w:tc>
          <w:tcPr>
            <w:tcW w:w="1401" w:type="dxa"/>
            <w:tcBorders>
              <w:top w:val="nil"/>
              <w:left w:val="nil"/>
              <w:bottom w:val="nil"/>
              <w:right w:val="nil"/>
            </w:tcBorders>
            <w:shd w:val="clear" w:color="auto" w:fill="auto"/>
            <w:vAlign w:val="center"/>
            <w:hideMark/>
          </w:tcPr>
          <w:p w14:paraId="4CEF269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(0.0501)</w:t>
            </w:r>
          </w:p>
        </w:tc>
        <w:tc>
          <w:tcPr>
            <w:tcW w:w="1478" w:type="dxa"/>
            <w:tcBorders>
              <w:top w:val="nil"/>
              <w:left w:val="nil"/>
              <w:bottom w:val="nil"/>
              <w:right w:val="nil"/>
            </w:tcBorders>
            <w:shd w:val="clear" w:color="auto" w:fill="auto"/>
            <w:vAlign w:val="center"/>
            <w:hideMark/>
          </w:tcPr>
          <w:p w14:paraId="0DA867A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(0.0519)</w:t>
            </w:r>
          </w:p>
        </w:tc>
      </w:tr>
      <w:tr w:rsidR="00420AFE" w:rsidRPr="005B2DFB" w14:paraId="74597ABD"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E7A57C5"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Education</w:t>
            </w:r>
          </w:p>
        </w:tc>
        <w:tc>
          <w:tcPr>
            <w:tcW w:w="1498" w:type="dxa"/>
            <w:tcBorders>
              <w:top w:val="nil"/>
              <w:left w:val="nil"/>
              <w:bottom w:val="nil"/>
              <w:right w:val="nil"/>
            </w:tcBorders>
            <w:shd w:val="clear" w:color="auto" w:fill="auto"/>
            <w:vAlign w:val="center"/>
            <w:hideMark/>
          </w:tcPr>
          <w:p w14:paraId="6686174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0.0387</w:t>
            </w:r>
          </w:p>
        </w:tc>
        <w:tc>
          <w:tcPr>
            <w:tcW w:w="1401" w:type="dxa"/>
            <w:tcBorders>
              <w:top w:val="nil"/>
              <w:left w:val="nil"/>
              <w:bottom w:val="nil"/>
              <w:right w:val="nil"/>
            </w:tcBorders>
            <w:shd w:val="clear" w:color="auto" w:fill="auto"/>
            <w:vAlign w:val="center"/>
            <w:hideMark/>
          </w:tcPr>
          <w:p w14:paraId="4136E7A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0.0426</w:t>
            </w:r>
          </w:p>
        </w:tc>
        <w:tc>
          <w:tcPr>
            <w:tcW w:w="1401" w:type="dxa"/>
            <w:tcBorders>
              <w:top w:val="nil"/>
              <w:left w:val="nil"/>
              <w:bottom w:val="nil"/>
              <w:right w:val="nil"/>
            </w:tcBorders>
            <w:shd w:val="clear" w:color="auto" w:fill="auto"/>
            <w:vAlign w:val="center"/>
            <w:hideMark/>
          </w:tcPr>
          <w:p w14:paraId="7262306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0.0253</w:t>
            </w:r>
          </w:p>
        </w:tc>
        <w:tc>
          <w:tcPr>
            <w:tcW w:w="1478" w:type="dxa"/>
            <w:tcBorders>
              <w:top w:val="nil"/>
              <w:left w:val="nil"/>
              <w:bottom w:val="nil"/>
              <w:right w:val="nil"/>
            </w:tcBorders>
            <w:shd w:val="clear" w:color="auto" w:fill="auto"/>
            <w:vAlign w:val="center"/>
            <w:hideMark/>
          </w:tcPr>
          <w:p w14:paraId="3BE8FDB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0.00396</w:t>
            </w:r>
          </w:p>
        </w:tc>
      </w:tr>
      <w:tr w:rsidR="00420AFE" w:rsidRPr="005B2DFB" w14:paraId="0B555304"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27C6A62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0AE061C3"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(0.0486)</w:t>
            </w:r>
          </w:p>
        </w:tc>
        <w:tc>
          <w:tcPr>
            <w:tcW w:w="1401" w:type="dxa"/>
            <w:tcBorders>
              <w:top w:val="nil"/>
              <w:left w:val="nil"/>
              <w:bottom w:val="nil"/>
              <w:right w:val="nil"/>
            </w:tcBorders>
            <w:shd w:val="clear" w:color="auto" w:fill="auto"/>
            <w:vAlign w:val="center"/>
            <w:hideMark/>
          </w:tcPr>
          <w:p w14:paraId="5D132F8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(0.0576)</w:t>
            </w:r>
          </w:p>
        </w:tc>
        <w:tc>
          <w:tcPr>
            <w:tcW w:w="1401" w:type="dxa"/>
            <w:tcBorders>
              <w:top w:val="nil"/>
              <w:left w:val="nil"/>
              <w:bottom w:val="nil"/>
              <w:right w:val="nil"/>
            </w:tcBorders>
            <w:shd w:val="clear" w:color="auto" w:fill="auto"/>
            <w:vAlign w:val="center"/>
            <w:hideMark/>
          </w:tcPr>
          <w:p w14:paraId="44136F5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(0.0335)</w:t>
            </w:r>
          </w:p>
        </w:tc>
        <w:tc>
          <w:tcPr>
            <w:tcW w:w="1478" w:type="dxa"/>
            <w:tcBorders>
              <w:top w:val="nil"/>
              <w:left w:val="nil"/>
              <w:bottom w:val="nil"/>
              <w:right w:val="nil"/>
            </w:tcBorders>
            <w:shd w:val="clear" w:color="auto" w:fill="auto"/>
            <w:vAlign w:val="center"/>
            <w:hideMark/>
          </w:tcPr>
          <w:p w14:paraId="38A41F6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(0.0360)</w:t>
            </w:r>
          </w:p>
        </w:tc>
      </w:tr>
      <w:tr w:rsidR="00420AFE" w:rsidRPr="005B2DFB" w14:paraId="6D7FE4AF"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35E7474"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Ideology</w:t>
            </w:r>
          </w:p>
        </w:tc>
        <w:tc>
          <w:tcPr>
            <w:tcW w:w="1498" w:type="dxa"/>
            <w:tcBorders>
              <w:top w:val="nil"/>
              <w:left w:val="nil"/>
              <w:bottom w:val="nil"/>
              <w:right w:val="nil"/>
            </w:tcBorders>
            <w:shd w:val="clear" w:color="auto" w:fill="auto"/>
            <w:vAlign w:val="center"/>
            <w:hideMark/>
          </w:tcPr>
          <w:p w14:paraId="39A6623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0.0671</w:t>
            </w:r>
          </w:p>
        </w:tc>
        <w:tc>
          <w:tcPr>
            <w:tcW w:w="1401" w:type="dxa"/>
            <w:tcBorders>
              <w:top w:val="nil"/>
              <w:left w:val="nil"/>
              <w:bottom w:val="nil"/>
              <w:right w:val="nil"/>
            </w:tcBorders>
            <w:shd w:val="clear" w:color="auto" w:fill="auto"/>
            <w:vAlign w:val="center"/>
            <w:hideMark/>
          </w:tcPr>
          <w:p w14:paraId="3F132DF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0.215*</w:t>
            </w:r>
          </w:p>
        </w:tc>
        <w:tc>
          <w:tcPr>
            <w:tcW w:w="1401" w:type="dxa"/>
            <w:tcBorders>
              <w:top w:val="nil"/>
              <w:left w:val="nil"/>
              <w:bottom w:val="nil"/>
              <w:right w:val="nil"/>
            </w:tcBorders>
            <w:shd w:val="clear" w:color="auto" w:fill="auto"/>
            <w:vAlign w:val="center"/>
            <w:hideMark/>
          </w:tcPr>
          <w:p w14:paraId="5DD7A0A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-0.136**</w:t>
            </w:r>
          </w:p>
        </w:tc>
        <w:tc>
          <w:tcPr>
            <w:tcW w:w="1478" w:type="dxa"/>
            <w:tcBorders>
              <w:top w:val="nil"/>
              <w:left w:val="nil"/>
              <w:bottom w:val="nil"/>
              <w:right w:val="nil"/>
            </w:tcBorders>
            <w:shd w:val="clear" w:color="auto" w:fill="auto"/>
            <w:vAlign w:val="center"/>
            <w:hideMark/>
          </w:tcPr>
          <w:p w14:paraId="343B999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-0.153***</w:t>
            </w:r>
          </w:p>
        </w:tc>
      </w:tr>
      <w:tr w:rsidR="00420AFE" w:rsidRPr="005B2DFB" w14:paraId="710857F8"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5E74FB9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48E3DC6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(0.105)</w:t>
            </w:r>
          </w:p>
        </w:tc>
        <w:tc>
          <w:tcPr>
            <w:tcW w:w="1401" w:type="dxa"/>
            <w:tcBorders>
              <w:top w:val="nil"/>
              <w:left w:val="nil"/>
              <w:bottom w:val="nil"/>
              <w:right w:val="nil"/>
            </w:tcBorders>
            <w:shd w:val="clear" w:color="auto" w:fill="auto"/>
            <w:vAlign w:val="center"/>
            <w:hideMark/>
          </w:tcPr>
          <w:p w14:paraId="688AC5B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(0.128)</w:t>
            </w:r>
          </w:p>
        </w:tc>
        <w:tc>
          <w:tcPr>
            <w:tcW w:w="1401" w:type="dxa"/>
            <w:tcBorders>
              <w:top w:val="nil"/>
              <w:left w:val="nil"/>
              <w:bottom w:val="nil"/>
              <w:right w:val="nil"/>
            </w:tcBorders>
            <w:shd w:val="clear" w:color="auto" w:fill="auto"/>
            <w:vAlign w:val="center"/>
            <w:hideMark/>
          </w:tcPr>
          <w:p w14:paraId="2ECED737"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(0.0550)</w:t>
            </w:r>
          </w:p>
        </w:tc>
        <w:tc>
          <w:tcPr>
            <w:tcW w:w="1478" w:type="dxa"/>
            <w:tcBorders>
              <w:top w:val="nil"/>
              <w:left w:val="nil"/>
              <w:bottom w:val="nil"/>
              <w:right w:val="nil"/>
            </w:tcBorders>
            <w:shd w:val="clear" w:color="auto" w:fill="auto"/>
            <w:vAlign w:val="center"/>
            <w:hideMark/>
          </w:tcPr>
          <w:p w14:paraId="5023307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(0.0547)</w:t>
            </w:r>
          </w:p>
        </w:tc>
      </w:tr>
      <w:tr w:rsidR="00420AFE" w:rsidRPr="005B2DFB" w14:paraId="4ADDE4C1"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6823AB25"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Party ID-Republican</w:t>
            </w:r>
          </w:p>
        </w:tc>
        <w:tc>
          <w:tcPr>
            <w:tcW w:w="1498" w:type="dxa"/>
            <w:tcBorders>
              <w:top w:val="nil"/>
              <w:left w:val="nil"/>
              <w:bottom w:val="nil"/>
              <w:right w:val="nil"/>
            </w:tcBorders>
            <w:shd w:val="clear" w:color="auto" w:fill="auto"/>
            <w:vAlign w:val="center"/>
            <w:hideMark/>
          </w:tcPr>
          <w:p w14:paraId="3B699391"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-0.0912</w:t>
            </w:r>
          </w:p>
        </w:tc>
        <w:tc>
          <w:tcPr>
            <w:tcW w:w="1401" w:type="dxa"/>
            <w:tcBorders>
              <w:top w:val="nil"/>
              <w:left w:val="nil"/>
              <w:bottom w:val="nil"/>
              <w:right w:val="nil"/>
            </w:tcBorders>
            <w:shd w:val="clear" w:color="auto" w:fill="auto"/>
            <w:vAlign w:val="center"/>
            <w:hideMark/>
          </w:tcPr>
          <w:p w14:paraId="5C4EF57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-0.769***</w:t>
            </w:r>
          </w:p>
        </w:tc>
        <w:tc>
          <w:tcPr>
            <w:tcW w:w="1401" w:type="dxa"/>
            <w:tcBorders>
              <w:top w:val="nil"/>
              <w:left w:val="nil"/>
              <w:bottom w:val="nil"/>
              <w:right w:val="nil"/>
            </w:tcBorders>
            <w:shd w:val="clear" w:color="auto" w:fill="auto"/>
            <w:vAlign w:val="center"/>
            <w:hideMark/>
          </w:tcPr>
          <w:p w14:paraId="5C2AF31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0.0771</w:t>
            </w:r>
          </w:p>
        </w:tc>
        <w:tc>
          <w:tcPr>
            <w:tcW w:w="1478" w:type="dxa"/>
            <w:tcBorders>
              <w:top w:val="nil"/>
              <w:left w:val="nil"/>
              <w:bottom w:val="nil"/>
              <w:right w:val="nil"/>
            </w:tcBorders>
            <w:shd w:val="clear" w:color="auto" w:fill="auto"/>
            <w:vAlign w:val="center"/>
            <w:hideMark/>
          </w:tcPr>
          <w:p w14:paraId="76BCFA5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-0.0349</w:t>
            </w:r>
          </w:p>
        </w:tc>
      </w:tr>
      <w:tr w:rsidR="00420AFE" w:rsidRPr="005B2DFB" w14:paraId="6B8C149A"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3D9D9CA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628F72A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(0.222)</w:t>
            </w:r>
          </w:p>
        </w:tc>
        <w:tc>
          <w:tcPr>
            <w:tcW w:w="1401" w:type="dxa"/>
            <w:tcBorders>
              <w:top w:val="nil"/>
              <w:left w:val="nil"/>
              <w:bottom w:val="nil"/>
              <w:right w:val="nil"/>
            </w:tcBorders>
            <w:shd w:val="clear" w:color="auto" w:fill="auto"/>
            <w:vAlign w:val="center"/>
            <w:hideMark/>
          </w:tcPr>
          <w:p w14:paraId="342E758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(0.272)</w:t>
            </w:r>
          </w:p>
        </w:tc>
        <w:tc>
          <w:tcPr>
            <w:tcW w:w="1401" w:type="dxa"/>
            <w:tcBorders>
              <w:top w:val="nil"/>
              <w:left w:val="nil"/>
              <w:bottom w:val="nil"/>
              <w:right w:val="nil"/>
            </w:tcBorders>
            <w:shd w:val="clear" w:color="auto" w:fill="auto"/>
            <w:vAlign w:val="center"/>
            <w:hideMark/>
          </w:tcPr>
          <w:p w14:paraId="755F24A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(0.139)</w:t>
            </w:r>
          </w:p>
        </w:tc>
        <w:tc>
          <w:tcPr>
            <w:tcW w:w="1478" w:type="dxa"/>
            <w:tcBorders>
              <w:top w:val="nil"/>
              <w:left w:val="nil"/>
              <w:bottom w:val="nil"/>
              <w:right w:val="nil"/>
            </w:tcBorders>
            <w:shd w:val="clear" w:color="auto" w:fill="auto"/>
            <w:vAlign w:val="center"/>
            <w:hideMark/>
          </w:tcPr>
          <w:p w14:paraId="5E0E742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(0.138)</w:t>
            </w:r>
          </w:p>
        </w:tc>
      </w:tr>
      <w:tr w:rsidR="00420AFE" w:rsidRPr="005B2DFB" w14:paraId="1E831E23"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77FF3680" w14:textId="77777777" w:rsidR="00420AFE" w:rsidRPr="005B2DFB" w:rsidRDefault="00420AFE" w:rsidP="00E53343">
            <w:pPr>
              <w:spacing w:after="0" w:line="240" w:lineRule="auto"/>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Baseline Support</w:t>
            </w:r>
          </w:p>
        </w:tc>
        <w:tc>
          <w:tcPr>
            <w:tcW w:w="1498" w:type="dxa"/>
            <w:tcBorders>
              <w:top w:val="nil"/>
              <w:left w:val="nil"/>
              <w:bottom w:val="nil"/>
              <w:right w:val="nil"/>
            </w:tcBorders>
            <w:shd w:val="clear" w:color="auto" w:fill="auto"/>
            <w:vAlign w:val="center"/>
            <w:hideMark/>
          </w:tcPr>
          <w:p w14:paraId="14DAD5B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1.122***</w:t>
            </w:r>
          </w:p>
        </w:tc>
        <w:tc>
          <w:tcPr>
            <w:tcW w:w="1401" w:type="dxa"/>
            <w:tcBorders>
              <w:top w:val="nil"/>
              <w:left w:val="nil"/>
              <w:bottom w:val="nil"/>
              <w:right w:val="nil"/>
            </w:tcBorders>
            <w:shd w:val="clear" w:color="auto" w:fill="auto"/>
            <w:vAlign w:val="center"/>
            <w:hideMark/>
          </w:tcPr>
          <w:p w14:paraId="2A44D79F"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0.780***</w:t>
            </w:r>
          </w:p>
        </w:tc>
        <w:tc>
          <w:tcPr>
            <w:tcW w:w="1401" w:type="dxa"/>
            <w:tcBorders>
              <w:top w:val="nil"/>
              <w:left w:val="nil"/>
              <w:bottom w:val="nil"/>
              <w:right w:val="nil"/>
            </w:tcBorders>
            <w:shd w:val="clear" w:color="auto" w:fill="auto"/>
            <w:vAlign w:val="center"/>
            <w:hideMark/>
          </w:tcPr>
          <w:p w14:paraId="2E10ACF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1.006***</w:t>
            </w:r>
          </w:p>
        </w:tc>
        <w:tc>
          <w:tcPr>
            <w:tcW w:w="1478" w:type="dxa"/>
            <w:tcBorders>
              <w:top w:val="nil"/>
              <w:left w:val="nil"/>
              <w:bottom w:val="nil"/>
              <w:right w:val="nil"/>
            </w:tcBorders>
            <w:shd w:val="clear" w:color="auto" w:fill="auto"/>
            <w:vAlign w:val="center"/>
            <w:hideMark/>
          </w:tcPr>
          <w:p w14:paraId="50C7DD5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0.767***</w:t>
            </w:r>
          </w:p>
        </w:tc>
      </w:tr>
      <w:tr w:rsidR="00420AFE" w:rsidRPr="005B2DFB" w14:paraId="557DA1E0"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2727DBC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p>
        </w:tc>
        <w:tc>
          <w:tcPr>
            <w:tcW w:w="1498" w:type="dxa"/>
            <w:tcBorders>
              <w:top w:val="nil"/>
              <w:left w:val="nil"/>
              <w:bottom w:val="nil"/>
              <w:right w:val="nil"/>
            </w:tcBorders>
            <w:shd w:val="clear" w:color="auto" w:fill="auto"/>
            <w:vAlign w:val="center"/>
            <w:hideMark/>
          </w:tcPr>
          <w:p w14:paraId="3F279B44"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(0.101)</w:t>
            </w:r>
          </w:p>
        </w:tc>
        <w:tc>
          <w:tcPr>
            <w:tcW w:w="1401" w:type="dxa"/>
            <w:tcBorders>
              <w:top w:val="nil"/>
              <w:left w:val="nil"/>
              <w:bottom w:val="nil"/>
              <w:right w:val="nil"/>
            </w:tcBorders>
            <w:shd w:val="clear" w:color="auto" w:fill="auto"/>
            <w:vAlign w:val="center"/>
            <w:hideMark/>
          </w:tcPr>
          <w:p w14:paraId="6D7C531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(0.0971)</w:t>
            </w:r>
          </w:p>
        </w:tc>
        <w:tc>
          <w:tcPr>
            <w:tcW w:w="1401" w:type="dxa"/>
            <w:tcBorders>
              <w:top w:val="nil"/>
              <w:left w:val="nil"/>
              <w:bottom w:val="nil"/>
              <w:right w:val="nil"/>
            </w:tcBorders>
            <w:shd w:val="clear" w:color="auto" w:fill="auto"/>
            <w:vAlign w:val="center"/>
            <w:hideMark/>
          </w:tcPr>
          <w:p w14:paraId="558CC64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(0.0795)</w:t>
            </w:r>
          </w:p>
        </w:tc>
        <w:tc>
          <w:tcPr>
            <w:tcW w:w="1478" w:type="dxa"/>
            <w:tcBorders>
              <w:top w:val="nil"/>
              <w:left w:val="nil"/>
              <w:bottom w:val="nil"/>
              <w:right w:val="nil"/>
            </w:tcBorders>
            <w:shd w:val="clear" w:color="auto" w:fill="auto"/>
            <w:vAlign w:val="center"/>
            <w:hideMark/>
          </w:tcPr>
          <w:p w14:paraId="149FE76B"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(0.0669)</w:t>
            </w:r>
          </w:p>
        </w:tc>
      </w:tr>
      <w:tr w:rsidR="00420AFE" w:rsidRPr="005B2DFB" w14:paraId="6162E4A9"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4FB7FC7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N</w:t>
            </w:r>
          </w:p>
        </w:tc>
        <w:tc>
          <w:tcPr>
            <w:tcW w:w="1498" w:type="dxa"/>
            <w:tcBorders>
              <w:top w:val="nil"/>
              <w:left w:val="nil"/>
              <w:bottom w:val="nil"/>
              <w:right w:val="nil"/>
            </w:tcBorders>
            <w:shd w:val="clear" w:color="auto" w:fill="auto"/>
            <w:vAlign w:val="center"/>
            <w:hideMark/>
          </w:tcPr>
          <w:p w14:paraId="605C74B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870</w:t>
            </w:r>
          </w:p>
        </w:tc>
        <w:tc>
          <w:tcPr>
            <w:tcW w:w="1401" w:type="dxa"/>
            <w:tcBorders>
              <w:top w:val="nil"/>
              <w:left w:val="nil"/>
              <w:bottom w:val="nil"/>
              <w:right w:val="nil"/>
            </w:tcBorders>
            <w:shd w:val="clear" w:color="auto" w:fill="auto"/>
            <w:vAlign w:val="center"/>
            <w:hideMark/>
          </w:tcPr>
          <w:p w14:paraId="55F72989"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869</w:t>
            </w:r>
          </w:p>
        </w:tc>
        <w:tc>
          <w:tcPr>
            <w:tcW w:w="1401" w:type="dxa"/>
            <w:tcBorders>
              <w:top w:val="nil"/>
              <w:left w:val="nil"/>
              <w:bottom w:val="nil"/>
              <w:right w:val="nil"/>
            </w:tcBorders>
            <w:shd w:val="clear" w:color="auto" w:fill="auto"/>
            <w:vAlign w:val="center"/>
            <w:hideMark/>
          </w:tcPr>
          <w:p w14:paraId="0601536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1754</w:t>
            </w:r>
          </w:p>
        </w:tc>
        <w:tc>
          <w:tcPr>
            <w:tcW w:w="1478" w:type="dxa"/>
            <w:tcBorders>
              <w:top w:val="nil"/>
              <w:left w:val="nil"/>
              <w:bottom w:val="nil"/>
              <w:right w:val="nil"/>
            </w:tcBorders>
            <w:shd w:val="clear" w:color="auto" w:fill="auto"/>
            <w:vAlign w:val="center"/>
            <w:hideMark/>
          </w:tcPr>
          <w:p w14:paraId="7BEA2A3A"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1745</w:t>
            </w:r>
          </w:p>
        </w:tc>
      </w:tr>
      <w:tr w:rsidR="00420AFE" w:rsidRPr="005B2DFB" w14:paraId="7EB54BF6" w14:textId="77777777" w:rsidTr="00C274B1">
        <w:trPr>
          <w:gridAfter w:val="1"/>
          <w:wAfter w:w="163" w:type="dxa"/>
          <w:trHeight w:val="242"/>
        </w:trPr>
        <w:tc>
          <w:tcPr>
            <w:tcW w:w="2230" w:type="dxa"/>
            <w:tcBorders>
              <w:top w:val="nil"/>
              <w:left w:val="nil"/>
              <w:bottom w:val="nil"/>
              <w:right w:val="nil"/>
            </w:tcBorders>
            <w:shd w:val="clear" w:color="auto" w:fill="auto"/>
            <w:vAlign w:val="center"/>
            <w:hideMark/>
          </w:tcPr>
          <w:p w14:paraId="29EB0F5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Log Likelihood</w:t>
            </w:r>
          </w:p>
        </w:tc>
        <w:tc>
          <w:tcPr>
            <w:tcW w:w="1498" w:type="dxa"/>
            <w:tcBorders>
              <w:top w:val="nil"/>
              <w:left w:val="nil"/>
              <w:bottom w:val="nil"/>
              <w:right w:val="nil"/>
            </w:tcBorders>
            <w:shd w:val="clear" w:color="auto" w:fill="auto"/>
            <w:vAlign w:val="center"/>
            <w:hideMark/>
          </w:tcPr>
          <w:p w14:paraId="39B79428"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-1083.25</w:t>
            </w:r>
          </w:p>
        </w:tc>
        <w:tc>
          <w:tcPr>
            <w:tcW w:w="1401" w:type="dxa"/>
            <w:tcBorders>
              <w:top w:val="nil"/>
              <w:left w:val="nil"/>
              <w:bottom w:val="nil"/>
              <w:right w:val="nil"/>
            </w:tcBorders>
            <w:shd w:val="clear" w:color="auto" w:fill="auto"/>
            <w:vAlign w:val="center"/>
            <w:hideMark/>
          </w:tcPr>
          <w:p w14:paraId="52BB946D"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-1126.83</w:t>
            </w:r>
          </w:p>
        </w:tc>
        <w:tc>
          <w:tcPr>
            <w:tcW w:w="1401" w:type="dxa"/>
            <w:tcBorders>
              <w:top w:val="nil"/>
              <w:left w:val="nil"/>
              <w:bottom w:val="nil"/>
              <w:right w:val="nil"/>
            </w:tcBorders>
            <w:shd w:val="clear" w:color="auto" w:fill="auto"/>
            <w:vAlign w:val="center"/>
            <w:hideMark/>
          </w:tcPr>
          <w:p w14:paraId="013A07E5"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-1882.59</w:t>
            </w:r>
          </w:p>
        </w:tc>
        <w:tc>
          <w:tcPr>
            <w:tcW w:w="1478" w:type="dxa"/>
            <w:tcBorders>
              <w:top w:val="nil"/>
              <w:left w:val="nil"/>
              <w:bottom w:val="nil"/>
              <w:right w:val="nil"/>
            </w:tcBorders>
            <w:shd w:val="clear" w:color="auto" w:fill="auto"/>
            <w:vAlign w:val="center"/>
            <w:hideMark/>
          </w:tcPr>
          <w:p w14:paraId="2A4D9E0E"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-1986.63</w:t>
            </w:r>
          </w:p>
        </w:tc>
      </w:tr>
      <w:tr w:rsidR="00420AFE" w:rsidRPr="005B2DFB" w14:paraId="3926CDDD" w14:textId="77777777" w:rsidTr="00C274B1">
        <w:trPr>
          <w:gridAfter w:val="1"/>
          <w:wAfter w:w="163" w:type="dxa"/>
          <w:trHeight w:val="272"/>
        </w:trPr>
        <w:tc>
          <w:tcPr>
            <w:tcW w:w="2230" w:type="dxa"/>
            <w:tcBorders>
              <w:top w:val="nil"/>
              <w:left w:val="nil"/>
              <w:bottom w:val="single" w:sz="8" w:space="0" w:color="auto"/>
              <w:right w:val="nil"/>
            </w:tcBorders>
            <w:shd w:val="clear" w:color="auto" w:fill="auto"/>
            <w:vAlign w:val="center"/>
            <w:hideMark/>
          </w:tcPr>
          <w:p w14:paraId="0C300FA6"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R</w:t>
            </w:r>
            <w:r w:rsidRPr="005B2DFB">
              <w:rPr>
                <w:rFonts w:ascii="Times New Roman" w:eastAsia="Times New Roman" w:hAnsi="Times New Roman" w:cs="Times New Roman"/>
                <w:color w:val="000000"/>
                <w:sz w:val="24"/>
                <w:szCs w:val="24"/>
                <w:vertAlign w:val="superscript"/>
              </w:rPr>
              <w:t>2</w:t>
            </w:r>
          </w:p>
        </w:tc>
        <w:tc>
          <w:tcPr>
            <w:tcW w:w="1498" w:type="dxa"/>
            <w:tcBorders>
              <w:top w:val="nil"/>
              <w:left w:val="nil"/>
              <w:bottom w:val="single" w:sz="8" w:space="0" w:color="auto"/>
              <w:right w:val="nil"/>
            </w:tcBorders>
            <w:shd w:val="clear" w:color="auto" w:fill="auto"/>
            <w:vAlign w:val="center"/>
            <w:hideMark/>
          </w:tcPr>
          <w:p w14:paraId="2AD50522"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0.15</w:t>
            </w:r>
          </w:p>
        </w:tc>
        <w:tc>
          <w:tcPr>
            <w:tcW w:w="1401" w:type="dxa"/>
            <w:tcBorders>
              <w:top w:val="nil"/>
              <w:left w:val="nil"/>
              <w:bottom w:val="single" w:sz="8" w:space="0" w:color="auto"/>
              <w:right w:val="nil"/>
            </w:tcBorders>
            <w:shd w:val="clear" w:color="auto" w:fill="auto"/>
            <w:vAlign w:val="center"/>
            <w:hideMark/>
          </w:tcPr>
          <w:p w14:paraId="4932BB2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w:t>
            </w:r>
          </w:p>
        </w:tc>
        <w:tc>
          <w:tcPr>
            <w:tcW w:w="1401" w:type="dxa"/>
            <w:tcBorders>
              <w:top w:val="nil"/>
              <w:left w:val="nil"/>
              <w:bottom w:val="single" w:sz="8" w:space="0" w:color="auto"/>
              <w:right w:val="nil"/>
            </w:tcBorders>
            <w:shd w:val="clear" w:color="auto" w:fill="auto"/>
            <w:vAlign w:val="center"/>
            <w:hideMark/>
          </w:tcPr>
          <w:p w14:paraId="3A436E50"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0.09</w:t>
            </w:r>
          </w:p>
        </w:tc>
        <w:tc>
          <w:tcPr>
            <w:tcW w:w="1478" w:type="dxa"/>
            <w:tcBorders>
              <w:top w:val="nil"/>
              <w:left w:val="nil"/>
              <w:bottom w:val="single" w:sz="8" w:space="0" w:color="auto"/>
              <w:right w:val="nil"/>
            </w:tcBorders>
            <w:shd w:val="clear" w:color="auto" w:fill="auto"/>
            <w:vAlign w:val="center"/>
            <w:hideMark/>
          </w:tcPr>
          <w:p w14:paraId="47EBB90C" w14:textId="77777777" w:rsidR="00420AFE" w:rsidRPr="005B2DFB" w:rsidRDefault="00420AFE" w:rsidP="00E5334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0.06</w:t>
            </w:r>
          </w:p>
        </w:tc>
      </w:tr>
      <w:tr w:rsidR="00420AFE" w:rsidRPr="005B2DFB" w14:paraId="4242AE61" w14:textId="77777777" w:rsidTr="00C274B1">
        <w:trPr>
          <w:gridAfter w:val="1"/>
          <w:wAfter w:w="162" w:type="dxa"/>
          <w:trHeight w:val="937"/>
        </w:trPr>
        <w:tc>
          <w:tcPr>
            <w:tcW w:w="8009" w:type="dxa"/>
            <w:gridSpan w:val="5"/>
            <w:tcBorders>
              <w:top w:val="single" w:sz="8" w:space="0" w:color="auto"/>
              <w:left w:val="nil"/>
              <w:bottom w:val="nil"/>
              <w:right w:val="nil"/>
            </w:tcBorders>
            <w:shd w:val="clear" w:color="auto" w:fill="auto"/>
            <w:vAlign w:val="center"/>
            <w:hideMark/>
          </w:tcPr>
          <w:p w14:paraId="20B45C39" w14:textId="77777777" w:rsidR="00420AFE" w:rsidRPr="005B2DFB" w:rsidRDefault="00420AFE" w:rsidP="00E53343">
            <w:pPr>
              <w:spacing w:after="0" w:line="240" w:lineRule="auto"/>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Note:</w:t>
            </w:r>
            <w:r w:rsidRPr="005B2DFB">
              <w:rPr>
                <w:rFonts w:ascii="Times New Roman" w:eastAsia="Times New Roman" w:hAnsi="Times New Roman" w:cs="Times New Roman"/>
                <w:color w:val="000000"/>
                <w:sz w:val="24"/>
                <w:szCs w:val="24"/>
              </w:rPr>
              <w:t xml:space="preserve"> Each model includes post-stratification weights and controls for the pre-test measure of support for tuition-free community college policies (Baseline Support). Robust Standard Errors in parentheses. *p&lt;0.10 **p&lt;0.05 ***p&lt;0.01 </w:t>
            </w:r>
          </w:p>
        </w:tc>
      </w:tr>
    </w:tbl>
    <w:p w14:paraId="39D340C5" w14:textId="34E19343" w:rsidR="00420AFE" w:rsidRPr="005B2DFB" w:rsidRDefault="00420AFE" w:rsidP="00420AFE">
      <w:pPr>
        <w:rPr>
          <w:rFonts w:ascii="Times New Roman" w:hAnsi="Times New Roman" w:cs="Times New Roman"/>
          <w:sz w:val="24"/>
          <w:szCs w:val="24"/>
        </w:rPr>
      </w:pPr>
    </w:p>
    <w:p w14:paraId="4CDB33E0" w14:textId="1061FD9B" w:rsidR="002D496C" w:rsidRPr="005B2DFB" w:rsidRDefault="002D496C" w:rsidP="00420AFE">
      <w:pPr>
        <w:rPr>
          <w:rFonts w:ascii="Times New Roman" w:hAnsi="Times New Roman" w:cs="Times New Roman"/>
          <w:sz w:val="24"/>
          <w:szCs w:val="24"/>
        </w:rPr>
      </w:pPr>
    </w:p>
    <w:p w14:paraId="7EC1259A" w14:textId="77777777" w:rsidR="0046518A" w:rsidRPr="005B2DFB" w:rsidRDefault="0046518A" w:rsidP="0046518A">
      <w:pPr>
        <w:rPr>
          <w:rFonts w:ascii="Times New Roman" w:hAnsi="Times New Roman" w:cs="Times New Roman"/>
          <w:sz w:val="24"/>
          <w:szCs w:val="24"/>
        </w:rPr>
      </w:pPr>
      <w:bookmarkStart w:id="15" w:name="_Hlk518545889"/>
      <w:bookmarkStart w:id="16" w:name="_Hlk532464466"/>
    </w:p>
    <w:p w14:paraId="5EED29C6" w14:textId="77777777" w:rsidR="00C274B1" w:rsidRDefault="00C274B1">
      <w:pPr>
        <w:rPr>
          <w:rFonts w:ascii="Times New Roman" w:hAnsi="Times New Roman" w:cs="Times New Roman"/>
          <w:b/>
          <w:sz w:val="32"/>
          <w:szCs w:val="24"/>
        </w:rPr>
      </w:pPr>
      <w:r>
        <w:rPr>
          <w:rFonts w:ascii="Times New Roman" w:hAnsi="Times New Roman" w:cs="Times New Roman"/>
          <w:b/>
          <w:sz w:val="32"/>
          <w:szCs w:val="24"/>
        </w:rPr>
        <w:br w:type="page"/>
      </w:r>
    </w:p>
    <w:p w14:paraId="52CC916F" w14:textId="28A50CEA" w:rsidR="0046518A" w:rsidRPr="00742587" w:rsidRDefault="00FB461F" w:rsidP="0046518A">
      <w:pPr>
        <w:jc w:val="center"/>
        <w:rPr>
          <w:rFonts w:ascii="Times New Roman" w:hAnsi="Times New Roman" w:cs="Times New Roman"/>
          <w:b/>
          <w:sz w:val="32"/>
          <w:szCs w:val="24"/>
        </w:rPr>
      </w:pPr>
      <w:r w:rsidRPr="00742587">
        <w:rPr>
          <w:rFonts w:ascii="Times New Roman" w:hAnsi="Times New Roman" w:cs="Times New Roman"/>
          <w:b/>
          <w:sz w:val="32"/>
          <w:szCs w:val="24"/>
        </w:rPr>
        <w:lastRenderedPageBreak/>
        <w:t xml:space="preserve">Chapter 4: </w:t>
      </w:r>
      <w:r w:rsidR="0046518A" w:rsidRPr="00742587">
        <w:rPr>
          <w:rFonts w:ascii="Times New Roman" w:hAnsi="Times New Roman" w:cs="Times New Roman"/>
          <w:b/>
          <w:sz w:val="32"/>
          <w:szCs w:val="24"/>
        </w:rPr>
        <w:t>Perspectives from the Front-line: Street-level Bureaucrats, Administrative Burden and Access to Oklahoma’s Promise</w:t>
      </w:r>
      <w:bookmarkEnd w:id="15"/>
    </w:p>
    <w:p w14:paraId="112EDBA7" w14:textId="77777777" w:rsidR="0046518A" w:rsidRPr="005B2DFB" w:rsidRDefault="0046518A" w:rsidP="00B35567">
      <w:pPr>
        <w:rPr>
          <w:rFonts w:ascii="Times New Roman" w:hAnsi="Times New Roman" w:cs="Times New Roman"/>
          <w:sz w:val="24"/>
          <w:szCs w:val="24"/>
        </w:rPr>
      </w:pPr>
    </w:p>
    <w:p w14:paraId="6E39CAE7" w14:textId="574D4AB7" w:rsidR="0046518A" w:rsidRPr="005B2DFB" w:rsidRDefault="0046518A" w:rsidP="00B35567">
      <w:pPr>
        <w:spacing w:after="0" w:line="240" w:lineRule="auto"/>
        <w:jc w:val="center"/>
        <w:rPr>
          <w:rFonts w:ascii="Times New Roman" w:hAnsi="Times New Roman" w:cs="Times New Roman"/>
          <w:sz w:val="24"/>
          <w:szCs w:val="24"/>
        </w:rPr>
      </w:pPr>
      <w:r w:rsidRPr="005B2DFB">
        <w:rPr>
          <w:rFonts w:ascii="Times New Roman" w:hAnsi="Times New Roman" w:cs="Times New Roman"/>
          <w:sz w:val="24"/>
          <w:szCs w:val="24"/>
        </w:rPr>
        <w:t>Elizabeth Bell, Corresponding Author</w:t>
      </w:r>
    </w:p>
    <w:p w14:paraId="76A44A68" w14:textId="4B383641" w:rsidR="0046518A" w:rsidRPr="005B2DFB" w:rsidRDefault="0046518A" w:rsidP="00B35567">
      <w:pPr>
        <w:spacing w:after="0" w:line="240" w:lineRule="auto"/>
        <w:jc w:val="center"/>
        <w:rPr>
          <w:rFonts w:ascii="Times New Roman" w:hAnsi="Times New Roman" w:cs="Times New Roman"/>
          <w:sz w:val="24"/>
          <w:szCs w:val="24"/>
        </w:rPr>
      </w:pPr>
      <w:r w:rsidRPr="005B2DFB">
        <w:rPr>
          <w:rFonts w:ascii="Times New Roman" w:hAnsi="Times New Roman" w:cs="Times New Roman"/>
          <w:sz w:val="24"/>
          <w:szCs w:val="24"/>
        </w:rPr>
        <w:t>and</w:t>
      </w:r>
    </w:p>
    <w:p w14:paraId="17C75C7D" w14:textId="75044816" w:rsidR="0046518A" w:rsidRDefault="0046518A" w:rsidP="0046518A">
      <w:pPr>
        <w:spacing w:after="0" w:line="240" w:lineRule="auto"/>
        <w:jc w:val="center"/>
        <w:rPr>
          <w:rFonts w:ascii="Times New Roman" w:hAnsi="Times New Roman" w:cs="Times New Roman"/>
          <w:sz w:val="24"/>
          <w:szCs w:val="24"/>
        </w:rPr>
      </w:pPr>
      <w:r w:rsidRPr="005B2DFB">
        <w:rPr>
          <w:rFonts w:ascii="Times New Roman" w:hAnsi="Times New Roman" w:cs="Times New Roman"/>
          <w:sz w:val="24"/>
          <w:szCs w:val="24"/>
        </w:rPr>
        <w:t>Kylie Smith</w:t>
      </w:r>
    </w:p>
    <w:p w14:paraId="404E607D" w14:textId="77777777" w:rsidR="00893111" w:rsidRDefault="00893111" w:rsidP="0046518A">
      <w:pPr>
        <w:spacing w:after="0" w:line="240" w:lineRule="auto"/>
        <w:jc w:val="center"/>
        <w:rPr>
          <w:rFonts w:ascii="Times New Roman" w:hAnsi="Times New Roman" w:cs="Times New Roman"/>
          <w:sz w:val="24"/>
          <w:szCs w:val="24"/>
        </w:rPr>
      </w:pPr>
    </w:p>
    <w:p w14:paraId="2907AEEC" w14:textId="77777777" w:rsidR="00B35567" w:rsidRDefault="00B35567" w:rsidP="0046518A">
      <w:pPr>
        <w:spacing w:after="0" w:line="240" w:lineRule="auto"/>
        <w:jc w:val="center"/>
        <w:rPr>
          <w:rFonts w:ascii="Times New Roman" w:hAnsi="Times New Roman" w:cs="Times New Roman"/>
          <w:sz w:val="24"/>
          <w:szCs w:val="24"/>
        </w:rPr>
      </w:pPr>
    </w:p>
    <w:p w14:paraId="2E18D089" w14:textId="31EC15C5" w:rsidR="00B35567" w:rsidRDefault="00B35567" w:rsidP="0089311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chapter, I investigate the role of strategic uses of discretion by street-level bureaucrats in translating statutory designs into outcomes. Therefore, this chapter </w:t>
      </w:r>
      <w:r w:rsidR="00097B9A">
        <w:rPr>
          <w:rFonts w:ascii="Times New Roman" w:hAnsi="Times New Roman" w:cs="Times New Roman"/>
          <w:sz w:val="24"/>
          <w:szCs w:val="24"/>
        </w:rPr>
        <w:t>provides insight into the linkages between politically shaped statutory designs, implementation and program access</w:t>
      </w:r>
      <w:r w:rsidR="001B2021">
        <w:rPr>
          <w:rFonts w:ascii="Times New Roman" w:hAnsi="Times New Roman" w:cs="Times New Roman"/>
          <w:sz w:val="24"/>
          <w:szCs w:val="24"/>
        </w:rPr>
        <w:t xml:space="preserve"> as shown in Figure 4-1.</w:t>
      </w:r>
    </w:p>
    <w:p w14:paraId="169FAC16" w14:textId="77777777" w:rsidR="00097B9A" w:rsidRPr="005B2DFB" w:rsidRDefault="00097B9A" w:rsidP="00B35567">
      <w:pPr>
        <w:spacing w:after="0" w:line="240" w:lineRule="auto"/>
        <w:rPr>
          <w:rFonts w:ascii="Times New Roman" w:hAnsi="Times New Roman" w:cs="Times New Roman"/>
          <w:sz w:val="24"/>
          <w:szCs w:val="24"/>
        </w:rPr>
      </w:pPr>
    </w:p>
    <w:bookmarkEnd w:id="16"/>
    <w:p w14:paraId="467FD5FA" w14:textId="50A53834" w:rsidR="00B35567" w:rsidRPr="005B2DFB" w:rsidRDefault="00B35567" w:rsidP="00B35567">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t xml:space="preserve">Figure </w:t>
      </w:r>
      <w:r w:rsidR="00D601A3">
        <w:rPr>
          <w:rFonts w:ascii="Times New Roman" w:hAnsi="Times New Roman" w:cs="Times New Roman"/>
          <w:sz w:val="24"/>
          <w:szCs w:val="24"/>
        </w:rPr>
        <w:t>4-</w:t>
      </w:r>
      <w:r w:rsidRPr="005B2DFB">
        <w:rPr>
          <w:rFonts w:ascii="Times New Roman" w:hAnsi="Times New Roman" w:cs="Times New Roman"/>
          <w:sz w:val="24"/>
          <w:szCs w:val="24"/>
        </w:rPr>
        <w:t xml:space="preserve">1. </w:t>
      </w:r>
      <w:r w:rsidR="00DD795A">
        <w:rPr>
          <w:rFonts w:ascii="Times New Roman" w:hAnsi="Times New Roman" w:cs="Times New Roman"/>
          <w:sz w:val="24"/>
          <w:szCs w:val="24"/>
        </w:rPr>
        <w:t xml:space="preserve">The Administrative Pathway: How Statutory Designs are Translated in the Implementation Process to Impact Outcomes </w:t>
      </w:r>
    </w:p>
    <w:p w14:paraId="3140B6C1" w14:textId="77777777" w:rsidR="00B35567" w:rsidRPr="005B2DFB" w:rsidRDefault="00B35567" w:rsidP="00B35567">
      <w:pPr>
        <w:spacing w:after="0" w:line="240" w:lineRule="auto"/>
        <w:textAlignment w:val="center"/>
        <w:rPr>
          <w:rFonts w:ascii="Times New Roman" w:eastAsia="Times New Roman" w:hAnsi="Times New Roman" w:cs="Times New Roman"/>
          <w:sz w:val="24"/>
          <w:szCs w:val="24"/>
        </w:rPr>
      </w:pPr>
    </w:p>
    <w:p w14:paraId="1AAFE946" w14:textId="2EA9B19E" w:rsidR="00B35567" w:rsidRPr="005B2DFB" w:rsidRDefault="00D601A3" w:rsidP="00B35567">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1F98DC4" wp14:editId="35D45ABC">
                <wp:simplePos x="0" y="0"/>
                <wp:positionH relativeFrom="column">
                  <wp:posOffset>4183380</wp:posOffset>
                </wp:positionH>
                <wp:positionV relativeFrom="paragraph">
                  <wp:posOffset>1486535</wp:posOffset>
                </wp:positionV>
                <wp:extent cx="236220" cy="419100"/>
                <wp:effectExtent l="0" t="38100" r="30480" b="57150"/>
                <wp:wrapNone/>
                <wp:docPr id="34" name="Arrow: Right 34"/>
                <wp:cNvGraphicFramePr/>
                <a:graphic xmlns:a="http://schemas.openxmlformats.org/drawingml/2006/main">
                  <a:graphicData uri="http://schemas.microsoft.com/office/word/2010/wordprocessingShape">
                    <wps:wsp>
                      <wps:cNvSpPr/>
                      <wps:spPr>
                        <a:xfrm>
                          <a:off x="0" y="0"/>
                          <a:ext cx="23622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FE26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4" o:spid="_x0000_s1026" type="#_x0000_t13" style="position:absolute;margin-left:329.4pt;margin-top:117.05pt;width:18.6pt;height: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5CDBC41" wp14:editId="0DAC8452">
                <wp:simplePos x="0" y="0"/>
                <wp:positionH relativeFrom="column">
                  <wp:posOffset>1996440</wp:posOffset>
                </wp:positionH>
                <wp:positionV relativeFrom="paragraph">
                  <wp:posOffset>1436370</wp:posOffset>
                </wp:positionV>
                <wp:extent cx="281940" cy="419100"/>
                <wp:effectExtent l="0" t="38100" r="41910" b="57150"/>
                <wp:wrapNone/>
                <wp:docPr id="35" name="Arrow: Right 35"/>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EB380C" id="Arrow: Right 35" o:spid="_x0000_s1026" type="#_x0000_t13" style="position:absolute;margin-left:157.2pt;margin-top:113.1pt;width:22.2pt;height:33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" adj="10800" fillcolor="black [3213]" strokecolor="black [3213]" strokeweight="1pt"/>
            </w:pict>
          </mc:Fallback>
        </mc:AlternateContent>
      </w:r>
      <w:r w:rsidR="00B35567" w:rsidRPr="005B2DFB">
        <w:rPr>
          <w:rFonts w:ascii="Times New Roman" w:hAnsi="Times New Roman" w:cs="Times New Roman"/>
          <w:noProof/>
          <w:sz w:val="24"/>
          <w:szCs w:val="24"/>
        </w:rPr>
        <w:drawing>
          <wp:inline distT="0" distB="0" distL="0" distR="0" wp14:anchorId="34819A43" wp14:editId="7FC00F83">
            <wp:extent cx="6339840" cy="3200400"/>
            <wp:effectExtent l="0" t="0" r="3810" b="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32EA5FD7" w14:textId="77777777" w:rsidR="0046518A" w:rsidRPr="005B2DFB" w:rsidRDefault="0046518A" w:rsidP="0046518A">
      <w:pPr>
        <w:spacing w:line="360" w:lineRule="auto"/>
        <w:rPr>
          <w:rFonts w:ascii="Times New Roman" w:hAnsi="Times New Roman" w:cs="Times New Roman"/>
          <w:sz w:val="24"/>
          <w:szCs w:val="24"/>
        </w:rPr>
      </w:pPr>
    </w:p>
    <w:p w14:paraId="646B9671" w14:textId="09F4D1D2" w:rsidR="009D5924" w:rsidRDefault="009D5924">
      <w:pPr>
        <w:rPr>
          <w:rFonts w:ascii="Times New Roman" w:hAnsi="Times New Roman" w:cs="Times New Roman"/>
          <w:sz w:val="24"/>
          <w:szCs w:val="24"/>
        </w:rPr>
      </w:pPr>
      <w:r>
        <w:rPr>
          <w:rFonts w:ascii="Times New Roman" w:hAnsi="Times New Roman" w:cs="Times New Roman"/>
          <w:sz w:val="24"/>
          <w:szCs w:val="24"/>
        </w:rPr>
        <w:br w:type="page"/>
      </w:r>
    </w:p>
    <w:p w14:paraId="1022104D" w14:textId="77777777" w:rsidR="0046518A" w:rsidRPr="005B2DFB" w:rsidRDefault="0046518A" w:rsidP="0046518A">
      <w:pPr>
        <w:rPr>
          <w:rFonts w:ascii="Times New Roman" w:hAnsi="Times New Roman" w:cs="Times New Roman"/>
          <w:sz w:val="24"/>
          <w:szCs w:val="24"/>
        </w:rPr>
      </w:pPr>
    </w:p>
    <w:p w14:paraId="0E775701" w14:textId="77777777" w:rsidR="0046518A" w:rsidRPr="005B2DFB" w:rsidRDefault="0046518A" w:rsidP="009D5924">
      <w:pPr>
        <w:spacing w:line="480" w:lineRule="auto"/>
        <w:jc w:val="center"/>
        <w:rPr>
          <w:rFonts w:ascii="Times New Roman" w:hAnsi="Times New Roman" w:cs="Times New Roman"/>
          <w:sz w:val="24"/>
          <w:szCs w:val="24"/>
        </w:rPr>
      </w:pPr>
      <w:r w:rsidRPr="005B2DFB">
        <w:rPr>
          <w:rFonts w:ascii="Times New Roman" w:hAnsi="Times New Roman" w:cs="Times New Roman"/>
          <w:b/>
          <w:sz w:val="24"/>
          <w:szCs w:val="24"/>
        </w:rPr>
        <w:t>Abstract</w:t>
      </w:r>
    </w:p>
    <w:p w14:paraId="13516EB3" w14:textId="77777777" w:rsidR="0046518A" w:rsidRPr="005B2DFB" w:rsidRDefault="0046518A" w:rsidP="009D5924">
      <w:pPr>
        <w:spacing w:line="480" w:lineRule="auto"/>
        <w:rPr>
          <w:rFonts w:ascii="Times New Roman" w:hAnsi="Times New Roman" w:cs="Times New Roman"/>
          <w:sz w:val="24"/>
          <w:szCs w:val="24"/>
        </w:rPr>
      </w:pPr>
      <w:r w:rsidRPr="005B2DFB">
        <w:rPr>
          <w:rFonts w:ascii="Times New Roman" w:hAnsi="Times New Roman" w:cs="Times New Roman"/>
          <w:sz w:val="24"/>
          <w:szCs w:val="24"/>
        </w:rPr>
        <w:t xml:space="preserve">Emerging public administration scholarship has revealed the negative impact of administrative burden on access to public programs. However, this literature has yet to thoroughly explore forces that mitigate or exacerbate administrative burden for clients seeking access to programs at the local level. In this article, we utilize a mixed methods design to explore the role of street-level bureaucrats in facilitating, or impeding, clients’ ability to overcome administrative burden and gain access to the Oklahoma’s Promise program—a means-tested college scholarship program. We find that street-level bureaucrats have varying role perceptions in the administration of burdens, and that these role perceptions shape whether discretion is used as a force for client resilience to administrative burden or as a force that exacerbates existing barriers to program access. These findings also highlight the implications of uneven street-level conditions and provide rich avenues for future research on administrative burden. </w:t>
      </w:r>
    </w:p>
    <w:p w14:paraId="30E719A6" w14:textId="77777777" w:rsidR="0046518A" w:rsidRPr="005B2DFB" w:rsidRDefault="0046518A" w:rsidP="009D5924">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br w:type="page"/>
      </w:r>
    </w:p>
    <w:p w14:paraId="2CCFCB2D"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lastRenderedPageBreak/>
        <w:tab/>
        <w:t xml:space="preserve">Emerging public administration scholarship has revealed the detrimental impact of administrative burden, or policies contributing to onerous experiences of government, on access to public programs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{"citationID":"IbbWJhU9","properties":{"formattedCitation":"(C. J. Heinrich, 2016; C. J. Heinrich &amp; Brill, 2015; Herd, DeLeire, Harvey, &amp; Moynihan, 2013; D. Moynihan &amp; Herd, 2010; D. Moynihan, Herd, &amp; Harvey, 2015)","plainCitation":"(C. J. Heinrich, 2016; C. J. Heinrich &amp; Brill, 2015; Herd, DeLeire, Harvey, &amp; Moynihan, 2013; D. Moynihan &amp; Herd, 2010; D. Moynihan, Herd, &amp; Harvey, 2015)","dontUpdate":true,"noteIndex":0},"citationItems":[{"id":5871,"uris":["http://zotero.org/users/2595715/items/VQ82P4X9"],"uri":["http://zotero.org/users/2595715/items/VQ82P4X9"],"itemData":{"id":5871,"type":"article-journal","title":"The Bite of Administrative Burden: A Theoretical and Empirical Investigation","container-title":"Journal of Public Administration Research and Theory","page":"403-420","volume":"26","issue":"3","source":"academic.oup.com","abstract":"The study of administrative burden—experienced in individual encounters with government—is being renewed with new theoretical developments and policy applications. Building on recent developments, this article aims to broaden the conceptual framing of administrative burden and extend its empirical investigation beyond concerns about access to and efficiency of public services to questions of individual and societal impacts. It also expands beyond the typical US or developed country context to examine this phenomenon in the setting of a large social protection program in South Africa, where the “bite” of administrative burden may potentially be bigger. The empirical analysis uses data from the South African Child Support Grant (CSG) evaluation to investigate how CSG program rules and requirements affected administrative burdens and erected barriers to grant receipt. The findings show that 60% of CSG recipients experienced an interruption or disconnection in grant receipt that appears to be associated with administrative burden, with 80% of those stoppages in error. The resulting loss of monthly benefits has significant negative implications for the outcomes of adolescents targeted by the program.","DOI":"10.1093/jopart/muv034","ISSN":"1053-1858","shortTitle":"The Bite of Administrative Burden","journalAbbreviation":"J Public Adm Res Theory","author":[{"family":"Heinrich","given":"Carolyn J."}],"issued":{"date-parts":[["2016",7,1]]}}},{"id":5872,"uris":["http://zotero.org/users/2595715/items/6BF5TUMA"],"uri":["http://zotero.org/users/2595715/items/6BF5TUMA"],"itemData":{"id":5872,"type":"article-journal","title":"Stopped in the Name of the Law: Administrative Burden and its Implications for Cash Transfer Program Effectiveness","container-title":"World Development","page":"277-295","volume":"72","issue":"Supplement C","source":"ScienceDirect","abstract":"Summary\nCash transfer programs have achieved wide-ranging success in reducing poverty, yet there is little empirical research on how program rules and administrative capacity might limit program effectiveness. We examine administrative burden and quantify its implications for grant access and impacts in the South African Child Support Grant (CSG) program, as the age of eligibility and application requirements changed over time. We find that approximately 60% of the sampled children experienced an interruption or disconnection in cash transfer receipt, and that both timing and “dosage” loss are associated with adolescent engagement in risky behaviors, and for females, lower educational attainment.","DOI":"10.1016/j.worlddev.2015.03.015","ISSN":"0305-750X","shortTitle":"Stopped in the Name of the Law","journalAbbreviation":"World Development","author":[{"family":"Heinrich","given":"Carolyn J."},{"family":"Brill","given":"Robert"}],"issued":{"date-parts":[["2015",8,1]]}}},{"id":5874,"uris":["http://zotero.org/users/2595715/items/H7HIDDWN"],"uri":["http://zotero.org/users/2595715/items/H7HIDDWN"],"itemData":{"id":5874,"type":"article-journal","title":"Shifting Administrative Burden to the State: The Case of Medicaid Take-Up","container-title":"Public Administration Review","page":"S69-S81","volume":"73","issue":"s1","source":"Wiley Online Library","abstract":"Administrative burden is an individual's experience of policy implementation as onerous. Such burdens may be created because of a desire to limit payments to ineligible claimants, but they also serve to limit take-up of benefits by eligible claimants. For citizens, this burden may occur through learning about a program; complying with rules and discretionary bureaucratic behavior to participate; and the psychological costs of participating in an unpopular program. Using a mixed-method approach, the authors explain process changes that reduced individual burden and demonstrate how this resulted in increased take-up in Medicaid in the state of Wisconsin. The findings inform the planned expansion of Medicaid under the Patient Protection and Affordable Care Act. A key design principle for Medicaid and other means-tested programs is that it is possible to increase program take-up while maintaining program integrity by shifting administrative burdens from the citizen to the state.","DOI":"10.1111/puar.12114","ISSN":"1540-6210","shortTitle":"Shifting Administrative Burden to the State","journalAbbreviation":"Public Admin Rev","language":"en","author":[{"family":"Herd","given":"Pamela"},{"family":"DeLeire","given":"Thomas"},{"family":"Harvey","given":"Hope"},{"family":"Moynihan","given":"Donald P."}],"issued":{"date-parts":[["2013",9,1]]}}},{"id":22,"uris":["http://zotero.org/users/2595715/items/D96PU4PQ"],"uri":["http://zotero.org/users/2595715/items/D96PU4PQ"],"itemData":{"id":22,"type":"article-journal","title":"Red Tape and Democracy: How Rules Affect Citizenship Rights","container-title":"The American Review of Public Administration","page":"654-670","volume":"40","issue":"6","source":"SAGE Journals","abstract":"Over the past 15 years, political science has paid increasing attention to the feedback effects of policy—the idea that the design of policies has profound effects on how citizens experience government and understand their role in the polity. One concept that is perfectly placed to explain how citizens experience administrative rules is red tape. But even as an impressive empirical scholarship on red tape has grown in recent years, it has focused almost exclusively on organizational actors rather than citizens. This article ties the red tape concept into a policy feedback framework. The authors argue that administrative rules frequently exert significant and unjustified compliance burden that restrict access to political and social rights. Furthermore, such burdens have equity implications, because they are often disproportionately experienced by disadvantaged groups. These propositions are illustrated using examples from welfare state and election policies in the United States.","DOI":"10.1177/0275074010366732","ISSN":"0275-0740","shortTitle":"Red Tape and Democracy","journalAbbreviation":"The American Review of Public Administration","language":"en","author":[{"family":"Moynihan","given":"Donald"},{"family":"Herd","given":"Pamela"}],"issued":{"date-parts":[["2010",11,1]]}}},{"id":94,"uris":["http://zotero.org/users/2595715/items/I3DDJ45T"],"uri":["http://zotero.org/users/2595715/items/I3DDJ45T"],"itemData":{"id":94,"type":"article-journal","title":"Administrative Burden: Learning, Psychological, and Compliance Costs in Citizen-State Interactions","container-title":"Journal of Public Administration Research and Theory","page":"43-69","volume":"25","issue":"1","source":"academic.oup.com","DOI":"10.1093/jopart/muu009","ISSN":"1053-1858","shortTitle":"Administrative Burden","journalAbbreviation":"J Public Adm Res Theory","author":[{"family":"Moynihan","given":"Donald"},{"family":"Herd","given":"Pamela"},{"family":"Harvey","given":"Hope"}],"issued":{"date-parts":[["2015",1,1]]}}}],"schema":"https://github.com/citation-style-language/schema/raw/master/csl-citation.json"}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(Heinrich, 2016; Herd, DeLeire, Harvey, &amp; Moynihan, 2013; Moynihan, Herd, &amp; Harvey,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particular, previous studies reveal how policies contributing to administrative burden may seem neutral in theory but perpetuate inequality by disproportionately reducing access to services for marginalized groups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{"citationID":"U6tfh18Y","properties":{"formattedCitation":"(M. Nisar, 2017)","plainCitation":"(M. Nisar, 2017)","dontUpdate":true,"noteIndex":0},"citationItems":[{"id":6088,"uris":["http://zotero.org/users/2595715/items/XQ4TJ3XI"],"uri":["http://zotero.org/users/2595715/items/XQ4TJ3XI"],"itemData":{"id":6088,"type":"article-journal","title":"Children of a Lesser God: Administrative Burden and Social Equity in Citizen–State Interactions","container-title":"Journal of Public Administration Research and Theory","page":"104-119","volume":"28","issue":"1","source":"academic.oup.com","abstract":"An important research agenda in public administration is to investigate how formal and realized public policy influences the lives of marginalized social groups. Recently, reinvigorated research on administrative burden can make useful contributions to this line of inquiry. Using ethnographic research methods, this article analyzes administrative burden experienced by the Khawaja Sira—individuals culturally defined as neither men nor women—of Pakistan in getting a legal ID. In doing so, this article contributes to a better understanding of the role played by third parties, administrative behavior and social factors play in influencing the level of administrative burden and social inequity for genderqueer groups.","DOI":"10.1093/jopart/mux025","ISSN":"1053-1858","shortTitle":"Children of a Lesser God","journalAbbreviation":"J Public Adm Res Theory","language":"en","author":[{"family":"Nisar","given":"Muhammad"}],"issued":{"date-parts":[["2017",12,13]]}}}],"schema":"https://github.com/citation-style-language/schema/raw/master/csl-citation.json"}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(Nisar,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However, this body of literature has yet to thoroughly explore potential mechanisms by which administrative burden impacts program access at the local level—such as the unique and varying interactions between clients and street-level bureaucrats (SLBs). </w:t>
      </w:r>
    </w:p>
    <w:p w14:paraId="3AB236F8"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This article contributes to existing administrative burden literature by exploring how street-level bureaucrats can exacerbate or alleviate the impacts of administrative burden on program access. We explore these dynamics in the context of Oklahoma’s Promise—a state means-tested financial aid program that requires students to overcome significant compliance, psychological, and learning costs in the application process. Specifically, we hypothesize that the role perceptions and uneven uses of discretion by SLBs will significantly impact the experience of administrative burden for clients and, in turn, predict access to the Oklahoma’s Promise program. To test these hypotheses, we utilize a sequential explanatory mixed methods case study design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{"citationID":"piTQnN3C","properties":{"formattedCitation":"(Honig 2018)","plainCitation":"(Honig 2018)","noteIndex":0},"citationItems":[{"id":6824,"uris":["http://zotero.org/users/2595715/items/4ZC7VC9E"],"uri":["http://zotero.org/users/2595715/items/4ZC7VC9E"],"itemData":{"id":6824,"type":"article-journal","title":"Case Study Design and Analysis as a Complementary Empirical Strategy to Econometric Analysis in the Study of Public Agencies: Deploying Mutually Supportive Mixed Methods","container-title":"Journal of Public Administration Research and Theory","source":"academic-oup-com.ezproxy.lib.ou.edu","abstract":"Abstract.  There is little methodological guidance regarding how to best integrate qualitative observational case study data and quantitative large-N observatio","URL":"http://academic.oup.com/jpart/advance-article/doi/10.1093/jopart/muy049/5096087","DOI":"10.1093/jopart/muy049","shortTitle":"Case Study Design and Analysis as a Complementary Empirical Strategy to Econometric Analysis in the Study of Public Agencies","journalAbbreviation":"J Public Adm Res Theory","language":"en","author":[{"family":"Honig","given":"Dan"}],"issued":{"date-parts":[["2018"]]},"accessed":{"date-parts":[["2018",9,19]]}}}],"schema":"https://github.com/citation-style-language/schema/raw/master/csl-citation.json"}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(Honig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in which we analyze statewide survey data of SLBs charged with implementing the promise program and supplement this analysis with in-depth qualitative follow-up interviews of SLBs utilizing grounded theory methods.</w:t>
      </w:r>
    </w:p>
    <w:p w14:paraId="61F395B8"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Our analysis reveals that SLBs have varying perceptions of their role in implementation, which translates to uneven uses of discretion that moderate the impact of administrative burden on client access across local agencies. Unlike support officials, who are primarily concerned with </w:t>
      </w:r>
      <w:r w:rsidRPr="005B2DFB">
        <w:rPr>
          <w:rFonts w:ascii="Times New Roman" w:hAnsi="Times New Roman" w:cs="Times New Roman"/>
          <w:sz w:val="24"/>
          <w:szCs w:val="24"/>
        </w:rPr>
        <w:lastRenderedPageBreak/>
        <w:t xml:space="preserve">using discretion to go above and beyond to help clients navigate complicated systems of administrative burden, compliance officers are primarily concerned with making sure clients meet the set of stringent eligibility requirements before gaining access. These differences in role perception meaningfully impact uses of discretion as well as whether clients are able to overcome administrative burden and gain access to programs—specifically, when SLBs consider their role in implementation to be a compliance officer, rather than a student support official, significantly less students overcome administrative burden and gain access to the program. Moreover, the findings also reveal that SLBs find themselves in local organizations with vastly unequal capacity to support clients in the struggle to overcome administrative burdens. Together, these findings take a step toward better understanding how SLBs moderate the impact of administrative burden on local levels of program access. </w:t>
      </w:r>
    </w:p>
    <w:p w14:paraId="58C39493"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This study builds on existing administrative burden literature by making two main contributions. First, it leverages variation at the local level in client access to programs instead of being limited to aggregate measures of client take-up. As a function of this approach, this study extends the study of administrative burden by incorporating the role of street-level bureaucrats and local institutional context. Accordingly, this investigation takes a step toward answering the call of previous administrative burden research to highlight the relationship between front-line administrators and burdens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{"citationID":"a1isjg0502n","properties":{"formattedCitation":"(D. Moynihan et al., 2015)","plainCitation":"(D. Moynihan et al., 2015)","dontUpdate":true,"noteIndex":0},"citationItems":[{"id":94,"uris":["http://zotero.org/users/2595715/items/I3DDJ45T"],"uri":["http://zotero.org/users/2595715/items/I3DDJ45T"],"itemData":{"id":94,"type":"article-journal","title":"Administrative Burden: Learning, Psychological, and Compliance Costs in Citizen-State Interactions","container-title":"Journal of Public Administration Research and Theory","page":"43-69","volume":"25","issue":"1","source":"academic.oup.com","DOI":"10.1093/jopart/muu009","ISSN":"1053-1858","shortTitle":"Administrative Burden","journalAbbreviation":"J Public Adm Res Theory","author":[{"family":"Moynihan","given":"Donald"},{"family":"Herd","given":"Pamela"},{"family":"Harvey","given":"Hope"}],"issued":{"date-parts":[["2015",1,1]]}}}],"schema":"https://github.com/citation-style-language/schema/raw/master/csl-citation.json"}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(Moynihan et al.,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our approach diverges from previous literature that explores changes in laws governing programs by exploring how even in the absence of reform, the same application process will be interpreted in vastly different ways by street-level bureaucrats who wield the power to shape program access. Second, this approach takes on the challenge that Moynihan et al. (2015) set forth to address potential avenues for reducing the impact of administrative burdens. By studying the ways in which the strategic use </w:t>
      </w:r>
      <w:r w:rsidRPr="005B2DFB">
        <w:rPr>
          <w:rFonts w:ascii="Times New Roman" w:hAnsi="Times New Roman" w:cs="Times New Roman"/>
          <w:sz w:val="24"/>
          <w:szCs w:val="24"/>
        </w:rPr>
        <w:lastRenderedPageBreak/>
        <w:t>of discretion by SLBs can moderate the impact of burdens on clientele, this study provides evidence on whether the use of discretion in street-level interactions could be an avenue through which the impact of administrative burdens can be reduced in some local agencies and potentially exacerbated in others. Therefore, this study examines how bureaucratic discretion, when wielded by SLBs in charge of facilitating access to public programs, can be an empowering or disempowering force for clients in the struggle to overcome administrative burden. Moreover, we also explore the extent to which SLBs are constrained by local agency capacity in their efforts to facilitate client access programs impacted by administrative burden.</w:t>
      </w:r>
    </w:p>
    <w:p w14:paraId="6227B859"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the following section, we leverage the existing literature on both administrative burden and street-level bureaucracy to provide theoretical grounding for the set of hypotheses to be tested. Next, we provide a detailed description of the system of administrative burden in the Oklahoma’s Promise scholarship program. Then, we present our research design, data, and analytical approach. Finally, we conclude with a discussion of the implications of our findings for future research. </w:t>
      </w:r>
    </w:p>
    <w:p w14:paraId="28D80C38"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Previous Literature</w:t>
      </w:r>
    </w:p>
    <w:p w14:paraId="03598AAD"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We leverage two literatures in public administration—administrative burden and street-level bureaucracy—to provide the theoretical grounding for our investigation. It is our contention that a deeper understanding of the ways in which administrative burden impacts democratic outcomes at the front-lines of government requires acknowledging the influence of SLBs and the context of the local agencies. Combining the insights of these literatures, this study is poised to contribute to theoretical advancement within the study of administrative burden that is grounded in the foundational work on street-level bureaucracy. </w:t>
      </w:r>
    </w:p>
    <w:p w14:paraId="1D29C985" w14:textId="77777777" w:rsidR="0046518A" w:rsidRPr="005B2DFB" w:rsidRDefault="0046518A" w:rsidP="0046518A">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Administrative Burden</w:t>
      </w:r>
    </w:p>
    <w:p w14:paraId="6724AF68"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lastRenderedPageBreak/>
        <w:tab/>
        <w:t xml:space="preserve">Fundamental to the study of public administration are the complex interactions between clients and bureaucrats. These interactions are shaped in large part by the rules and constraints placed on bureaucrats by elected officials, which may serve to undermine organizational effectiveness and limit access to programs that clients desire from government. These interactions are the subject of the emerging literature on administrative burden, also known as bureaucratic disentitlement, which describes the experience of client-state interactions as onerous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{"citationID":"HvMxYjb8","properties":{"formattedCitation":"(Brodkin &amp; Majmundar, 2010; D. Moynihan et al., 2015)","plainCitation":"(Brodkin &amp; Majmundar, 2010; D. Moynihan et al., 2015)","dontUpdate":true,"noteIndex":0},"citationItems":[{"id":6115,"uris":["http://zotero.org/users/2595715/items/G49NWVFI"],"uri":["http://zotero.org/users/2595715/items/G49NWVFI"],"itemData":{"id":6115,"type":"article-journal","title":"Administrative Exclusion: Organizations and the Hidden Costs of Welfare Claiming","container-title":"Journal of Public Administration Research and Theory","page":"827-848","volume":"20","issue":"4","source":"academic.oup.com","abstract":"Organizations operate as the gateway to public benefits. They are formally authorized to adjudicate claims, in the process interpreting and applying eligibility rules. Beyond their designated role, they also operate as informal gatekeepers, developing modes of operation that affect the ease or difficulty of claiming. Operational practices—both formally prescribed and informally created—can add hidden costs to claiming to the extent that they are complicated, confusing, or cumbersome. Individuals implicitly recognize these costs when they complain of being “tied up in red tape” or given the “bureaucratic run around.” This inquiry examines whether these types of hidden organizational costs can have systematic effects, resulting in administrative exclusion—that is, nonparticipation attributable to organizational factors rather than claimant preferences or eligibility status.","DOI":"10.1093/jopart/mup046","ISSN":"1053-1858","shortTitle":"Administrative Exclusion","journalAbbreviation":"J Public Adm Res Theory","language":"en","author":[{"family":"Brodkin","given":"Evelyn Z."},{"family":"Majmundar","given":"Malay"}],"issued":{"date-parts":[["2010",10,1]]}}},{"id":94,"uris":["http://zotero.org/users/2595715/items/I3DDJ45T"],"uri":["http://zotero.org/users/2595715/items/I3DDJ45T"],"itemData":{"id":94,"type":"article-journal","title":"Administrative Burden: Learning, Psychological, and Compliance Costs in Citizen-State Interactions","container-title":"Journal of Public Administration Research and Theory","page":"43-69","volume":"25","issue":"1","source":"academic.oup.com","DOI":"10.1093/jopart/muu009","ISSN":"1053-1858","shortTitle":"Administrative Burden","journalAbbreviation":"J Public Adm Res Theory","author":[{"family":"Moynihan","given":"Donald"},{"family":"Herd","given":"Pamela"},{"family":"Harvey","given":"Hope"}],"issued":{"date-parts":[["2015",1,1]]}}}],"schema":"https://github.com/citation-style-language/schema/raw/master/csl-citation.json"}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(Brodkin &amp; Majmundar, 2010; Moynihan et al., 2015)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this way, the literature delves into a different transactional category than the traditional red tape literature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{"citationID":"oRJ3THv9","properties":{"formattedCitation":"(Kahn, Katz, and Gutek 1976)","plainCitation":"(Kahn, Katz, and Gutek 1976)","noteIndex":0},"citationItems":[{"id":6433,"uris":["http://zotero.org/users/2595715/items/VB5US68S"],"uri":["http://zotero.org/users/2595715/items/VB5US68S"],"itemData":{"id":6433,"type":"article-journal","title":"Bureaucratic Encounters— An Evaluation of Government Services                                                    ,                                                             Bureaucratic Encounters— An Evaluation of Government Services","container-title":"The Journal of Applied Behavioral Science","page":"178-198","volume":"12","issue":"2","source":"SAGE Journals","abstract":"The authors have evaluated government services in terms of bureaucratic encounters-the service-seeking transactions reported by 1,431 American adults. Reactions to such transactions are discussed as a joint product of the characteristics of the client and those of the agency. The implications of these client reactions for more general social and political questions are explored. Because so much of individual well-being depends upon serviceseeking transactions, the authors propose that their quality and satisfactoriness should be regarded as social indicators, and included among the measures of the quality of contemporary life., The authors have evaluated government services in terms of bureaucratic encounters-the service-seeking transactions reported by 1,431 American adults. Reactions to such transactions are discussed as a joint product of the characteristics of the client and those of the agency. The implications of these client reactions for more general social and political questions are explored. Because so much of individual well-being depends upon serviceseeking transactions, the authors propose that their quality and satisfactoriness should be regarded as social indicators, and included among the measures of the quality of contemporary life.","DOI":"10.1177/002188637601200203","ISSN":"0021-8863","journalAbbreviation":"The Journal of Applied Behavioral Science","language":"en","author":[{"family":"Kahn","given":"Robert L."},{"family":"Katz","given":"Daniel"},{"family":"Gutek","given":"Barbara"}],"issued":{"date-parts":[["1976",4,1]]}}}],"schema":"https://github.com/citation-style-language/schema/raw/master/csl-citation.json"}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(Kahn, Katz, and Gutek 1976)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which highlights the role of burdens in the form of rules, constraints, and impediments to the internal functioning of organizational activities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{"citationID":"N3NBAKLh","properties":{"formattedCitation":"(Bozeman, Scott, and Reed 1992; Feeney and Rainey 2010)","plainCitation":"(Bozeman, Scott, and Reed 1992; Feeney and Rainey 2010)","noteIndex":0},"citationItems":[{"id":6661,"uris":["http://zotero.org/users/2595715/items/H54D254X"],"uri":["http://zotero.org/users/2595715/items/H54D254X"],"itemData":{"id":6661,"type":"article-journal","title":"Red tape and task delays in public and private organizations","container-title":"Administration and Society","page":"290-322","volume":"24","issue":"3","source":"asu.pure.elsevier.com","DOI":"10.1177/009539979202400302","ISSN":"0095-3997","journalAbbreviation":"Administration &amp; Society, ADMINISTRATION AND SOCIETY","language":"English (US)","author":[{"family":"Bozeman","given":"Barry"},{"family":"Scott","given":"Patrick"},{"family":"Reed","given":"Pamela N."}],"issued":{"date-parts":[["1992"]]}}},{"id":385,"uris":["http://zotero.org/users/2595715/items/CMAQC4FQ"],"uri":["http://zotero.org/users/2595715/items/CMAQC4FQ"],"itemData":{"id":385,"type":"article-journal","title":"Personnel Flexibility and Red Tape in Public and Nonprofit Organizations: Distinctions Due to Institutional and Political Accountability","container-title":"Journal of Public Administration Research and Theory","page":"801-826","volume":"20","issue":"4","source":"academic.oup.com","DOI":"10.1093/jopart/mup027","ISSN":"1053-1858","shortTitle":"Personnel Flexibility and Red Tape in Public and Nonprofit Organizations","journalAbbreviation":"J Public Adm Res Theory","author":[{"family":"Feeney","given":"Mary K."},{"family":"Rainey","given":"Hal G."}],"issued":{"date-parts":[["2010",10,1]]}}}],"schema":"https://github.com/citation-style-language/schema/raw/master/csl-citation.json"}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(Bozeman, Scott, and Reed 1992; Feeney and Rainey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opposition to the red tape literature, administrative burden literature focuses on the impact of burdens on the extra-organizational interactions between bureaucrats and clients seeking access to public services. </w:t>
      </w:r>
    </w:p>
    <w:p w14:paraId="056A1C8D"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Administrative burden literature has highlighted the use of burden as a political tool with which policymakers and service providers can manipulate the compliance, psychological, and learning barriers that impede client access to public programs. To ration limited resources and exert social control, officials embed programs with barriers or administrative burdens that function to restrict client access to program benefits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{"citationID":"RCq7qVoA","properties":{"formattedCitation":"(Brodkin, 1997; C. J. Heinrich, 2016; Lipsky, 1984; Soss, Fording, &amp; Schram, 2011)","plainCitation":"(Brodkin, 1997; C. J. Heinrich, 2016; Lipsky, 1984; Soss, Fording, &amp; Schram, 2011)","dontUpdate":true,"noteIndex":0},"citationItems":[{"id":6455,"uris":["http://zotero.org/users/2595715/items/QB3H92LY"],"uri":["http://zotero.org/users/2595715/items/QB3H92LY"],"itemData":{"id":6455,"type":"article-journal","title":"Inside the Welfare Contract: Discretion and Accountability in State Welfare Administration","container-title":"Social Service Review","page":"1-33","volume":"71","issue":"1","source":"JSTOR","abstract":"This detailed case study of the Job Opportunities and Basic Skills (JOBS) program in Chicago highlights problems that arise when state agencies have discretion in administering a welfare contract built around work. The day-to-day operations observed in this study reveal the role bureaucratic discretion plays in giving specific meaning to the welfare contract. The study also identifies contextual factors that influence how state welfare agencies respond to their policy obligations at the street level. It illuminates the risks of welfare reforms that increase state administrative flexibility under conditions of limited resources and minimal accountability for performance.","ISSN":"0037-7961","shortTitle":"Inside the Welfare Contract","author":[{"family":"Brodkin","given":"Evelyn Z."}],"issued":{"date-parts":[["1997"]]}}},{"id":5871,"uris":["http://zotero.org/users/2595715/items/VQ82P4X9"],"uri":["http://zotero.org/users/2595715/items/VQ82P4X9"],"itemData":{"id":5871,"type":"article-journal","title":"The Bite of Administrative Burden: A Theoretical and Empirical Investigation","container-title":"Journal of Public Administration Research and Theory","page":"403-420","volume":"26","issue":"3","source":"academic.oup.com","abstract":"The study of administrative burden—experienced in individual encounters with government—is being renewed with new theoretical developments and policy applications. Building on recent developments, this article aims to broaden the conceptual framing of administrative burden and extend its empirical investigation beyond concerns about access to and efficiency of public services to questions of individual and societal impacts. It also expands beyond the typical US or developed country context to examine this phenomenon in the setting of a large social protection program in South Africa, where the “bite” of administrative burden may potentially be bigger. The empirical analysis uses data from the South African Child Support Grant (CSG) evaluation to investigate how CSG program rules and requirements affected administrative burdens and erected barriers to grant receipt. The findings show that 60% of CSG recipients experienced an interruption or disconnection in grant receipt that appears to be associated with administrative burden, with 80% of those stoppages in error. The resulting loss of monthly benefits has significant negative implications for the outcomes of adolescents targeted by the program.","DOI":"10.1093/jopart/muv034","ISSN":"1053-1858","shortTitle":"The Bite of Administrative Burden","journalAbbreviation":"J Public Adm Res Theory","author":[{"family":"Heinrich","given":"Carolyn J."}],"issued":{"date-parts":[["2016",7,1]]}}},{"id":6456,"uris":["http://zotero.org/users/2595715/items/3PEN9NKK"],"uri":["http://zotero.org/users/2595715/items/3PEN9NKK"],"itemData":{"id":6456,"type":"article-journal","title":"Bureaucratic Disentitlement in Social Welfare Programs","container-title":"Social Service Review","page":"3-27","volume":"58","issue":"1","source":"journals.uchicago.edu (Atypon)","abstract":"Bureaucratic disentitlement is a mode of fiscal and programmatic retrenchment that takes place through obscure and routine actions of public authorities, and through failures to take action, that result in distributive consequences. Drawing primarily upon observations of social welfare programs in Boston over the last five years, this study identifies eight mechanisms by which the relationship of social welfare policy beneficiaries to the state has become attenuated. It emphasizes not only cutbacks in benefits but also retrenchment in opportunities to influence social policy outcomes.","DOI":"10.1086/644161","ISSN":"0037-7961","journalAbbreviation":"Social Service Review","author":[{"family":"Lipsky","given":"Michael"}],"issued":{"date-parts":[["1984",3,1]]}}},{"id":4067,"uris":["http://zotero.org/users/2595715/items/ZTJMK335"],"uri":["http://zotero.org/users/2595715/items/ZTJMK335"],"itemData":{"id":4067,"type":"book","title":"Disciplining the Poor: Neoliberal Paternalism and the Persistent Power of Race","publisher":"University Of Chicago Press","publisher-place":"Chicago ; London","number-of-pages":"368","edition":"Chicago Studies in American Politics edition","source":"Amazon","event-place":"Chicago ; London","abstract":"Disciplining the Poor explains the transformation of poverty governance over the past forty years -- why it happened, how it works today, and how it affects people. In the process, it clarifies the central role of race in this transformation and develops a more precise account of how race shapes poverty governance in the post-civil rights era. Connecting welfare reform to other policy developments, the authors analyze diverse forms of data to explicate the racialized origins, operations, and consequences of a new mode of poverty governance that is simultaneously neoliberal -- grounded in market principles -- and paternalist -- focused on telling the poor what is best for them. The study traces the rolling out of this new regime from the federal level, to the state and county levels, down to the service-providing organizations and frontline case workers who take disciplinary actions in individual cases. The result is a compelling account of how a neoliberal paternalist regime of poverty governance is disciplining the poor today.","ISBN":"978-0-226-76877-9","shortTitle":"Disciplining the Poor","language":"English","author":[{"family":"Soss","given":"Joe"},{"family":"Fording","given":"Richard C."},{"family":"Schram","given":"Sanford F."}],"issued":{"date-parts":[["2011",11,30]]}}}],"schema":"https://github.com/citation-style-language/schema/raw/master/csl-citation.json"}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(Brodkin, 1997; Heinrich, 2016; Lipsky, 1984; Soss, Fording, &amp; Schram, 2011)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First, officials can exacerbate learning costs, or the challenges clients face in their efforts to learn about and understand fluctuating eligibility requirements that determine whether they will gain access to the program. Next, officials can manipulate the level of compliance costs, which refer to the documentation demands in the applications required to access public programs. Finally, officials utilize administrative burden to </w:t>
      </w:r>
      <w:r w:rsidRPr="005B2DFB">
        <w:rPr>
          <w:rFonts w:ascii="Times New Roman" w:hAnsi="Times New Roman" w:cs="Times New Roman"/>
          <w:sz w:val="24"/>
          <w:szCs w:val="24"/>
        </w:rPr>
        <w:lastRenderedPageBreak/>
        <w:t xml:space="preserve">induce psychological costs, including stigma, stress, and a loss of agency for clients attempting to access public programs. Together, these three components of administrative burden are wielded as strategic policy tools by public officials engaging in hidden politics to enact significant policy changes to programs without participation in the traditional democratic processes of political consideration, debate, and public transparency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{"citationID":"u4sNqC9E","properties":{"formattedCitation":"(D. P. Moynihan, Herd, &amp; Ribgy, 2016; Nisar, 2018)","plainCitation":"(D. P. Moynihan, Herd, &amp; Ribgy, 2016; Nisar, 2018)","dontUpdate":true,"noteIndex":0},"citationItems":[{"id":6142,"uris":["http://zotero.org/users/2595715/items/FRQKZ26L"],"uri":["http://zotero.org/users/2595715/items/FRQKZ26L"],"itemData":{"id":6142,"type":"article-journal","title":"Policymaking by Other Means: Do States Use Administrative Barriers to Limit Access to Medicaid?","container-title":"Administration &amp; Society","page":"497-524","volume":"48","issue":"4","source":"SAGE Journals","abstract":"While politicians wage legislative battles about welfare benefits, bureaucratic procedures represent a less visible means to shape access to those benefits. By constructing complex and time-consuming application procedures, the state can effectively create administrative barriers that limit access to benefits. What explains the variation in the level of administrative burden that individuals face? We address this question by examining Medicaid procedures across the 50 U.S. states, identifying different types of administrative barriers. We find that such barriers tend to be lower in states with unified Democratic control of political institutions.","DOI":"10.1177/0095399713503540","ISSN":"0095-3997","shortTitle":"Policymaking by Other Means","journalAbbreviation":"Administration &amp; Society","language":"en","author":[{"family":"Moynihan","given":"Donald P."},{"family":"Herd","given":"Pamela"},{"family":"Ribgy","given":"Elizabeth"}],"issued":{"date-parts":[["2016",5,1]]}}},{"id":6094,"uris":["http://zotero.org/users/2595715/items/WTQ7WYHX"],"uri":["http://zotero.org/users/2595715/items/WTQ7WYHX"],"itemData":{"id":6094,"type":"article-journal","title":"Overcoming resistance to resistance in public administration: Resistance strategies of marginalized publics in citizen-state interactions","container-title":"Public Administration and Development","page":"15-25","volume":"38","issue":"1","source":"Wiley Online Library","abstract":"There has been a general resistance to resistance studies in public administration (PA) research. Although previous research has documented instances of selective policy implementation by PA practitioners that put minority groups at a comparative disadvantage, we still have a limited understanding of the different ways in which these groups contest discriminatory administrative practices especially within non-western developing countries. To address this gap, in this article, I discuss the various strategic responses the Khawaja Sira—a genderqueer group of Pakistan—employ in their interactions with the frontline police workers to contest their hyper-surveillance and moral policing. The discussion illustrates that while Khawaja Sira mostly rely on individual acts of contestation in their interactions with police officers, the emerging leadership of the Khawaja Sira is enabling emergence of new forms of resistance based on social capital and collective protests. In addition to contributing to the limited literature on citizen perspectives and LGBT issues in PA research, the theoretical framework of resistance presented here can serve as a good template to analyze citizen responses to discriminatory frontline practice in other sociopolitical contexts as well.","DOI":"10.1002/pad.1817","ISSN":"1099-162X","shortTitle":"Overcoming resistance to resistance in public administration","journalAbbreviation":"Public Admin Dev","language":"en","author":[{"family":"Nisar","given":"Muhammad Azfar"}],"issued":{"date-parts":[["2018",2,1]]}}}],"schema":"https://github.com/citation-style-language/schema/raw/master/csl-citation.json"}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(Moynihan, Herd, &amp; Ribgy, 2016)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is a particularly effective political tool because elected officials can avoid making high-profile, controversial decisions that may threaten their chances of re-election, such as funding cuts or program elimination, and instead utilize administrative burden to restrict access to programs not aligned with their political priorities (Lipsky 1984; Moynihan et al. 2015). Therefore, administrative burden is a powerful policy tool with which officials can manipulate democratic outcomes through the enactment of policy changes that induce learning, compliance, and psychological costs in client-state interactions. </w:t>
      </w:r>
    </w:p>
    <w:p w14:paraId="52D5F2B0"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enactment and implementation of administrative burden has consequences for a variety of democratic outcomes, including: 1) civic engagement and efficacy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{"citationID":"azSWtPz5","properties":{"formattedCitation":"(Bruch, Ferree, and Soss 2010; Soss 1999)","plainCitation":"(Bruch, Ferree, and Soss 2010; Soss 1999)","noteIndex":0},"citationItems":[{"id":3711,"uris":["http://zotero.org/users/2595715/items/7DN9VUL5"],"uri":["http://zotero.org/users/2595715/items/7DN9VUL5"],"itemData":{"id":3711,"type":"article-journal","title":"From Policy to Polity: Democracy, Paternalism, and the Incorporation of Disadvantaged Citizens","container-title":"American Sociological Review","page":"205-226","volume":"75","issue":"2","source":"SAGE Journals","abstract":"This article investigates how experiences with public policies affect levels of civic and political engagement among the poor. Studies of “policy feedback” investigate policies not just as political outcomes, but also as factors that set political forces in motion and shape political agency. To advance this literature, we take up three outstanding questions related to selection bias, the distinction between universal and targeted programs, and the types of authority relations most likely to foster engagement among the poor. Using a longitudinal dataset from the Fragile Families and Child Wellbeing Study, which follows a cohort of low-income parents and their newborn children in 20 U.S. cities, we estimate effects associated with three types of means-tested public assistance. We find that these policies’ effects are not an illusion created by selection bias; the effects of targeted programs can both promote and discourage engagement; and such effects tend to be more positive when a policy’s authority structure reflects democratic rather than paternalist principles.","DOI":"10.1177/0003122410363563","ISSN":"0003-1224","shortTitle":"From Policy to Polity","journalAbbreviation":"American Sociological Review","language":"en","author":[{"family":"Bruch","given":"Sarah K."},{"family":"Ferree","given":"Myra Marx"},{"family":"Soss","given":"Joe"}],"issued":{"date-parts":[["2010",4,1]]}}},{"id":69,"uris":["http://zotero.org/users/2595715/items/MBSFHS38"],"uri":["http://zotero.org/users/2595715/items/MBSFHS38"],"itemData":{"id":69,"type":"webpage","title":"Lessons of Welfare: Policy Design, Political Learning, and Political Action","container-title":"American Political Science Review","abstract":"&lt;div class=\"title\"&gt;Lessons of Welfare: Policy Design, Political Learning, and Political Action&lt;/div&gt; - Volume 93 Issue 2 - Joe Soss","URL":"/core/journals/american-political-science-review/article/lessons-of-welfare-policy-design-political-learning-and-political-action/1BFEE6A53F8E201A9E836613AEF405AB","note":"DOI: 10.2307/2585401","shortTitle":"Lessons of Welfare","author":[{"family":"Soss","given":"Joe"}],"issued":{"date-parts":[["1999",6]]},"accessed":{"date-parts":[["2017",6,25]]}}}],"schema":"https://github.com/citation-style-language/schema/raw/master/csl-citation.json"}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(Bruch, Ferree, and Soss 2010; Soss 1999)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2) access to public programs and policy effectiveness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{"citationID":"SzCHQHKi","properties":{"formattedCitation":"(C. J. Heinrich &amp; Brill, 2015; Herd et al., 2013)","plainCitation":"(C. J. Heinrich &amp; Brill, 2015; Herd et al., 2013)","dontUpdate":true,"noteIndex":0},"citationItems":[{"id":5872,"uris":["http://zotero.org/users/2595715/items/6BF5TUMA"],"uri":["http://zotero.org/users/2595715/items/6BF5TUMA"],"itemData":{"id":5872,"type":"article-journal","title":"Stopped in the Name of the Law: Administrative Burden and its Implications for Cash Transfer Program Effectiveness","container-title":"World Development","page":"277-295","volume":"72","issue":"Supplement C","source":"ScienceDirect","abstract":"Summary\nCash transfer programs have achieved wide-ranging success in reducing poverty, yet there is little empirical research on how program rules and administrative capacity might limit program effectiveness. We examine administrative burden and quantify its implications for grant access and impacts in the South African Child Support Grant (CSG) program, as the age of eligibility and application requirements changed over time. We find that approximately 60% of the sampled children experienced an interruption or disconnection in cash transfer receipt, and that both timing and “dosage” loss are associated with adolescent engagement in risky behaviors, and for females, lower educational attainment.","DOI":"10.1016/j.worlddev.2015.03.015","ISSN":"0305-750X","shortTitle":"Stopped in the Name of the Law","journalAbbreviation":"World Development","author":[{"family":"Heinrich","given":"Carolyn J."},{"family":"Brill","given":"Robert"}],"issued":{"date-parts":[["2015",8,1]]}}},{"id":5874,"uris":["http://zotero.org/users/2595715/items/H7HIDDWN"],"uri":["http://zotero.org/users/2595715/items/H7HIDDWN"],"itemData":{"id":5874,"type":"article-journal","title":"Shifting Administrative Burden to the State: The Case of Medicaid Take-Up","container-title":"Public Administration Review","page":"S69-S81","volume":"73","issue":"s1","source":"Wiley Online Library","abstract":"Administrative burden is an individual's experience of policy implementation as onerous. Such burdens may be created because of a desire to limit payments to ineligible claimants, but they also serve to limit take-up of benefits by eligible claimants. For citizens, this burden may occur through learning about a program; complying with rules and discretionary bureaucratic behavior to participate; and the psychological costs of participating in an unpopular program. Using a mixed-method approach, the authors explain process changes that reduced individual burden and demonstrate how this resulted in increased take-up in Medicaid in the state of Wisconsin. The findings inform the planned expansion of Medicaid under the Patient Protection and Affordable Care Act. A key design principle for Medicaid and other means-tested programs is that it is possible to increase program take-up while maintaining program integrity by shifting administrative burdens from the citizen to the state.","DOI":"10.1111/puar.12114","ISSN":"1540-6210","shortTitle":"Shifting Administrative Burden to the State","journalAbbreviation":"Public Admin Rev","language":"en","author":[{"family":"Herd","given":"Pamela"},{"family":"DeLeire","given":"Thomas"},{"family":"Harvey","given":"Hope"},{"family":"Moynihan","given":"Donald P."}],"issued":{"date-parts":[["2013",9,1]]}}}],"schema":"https://github.com/citation-style-language/schema/raw/master/csl-citation.json"}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(Heinrich &amp; Brill, 2015; Herd et al., 2013)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and 3) social equity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{"citationID":"FqWnMfd5","properties":{"formattedCitation":"(Jilke, van Dooren, and Rys 2018; M. Nisar 2017)","plainCitation":"(Jilke, van Dooren, and Rys 2018; M. Nisar 2017)","dontUpdate":true,"noteIndex":0},"citationItems":[{"id":6100,"uris":["http://zotero.org/users/2595715/items/S27F4CC5"],"uri":["http://zotero.org/users/2595715/items/S27F4CC5"],"itemData":{"id":6100,"type":"article-journal","title":"Discrimination and Administrative Burden in Public Service Markets: Does a Public-Private Difference Exist?","container-title":"Journal of Public Administration Research and Theory","source":"papers.ssrn.com","abstract":"Public services are often provided in markets where both public and private providers operate. Irrespective of ownership status, public services ought to be accessible regardless of clients’ race, gender, ethnicity, or age. However, as theories of statistical discrimination and cream skimming suggest, market-based incentives may lead service providers to focus on non-minority clients because they perceive them as easier-to-serve and therefore less costly. This may lead to discrimination and hence jeopardizes equal access. In this study, we ask whether private, for-profit providers are more likely to discriminate on ethnic grounds compared to publicly owned providers. We implement a field experiment within the Flemish elderly care market by sending out email requests with either a Flemish or a Maghrebian name to all public and privately owned nursing homes. For overall response rates, no statistically significant differences between senders were found. However, we do find that privately owned facilities are about 20 percentage points less likely to provide information on how to enroll when the request is send from a Maghrebian name alias, and blinded coders perceive the information sent to the Maghrebian alias as less comprehensive. In publicly owned facilities, no such differences exist. We conclude that a public-private difference does exist, but that the mechanism of discrimination is subtler than expected. Rather than directly refusing to respond, nursing homes increase administrative burdens and learning costs for minority applicants.","URL":"https://papers.ssrn.com/abstract=3107998","shortTitle":"Discrimination and Administrative Burden in Public Service Markets","language":"en","author":[{"family":"Jilke","given":"Sebastian"},{"family":"Dooren","given":"Wouter","non-dropping-particle":"van"},{"family":"Rys","given":"Sabine"}],"issued":{"date-parts":[["2018"]]},"accessed":{"date-parts":[["2018",3,10]]}}},{"id":6088,"uris":["http://zotero.org/users/2595715/items/XQ4TJ3XI"],"uri":["http://zotero.org/users/2595715/items/XQ4TJ3XI"],"itemData":{"id":6088,"type":"article-journal","title":"Children of a Lesser God: Administrative Burden and Social Equity in Citizen–State Interactions","container-title":"Journal of Public Administration Research and Theory","page":"104-119","volume":"28","issue":"1","source":"academic.oup.com","abstract":"An important research agenda in public administration is to investigate how formal and realized public policy influences the lives of marginalized social groups. Recently, reinvigorated research on administrative burden can make useful contributions to this line of inquiry. Using ethnographic research methods, this article analyzes administrative burden experienced by the Khawaja Sira—individuals culturally defined as neither men nor women—of Pakistan in getting a legal ID. In doing so, this article contributes to a better understanding of the role played by third parties, administrative behavior and social factors play in influencing the level of administrative burden and social inequity for genderqueer groups.","DOI":"10.1093/jopart/mux025","ISSN":"1053-1858","shortTitle":"Children of a Lesser God","journalAbbreviation":"J Public Adm Res Theory","language":"en","author":[{"family":"Nisar","given":"Muhammad"}],"issued":{"date-parts":[["2017",12,13]]}}}],"schema":"https://github.com/citation-style-language/schema/raw/master/csl-citation.json"}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(Jilke, van Dooren, and Rys 2018; Nisar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First, administrative burdens can influence whether clients view government as a source of empowerment or disempowerment. In turn, administrative burdens shape perceived political efficacy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{"citationID":"M3bPe30F","properties":{"formattedCitation":"(Soss 1999)","plainCitation":"(Soss 1999)","noteIndex":0},"citationItems":[{"id":69,"uris":["http://zotero.org/users/2595715/items/MBSFHS38"],"uri":["http://zotero.org/users/2595715/items/MBSFHS38"],"itemData":{"id":69,"type":"webpage","title":"Lessons of Welfare: Policy Design, Political Learning, and Political Action","container-title":"American Political Science Review","abstract":"&lt;div class=\"title\"&gt;Lessons of Welfare: Policy Design, Political Learning, and Political Action&lt;/div&gt; - Volume 93 Issue 2 - Joe Soss","URL":"/core/journals/american-political-science-review/article/lessons-of-welfare-policy-design-political-learning-and-political-action/1BFEE6A53F8E201A9E836613AEF405AB","note":"DOI: 10.2307/2585401","shortTitle":"Lessons of Welfare","author":[{"family":"Soss","given":"Joe"}],"issued":{"date-parts":[["1999",6]]},"accessed":{"date-parts":[["2017",6,25]]}}}],"schema":"https://github.com/citation-style-language/schema/raw/master/csl-citation.json"}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(Soss 1999)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as well as the likelihood that clients will take the essential step in any healthy democracy to engage in political and civic actions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{"citationID":"rUklyexy","properties":{"formattedCitation":"(Bruch, Ferree, and Soss 2010)","plainCitation":"(Bruch, Ferree, and Soss 2010)","noteIndex":0},"citationItems":[{"id":3711,"uris":["http://zotero.org/users/2595715/items/7DN9VUL5"],"uri":["http://zotero.org/users/2595715/items/7DN9VUL5"],"itemData":{"id":3711,"type":"article-journal","title":"From Policy to Polity: Democracy, Paternalism, and the Incorporation of Disadvantaged Citizens","container-title":"American Sociological Review","page":"205-226","volume":"75","issue":"2","source":"SAGE Journals","abstract":"This article investigates how experiences with public policies affect levels of civic and political engagement among the poor. Studies of “policy feedback” investigate policies not just as political outcomes, but also as factors that set political forces in motion and shape political agency. To advance this literature, we take up three outstanding questions related to selection bias, the distinction between universal and targeted programs, and the types of authority relations most likely to foster engagement among the poor. Using a longitudinal dataset from the Fragile Families and Child Wellbeing Study, which follows a cohort of low-income parents and their newborn children in 20 U.S. cities, we estimate effects associated with three types of means-tested public assistance. We find that these policies’ effects are not an illusion created by selection bias; the effects of targeted programs can both promote and discourage engagement; and such effects tend to be more positive when a policy’s authority structure reflects democratic rather than paternalist principles.","DOI":"10.1177/0003122410363563","ISSN":"0003-1224","shortTitle":"From Policy to Polity","journalAbbreviation":"American Sociological Review","language":"en","author":[{"family":"Bruch","given":"Sarah K."},{"family":"Ferree","given":"Myra Marx"},{"family":"Soss","given":"Joe"}],"issued":{"date-parts":[["2010",4,1]]}}}],"schema":"https://github.com/citation-style-language/schema/raw/master/csl-citation.json"}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(Bruch, Ferree, and Soss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fact, administrative burden may shape not only the perceived efficacy of political action but also the perceived fairness and effectiveness of government as a whole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{"citationID":"swfokCe9","properties":{"formattedCitation":"(C. Heinrich, 2018)","plainCitation":"(C. Heinrich, 2018)","dontUpdate":true,"noteIndex":0},"citationItems":[{"id":6120,"uris":["http://zotero.org/users/2595715/items/R44U64M5"],"uri":["http://zotero.org/users/2595715/items/R44U64M5"],"itemData":{"id":6120,"type":"article-journal","title":"\"A Thousand Petty Fortresses”: Administrative Burden in U.S. Immigration Policies and Its Consequences","container-title":"Journal of Policy Analysis and Management","volume":"0","issue":"0","source":"onlinelibrary.wiley.com (Atypon)","abstract":"Abstract Contradictory elements in U.S. immigration policy, reflecting a long?time struggle between inclusionary and exclusionary views, have resulted in federal legislation filled with compromises and tradeoffs that, at state and sub?state levels, play out in unclear interpretations and uneven, highly discretionary administration and enforcement of immigration law and policy. This research describes a tool of discretionary administration?administrative burden?that is increasingly used in enforcing immigration law and policies at state and sub?state levels and presents a theoretical frame for more fully investigating and addressing its consequences. The application and implications of administrative burden are explored empirically and qualitatively in a case study analysis of an enforcement?oriented policy change in Texas that denied access to birth certificates for some citizen?children born to Mexican immigrants. To better understand the potential consequences of this and related policies, interviews with immigrant parents and longitudinal data from a survey of children of immigrants are analyzed to assess both short?term and later outcomes of children who are denied economic assistance and other benefits under policies that impose barriers to their integration into society. The study findings point to serious, adverse consequences for citizen children of state and sub?state immigration policies that create administrative burden and perpetuate racial discrimination, while simultaneously diminishing the transparency, fairness, and effectiveness of public administration.","URL":"https://onlinelibrary.wiley.com/doi/abs/10.1002/pam.22046","DOI":"10.1002/pam.22046","ISSN":"0276-8739","shortTitle":"Presidential Address","journalAbbreviation":"Journal of Policy Analysis and Management","author":[{"family":"Heinrich","given":"Carolyn"}],"issued":{"date-parts":[["2018",1,26]]},"accessed":{"date-parts":[["2018",3,29]]}}}],"schema":"https://github.com/citation-style-language/schema/raw/master/csl-citation.json"}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(Heinrich,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w:t>
      </w:r>
    </w:p>
    <w:p w14:paraId="74CC1CE1"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In addition, administrative burden literature has also documented the detrimental impacts of administrative burden on access to public programs and the effectiveness of policies aimed at alleviating suffering and improving client well-being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{"citationID":"H4THgSFr","properties":{"formattedCitation":"(Cherlin, Bogen, Quane, &amp; Burton, 2002; C. Heinrich, 2018; C. J. Heinrich, 2016; Herd et al., 2013; Shore-Sheppard, 2008; Wallace, 2002)","plainCitation":"(Cherlin, Bogen, Quane, &amp; Burton, 2002; C. Heinrich, 2018; C. J. Heinrich, 2016; Herd et al., 2013; Shore-Sheppard, 2008; Wallace, 2002)","dontUpdate":true,"noteIndex":0},"citationItems":[{"id":6126,"uris":["http://zotero.org/users/2595715/items/U7Y8P7SF"],"uri":["http://zotero.org/users/2595715/items/U7Y8P7SF"],"itemData":{"id":6126,"type":"article-journal","title":"Operating within the Rules: Welfare Recipients' Experiences with Sanctions and Case Closings","container-title":"Social Service Review","page":"387-405","volume":"76","issue":"3","source":"journals.uchicago.edu (Atypon)","abstract":"This article examines the experiences of Temporary Assistance for Needy Families recipients with sanctions and administrative case closings, as reported by respondents in a survey of families in low‐income neighborhoods in Boston, Chicago, and San Antonio. Among those who said that their welfare benefits had been reduced or eliminated for noncompliance with the rules, the most common reasons provided were missing an appointment or not filing paperwork. In comparison with other families that had received welfare in the previous 2 years, families that were penalized were more disadvantaged in a number of respects, including lower education and poorer health.","DOI":"10.1086/341181","ISSN":"0037-7961","shortTitle":"Operating within the Rules","journalAbbreviation":"Social Service Review","author":[{"family":"Cherlin","given":"Andrew J."},{"family":"Bogen","given":"Karen"},{"family":"Quane","given":"James M."},{"family":"Burton","given":"Linda"}],"issued":{"date-parts":[["2002",9,1]]}}},{"id":6120,"uris":["http://zotero.org/users/2595715/items/R44U64M5"],"uri":["http://zotero.org/users/2595715/items/R44U64M5"],"itemData":{"id":6120,"type":"article-journal","title":"\"A Thousand Petty Fortresses”: Administrative Burden in U.S. Immigration Policies and Its Consequences","container-title":"Journal of Policy Analysis and Management","volume":"0","issue":"0","source":"onlinelibrary.wiley.com (Atypon)","abstract":"Abstract Contradictory elements in U.S. immigration policy, reflecting a long?time struggle between inclusionary and exclusionary views, have resulted in federal legislation filled with compromises and tradeoffs that, at state and sub?state levels, play out in unclear interpretations and uneven, highly discretionary administration and enforcement of immigration law and policy. This research describes a tool of discretionary administration?administrative burden?that is increasingly used in enforcing immigration law and policies at state and sub?state levels and presents a theoretical frame for more fully investigating and addressing its consequences. The application and implications of administrative burden are explored empirically and qualitatively in a case study analysis of an enforcement?oriented policy change in Texas that denied access to birth certificates for some citizen?children born to Mexican immigrants. To better understand the potential consequences of this and related policies, interviews with immigrant parents and longitudinal data from a survey of children of immigrants are analyzed to assess both short?term and later outcomes of children who are denied economic assistance and other benefits under policies that impose barriers to their integration into society. The study findings point to serious, adverse consequences for citizen children of state and sub?state immigration policies that create administrative burden and perpetuate racial discrimination, while simultaneously diminishing the transparency, fairness, and effectiveness of public administration.","URL":"https://onlinelibrary.wiley.com/doi/abs/10.1002/pam.22046","DOI":"10.1002/pam.22046","ISSN":"0276-8739","shortTitle":"Presidential Address","journalAbbreviation":"Journal of Policy Analysis and Management","author":[{"family":"Heinrich","given":"Carolyn"}],"issued":{"date-parts":[["2018",1,26]]},"accessed":{"date-parts":[["2018",3,29]]}}},{"id":5871,"uris":["http://zotero.org/users/2595715/items/VQ82P4X9"],"uri":["http://zotero.org/users/2595715/items/VQ82P4X9"],"itemData":{"id":5871,"type":"article-journal","title":"The Bite of Administrative Burden: A Theoretical and Empirical Investigation","container-title":"Journal of Public Administration Research and Theory","page":"403-420","volume":"26","issue":"3","source":"academic.oup.com","abstract":"The study of administrative burden—experienced in individual encounters with government—is being renewed with new theoretical developments and policy applications. Building on recent developments, this article aims to broaden the conceptual framing of administrative burden and extend its empirical investigation beyond concerns about access to and efficiency of public services to questions of individual and societal impacts. It also expands beyond the typical US or developed country context to examine this phenomenon in the setting of a large social protection program in South Africa, where the “bite” of administrative burden may potentially be bigger. The empirical analysis uses data from the South African Child Support Grant (CSG) evaluation to investigate how CSG program rules and requirements affected administrative burdens and erected barriers to grant receipt. The findings show that 60% of CSG recipients experienced an interruption or disconnection in grant receipt that appears to be associated with administrative burden, with 80% of those stoppages in error. The resulting loss of monthly benefits has significant negative implications for the outcomes of adolescents targeted by the program.","DOI":"10.1093/jopart/muv034","ISSN":"1053-1858","shortTitle":"The Bite of Administrative Burden","journalAbbreviation":"J Public Adm Res Theory","author":[{"family":"Heinrich","given":"Carolyn J."}],"issued":{"date-parts":[["2016",7,1]]}}},{"id":5874,"uris":["http://zotero.org/users/2595715/items/H7HIDDWN"],"uri":["http://zotero.org/users/2595715/items/H7HIDDWN"],"itemData":{"id":5874,"type":"article-journal","title":"Shifting Administrative Burden to the State: The Case of Medicaid Take-Up","container-title":"Public Administration Review","page":"S69-S81","volume":"73","issue":"s1","source":"Wiley Online Library","abstract":"Administrative burden is an individual's experience of policy implementation as onerous. Such burdens may be created because of a desire to limit payments to ineligible claimants, but they also serve to limit take-up of benefits by eligible claimants. For citizens, this burden may occur through learning about a program; complying with rules and discretionary bureaucratic behavior to participate; and the psychological costs of participating in an unpopular program. Using a mixed-method approach, the authors explain process changes that reduced individual burden and demonstrate how this resulted in increased take-up in Medicaid in the state of Wisconsin. The findings inform the planned expansion of Medicaid under the Patient Protection and Affordable Care Act. A key design principle for Medicaid and other means-tested programs is that it is possible to increase program take-up while maintaining program integrity by shifting administrative burdens from the citizen to the state.","DOI":"10.1111/puar.12114","ISSN":"1540-6210","shortTitle":"Shifting Administrative Burden to the State","journalAbbreviation":"Public Admin Rev","language":"en","author":[{"family":"Herd","given":"Pamela"},{"family":"DeLeire","given":"Thomas"},{"family":"Harvey","given":"Hope"},{"family":"Moynihan","given":"Donald P."}],"issued":{"date-parts":[["2013",9,1]]}}},{"id":6130,"uris":["http://zotero.org/users/2595715/items/IDFW3CL2"],"uri":["http://zotero.org/users/2595715/items/IDFW3CL2"],"itemData":{"id":6130,"type":"article-journal","title":"Stemming the Tide? The Effect of Expanding Medicaid Eligibility On Health Insurance Coverage","container-title":"The B.E. Journal of Economic Analysis &amp; Policy","volume":"8","issue":"2","source":"CrossRef","abstract":"Despite considerable research, there is little consensus about the impact of Medicaid eligibility expansions for low-income children. In this paper, I reexamine the expansions’ impact on Medicaid take-up and private insurance “crowd-out” by investigating a number of critiques leveled at the seminal work of Cutler and Gruber (1996) and extending the analysis to include further expansions of Medicaid. I ﬁnd that accounting for most critiques of Cutler and Gruber does not substantively affect their estimates of sizable take-up and crowd-out. However, controlling for agespeciﬁc time trends does substantially reduce the estimated take-up and crowd-out and recovers results close to those found elsewhere in the literature. I also ﬁnd that later expansions generated much lower rates of take-up and crowding out.","URL":"https://www.degruyter.com/view/j/bejeap.2008.8.2/bejeap.2008.8.2.2022/bejeap.2008.8.2.2022.xml","DOI":"10.2202/1935-1682.2022","ISSN":"1935-1682","shortTitle":"Stemming the Tide?","language":"en","author":[{"family":"Shore-Sheppard","given":"Lara D."}],"issued":{"date-parts":[["2008",1,19]]},"accessed":{"date-parts":[["2018",3,29]]}}},{"id":6132,"uris":["http://zotero.org/users/2595715/items/UXBNKLNN"],"uri":["http://zotero.org/users/2595715/items/UXBNKLNN"],"itemData":{"id":6132,"type":"report","title":"Work Support Centers: A Framework","publisher":"MDRC","genre":"Text","abstract":"In the years following welfare reform, unprecedented numbers of low-income parents moved into the workforce, though many into low-wage jobs that do not pay enough to lift their families out of poverty. Federal and state governments and public agencies have responded to the needs of low-income working families by developing job retention and advancement services, and by expanding “work support” programs such as the Earned Income Tax Credit, food stamps, and subsidized health care.","URL":"https://www.mdrc.org/publication/work-support-centers-framework","shortTitle":"Work Support Centers","language":"en","author":[{"family":"Wallace","given":"John"}],"issued":{"date-parts":[["2002"]]},"accessed":{"date-parts":[["2018",3,29]]}}}],"schema":"https://github.com/citation-style-language/schema/raw/master/csl-citation.json"}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(Cherlin, Bogen, Quane, &amp; Burton, 2002; Heinrich, 2018; Heinrich, 2016; Herd et al., 2013; Shore-Sheppard, 2008; Wallace, 2002)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instance, enhanced levels of administrative burden have been linked to limited participation in social programs such as workforce training, Medicaid, and Temporary Assistance for Needy Families (TANF)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{"citationID":"Bb2s8glV","properties":{"formattedCitation":"(Cherlin et al. 2002; Shore-Sheppard 2008; Wallace 2002)","plainCitation":"(Cherlin et al. 2002; Shore-Sheppard 2008; Wallace 2002)","noteIndex":0},"citationItems":[{"id":6126,"uris":["http://zotero.org/users/2595715/items/U7Y8P7SF"],"uri":["http://zotero.org/users/2595715/items/U7Y8P7SF"],"itemData":{"id":6126,"type":"article-journal","title":"Operating within the Rules: Welfare Recipients' Experiences with Sanctions and Case Closings","container-title":"Social Service Review","page":"387-405","volume":"76","issue":"3","source":"journals.uchicago.edu (Atypon)","abstract":"This article examines the experiences of Temporary Assistance for Needy Families recipients with sanctions and administrative case closings, as reported by respondents in a survey of families in low‐income neighborhoods in Boston, Chicago, and San Antonio. Among those who said that their welfare benefits had been reduced or eliminated for noncompliance with the rules, the most common reasons provided were missing an appointment or not filing paperwork. In comparison with other families that had received welfare in the previous 2 years, families that were penalized were more disadvantaged in a number of respects, including lower education and poorer health.","DOI":"10.1086/341181","ISSN":"0037-7961","shortTitle":"Operating within the Rules","journalAbbreviation":"Social Service Review","author":[{"family":"Cherlin","given":"Andrew J."},{"family":"Bogen","given":"Karen"},{"family":"Quane","given":"James M."},{"family":"Burton","given":"Linda"}],"issued":{"date-parts":[["2002",9,1]]}}},{"id":6130,"uris":["http://zotero.org/users/2595715/items/IDFW3CL2"],"uri":["http://zotero.org/users/2595715/items/IDFW3CL2"],"itemData":{"id":6130,"type":"article-journal","title":"Stemming the Tide? The Effect of Expanding Medicaid Eligibility On Health Insurance Coverage","container-title":"The B.E. Journal of Economic Analysis &amp; Policy","volume":"8","issue":"2","source":"CrossRef","abstract":"Despite considerable research, there is little consensus about the impact of Medicaid eligibility expansions for low-income children. In this paper, I reexamine the expansions’ impact on Medicaid take-up and private insurance “crowd-out” by investigating a number of critiques leveled at the seminal work of Cutler and Gruber (1996) and extending the analysis to include further expansions of Medicaid. I ﬁnd that accounting for most critiques of Cutler and Gruber does not substantively affect their estimates of sizable take-up and crowd-out. However, controlling for agespeciﬁc time trends does substantially reduce the estimated take-up and crowd-out and recovers results close to those found elsewhere in the literature. I also ﬁnd that later expansions generated much lower rates of take-up and crowding out.","URL":"https://www.degruyter.com/view/j/bejeap.2008.8.2/bejeap.2008.8.2.2022/bejeap.2008.8.2.2022.xml","DOI":"10.2202/1935-1682.2022","ISSN":"1935-1682","shortTitle":"Stemming the Tide?","language":"en","author":[{"family":"Shore-Sheppard","given":"Lara D."}],"issued":{"date-parts":[["2008",1,19]]},"accessed":{"date-parts":[["2018",3,29]]}}},{"id":6132,"uris":["http://zotero.org/users/2595715/items/UXBNKLNN"],"uri":["http://zotero.org/users/2595715/items/UXBNKLNN"],"itemData":{"id":6132,"type":"report","title":"Work Support Centers: A Framework","publisher":"MDRC","genre":"Text","abstract":"In the years following welfare reform, unprecedented numbers of low-income parents moved into the workforce, though many into low-wage jobs that do not pay enough to lift their families out of poverty. Federal and state governments and public agencies have responded to the needs of low-income working families by developing job retention and advancement services, and by expanding “work support” programs such as the Earned Income Tax Credit, food stamps, and subsidized health care.","URL":"https://www.mdrc.org/publication/work-support-centers-framework","shortTitle":"Work Support Centers","language":"en","author":[{"family":"Wallace","given":"John"}],"issued":{"date-parts":[["2002"]]},"accessed":{"date-parts":[["2018",3,29]]}}}],"schema":"https://github.com/citation-style-language/schema/raw/master/csl-citation.json"}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(Cherlin et al. 2002; Shore-Sheppard 2008; Wallace 2002)</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Increased administrative burden and restricted access to public programs has serious consequences for those that rely on public assistance programs for their livelihood. For example, in the context of the South African cash transfer program, the loss of benefits due to additional programmatic burdens resulted in children engaging in higher levels of risky behavior and experiencing lower levels of educational attainment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{"citationID":"4lJ2v8QV","properties":{"formattedCitation":"(C. J. Heinrich, 2016)","plainCitation":"(C. J. Heinrich, 2016)","dontUpdate":true,"noteIndex":0},"citationItems":[{"id":5871,"uris":["http://zotero.org/users/2595715/items/VQ82P4X9"],"uri":["http://zotero.org/users/2595715/items/VQ82P4X9"],"itemData":{"id":5871,"type":"article-journal","title":"The Bite of Administrative Burden: A Theoretical and Empirical Investigation","container-title":"Journal of Public Administration Research and Theory","page":"403-420","volume":"26","issue":"3","source":"academic.oup.com","abstract":"The study of administrative burden—experienced in individual encounters with government—is being renewed with new theoretical developments and policy applications. Building on recent developments, this article aims to broaden the conceptual framing of administrative burden and extend its empirical investigation beyond concerns about access to and efficiency of public services to questions of individual and societal impacts. It also expands beyond the typical US or developed country context to examine this phenomenon in the setting of a large social protection program in South Africa, where the “bite” of administrative burden may potentially be bigger. The empirical analysis uses data from the South African Child Support Grant (CSG) evaluation to investigate how CSG program rules and requirements affected administrative burdens and erected barriers to grant receipt. The findings show that 60% of CSG recipients experienced an interruption or disconnection in grant receipt that appears to be associated with administrative burden, with 80% of those stoppages in error. The resulting loss of monthly benefits has significant negative implications for the outcomes of adolescents targeted by the program.","DOI":"10.1093/jopart/muv034","ISSN":"1053-1858","shortTitle":"The Bite of Administrative Burden","journalAbbreviation":"J Public Adm Res Theory","author":[{"family":"Heinrich","given":"Carolyn J."}],"issued":{"date-parts":[["2016",7,1]]}}}],"schema":"https://github.com/citation-style-language/schema/raw/master/csl-citation.json"}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(Heinrich, 2016)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On the other hand, in the context of Medicaid, scholars have revealed that when burdens are reduced, program enrollment increases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{"citationID":"MhvOCiQe","properties":{"formattedCitation":"(Herd et al. 2013)","plainCitation":"(Herd et al. 2013)","noteIndex":0},"citationItems":[{"id":5874,"uris":["http://zotero.org/users/2595715/items/H7HIDDWN"],"uri":["http://zotero.org/users/2595715/items/H7HIDDWN"],"itemData":{"id":5874,"type":"article-journal","title":"Shifting Administrative Burden to the State: The Case of Medicaid Take-Up","container-title":"Public Administration Review","page":"S69-S81","volume":"73","issue":"s1","source":"Wiley Online Library","abstract":"Administrative burden is an individual's experience of policy implementation as onerous. Such burdens may be created because of a desire to limit payments to ineligible claimants, but they also serve to limit take-up of benefits by eligible claimants. For citizens, this burden may occur through learning about a program; complying with rules and discretionary bureaucratic behavior to participate; and the psychological costs of participating in an unpopular program. Using a mixed-method approach, the authors explain process changes that reduced individual burden and demonstrate how this resulted in increased take-up in Medicaid in the state of Wisconsin. The findings inform the planned expansion of Medicaid under the Patient Protection and Affordable Care Act. A key design principle for Medicaid and other means-tested programs is that it is possible to increase program take-up while maintaining program integrity by shifting administrative burdens from the citizen to the state.","DOI":"10.1111/puar.12114","ISSN":"1540-6210","shortTitle":"Shifting Administrative Burden to the State","journalAbbreviation":"Public Admin Rev","language":"en","author":[{"family":"Herd","given":"Pamela"},{"family":"DeLeire","given":"Thomas"},{"family":"Harvey","given":"Hope"},{"family":"Moynihan","given":"Donald P."}],"issued":{"date-parts":[["2013",9,1]]}}}],"schema":"https://github.com/citation-style-language/schema/raw/master/csl-citation.json"}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(Herd et al. 2013)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Together, these studies suggest that increased administrative burdens negatively impact access to essential social programs for clients, call attention to the potential for administrative burden to degrade program impacts for clients, and argue for improved program access and client outcomes through reductions in burdens.  </w:t>
      </w:r>
    </w:p>
    <w:p w14:paraId="557CE6DD"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Finally, administrative burden exacerbates inequality by disproportionately impacting the most disadvantaged populations, who have fewer financial, social, and cultural resources with which to navigate and overcome administrative burdens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{"citationID":"G0t67TNN","properties":{"formattedCitation":"(Cherlin et al., 2002; M. Nisar, 2017; M. A. Nisar, 2018)","plainCitation":"(Cherlin et al., 2002; M. Nisar, 2017; M. A. Nisar, 2018)","dontUpdate":true,"noteIndex":0},"citationItems":[{"id":6126,"uris":["http://zotero.org/users/2595715/items/U7Y8P7SF"],"uri":["http://zotero.org/users/2595715/items/U7Y8P7SF"],"itemData":{"id":6126,"type":"article-journal","title":"Operating within the Rules: Welfare Recipients' Experiences with Sanctions and Case Closings","container-title":"Social Service Review","page":"387-405","volume":"76","issue":"3","source":"journals.uchicago.edu (Atypon)","abstract":"This article examines the experiences of Temporary Assistance for Needy Families recipients with sanctions and administrative case closings, as reported by respondents in a survey of families in low‐income neighborhoods in Boston, Chicago, and San Antonio. Among those who said that their welfare benefits had been reduced or eliminated for noncompliance with the rules, the most common reasons provided were missing an appointment or not filing paperwork. In comparison with other families that had received welfare in the previous 2 years, families that were penalized were more disadvantaged in a number of respects, including lower education and poorer health.","DOI":"10.1086/341181","ISSN":"0037-7961","shortTitle":"Operating within the Rules","journalAbbreviation":"Social Service Review","author":[{"family":"Cherlin","given":"Andrew J."},{"family":"Bogen","given":"Karen"},{"family":"Quane","given":"James M."},{"family":"Burton","given":"Linda"}],"issued":{"date-parts":[["2002",9,1]]}}},{"id":6088,"uris":["http://zotero.org/users/2595715/items/XQ4TJ3XI"],"uri":["http://zotero.org/users/2595715/items/XQ4TJ3XI"],"itemData":{"id":6088,"type":"article-journal","title":"Children of a Lesser God: Administrative Burden and Social Equity in Citizen–State Interactions","container-title":"Journal of Public Administration Research and Theory","page":"104-119","volume":"28","issue":"1","source":"academic.oup.com","abstract":"An important research agenda in public administration is to investigate how formal and realized public policy influences the lives of marginalized social groups. Recently, reinvigorated research on administrative burden can make useful contributions to this line of inquiry. Using ethnographic research methods, this article analyzes administrative burden experienced by the Khawaja Sira—individuals culturally defined as neither men nor women—of Pakistan in getting a legal ID. In doing so, this article contributes to a better understanding of the role played by third parties, administrative behavior and social factors play in influencing the level of administrative burden and social inequity for genderqueer groups.","DOI":"10.1093/jopart/mux025","ISSN":"1053-1858","shortTitle":"Children of a Lesser God","journalAbbreviation":"J Public Adm Res Theory","language":"en","author":[{"family":"Nisar","given":"Muhammad"}],"issued":{"date-parts":[["2017",12,13]]}}},{"id":6094,"uris":["http://zotero.org/users/2595715/items/WTQ7WYHX"],"uri":["http://zotero.org/users/2595715/items/WTQ7WYHX"],"itemData":{"id":6094,"type":"article-journal","title":"Overcoming resistance to resistance in public administration: Resistance strategies of marginalized publics in citizen-state interactions","container-title":"Public Administration and Development","page":"15-25","volume":"38","issue":"1","source":"Wiley Online Library","abstract":"There has been a general resistance to resistance studies in public administration (PA) research. Although previous research has documented instances of selective policy implementation by PA practitioners that put minority groups at a comparative disadvantage, we still have a limited understanding of the different ways in which these groups contest discriminatory administrative practices especially within non-western developing countries. To address this gap, in this article, I discuss the various strategic responses the Khawaja Sira—a genderqueer group of Pakistan—employ in their interactions with the frontline police workers to contest their hyper-surveillance and moral policing. The discussion illustrates that while Khawaja Sira mostly rely on individual acts of contestation in their interactions with police officers, the emerging leadership of the Khawaja Sira is enabling emergence of new forms of resistance based on social capital and collective protests. In addition to contributing to the limited literature on citizen perspectives and LGBT issues in PA research, the theoretical framework of resistance presented here can serve as a good template to analyze citizen responses to discriminatory frontline practice in other sociopolitical contexts as well.","DOI":"10.1002/pad.1817","ISSN":"1099-162X","shortTitle":"Overcoming resistance to resistance in public administration","journalAbbreviation":"Public Admin Dev","language":"en","author":[{"family":"Nisar","given":"Muhammad Azfar"}],"issued":{"date-parts":[["2018",2,1]]}}}],"schema":"https://github.com/citation-style-language/schema/raw/master/csl-citation.json"}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(Cherlin et al., 2002; Nisar, 2017; Nisar,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Recent evidence suggests that private elderly care service providers discriminate against minority applicants by withholding information on the application process, which induces uneven learning costs across clients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{"citationID":"2NaB50tg","properties":{"formattedCitation":"(Jilke, van Dooren, and Rys 2018)","plainCitation":"(Jilke, van Dooren, and Rys 2018)","noteIndex":0},"citationItems":[{"id":6100,"uris":["http://zotero.org/users/2595715/items/S27F4CC5"],"uri":["http://zotero.org/users/2595715/items/S27F4CC5"],"itemData":{"id":6100,"type":"article-journal","title":"Discrimination and Administrative Burden in Public Service Markets: Does a Public-Private Difference Exist?","container-title":"Journal of Public Administration Research and Theory","source":"papers.ssrn.com","abstract":"Public services are often provided in markets where both public and private providers operate. Irrespective of ownership status, public services ought to be accessible regardless of clients’ race, gender, ethnicity, or age. However, as theories of statistical discrimination and cream skimming suggest, market-based incentives may lead service providers to focus on non-minority clients because they perceive them as easier-to-serve and therefore less costly. This may lead to discrimination and hence jeopardizes equal access. In this study, we ask whether private, for-profit providers are more likely to discriminate on ethnic grounds compared to publicly owned providers. We implement a field experiment within the Flemish elderly care market by sending out email requests with either a Flemish or a Maghrebian name to all public and privately owned nursing homes. For overall response rates, no statistically significant differences between senders were found. However, we do find that privately owned facilities are about 20 percentage points less likely to provide information on how to enroll when the request is send from a Maghrebian name alias, and blinded coders perceive the information sent to the Maghrebian alias as less comprehensive. In publicly owned facilities, no such differences exist. We conclude that a public-private difference does exist, but that the mechanism of discrimination is subtler than expected. Rather than directly refusing to respond, nursing homes increase administrative burdens and learning costs for minority applicants.","URL":"https://papers.ssrn.com/abstract=3107998","shortTitle":"Discrimination and Administrative Burden in Public Service Markets","language":"en","author":[{"family":"Jilke","given":"Sebastian"},{"family":"Dooren","given":"Wouter","non-dropping-particle":"van"},{"family":"Rys","given":"Sabine"}],"issued":{"date-parts":[["2018"]]},"accessed":{"date-parts":[["2018",3,10]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(Jilke, van Dooren, and Rys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Moreover, research has </w:t>
      </w:r>
      <w:r w:rsidRPr="005B2DFB">
        <w:rPr>
          <w:rFonts w:ascii="Times New Roman" w:hAnsi="Times New Roman" w:cs="Times New Roman"/>
          <w:sz w:val="24"/>
          <w:szCs w:val="24"/>
        </w:rPr>
        <w:lastRenderedPageBreak/>
        <w:t xml:space="preserve">revealed that higher levels of administrative burden in the eligibility requirements and enrollment process of the TANF program were associated with particularly pronounced declines in participation among the most disadvantaged populations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{"citationID":"aO7ZI1Qd","properties":{"formattedCitation":"(Brodkin and Majmundar 2010)","plainCitation":"(Brodkin and Majmundar 2010)","noteIndex":0},"citationItems":[{"id":6115,"uris":["http://zotero.org/users/2595715/items/G49NWVFI"],"uri":["http://zotero.org/users/2595715/items/G49NWVFI"],"itemData":{"id":6115,"type":"article-journal","title":"Administrative Exclusion: Organizations and the Hidden Costs of Welfare Claiming","container-title":"Journal of Public Administration Research and Theory","page":"827-848","volume":"20","issue":"4","source":"academic.oup.com","abstract":"Organizations operate as the gateway to public benefits. They are formally authorized to adjudicate claims, in the process interpreting and applying eligibility rules. Beyond their designated role, they also operate as informal gatekeepers, developing modes of operation that affect the ease or difficulty of claiming. Operational practices—both formally prescribed and informally created—can add hidden costs to claiming to the extent that they are complicated, confusing, or cumbersome. Individuals implicitly recognize these costs when they complain of being “tied up in red tape” or given the “bureaucratic run around.” This inquiry examines whether these types of hidden organizational costs can have systematic effects, resulting in administrative exclusion—that is, nonparticipation attributable to organizational factors rather than claimant preferences or eligibility status.","DOI":"10.1093/jopart/mup046","ISSN":"1053-1858","shortTitle":"Administrative Exclusion","journalAbbreviation":"J Public Adm Res Theory","language":"en","author":[{"family":"Brodkin","given":"Evelyn Z."},{"family":"Majmundar","given":"Malay"}],"issued":{"date-parts":[["2010",10,1]]}}}],"schema":"https://github.com/citation-style-language/schema/raw/master/csl-citation.json"}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(Brodkin and Majmundar 2010)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Given such findings, administrative burden may counteract the democratizing and equalizing force of public assistance programs, and instead perpetuate the system of inequality that these programs intend to alleviate. However, at the same time, there are entities, such as nonprofit organizations, that can reduce the administrative burden placed on marginalized groups by providing a source of additional client-state interactions in which the cognitive, temporal and economic costs of accessing government programs can be significantly reduced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{"citationID":"pJ0sEzwh","properties":{"formattedCitation":"(Muhammad Azfar Nisar, 2018)","plainCitation":"(Muhammad Azfar Nisar, 2018)","dontUpdate":true,"noteIndex":0},"citationItems":[{"id":6094,"uris":["http://zotero.org/users/2595715/items/WTQ7WYHX"],"uri":["http://zotero.org/users/2595715/items/WTQ7WYHX"],"itemData":{"id":6094,"type":"article-journal","title":"Overcoming resistance to resistance in public administration: Resistance strategies of marginalized publics in citizen-state interactions","container-title":"Public Administration and Development","page":"15-25","volume":"38","issue":"1","source":"Wiley Online Library","abstract":"There has been a general resistance to resistance studies in public administration (PA) research. Although previous research has documented instances of selective policy implementation by PA practitioners that put minority groups at a comparative disadvantage, we still have a limited understanding of the different ways in which these groups contest discriminatory administrative practices especially within non-western developing countries. To address this gap, in this article, I discuss the various strategic responses the Khawaja Sira—a genderqueer group of Pakistan—employ in their interactions with the frontline police workers to contest their hyper-surveillance and moral policing. The discussion illustrates that while Khawaja Sira mostly rely on individual acts of contestation in their interactions with police officers, the emerging leadership of the Khawaja Sira is enabling emergence of new forms of resistance based on social capital and collective protests. In addition to contributing to the limited literature on citizen perspectives and LGBT issues in PA research, the theoretical framework of resistance presented here can serve as a good template to analyze citizen responses to discriminatory frontline practice in other sociopolitical contexts as well.","DOI":"10.1002/pad.1817","ISSN":"1099-162X","shortTitle":"Overcoming resistance to resistance in public administration","journalAbbreviation":"Public Admin Dev","language":"en","author":[{"family":"Nisar","given":"Muhammad Azfar"}],"issued":{"date-parts":[["2018",2,1]]}}}],"schema":"https://github.com/citation-style-language/schema/raw/master/csl-citation.json"}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(Nisar,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particular, some nonprofits have "made it their business to ameliorate the administrative burden on the victim by slicing through the red tape" as a way to fulfill their organizational mission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{"citationID":"1v8x91kV","properties":{"formattedCitation":"(Wiley and Berry 2018)","plainCitation":"(Wiley and Berry 2018)","noteIndex":0},"citationItems":[{"id":6717,"uris":["http://zotero.org/users/2595715/items/WENZMS6S"],"uri":["http://zotero.org/users/2595715/items/WENZMS6S"],"itemData":{"id":6717,"type":"article-journal","title":"Compassionate Bureaucracy: Assuming the Administrative Burden of Policy Implementation","container-title":"Nonprofit and Voluntary Sector Quarterly","page":"55S-75S","volume":"47","issue":"4_suppl","source":"SAGE Journals","abstract":"The lens of administration burden is used to examine the behavior of nonprofit organizations when managing regulations attached to public funding and public policy implementation. Interviews with leaders of nonprofit domestic violence advocacy organizations dependent on public funding streams were qualitatively content analyzed to answer three questions. How do nonprofit managers respond to burdensome bureaucratic reporting measures when they are at odds? How do they determine when to comply and when compliance is not possible? What is the outcome for service recipients? The authors find that these nonprofit organizations simultaneously implement multiple public policies while absorbing the accountability costs. They do this to shield their clients from the laborious task of obtaining a spectrum of services across public systems.","DOI":"10.1177/0899764018760401","ISSN":"0899-7640","shortTitle":"Compassionate Bureaucracy","journalAbbreviation":"Nonprofit and Voluntary Sector Quarterly","language":"en","author":[{"family":"Wiley","given":"Kimberly"},{"family":"Berry","given":"Frances"}],"issued":{"date-parts":[["2018",8,1]]}}}],"schema":"https://github.com/citation-style-language/schema/raw/master/csl-citation.json"}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(Wiley and Berry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This study takes a different approach, investigating whether such counteracting sources of assistance can also come from an insufficiently explored, yet essential actor in the program implementation process—the street-level bureaucrat (SLB).</w:t>
      </w:r>
    </w:p>
    <w:p w14:paraId="33B18154"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While administrative burden studies have substantially advanced scholarly understanding of the impact of burdens on a whole host of democratic outcomes, the variation across local agencies in the implementation of burdens has been understudied. With the notable exception of Heinrich (2018), who highlights the variation in the implementation of immigration policy across local registrar offices in Texas, the role of local agencies and uneven uses of street-level discretion is omitted from the analysis of administrative burden and program access. This is especially surprising considering that the manipulation of administrative burdens was perhaps first captured by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{"citationID":"82uD4dIY","properties":{"formattedCitation":"(Lipsky, 1984)","plainCitation":"(Lipsky, 1984)","dontUpdate":true,"noteIndex":0},"citationItems":[{"id":6456,"uris":["http://zotero.org/users/2595715/items/3PEN9NKK"],"uri":["http://zotero.org/users/2595715/items/3PEN9NKK"],"itemData":{"id":6456,"type":"article-journal","title":"Bureaucratic Disentitlement in Social Welfare Programs","container-title":"Social Service Review","page":"3-27","volume":"58","issue":"1","source":"journals.uchicago.edu (Atypon)","abstract":"Bureaucratic disentitlement is a mode of fiscal and programmatic retrenchment that takes place through obscure and routine actions of public authorities, and through failures to take action, that result in distributive consequences. Drawing primarily upon observations of social welfare programs in Boston over the last five years, this study identifies eight mechanisms by which the relationship of social welfare policy beneficiaries to the state has become attenuated. It emphasizes not only cutbacks in benefits but also retrenchment in opportunities to influence social policy outcomes.","DOI":"10.1086/644161","ISSN":"0037-7961","journalAbbreviation":"Social Service Review","author":[{"family":"Lipsky","given":"Michael"}],"issued":{"date-parts":[["1984",3,1]]}}}],"schema":"https://github.com/citation-style-language/schema/raw/master/csl-citation.json"}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Lipsky's (1984)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seminal examination of street-level bureaucracy. In this work, Lipsky (1984) revealed that instead of making high-profile controversial decisions to cut </w:t>
      </w:r>
      <w:r w:rsidRPr="005B2DFB">
        <w:rPr>
          <w:rFonts w:ascii="Times New Roman" w:hAnsi="Times New Roman" w:cs="Times New Roman"/>
          <w:sz w:val="24"/>
          <w:szCs w:val="24"/>
        </w:rPr>
        <w:lastRenderedPageBreak/>
        <w:t xml:space="preserve">programs that may impact the likelihood of re-election, policymakers often push decisions regarding resource distribution down onto front-line bureaucrats who interact daily with clients. This devolution of authority to the front-line creates the potential for administrative practices to vary geographically, which introduces the possibility for bureaucratic discretion to serve as a force for disentitlement and rationed access to limited resources for public programs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{"citationID":"IqwNhXEC","properties":{"formattedCitation":"(Brodkin 2008; Lipsky 2010; Scott 1997; Soss, Fording, and Schram 2011)","plainCitation":"(Brodkin 2008; Lipsky 2010; Scott 1997; Soss, Fording, and Schram 2011)","noteIndex":0},"citationItems":[{"id":6335,"uris":["http://zotero.org/users/2595715/items/538WVDPA"],"uri":["http://zotero.org/users/2595715/items/538WVDPA"],"itemData":{"id":6335,"type":"article-journal","title":"Accountability in Street-Level Organizations","container-title":"International Journal of Public Administration","page":"317-336","volume":"31","issue":"3","source":"Taylor and Francis+NEJM","abstract":"The challenge of managing street-level discretion lies at the heart of the search for strategies of administrative oversight and control. How can management promote accountability without deadening responsiveness and undermining the application of professional judgment on which management also depends? This article reconsiders the problem of accountability from a street-level perspective. First, it reviews the literature on implementation, street-level bureaucracy, and new public management in order to raise questions about the limitations of current approaches to accountability, including new public management solutions that rely on performance measurement. Second, it makes the case for a street-level approach to accountability and illustrates how it can be used to reveal critical dimensions of organizational practice that are not captured by other means. Finally, issues of street-level practice are placed in broader perspective, as part of an on-going global search for ways to advance transparency and accountability in social provision.","DOI":"10.1080/01900690701590587","ISSN":"0190-0692","author":[{"family":"Brodkin","given":"Evelyn Z."}],"issued":{"date-parts":[["2008",2,1]]}}},{"id":4357,"uris":["http://zotero.org/users/2595715/items/9BCANFYS"],"uri":["http://zotero.org/users/2595715/items/9BCANFYS"],"itemData":{"id":4357,"type":"book","title":"Street-Level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6404,"uris":["http://zotero.org/users/2595715/items/GQBTU3LX"],"uri":["http://zotero.org/users/2595715/items/GQBTU3LX"],"itemData":{"id":6404,"type":"article-journal","title":"Assessing Determinants of Bureaucratic Discretion: An Experiment in Street-Level Decision Making","container-title":"Journal of Public Administration Research and Theory","page":"35-58","volume":"7","issue":"1","source":"academic-oup-com.ezproxy.lib.ou.edu","abstract":"Abstract.  This article reports findings from an experimental analogue that examined the influence of several potential determinants of bureaucratic discretion","DOI":"10.1093/oxfordjournals.jpart.a024341","ISSN":"1053-1858","shortTitle":"Assessing Determinants of Bureaucratic Discretion","journalAbbreviation":"J Public Adm Res Theory","language":"en","author":[{"family":"Scott","given":"Patrick G."}],"issued":{"date-parts":[["1997",1,1]]}}},{"id":4067,"uris":["http://zotero.org/users/2595715/items/ZTJMK335"],"uri":["http://zotero.org/users/2595715/items/ZTJMK335"],"itemData":{"id":4067,"type":"book","title":"Disciplining the Poor: Neoliberal Paternalism and the Persistent Power of Race","publisher":"University Of Chicago Press","publisher-place":"Chicago ; London","number-of-pages":"368","edition":"Chicago Studies in American Politics edition","source":"Amazon","event-place":"Chicago ; London","abstract":"Disciplining the Poor explains the transformation of poverty governance over the past forty years -- why it happened, how it works today, and how it affects people. In the process, it clarifies the central role of race in this transformation and develops a more precise account of how race shapes poverty governance in the post-civil rights era. Connecting welfare reform to other policy developments, the authors analyze diverse forms of data to explicate the racialized origins, operations, and consequences of a new mode of poverty governance that is simultaneously neoliberal -- grounded in market principles -- and paternalist -- focused on telling the poor what is best for them. The study traces the rolling out of this new regime from the federal level, to the state and county levels, down to the service-providing organizations and frontline case workers who take disciplinary actions in individual cases. The result is a compelling account of how a neoliberal paternalist regime of poverty governance is disciplining the poor today.","ISBN":"978-0-226-76877-9","shortTitle":"Disciplining the Poor","language":"English","author":[{"family":"Soss","given":"Joe"},{"family":"Fording","given":"Richard C."},{"family":"Schram","given":"Sanford F."}],"issued":{"date-parts":[["2011",11,30]]}}}],"schema":"https://github.com/citation-style-language/schema/raw/master/csl-citation.json"}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(Brodkin 2008; Lipsky 2010; Scott 1997; Soss, Fording, and Schram 2011)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Therefore, in the study of administrative burden, it is an essential next step to investigate the ways in which the strategic use of discretion by SLBs at the front-line of government moderates the impact of burdens on access to programs. Indeed, it is our contention that in a program impacted by administrative burden, the use of discretionary authority by SLBs plays a key </w:t>
      </w:r>
      <w:r w:rsidRPr="005B2DFB">
        <w:rPr>
          <w:rStyle w:val="st"/>
          <w:rFonts w:ascii="Times New Roman" w:hAnsi="Times New Roman" w:cs="Times New Roman"/>
          <w:sz w:val="24"/>
          <w:szCs w:val="24"/>
        </w:rPr>
        <w:t>role in the resilience of clientele in overcoming barriers to access.</w:t>
      </w:r>
      <w:r w:rsidRPr="005B2DFB">
        <w:rPr>
          <w:rFonts w:ascii="Times New Roman" w:hAnsi="Times New Roman" w:cs="Times New Roman"/>
          <w:sz w:val="24"/>
          <w:szCs w:val="24"/>
        </w:rPr>
        <w:t xml:space="preserve"> </w:t>
      </w:r>
    </w:p>
    <w:p w14:paraId="3BBB5393" w14:textId="77777777" w:rsidR="0046518A" w:rsidRPr="005B2DFB" w:rsidRDefault="0046518A" w:rsidP="0046518A">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Street-level Bureaucrats and the Strategic Use of Discretion</w:t>
      </w:r>
    </w:p>
    <w:p w14:paraId="1C820300"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As the front-line of government, SLBs wield the discretionary authority to shape whether clients gain access to programs and whether policy goals are translated into policy outcomes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{"citationID":"qJCloUkS","properties":{"formattedCitation":"(Keiser, 1999; Kelly, 1994; Lipsky, 2010; S. Maynard-Moody &amp; Musheno, 2000; Scott, 1997; Weissert, 1994)","plainCitation":"(Keiser, 1999; Kelly, 1994; Lipsky, 2010; S. Maynard-Moody &amp; Musheno, 2000; Scott, 1997; Weissert, 1994)","dontUpdate":true,"noteIndex":0},"citationItems":[{"id":6395,"uris":["http://zotero.org/users/2595715/items/AFEVMV3I"],"uri":["http://zotero.org/users/2595715/items/AFEVMV3I"],"itemData":{"id":6395,"type":"article-journal","title":"State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R."}],"issued":{"date-parts":[["1999",1,1]]}}},{"id":6394,"uris":["http://zotero.org/users/2595715/items/MQFVJ2BM"],"uri":["http://zotero.org/users/2595715/items/MQFVJ2BM"],"itemData":{"id":6394,"type":"article-journal","title":"Theories of Justice and Street-Level Discretion","container-title":"Journal of Public Administration Research and Theory: J-PART","page":"119-140","volume":"4","issue":"2","source":"JSTOR","abstract":"As we continue our study of policy implementation we are becoming increasingly aware of the importance of exploring the frameworks through which public administrators view the world. Visions of social justice may be an important part of those frameworks. This article explores the principles of justice held by two groups of street-level bureaucrats and the overt relationship between those principles and their actions. Street-level bureaucrats are the final implementors of public policy. Their jobs are inherently discretionary and the actions they take (or fail to take) affect people in significant ways. As such this is an important group on which to focus. Do street-level bureaucrats exercise their discretion in order to produce what they believe to be just outcomes? Are there differences from one organizational arena to the next? This article explores these questions through an analysis of stories of justice and injustice told by two groups of street-level bureaucrats, schoolteachers and employees of the California Employment Development Department. These two groups work in very different organizational contexts with different cultural attitudes toward the use of discretion. My claim is that an organization's culture of discretion either enhances or inhibits the ability of street-level bureaucrats to orchestrate outcomes that are compatible with their visions of justice, thereby determining the significance of exploring street-level bureaucrats' justice judgments as we study the implementation process.","ISSN":"1053-1858","author":[{"family":"Kelly","given":"Marisa"}],"issued":{"date-parts":[["1994"]]}}},{"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6111,"uris":["http://zotero.org/users/2595715/items/9Y9KIRXD"],"uri":["http://zotero.org/users/2595715/items/9Y9KIRXD"],"itemData":{"id":6111,"type":"article-journal","title":"State Agent or Citizen Agent: Two Narratives of Discretion","container-title":"Journal of Public Administration Research and Theory","page":"329-358","volume":"10","issue":"2","source":"academic.oup.com","abstract":"In street-level work discretion is inevitable. Scholars have articulated a dominant view or narrative that addresses the role of discretion in the administrative state. This state-agent narrative acknowledges inevitability of discretion and emphasizes that self-interest guides street-level choices: street-level workers use their discretion to make their work easier, safer, and more rewarding. In addition the dominant narrative describes street-level workers as policy makers, yet it worries about the threat that street-level discretion poses to democratic governance.Street-level workers, themselves, tell a different story, a counternarrative of the worker acting as a citizen agent. These two narratives are not wholly inconsistent but they differ in emphasis and meaning. The description of the street-level counter-narrative is based on extensive fieldwork in two states and five agencies. Rather than discretionary state agents who act in response to rules, procedures, and law, street-level workers describe themselves as citizen agents who act in response to individuals and circumstances. They do not describe what they do as contributing to policy making or even as implementing policy. Moreover, street-level workers do not describe their decisions and actions as based on their views of the correctness of the rules, wisdom of the policy, or accountability to any hierarchical authority or democratic principle. They base their decisions on their judgment of the worth of the individual citizen client.Street-level workers discount the importance of self-interest and will often make their work harder, more unpleasant, more dangerous, and less officially successful in order to respond to the needs of individuals. They describe themselves as decision makers, but they base their decisions on normative choices, not in response to rules, procedures, or policies. These normative choices are defined in terms of relationships to citizens, clients, coworkers, and the system. By substituting their pragmatic judgments for the unrealistic views of those with formal and legitimate authority, street-level workers are, in their view, acting responsibly.","DOI":"10.1093/oxfordjournals.jpart.a024272","ISSN":"1053-1858","shortTitle":"State Agent or Citizen Agent","journalAbbreviation":"J Public Adm Res Theory","language":"en","author":[{"family":"Maynard-Moody","given":"Steven"},{"family":"Musheno","given":"Michael"}],"issued":{"date-parts":[["2000",4,1]]}}},{"id":6404,"uris":["http://zotero.org/users/2595715/items/GQBTU3LX"],"uri":["http://zotero.org/users/2595715/items/GQBTU3LX"],"itemData":{"id":6404,"type":"article-journal","title":"Assessing Determinants of Bureaucratic Discretion: An Experiment in Street-Level Decision Making","container-title":"Journal of Public Administration Research and Theory","page":"35-58","volume":"7","issue":"1","source":"academic-oup-com.ezproxy.lib.ou.edu","abstract":"Abstract.  This article reports findings from an experimental analogue that examined the influence of several potential determinants of bureaucratic discretion","DOI":"10.1093/oxfordjournals.jpart.a024341","ISSN":"1053-1858","shortTitle":"Assessing Determinants of Bureaucratic Discretion","journalAbbreviation":"J Public Adm Res Theory","language":"en","author":[{"family":"Scott","given":"Patrick G."}],"issued":{"date-parts":[["1997",1,1]]}}},{"id":6405,"uris":["http://zotero.org/users/2595715/items/B3M9J7H2"],"uri":["http://zotero.org/users/2595715/items/B3M9J7H2"],"itemData":{"id":6405,"type":"article-journal","title":"Beyond the Organization: The Influence of Community and Personal Values on Street-Level Bureaucrats' Responsiveness","container-title":"Journal of Public Administration Research and Theory","page":"225-254","volume":"4","issue":"2","source":"academic-oup-com.ezproxy.lib.ou.edu","abstract":"Abstract.  This article quantifies and explains differences that theoretically do not exist—intrastate differences in Medicaid spending in a state with a highly","DOI":"10.1093/oxfordjournals.jpart.a037205","ISSN":"1053-1858","shortTitle":"Beyond the Organization","journalAbbreviation":"J Public Adm Res Theory","language":"en","author":[{"family":"Weissert","given":"Carol S."}],"issued":{"date-parts":[["1994",4,1]]}}}],"schema":"https://github.com/citation-style-language/schema/raw/master/csl-citation.json"}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(Keiser, 1999; Kelly, 1994; Lipsky, 2010; Scott, 1997; Weissert, 1994)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Accordingly, SLBs serve as “empowered citizen agents, who in their decisions to ration resources, provide access to programs, and sanction individuals” and in doing so “both communicate and convey social status”</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{"citationID":"EVK9cGAo","properties":{"formattedCitation":"(Keiser, 1999; Kelly, 1994; Lipsky, 2010; S. Maynard-Moody &amp; Musheno, 2000; Scott, 1997; Weissert, 1994)","plainCitation":"(Keiser, 1999; Kelly, 1994; Lipsky, 2010; S. Maynard-Moody &amp; Musheno, 2000; Scott, 1997; Weissert, 1994)","dontUpdate":true,"noteIndex":0},"citationItems":[{"id":6395,"uris":["http://zotero.org/users/2595715/items/AFEVMV3I"],"uri":["http://zotero.org/users/2595715/items/AFEVMV3I"],"itemData":{"id":6395,"type":"article-journal","title":"State Bureaucratic Discretion and the Administration of Social Welfare Programs: The Case of Social Security Disability","container-title":"Journal of Public Administration Research and Theory","page":"87-106","volume":"9","issue":"1","source":"academic-oup-com.ezproxy.lib.ou.edu","abstract":"Abstract.  The impact of the bureaucracy on policy programs through the use of discretion has been both applauded and bemoaned by scholars. By examining variati","DOI":"10.1093/oxfordjournals.jpart.a024407","ISSN":"1053-1858","shortTitle":"State Bureaucratic Discretion and the Administration of Social Welfare Programs","journalAbbreviation":"J Public Adm Res Theory","language":"en","author":[{"family":"Keiser","given":"Lael R."}],"issued":{"date-parts":[["1999",1,1]]}}},{"id":6394,"uris":["http://zotero.org/users/2595715/items/MQFVJ2BM"],"uri":["http://zotero.org/users/2595715/items/MQFVJ2BM"],"itemData":{"id":6394,"type":"article-journal","title":"Theories of Justice and Street-Level Discretion","container-title":"Journal of Public Administration Research and Theory: J-PART","page":"119-140","volume":"4","issue":"2","source":"JSTOR","abstract":"As we continue our study of policy implementation we are becoming increasingly aware of the importance of exploring the frameworks through which public administrators view the world. Visions of social justice may be an important part of those frameworks. This article explores the principles of justice held by two groups of street-level bureaucrats and the overt relationship between those principles and their actions. Street-level bureaucrats are the final implementors of public policy. Their jobs are inherently discretionary and the actions they take (or fail to take) affect people in significant ways. As such this is an important group on which to focus. Do street-level bureaucrats exercise their discretion in order to produce what they believe to be just outcomes? Are there differences from one organizational arena to the next? This article explores these questions through an analysis of stories of justice and injustice told by two groups of street-level bureaucrats, schoolteachers and employees of the California Employment Development Department. These two groups work in very different organizational contexts with different cultural attitudes toward the use of discretion. My claim is that an organization's culture of discretion either enhances or inhibits the ability of street-level bureaucrats to orchestrate outcomes that are compatible with their visions of justice, thereby determining the significance of exploring street-level bureaucrats' justice judgments as we study the implementation process.","ISSN":"1053-1858","author":[{"family":"Kelly","given":"Marisa"}],"issued":{"date-parts":[["1994"]]}}},{"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6111,"uris":["http://zotero.org/users/2595715/items/9Y9KIRXD"],"uri":["http://zotero.org/users/2595715/items/9Y9KIRXD"],"itemData":{"id":6111,"type":"article-journal","title":"State Agent or Citizen Agent: Two Narratives of Discretion","container-title":"Journal of Public Administration Research and Theory","page":"329-358","volume":"10","issue":"2","source":"academic.oup.com","abstract":"In street-level work discretion is inevitable. Scholars have articulated a dominant view or narrative that addresses the role of discretion in the administrative state. This state-agent narrative acknowledges inevitability of discretion and emphasizes that self-interest guides street-level choices: street-level workers use their discretion to make their work easier, safer, and more rewarding. In addition the dominant narrative describes street-level workers as policy makers, yet it worries about the threat that street-level discretion poses to democratic governance.Street-level workers, themselves, tell a different story, a counternarrative of the worker acting as a citizen agent. These two narratives are not wholly inconsistent but they differ in emphasis and meaning. The description of the street-level counter-narrative is based on extensive fieldwork in two states and five agencies. Rather than discretionary state agents who act in response to rules, procedures, and law, street-level workers describe themselves as citizen agents who act in response to individuals and circumstances. They do not describe what they do as contributing to policy making or even as implementing policy. Moreover, street-level workers do not describe their decisions and actions as based on their views of the correctness of the rules, wisdom of the policy, or accountability to any hierarchical authority or democratic principle. They base their decisions on their judgment of the worth of the individual citizen client.Street-level workers discount the importance of self-interest and will often make their work harder, more unpleasant, more dangerous, and less officially successful in order to respond to the needs of individuals. They describe themselves as decision makers, but they base their decisions on normative choices, not in response to rules, procedures, or policies. These normative choices are defined in terms of relationships to citizens, clients, coworkers, and the system. By substituting their pragmatic judgments for the unrealistic views of those with formal and legitimate authority, street-level workers are, in their view, acting responsibly.","DOI":"10.1093/oxfordjournals.jpart.a024272","ISSN":"1053-1858","shortTitle":"State Agent or Citizen Agent","journalAbbreviation":"J Public Adm Res Theory","language":"en","author":[{"family":"Maynard-Moody","given":"Steven"},{"family":"Musheno","given":"Michael"}],"issued":{"date-parts":[["2000",4,1]]}}},{"id":6404,"uris":["http://zotero.org/users/2595715/items/GQBTU3LX"],"uri":["http://zotero.org/users/2595715/items/GQBTU3LX"],"itemData":{"id":6404,"type":"article-journal","title":"Assessing Determinants of Bureaucratic Discretion: An Experiment in Street-Level Decision Making","container-title":"Journal of Public Administration Research and Theory","page":"35-58","volume":"7","issue":"1","source":"academic-oup-com.ezproxy.lib.ou.edu","abstract":"Abstract.  This article reports findings from an experimental analogue that examined the influence of several potential determinants of bureaucratic discretion","DOI":"10.1093/oxfordjournals.jpart.a024341","ISSN":"1053-1858","shortTitle":"Assessing Determinants of Bureaucratic Discretion","journalAbbreviation":"J Public Adm Res Theory","language":"en","author":[{"family":"Scott","given":"Patrick G."}],"issued":{"date-parts":[["1997",1,1]]}}},{"id":6405,"uris":["http://zotero.org/users/2595715/items/B3M9J7H2"],"uri":["http://zotero.org/users/2595715/items/B3M9J7H2"],"itemData":{"id":6405,"type":"article-journal","title":"Beyond the Organization: The Influence of Community and Personal Values on Street-Level Bureaucrats' Responsiveness","container-title":"Journal of Public Administration Research and Theory","page":"225-254","volume":"4","issue":"2","source":"academic-oup-com.ezproxy.lib.ou.edu","abstract":"Abstract.  This article quantifies and explains differences that theoretically do not exist—intrastate differences in Medicaid spending in a state with a highly","DOI":"10.1093/oxfordjournals.jpart.a037205","ISSN":"1053-1858","shortTitle":"Beyond the Organization","journalAbbreviation":"J Public Adm Res Theory","language":"en","author":[{"family":"Weissert","given":"Carol S."}],"issued":{"date-parts":[["1994",4,1]]}}}],"schema":"https://github.com/citation-style-language/schema/raw/master/csl-citation.json"}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(Maynard-Moody &amp; Musheno, 2000, p. 355)</w:t>
      </w:r>
      <w:r w:rsidRPr="005B2DFB">
        <w:rPr>
          <w:rFonts w:ascii="Times New Roman" w:hAnsi="Times New Roman" w:cs="Times New Roman"/>
          <w:sz w:val="24"/>
          <w:szCs w:val="24"/>
        </w:rPr>
        <w:fldChar w:fldCharType="end"/>
      </w:r>
      <w:r w:rsidRPr="005B2DFB">
        <w:rPr>
          <w:rStyle w:val="st"/>
          <w:rFonts w:ascii="Times New Roman" w:hAnsi="Times New Roman" w:cs="Times New Roman"/>
          <w:sz w:val="24"/>
          <w:szCs w:val="24"/>
        </w:rPr>
        <w:t xml:space="preserve">. </w:t>
      </w:r>
      <w:r w:rsidRPr="005B2DFB">
        <w:rPr>
          <w:rFonts w:ascii="Times New Roman" w:hAnsi="Times New Roman" w:cs="Times New Roman"/>
          <w:sz w:val="24"/>
          <w:szCs w:val="24"/>
        </w:rPr>
        <w:t xml:space="preserve">This use of discretion is essential due to the variability of individual client cases, which may be in conflict with or overlooked by the system of often-ambiguous laws. In these cases, SLBs make discretionary decisions based on value judgments for individual clients in navigating the inevitable tension between the demands of policy and the unique needs of individuals in nonroutine cases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{"citationID":"a1qpv9et2pa","properties":{"formattedCitation":"(S. W. Maynard-Moody &amp; Musheno, 2003)","plainCitation":"(S. W. Maynard-Moody &amp; Musheno, 2003)","dontUpdate":true,"noteIndex":0},"citationItems":[{"id":5400,"uris":["http://zotero.org/users/2595715/items/UXAUGUWN"],"uri":["http://zotero.org/users/2595715/items/UXAUGUWN"],"itemData":{"id":5400,"type":"book","title":"Cops,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(Maynard-Moody &amp; Musheno, 2003)</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this way, street-level agents can be thought of as informal policymakers whose </w:t>
      </w:r>
      <w:r w:rsidRPr="005B2DFB">
        <w:rPr>
          <w:rFonts w:ascii="Times New Roman" w:hAnsi="Times New Roman" w:cs="Times New Roman"/>
          <w:sz w:val="24"/>
          <w:szCs w:val="24"/>
        </w:rPr>
        <w:lastRenderedPageBreak/>
        <w:t>normative choices regarding “</w:t>
      </w:r>
      <w:r w:rsidRPr="005B2DFB">
        <w:rPr>
          <w:rFonts w:ascii="Times New Roman" w:eastAsia="Times New Roman" w:hAnsi="Times New Roman" w:cs="Times New Roman"/>
          <w:sz w:val="24"/>
          <w:szCs w:val="24"/>
        </w:rPr>
        <w:t xml:space="preserve">which rules, procedures, and policies are acted on; who gets what services and who is hassled or arrested” substantially impact the experiences of government programs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{"citationID":"lWfuABVS","properties":{"formattedCitation":"(S. W. Maynard-Moody &amp; Musheno, 2003)","plainCitation":"(S. W. Maynard-Moody &amp; Musheno, 2003)","dontUpdate":true,"noteIndex":0},"citationItems":[{"id":5400,"uris":["http://zotero.org/users/2595715/items/UXAUGUWN"],"uri":["http://zotero.org/users/2595715/items/UXAUGUWN"],"itemData":{"id":5400,"type":"book","title":"Cops,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(Maynard-Moody &amp; Musheno, 2003, p. 155)</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In other words, in both formal and informal roles, </w:t>
      </w:r>
      <w:r w:rsidRPr="005B2DFB">
        <w:rPr>
          <w:rStyle w:val="st"/>
          <w:rFonts w:ascii="Times New Roman" w:hAnsi="Times New Roman" w:cs="Times New Roman"/>
          <w:sz w:val="24"/>
          <w:szCs w:val="24"/>
        </w:rPr>
        <w:t>SLBs</w:t>
      </w:r>
      <w:r w:rsidRPr="005B2DFB">
        <w:rPr>
          <w:rFonts w:ascii="Times New Roman" w:hAnsi="Times New Roman" w:cs="Times New Roman"/>
          <w:sz w:val="24"/>
          <w:szCs w:val="24"/>
        </w:rPr>
        <w:t xml:space="preserve"> utilize discretion in ways that shape the ability of clients to access public programs and, in doing so, are a key player in the translation of policy objectives into policy outcomes.</w:t>
      </w:r>
    </w:p>
    <w:p w14:paraId="42B9CD40"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 In the exercise of discretionary authority, SLBs are significantly influenced by four main factors identified in previous literature: 1) communication by political or administrative superiors on the prioritization of policy goals, 2) organizational implementation factors, 3) knowledge and attitudes of SLBs about tasks, work and clients, and 4) contextual factors such as workload, clientele and external pressure from political and social environments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{"citationID":"c3UWJcKE","properties":{"formattedCitation":"(May and Winter 2009)","plainCitation":"(May and Winter 2009)","noteIndex":0},"citationItems":[{"id":6354,"uris":["http://zotero.org/users/2595715/items/HW8P4KKP"],"uri":["http://zotero.org/users/2595715/items/HW8P4KKP"],"itemData":{"id":6354,"type":"article-journal","title":"Politicians, Managers, and Street-Level Bureaucrats: Influences on Policy Implementation","container-title":"Journal of Public Administration Research and Theory","page":"453-476","volume":"19","issue":"3","source":"academic.oup.com","abstract":"Abstract.  This article addresses the influence of politicians, managers, and the dispositions of street-level bureaucrats in shaping actions at the frontlines","DOI":"10.1093/jopart/mum030","ISSN":"1053-1858","shortTitle":"Politicians, Managers, and Street-Level Bureaucrats","journalAbbreviation":"J Public Adm Res Theory","language":"en","author":[{"family":"May","given":"Peter J."},{"family":"Winter","given":"Søren C."}],"issued":{"date-parts":[["2009",7,1]]}}}],"schema":"https://github.com/citation-style-language/schema/raw/master/csl-citation.json"}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 and Winter 2009)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First and foremost, previous literature has revealed that the most influential factor is the individual values, knowledge, and beliefs of SLBs about policy, clients and the work environment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{"citationID":"Th59XTpV","properties":{"formattedCitation":"(Lipsky, 2010; S. W. Maynard-Moody &amp; Musheno, 2003; Sandfort, 2000)","plainCitation":"(Lipsky, 2010; S. W. Maynard-Moody &amp; Musheno, 2003; Sandfort, 2000)","dontUpdate":true,"noteIndex":0},"citationItems":[{"id":4357,"uris":["http://zotero.org/users/2595715/items/9BCANFYS"],"uri":["http://zotero.org/users/2595715/items/9BCANFYS"],"itemData":{"id":4357,"type":"book","title":"Street-Level Bureaucracy: Dilemmas of the Individual in Public Service, 30th Anniversary Expanded Edition","publisher":"Russell Sage Foundation","publisher-place":"New York","number-of-pages":"299","edition":"30 Anv Exp edition","source":"Amazon","event-place":"New York","abstract":"First published in 1980, Street-Level Bureaucracy received critical acclaim for its insightful study of how public service workers, in effect, function as policy decision makers, as they wield their considerable discretion in the day-to-day implementation of public programs. Three decades later, the need to bolster the availability and effectiveness of healthcare, social services, education, and law enforcement is as urgent as ever. In this thirtieth anniversary expanded edition, Michael Lipsky revisits the territory he mapped out in the first edition to reflect on significant policy developments over the last several decades. Despite the difficulties of managing these front-line workers, he shows how street-level bureaucracies can be and regularly are brought into line with public purposes.Street-level bureaucrats—from teachers and police officers to social workers and legal-aid lawyers—interact directly with the public and so represent the frontlines of government policy. In Street-Level Bureaucracy, Lipsky argues that these relatively low-level public service employees labor under huge caseloads, ambiguous agency goals, and inadequate resources. When combined with substantial discretionary authority and the requirement to interpret policy on a case-by-case basis, the difference between government policy in theory and policy in practice can be substantial and troubling.The core dilemma of street-level bureaucrats is that they are supposed to help people or make decisions about them on the basis of individual cases, yet the structure of their jobs makes this impossible. Instead, they are forced to adopt practices such as rationing resources, screening applicants for qualities their organizations favor, “rubberstamping” applications, and routinizing client interactions by imposing the uniformities of mass processing on situations requiring human responsiveness. Occasionally, such strategies work out in favor of the client. But the cumulative effect of street-level decisions made on the basis of routines and simplifications about clients can reroute the intended direction of policy, undermining citizens’ expectations of evenhanded treatment.This seminal, award-winning study tells a cautionary tale of how decisions made by overburdened workers translate into ad-hoc policy adaptations that impact peoples’ lives and life opportunities. Lipsky maintains, however, that these problems are not insurmountable. Over the years, public managers have developed ways to bring street-level performance more in line with agency goals. This expanded edition of Street-Level Bureaucracy underscores that, despite its challenging nature, street-level work can be made to conform to higher expectations of public service.","ISBN":"978-0-87154-544-2","shortTitle":"Street-Level Bureaucracy","language":"English","author":[{"family":"Lipsky","given":"Michael"}],"issued":{"date-parts":[["2010",4,8]]}}},{"id":5400,"uris":["http://zotero.org/users/2595715/items/UXAUGUWN"],"uri":["http://zotero.org/users/2595715/items/UXAUGUWN"],"itemData":{"id":5400,"type":"book","title":"Cops, Teachers, Counselors: Stories from the Front Lines of Public Service","publisher":"University of Michigan Press","publisher-place":"Ann Arbor","number-of-pages":"216","edition":"58807th edition","source":"Amazon","event-place":"Ann Arbor","abstract":"Whether on a patrol beat, in social service offices, or in public school classrooms, street-level workers continually confront rules in relation to their own beliefs about the people they encounter. Cops, Teachers, Counselors is the first major study of street-level bureaucracy to rely on storytelling. Steven Maynard-Moody and Michael Musheno collect the stories told by these workers in order to analyze the ways that they ascribe identities to the people they encounter and use these identities to account for their own decisions and actions. The authors show us how the world of street-level work is defined by the competing tensions of law abidance and cultural abidance in a unique study that finally allows cops, teachers, and counselors to voice their own views of their work.Steven Maynard-Moody is Director of the Policy Research Institute and Professor of Public Administration at the University of Kansas.Michael Musheno is Professor of Justice and Policy Studies at Lycoming College and Professor Emeritus of Justice Studies, Arizona State University.","ISBN":"978-0-472-06832-6","shortTitle":"Cops, Teachers, Counselors","language":"English","author":[{"family":"Maynard-Moody","given":"Steven Williams"},{"family":"Musheno","given":"Michael Craig"}],"issued":{"date-parts":[["2003",5,12]]}}},{"id":230,"uris":["http://zotero.org/users/2595715/items/UZ56GTPS"],"uri":["http://zotero.org/users/2595715/items/UZ56GTPS"],"itemData":{"id":230,"type":"article-journal","title":"Moving Beyond Discretion and Outcomes: Examining Public Management from the Front Lines of the Welfare System","container-title":"Journal of Public Administration Research and Theory","page":"729-756","volume":"10","issue":"4","source":"academic.oup.com","DOI":"10.1093/oxfordjournals.jpart.a024289","ISSN":"1053-1858","shortTitle":"Moving Beyond Discretion and Outcomes","journalAbbreviation":"J Public Adm Res Theory","author":[{"family":"Sandfort","given":"Jodi R."}],"issued":{"date-parts":[["2000",10,1]]}}}],"schema":"https://github.com/citation-style-language/schema/raw/master/csl-citation.json"}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(Lipsky, 2010; Maynard-Moody &amp; Musheno, 2003; Sandfort, 2000)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Previous studies have found that even if policymakers and high level administrators attempt to change the priorities of street-level operations, SLBs are often still motivated primarily by their individual values and beliefs in the use of discretion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{"citationID":"SywrCcrK","properties":{"formattedCitation":"(Brehm and Gates 1997; Riccucci 2005; Riccucci et al. 2004; Sandfort 2000)","plainCitation":"(Brehm and Gates 1997; Riccucci 2005; Riccucci et al. 2004; Sandfort 2000)","noteIndex":0},"citationItems":[{"id":1865,"uris":["http://zotero.org/groups/385054/items/WJZ7RTM6"],"uri":["http://zotero.org/groups/385054/items/WJZ7RTM6"],"itemData":{"id":1865,"type":"book","title":"Working, Shirking, and Sabotage: Bureaucratic Response to a Democratic Public","publisher":"University of Michigan Press","publisher-place":"Ann Arbor, MI","source":"catalog.lib.ou.edu Library Catalog","event-place":"Ann Arbor, MI","abstract":"Pages: x, 270 p\nItem info: Place Recall\n: Ann Arbor : University of Michigan Press, c1997\n: x, 270 p. : ill. ; 24 cm\n: lc","ISBN":"0-472-10764-X","call-number":"JK 768.4 .B74 1997","shortTitle":"Working, Shirking, and Sabotage","author":[{"family":"Brehm","given":"John"},{"family":"Gates","given":"Scott"}],"issued":{"date-parts":[["1997"]]}}},{"id":6383,"uris":["http://zotero.org/users/2595715/items/EXI6ACCA"],"uri":["http://zotero.org/users/2595715/items/EXI6ACCA"],"itemData":{"id":6383,"type":"article-journal","title":"Street-Level Bureaucrats and Intrastate Variation in the Implementation of Temporary Assistance for Needy Families Policies","container-title":"Journal of Public Administration Research and Theory: J-PART","page":"89-111","volume":"15","issue":"1","source":"JSTOR","abstract":"This article examines the impact of street-level bureaucrats on the implementation of Temporary Assistance for Needy Families policies in the State of Michigan. Michigan's welfare programs are highly centralized, leaving counties very little formal discretion to run their programs. The formal signals sent by Michigan officials around welfare reform revolve around work first-immediate job placement over human capital investment. In a two-step analysis, including Analysis of Variance techniques, an examination of three local sites within Michigan indicates that street-level bureaucrats in welfare offices do not see their own priorities in the context of the formal goal of welfare in Michigan (i.e., work first). Moreover, the research indicates that there is variation across the three counties within the state. The findings of this research ultimately suggest that the discretionary power of street-level bureaucrats is an important determinant in the implementation of public policy, and that reference point of their discretionary power is not the supervisor but, in fact, the client.","ISSN":"1053-1858","author":[{"family":"Riccucci","given":"Norma M."}],"issued":{"date-parts":[["2005"]]}}},{"id":6374,"uris":["http://zotero.org/users/2595715/items/HXBL2CT6"],"uri":["http://zotero.org/users/2595715/items/HXBL2CT6"],"itemData":{"id":6374,"type":"article-journal","title":"The Implementation of Welfare Reform Policy: The Role of Public Managers in Front-Line Practices","container-title":"Public Administration Review","page":"438-448","volume":"64","issue":"4","source":"Wiley Online Library","abstract":"This study examines the extent to which staff in local welfare systems have embraced new welfare reform goals and, if so, the extent to which local management practices contribute to the alignment of staff priorities with policy objectives. It looks at agency structure and several aspects of public management from a microperspective that prior research has linked to agency performance including training, performance monitoring, staff resources, leadership characteristics, and personnel characteristics. The research indicates that front-line workers in welfare offices continue to believe that traditional eligibility determination concerns are the most important goals at their agencies. It also finds that management practices and the structuring of agency responsibilities matter: To the extent that public managers want to redirect local staff to focus their attention on the new goals associated with welfare reform, they can create the conditions under which staff have clear signals about what is expected and could provide them with the resources and incentives to realign their priorities.","DOI":"10.1111/j.1540-6210.2004.00390.x","ISSN":"1540-6210","shortTitle":"The Implementation of Welfare Reform Policy","language":"en","author":[{"family":"Riccucci","given":"Norma M."},{"family":"Meyers","given":"Marcia K."},{"family":"Lurie","given":"Irene"},{"family":"Han","given":"Jun Seop"}],"issued":{"date-parts":[["2004"]]}}},{"id":230,"uris":["http://zotero.org/users/2595715/items/UZ56GTPS"],"uri":["http://zotero.org/users/2595715/items/UZ56GTPS"],"itemData":{"id":230,"type":"article-journal","title":"Moving Beyond Discretion and Outcomes: Examining Public Management from the Front Lines of the Welfare System","container-title":"Journal of Public Administration Research and Theory","page":"729-756","volume":"10","issue":"4","source":"academic.oup.com","DOI":"10.1093/oxfordjournals.jpart.a024289","ISSN":"1053-1858","shortTitle":"Moving Beyond Discretion and Outcomes","journalAbbreviation":"J Public Adm Res Theory","author":[{"family":"Sandfort","given":"Jodi R."}],"issued":{"date-parts":[["2000",10,1]]}}}],"schema":"https://github.com/citation-style-language/schema/raw/master/csl-citation.json"}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(Brehm and Gates 1997; Riccucci 2005; Sandfort 2000)</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For instance, in the context of welfare reform, Riccucci et al. (2004) find that despite welfare reform policy changes aimed at reducing access to welfare, front-line employees did not deter clients from staying on welfare rolls. In this case, SLBs were unwilling to implement the policy change and utilized discretion as a force of resistance. Although the literature has documented the role of individual values and beliefs as a dominating force in exercising discretion, other factors are not totally irrelevant in discretionary decisions. In fact, managerial </w:t>
      </w:r>
      <w:r w:rsidRPr="005B2DFB">
        <w:rPr>
          <w:rFonts w:ascii="Times New Roman" w:hAnsi="Times New Roman" w:cs="Times New Roman"/>
          <w:sz w:val="24"/>
          <w:szCs w:val="24"/>
        </w:rPr>
        <w:lastRenderedPageBreak/>
        <w:t xml:space="preserve">influences such as training, performance monitoring, and leadership, as well as contextual factors, such as workload and political environments, can impact the alignment of policy goals and SLBs’ priorities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{"citationID":"Ro43zT0A","properties":{"formattedCitation":"(May and Winter 2009; Riccucci et al. 2004)","plainCitation":"(May and Winter 2009; Riccucci et al. 2004)","noteIndex":0},"citationItems":[{"id":6354,"uris":["http://zotero.org/users/2595715/items/HW8P4KKP"],"uri":["http://zotero.org/users/2595715/items/HW8P4KKP"],"itemData":{"id":6354,"type":"article-journal","title":"Politicians, Managers, and Street-Level Bureaucrats: Influences on Policy Implementation","container-title":"Journal of Public Administration Research and Theory","page":"453-476","volume":"19","issue":"3","source":"academic.oup.com","abstract":"Abstract.  This article addresses the influence of politicians, managers, and the dispositions of street-level bureaucrats in shaping actions at the frontlines","DOI":"10.1093/jopart/mum030","ISSN":"1053-1858","shortTitle":"Politicians, Managers, and Street-Level Bureaucrats","journalAbbreviation":"J Public Adm Res Theory","language":"en","author":[{"family":"May","given":"Peter J."},{"family":"Winter","given":"Søren C."}],"issued":{"date-parts":[["2009",7,1]]}}},{"id":6374,"uris":["http://zotero.org/users/2595715/items/HXBL2CT6"],"uri":["http://zotero.org/users/2595715/items/HXBL2CT6"],"itemData":{"id":6374,"type":"article-journal","title":"The Implementation of Welfare Reform Policy: The Role of Public Managers in Front-Line Practices","container-title":"Public Administration Review","page":"438-448","volume":"64","issue":"4","source":"Wiley Online Library","abstract":"This study examines the extent to which staff in local welfare systems have embraced new welfare reform goals and, if so, the extent to which local management practices contribute to the alignment of staff priorities with policy objectives. It looks at agency structure and several aspects of public management from a microperspective that prior research has linked to agency performance including training, performance monitoring, staff resources, leadership characteristics, and personnel characteristics. The research indicates that front-line workers in welfare offices continue to believe that traditional eligibility determination concerns are the most important goals at their agencies. It also finds that management practices and the structuring of agency responsibilities matter: To the extent that public managers want to redirect local staff to focus their attention on the new goals associated with welfare reform, they can create the conditions under which staff have clear signals about what is expected and could provide them with the resources and incentives to realign their priorities.","DOI":"10.1111/j.1540-6210.2004.00390.x","ISSN":"1540-6210","shortTitle":"The Implementation of Welfare Reform Policy","language":"en","author":[{"family":"Riccucci","given":"Norma M."},{"family":"Meyers","given":"Marcia K."},{"family":"Lurie","given":"Irene"},{"family":"Han","given":"Jun Seop"}],"issued":{"date-parts":[["2004"]]}}}],"schema":"https://github.com/citation-style-language/schema/raw/master/csl-citation.json"}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 and Winter 2009; Riccucci et al. 2004)</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However, the main element shaping the use of discretion by SLBs are individual values and beliefs, which introduces the potential for individual </w:t>
      </w:r>
      <w:r w:rsidRPr="005B2DFB">
        <w:rPr>
          <w:rStyle w:val="st"/>
          <w:rFonts w:ascii="Times New Roman" w:hAnsi="Times New Roman" w:cs="Times New Roman"/>
          <w:sz w:val="24"/>
          <w:szCs w:val="24"/>
        </w:rPr>
        <w:t>SLBs to mitigate or exacerbate the sting of administrative burden.</w:t>
      </w:r>
      <w:r w:rsidRPr="005B2DFB">
        <w:rPr>
          <w:rFonts w:ascii="Times New Roman" w:hAnsi="Times New Roman" w:cs="Times New Roman"/>
          <w:sz w:val="24"/>
          <w:szCs w:val="24"/>
        </w:rPr>
        <w:t xml:space="preserve"> </w:t>
      </w:r>
    </w:p>
    <w:p w14:paraId="6D03D734" w14:textId="77777777" w:rsidR="0046518A" w:rsidRPr="005B2DFB" w:rsidRDefault="0046518A" w:rsidP="0046518A">
      <w:pPr>
        <w:spacing w:after="0" w:line="480" w:lineRule="auto"/>
        <w:ind w:firstLine="720"/>
        <w:rPr>
          <w:rStyle w:val="st"/>
          <w:rFonts w:ascii="Times New Roman" w:hAnsi="Times New Roman" w:cs="Times New Roman"/>
          <w:sz w:val="24"/>
          <w:szCs w:val="24"/>
        </w:rPr>
      </w:pPr>
      <w:r w:rsidRPr="005B2DFB">
        <w:rPr>
          <w:rFonts w:ascii="Times New Roman" w:hAnsi="Times New Roman" w:cs="Times New Roman"/>
          <w:sz w:val="24"/>
          <w:szCs w:val="24"/>
        </w:rPr>
        <w:t xml:space="preserve">Indeed, in the context of administrative burden, there is either the potential for SLBs to 1) comply with rules and policy directions perceived as justified, which may limit access to public programs, or 2) leverage discretion to counteract the forces of administrative burdens on clients that they perceive as deserving of assistance. </w:t>
      </w:r>
      <w:r w:rsidRPr="005B2DFB">
        <w:rPr>
          <w:rStyle w:val="st"/>
          <w:rFonts w:ascii="Times New Roman" w:hAnsi="Times New Roman" w:cs="Times New Roman"/>
          <w:sz w:val="24"/>
          <w:szCs w:val="24"/>
        </w:rPr>
        <w:t xml:space="preserve">As manifestations of individual values and beliefs of SLBs, we predict that a key factor in this process will be role perceptions, which influence the use of discretion and likely impact program access under a system of administrative burden (Maynard-Moody &amp; Musheno 2000; </w:t>
      </w:r>
      <w:r w:rsidRPr="005B2DFB">
        <w:rPr>
          <w:rFonts w:ascii="Times New Roman" w:hAnsi="Times New Roman" w:cs="Times New Roman"/>
          <w:sz w:val="24"/>
          <w:szCs w:val="24"/>
        </w:rPr>
        <w:t>Riccucci, 2005; Sandfort, 2000</w:t>
      </w:r>
      <w:r w:rsidRPr="005B2DFB">
        <w:rPr>
          <w:rStyle w:val="st"/>
          <w:rFonts w:ascii="Times New Roman" w:hAnsi="Times New Roman" w:cs="Times New Roman"/>
          <w:sz w:val="24"/>
          <w:szCs w:val="24"/>
        </w:rPr>
        <w:t xml:space="preserve">). This expectation is grounded in previous literature that finds varying meanings of success and role perceptions, with some SLBs going out of their way to help those who need it no matter the consequences and others acting within the strict set of rules and boundaries to act in compliance with the law and higher level administrators </w:t>
      </w:r>
      <w:r w:rsidRPr="005B2DFB">
        <w:rPr>
          <w:rStyle w:val="st"/>
          <w:rFonts w:ascii="Times New Roman" w:hAnsi="Times New Roman" w:cs="Times New Roman"/>
          <w:sz w:val="24"/>
          <w:szCs w:val="24"/>
        </w:rPr>
        <w:fldChar w:fldCharType="begin"/>
      </w:r>
      <w:r w:rsidRPr="005B2DFB">
        <w:rPr>
          <w:rStyle w:val="st"/>
          <w:rFonts w:ascii="Times New Roman" w:hAnsi="Times New Roman" w:cs="Times New Roman"/>
          <w:sz w:val="24"/>
          <w:szCs w:val="24"/>
        </w:rPr>
        <w:instrText xml:space="preserve"> ADDIN ZOTERO_ITEM CSL_CITATION {"citationID":"khLwpzkj","properties":{"formattedCitation":"(S. Maynard-Moody and Musheno 2000)","plainCitation":"(S. Maynard-Moody and Musheno 2000)","dontUpdate":true,"noteIndex":0},"citationItems":[{"id":6111,"uris":["http://zotero.org/users/2595715/items/9Y9KIRXD"],"uri":["http://zotero.org/users/2595715/items/9Y9KIRXD"],"itemData":{"id":6111,"type":"article-journal","title":"State Agent or Citizen Agent: Two Narratives of Discretion","container-title":"Journal of Public Administration Research and Theory","page":"329-358","volume":"10","issue":"2","source":"academic.oup.com","abstract":"In street-level work discretion is inevitable. Scholars have articulated a dominant view or narrative that addresses the role of discretion in the administrative state. This state-agent narrative acknowledges inevitability of discretion and emphasizes that self-interest guides street-level choices: street-level workers use their discretion to make their work easier, safer, and more rewarding. In addition the dominant narrative describes street-level workers as policy makers, yet it worries about the threat that street-level discretion poses to democratic governance.Street-level workers, themselves, tell a different story, a counternarrative of the worker acting as a citizen agent. These two narratives are not wholly inconsistent but they differ in emphasis and meaning. The description of the street-level counter-narrative is based on extensive fieldwork in two states and five agencies. Rather than discretionary state agents who act in response to rules, procedures, and law, street-level workers describe themselves as citizen agents who act in response to individuals and circumstances. They do not describe what they do as contributing to policy making or even as implementing policy. Moreover, street-level workers do not describe their decisions and actions as based on their views of the correctness of the rules, wisdom of the policy, or accountability to any hierarchical authority or democratic principle. They base their decisions on their judgment of the worth of the individual citizen client.Street-level workers discount the importance of self-interest and will often make their work harder, more unpleasant, more dangerous, and less officially successful in order to respond to the needs of individuals. They describe themselves as decision makers, but they base their decisions on normative choices, not in response to rules, procedures, or policies. These normative choices are defined in terms of relationships to citizens, clients, coworkers, and the system. By substituting their pragmatic judgments for the unrealistic views of those with formal and legitimate authority, street-level workers are, in their view, acting responsibly.","DOI":"10.1093/oxfordjournals.jpart.a024272","ISSN":"1053-1858","shortTitle":"State Agent or Citizen Agent","journalAbbreviation":"J Public Adm Res Theory","language":"en","author":[{"family":"Maynard-Moody","given":"Steven"},{"family":"Musheno","given":"Michael"}],"issued":{"date-parts":[["2000",4,1]]}}}],"schema":"https://github.com/citation-style-language/schema/raw/master/csl-citation.json"} </w:instrText>
      </w:r>
      <w:r w:rsidRPr="005B2DFB">
        <w:rPr>
          <w:rStyle w:val="st"/>
          <w:rFonts w:ascii="Times New Roman" w:hAnsi="Times New Roman" w:cs="Times New Roman"/>
          <w:sz w:val="24"/>
          <w:szCs w:val="24"/>
        </w:rPr>
        <w:fldChar w:fldCharType="separate"/>
      </w:r>
      <w:r w:rsidRPr="005B2DFB">
        <w:rPr>
          <w:rFonts w:ascii="Times New Roman" w:hAnsi="Times New Roman" w:cs="Times New Roman"/>
          <w:sz w:val="24"/>
          <w:szCs w:val="24"/>
        </w:rPr>
        <w:t>(Maynard-Moody and Musheno 2000)</w:t>
      </w:r>
      <w:r w:rsidRPr="005B2DFB">
        <w:rPr>
          <w:rStyle w:val="st"/>
          <w:rFonts w:ascii="Times New Roman" w:hAnsi="Times New Roman" w:cs="Times New Roman"/>
          <w:sz w:val="24"/>
          <w:szCs w:val="24"/>
        </w:rPr>
        <w:fldChar w:fldCharType="end"/>
      </w:r>
      <w:r w:rsidRPr="005B2DFB">
        <w:rPr>
          <w:rStyle w:val="st"/>
          <w:rFonts w:ascii="Times New Roman" w:hAnsi="Times New Roman" w:cs="Times New Roman"/>
          <w:sz w:val="24"/>
          <w:szCs w:val="24"/>
        </w:rPr>
        <w:t xml:space="preserve">. This divergence in the use of discretion is inextricably linked to the ways in which SLBs perceive their role in the implementation of a program. For instance, if SLBs see themselves as agents of the state who are responsible for protecting a valuable, tax-payer funded program from those who would cheat the system, the use of discretion might be first and foremost about gatekeeping. To these SLBs, administrative burden in the application process may be necessary to balance the budget and ensure that tax payer dollars are not wasted on undeserving clientele. In these cases, we predict </w:t>
      </w:r>
      <w:r w:rsidRPr="005B2DFB">
        <w:rPr>
          <w:rStyle w:val="st"/>
          <w:rFonts w:ascii="Times New Roman" w:hAnsi="Times New Roman" w:cs="Times New Roman"/>
          <w:sz w:val="24"/>
          <w:szCs w:val="24"/>
        </w:rPr>
        <w:lastRenderedPageBreak/>
        <w:t xml:space="preserve">that SLBs taking on a compliance role, in which the SLB is mainly concerned with making sure applicants are meeting program requirements, will be negatively associated with program access. </w:t>
      </w:r>
    </w:p>
    <w:p w14:paraId="4763E69E" w14:textId="77777777" w:rsidR="0046518A" w:rsidRPr="005B2DFB" w:rsidRDefault="0046518A" w:rsidP="0046518A">
      <w:pPr>
        <w:spacing w:after="0" w:line="480" w:lineRule="auto"/>
        <w:jc w:val="center"/>
        <w:rPr>
          <w:rStyle w:val="st"/>
          <w:rFonts w:ascii="Times New Roman" w:hAnsi="Times New Roman" w:cs="Times New Roman"/>
          <w:i/>
          <w:sz w:val="24"/>
          <w:szCs w:val="24"/>
        </w:rPr>
      </w:pPr>
      <w:r w:rsidRPr="005B2DFB">
        <w:rPr>
          <w:rFonts w:ascii="Times New Roman" w:hAnsi="Times New Roman" w:cs="Times New Roman"/>
          <w:i/>
          <w:sz w:val="24"/>
          <w:szCs w:val="24"/>
        </w:rPr>
        <w:t>H1: In a program affected by administrative burden, SLBs’ that take on a compliance role will be negatively associated with program access.</w:t>
      </w:r>
    </w:p>
    <w:p w14:paraId="5E9317A2" w14:textId="77777777" w:rsidR="0046518A" w:rsidRPr="005B2DFB" w:rsidRDefault="0046518A" w:rsidP="0046518A">
      <w:pPr>
        <w:spacing w:after="0" w:line="480" w:lineRule="auto"/>
        <w:ind w:firstLine="720"/>
        <w:rPr>
          <w:rStyle w:val="st"/>
          <w:rFonts w:ascii="Times New Roman" w:hAnsi="Times New Roman" w:cs="Times New Roman"/>
          <w:sz w:val="24"/>
          <w:szCs w:val="24"/>
        </w:rPr>
      </w:pPr>
      <w:r w:rsidRPr="005B2DFB">
        <w:rPr>
          <w:rStyle w:val="st"/>
          <w:rFonts w:ascii="Times New Roman" w:hAnsi="Times New Roman" w:cs="Times New Roman"/>
          <w:sz w:val="24"/>
          <w:szCs w:val="24"/>
        </w:rPr>
        <w:t>On the other hand, another SLB might take on the responsibility for fulfilling the program goals of expanding access to opportunity and may use discretion to increase resilience to the administrative burdens. Learning costs, along with psychological and compliance costs, may be formidable only in situations where SLBs do not take on the responsibility for reducing these costs. If part of the perceived role in implementation involves making sure students do not feel the stigma, information asymmetry, and compliance burdens in the application process, clients may be able to overcome administrative burdens and gain access to the program. These SLBs, because they believe their role to be a client advocate or support official, may even bend the rules on behalf of an applicant they consider deserving of program access. Therefore, we predict that SLBs taking on a support role will likely use discretion in ways that reduce learning, compliance and psychological costs for applicants and facilitate a higher level of program access.</w:t>
      </w:r>
    </w:p>
    <w:p w14:paraId="4BFE92B1" w14:textId="77777777" w:rsidR="0046518A" w:rsidRPr="005B2DFB" w:rsidRDefault="0046518A" w:rsidP="0046518A">
      <w:pPr>
        <w:spacing w:after="0" w:line="480" w:lineRule="auto"/>
        <w:jc w:val="center"/>
        <w:rPr>
          <w:rStyle w:val="st"/>
          <w:rFonts w:ascii="Times New Roman" w:hAnsi="Times New Roman" w:cs="Times New Roman"/>
          <w:i/>
          <w:sz w:val="24"/>
          <w:szCs w:val="24"/>
        </w:rPr>
      </w:pPr>
      <w:r w:rsidRPr="005B2DFB">
        <w:rPr>
          <w:rFonts w:ascii="Times New Roman" w:hAnsi="Times New Roman" w:cs="Times New Roman"/>
          <w:i/>
          <w:sz w:val="24"/>
          <w:szCs w:val="24"/>
        </w:rPr>
        <w:t xml:space="preserve">H2: In a program affected by administrative burden, SLBs’ that take on a support role will be positively associated with program access. </w:t>
      </w:r>
    </w:p>
    <w:p w14:paraId="004E7F46"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The Oklahoma’s Promise Program</w:t>
      </w:r>
    </w:p>
    <w:p w14:paraId="5E755447"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We strategically select Oklahoma’s Promise Program as the test case for these hypotheses because the program requires students to meet a stringent set of requirements, similar to the programs in administrative burden literature, but reflect a new and unique policy area. The Oklahoma Promise’s program is a means-tested financial aid policy designed to increase college access by covering the full cost of tuition for low-income students attending Oklahoma colleges </w:t>
      </w:r>
      <w:r w:rsidRPr="005B2DFB">
        <w:rPr>
          <w:rFonts w:ascii="Times New Roman" w:hAnsi="Times New Roman" w:cs="Times New Roman"/>
          <w:sz w:val="24"/>
          <w:szCs w:val="24"/>
        </w:rPr>
        <w:lastRenderedPageBreak/>
        <w:fldChar w:fldCharType="begin"/>
      </w:r>
      <w:r w:rsidRPr="005B2DFB">
        <w:rPr>
          <w:rFonts w:ascii="Times New Roman" w:hAnsi="Times New Roman" w:cs="Times New Roman"/>
          <w:sz w:val="24"/>
          <w:szCs w:val="24"/>
        </w:rPr>
        <w:instrText xml:space="preserve"> ADDIN ZOTERO_ITEM CSL_CITATION {"citationID":"gVwmk8Hp","properties":{"formattedCitation":"(Oklahoma State Regents for Higher Education 2017)","plainCitation":"(Oklahoma State Regents for Higher Education 2017)","noteIndex":0},"citationItems":[{"id":6447,"uris":["http://zotero.org/users/2595715/items/FF93TMZG"],"uri":["http://zotero.org/users/2595715/items/FF93TMZG"],"itemData":{"id":6447,"type":"report","title":"Oklahoma's Promise 2016-17 Year End Report","author":[{"family":"Oklahoma State Regents for Higher Education","given":""}],"issued":{"date-parts":[["2017"]]}}}],"schema":"https://github.com/citation-style-language/schema/raw/master/csl-citation.json"}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(Oklahoma State Regents for Higher Education 2017)</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As an early commitment financial aid program, Oklahoma’s Promise seeks to not only provide financial support to low-income, first-generation students but also to reduce the information asymmetry between these students and their higher-income peers.</w:t>
      </w:r>
      <w:r w:rsidRPr="00E3535F">
        <w:rPr>
          <w:rStyle w:val="FootnoteReference"/>
        </w:rPr>
        <w:footnoteReference w:id="6"/>
      </w:r>
      <w:r w:rsidRPr="005B2DFB">
        <w:rPr>
          <w:rFonts w:ascii="Times New Roman" w:hAnsi="Times New Roman" w:cs="Times New Roman"/>
          <w:sz w:val="24"/>
          <w:szCs w:val="24"/>
        </w:rPr>
        <w:t xml:space="preserve"> In this way, the Oklahoma’s Promise program was created with the explicit intention of shifting the burden away from families in the college preparation and financial aid process to reduce inequalities in college access and affordability. However, the administrative burdens placed on families during the application process, coupled with decentralized implementation processes, may undermine the ability of low-income students to access the scholarship program. </w:t>
      </w:r>
    </w:p>
    <w:p w14:paraId="562F1C4F"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The Oklahoma’s Promise program was created by the Oklahoma Legislature in 1992 and has been amended significantly over time. Since its enactment, lawmakers have increased the eligibility requirements for the program, effectively expanding the burdens on prospective promise students over time.</w:t>
      </w:r>
      <w:r w:rsidRPr="00E3535F">
        <w:rPr>
          <w:rStyle w:val="FootnoteReference"/>
        </w:rPr>
        <w:footnoteReference w:id="7"/>
      </w:r>
      <w:r w:rsidRPr="005B2DFB">
        <w:rPr>
          <w:rFonts w:ascii="Times New Roman" w:hAnsi="Times New Roman" w:cs="Times New Roman"/>
          <w:sz w:val="24"/>
          <w:szCs w:val="24"/>
        </w:rPr>
        <w:t xml:space="preserve"> As part of the original program design, students were required to meet income thresholds, take a core high school curriculum, maintain a 2.5 high school grade point average (GPA), attend school regularly, and refrain from criminal activity and substance abuse. These already stringent eligibility requirements have increased over time. Lawmakers have expanded the core curriculum, required evidence of citizenship, enforced additional income verification requirements once a student enters college, required students to meet satisfactory academic progress and avoid any disciplinary incidents, eliminated support for remedial courses, and capped the total number of credit hours that the program will cover for students. These requirements affect the ability of students to 1) understand the program eligibility requirements, </w:t>
      </w:r>
      <w:r w:rsidRPr="005B2DFB">
        <w:rPr>
          <w:rFonts w:ascii="Times New Roman" w:hAnsi="Times New Roman" w:cs="Times New Roman"/>
          <w:sz w:val="24"/>
          <w:szCs w:val="24"/>
        </w:rPr>
        <w:lastRenderedPageBreak/>
        <w:t xml:space="preserve">2) comply with the requirements, and 3) develop the psychological strength to overcome the social stigmas associated with the recurring means-tests along the way. </w:t>
      </w:r>
    </w:p>
    <w:p w14:paraId="685DD5DE"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Moreover, these programmatic changes are implemented through both the Oklahoma State Regents for Higher Education (OSRHE), which is the centralized state agency responsible for administration of the scholarship program, and through a decentralized system of SLBs.</w:t>
      </w:r>
      <w:r w:rsidRPr="00E3535F">
        <w:rPr>
          <w:rStyle w:val="FootnoteReference"/>
        </w:rPr>
        <w:footnoteReference w:id="8"/>
      </w:r>
      <w:r w:rsidRPr="005B2DFB">
        <w:rPr>
          <w:rFonts w:ascii="Times New Roman" w:hAnsi="Times New Roman" w:cs="Times New Roman"/>
          <w:sz w:val="24"/>
          <w:szCs w:val="24"/>
        </w:rPr>
        <w:t xml:space="preserve"> Indeed, while Oklahoma’s Promise is </w:t>
      </w:r>
      <w:r w:rsidRPr="005B2DFB">
        <w:rPr>
          <w:rFonts w:ascii="Times New Roman" w:eastAsia="Times New Roman" w:hAnsi="Times New Roman" w:cs="Times New Roman"/>
          <w:sz w:val="24"/>
          <w:szCs w:val="24"/>
        </w:rPr>
        <w:t>stringent and prescriptive regarding its eligibility requirements, substantial discretion is delegated to the decentralized K-12 school system in compliance certification and program advertisement. Given the existence of local variation in resources and community values within this decentralized system, front-level employees maintain high levels of discretion in how they conceive of and carry out their duties as implementation officials in the Oklahoma’s Promise program</w:t>
      </w:r>
      <w:r w:rsidRPr="005B2DFB">
        <w:rPr>
          <w:rFonts w:ascii="Times New Roman" w:hAnsi="Times New Roman" w:cs="Times New Roman"/>
          <w:sz w:val="24"/>
          <w:szCs w:val="24"/>
        </w:rPr>
        <w:t xml:space="preserve">. Therefore, the Oklahoma’s Promise scholarship program, as opposed to a financial aid program that is automatically awarded to students based on income, like the federal Pell Grant, requires the interaction of SLBs charged with implementing the program and students in the application process. </w:t>
      </w:r>
    </w:p>
    <w:p w14:paraId="550C343A" w14:textId="19D867FE" w:rsidR="00081BE2" w:rsidRPr="00081BE2" w:rsidRDefault="0046518A" w:rsidP="00081BE2">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As a result, differential use of discretionary authority in program administration likely impact the experiences of clientele and factor into the variation in program access across high schools shown in Figure </w:t>
      </w:r>
      <w:r w:rsidR="00347224">
        <w:rPr>
          <w:rFonts w:ascii="Times New Roman" w:hAnsi="Times New Roman" w:cs="Times New Roman"/>
          <w:sz w:val="24"/>
          <w:szCs w:val="24"/>
        </w:rPr>
        <w:t>4-2</w:t>
      </w:r>
      <w:r w:rsidRPr="005B2DFB">
        <w:rPr>
          <w:rFonts w:ascii="Times New Roman" w:hAnsi="Times New Roman" w:cs="Times New Roman"/>
          <w:sz w:val="24"/>
          <w:szCs w:val="24"/>
        </w:rPr>
        <w:t>.</w:t>
      </w:r>
      <w:r w:rsidRPr="00E3535F">
        <w:rPr>
          <w:rStyle w:val="FootnoteReference"/>
        </w:rPr>
        <w:footnoteReference w:id="9"/>
      </w:r>
      <w:r w:rsidRPr="005B2DFB">
        <w:rPr>
          <w:rFonts w:ascii="Times New Roman" w:hAnsi="Times New Roman" w:cs="Times New Roman"/>
          <w:sz w:val="24"/>
          <w:szCs w:val="24"/>
        </w:rPr>
        <w:t xml:space="preserve"> Figure </w:t>
      </w:r>
      <w:r w:rsidR="00347224">
        <w:rPr>
          <w:rFonts w:ascii="Times New Roman" w:hAnsi="Times New Roman" w:cs="Times New Roman"/>
          <w:sz w:val="24"/>
          <w:szCs w:val="24"/>
        </w:rPr>
        <w:t>4-2</w:t>
      </w:r>
      <w:r w:rsidRPr="005B2DFB">
        <w:rPr>
          <w:rFonts w:ascii="Times New Roman" w:hAnsi="Times New Roman" w:cs="Times New Roman"/>
          <w:sz w:val="24"/>
          <w:szCs w:val="24"/>
        </w:rPr>
        <w:t xml:space="preserve"> shows that there is substantial variation in the </w:t>
      </w:r>
      <w:r w:rsidRPr="005B2DFB">
        <w:rPr>
          <w:rFonts w:ascii="Times New Roman" w:hAnsi="Times New Roman" w:cs="Times New Roman"/>
          <w:sz w:val="24"/>
          <w:szCs w:val="24"/>
        </w:rPr>
        <w:lastRenderedPageBreak/>
        <w:t>distribution of program access—measured as the proportion of students gaining access to the Promise in each high school—and that the survey sample approximates the state-wide population.</w:t>
      </w:r>
      <w:r w:rsidRPr="00E3535F">
        <w:rPr>
          <w:rStyle w:val="FootnoteReference"/>
        </w:rPr>
        <w:footnoteReference w:id="10"/>
      </w:r>
      <w:r w:rsidRPr="005B2DFB">
        <w:rPr>
          <w:rFonts w:ascii="Times New Roman" w:hAnsi="Times New Roman" w:cs="Times New Roman"/>
          <w:sz w:val="24"/>
          <w:szCs w:val="24"/>
        </w:rPr>
        <w:t xml:space="preserve"> The determinants of this variation in the ability of students to access the Oklahoma’s Promise program will be explored in detail in the forthcoming analysis. </w:t>
      </w:r>
    </w:p>
    <w:p w14:paraId="503C80BE" w14:textId="77777777" w:rsidR="00081BE2" w:rsidRDefault="00081BE2" w:rsidP="00081BE2">
      <w:pPr>
        <w:rPr>
          <w:rFonts w:ascii="Palatino Linotype" w:hAnsi="Palatino Linotype"/>
        </w:rPr>
      </w:pPr>
      <w:r w:rsidRPr="00FC785D">
        <w:rPr>
          <w:rFonts w:ascii="Palatino Linotype" w:hAnsi="Palatino Linotype"/>
          <w:noProof/>
        </w:rPr>
        <mc:AlternateContent>
          <mc:Choice Requires="wps">
            <w:drawing>
              <wp:anchor distT="45720" distB="45720" distL="114300" distR="114300" simplePos="0" relativeHeight="251685888" behindDoc="0" locked="0" layoutInCell="1" allowOverlap="1" wp14:anchorId="6FE59CC6" wp14:editId="370EC8EF">
                <wp:simplePos x="0" y="0"/>
                <wp:positionH relativeFrom="margin">
                  <wp:align>left</wp:align>
                </wp:positionH>
                <wp:positionV relativeFrom="paragraph">
                  <wp:posOffset>5715</wp:posOffset>
                </wp:positionV>
                <wp:extent cx="3771900" cy="3200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320040"/>
                        </a:xfrm>
                        <a:prstGeom prst="rect">
                          <a:avLst/>
                        </a:prstGeom>
                        <a:noFill/>
                        <a:ln w="9525">
                          <a:noFill/>
                          <a:miter lim="800000"/>
                          <a:headEnd/>
                          <a:tailEnd/>
                        </a:ln>
                      </wps:spPr>
                      <wps:txbx>
                        <w:txbxContent>
                          <w:p w14:paraId="46BDE36B" w14:textId="77777777" w:rsidR="00212138" w:rsidRPr="00B015B2" w:rsidRDefault="00212138" w:rsidP="00081BE2">
                            <w:pPr>
                              <w:rPr>
                                <w:rFonts w:ascii="Palatino Linotype" w:hAnsi="Palatino Linotype"/>
                                <w:sz w:val="24"/>
                              </w:rPr>
                            </w:pPr>
                            <w:r w:rsidRPr="00B015B2">
                              <w:rPr>
                                <w:rFonts w:ascii="Palatino Linotype" w:hAnsi="Palatino Linotype"/>
                                <w:sz w:val="24"/>
                              </w:rPr>
                              <w:t>High Schools in Oklahoma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59CC6" id="_x0000_t202" coordsize="21600,21600" o:spt="202" path="m,l,21600r21600,l21600,xe">
                <v:stroke joinstyle="miter"/>
                <v:path gradientshapeok="t" o:connecttype="rect"/>
              </v:shapetype>
              <v:shape id="Text Box 2" o:spid="_x0000_s1026" type="#_x0000_t202" style="position:absolute;margin-left:0;margin-top:.45pt;width:297pt;height:25.2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" filled="f" stroked="f">
                <v:textbox>
                  <w:txbxContent>
                    <w:p w14:paraId="46BDE36B" w14:textId="77777777" w:rsidR="00212138" w:rsidRPr="00B015B2" w:rsidRDefault="00212138" w:rsidP="00081BE2">
                      <w:pPr>
                        <w:rPr>
                          <w:rFonts w:ascii="Palatino Linotype" w:hAnsi="Palatino Linotype"/>
                          <w:sz w:val="24"/>
                        </w:rPr>
                      </w:pPr>
                      <w:r w:rsidRPr="00B015B2">
                        <w:rPr>
                          <w:rFonts w:ascii="Palatino Linotype" w:hAnsi="Palatino Linotype"/>
                          <w:sz w:val="24"/>
                        </w:rPr>
                        <w:t>High Schools in Oklahoma</w:t>
                      </w:r>
                    </w:p>
                  </w:txbxContent>
                </v:textbox>
                <w10:wrap type="square" anchorx="margin"/>
              </v:shape>
            </w:pict>
          </mc:Fallback>
        </mc:AlternateContent>
      </w:r>
      <w:r>
        <w:rPr>
          <w:noProof/>
        </w:rPr>
        <w:drawing>
          <wp:anchor distT="0" distB="0" distL="114300" distR="114300" simplePos="0" relativeHeight="251684864" behindDoc="1" locked="0" layoutInCell="1" allowOverlap="1" wp14:anchorId="1218077B" wp14:editId="3EE3A3CB">
            <wp:simplePos x="0" y="0"/>
            <wp:positionH relativeFrom="margin">
              <wp:align>left</wp:align>
            </wp:positionH>
            <wp:positionV relativeFrom="paragraph">
              <wp:posOffset>240030</wp:posOffset>
            </wp:positionV>
            <wp:extent cx="4032504" cy="2926080"/>
            <wp:effectExtent l="0" t="0" r="6350" b="7620"/>
            <wp:wrapTight wrapText="bothSides">
              <wp:wrapPolygon edited="0">
                <wp:start x="0" y="0"/>
                <wp:lineTo x="0" y="21516"/>
                <wp:lineTo x="21532" y="21516"/>
                <wp:lineTo x="2153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32504" cy="2926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3D38A" w14:textId="77777777" w:rsidR="00081BE2" w:rsidRDefault="00081BE2" w:rsidP="00081BE2">
      <w:pPr>
        <w:rPr>
          <w:rFonts w:ascii="Palatino Linotype" w:hAnsi="Palatino Linotype"/>
        </w:rPr>
      </w:pPr>
    </w:p>
    <w:p w14:paraId="457718CB" w14:textId="77777777" w:rsidR="00081BE2" w:rsidRDefault="00081BE2" w:rsidP="00081BE2">
      <w:pPr>
        <w:rPr>
          <w:rFonts w:ascii="Palatino Linotype" w:hAnsi="Palatino Linotype"/>
        </w:rPr>
      </w:pPr>
    </w:p>
    <w:p w14:paraId="04FEFE6A" w14:textId="77777777" w:rsidR="00081BE2" w:rsidRDefault="00081BE2" w:rsidP="00081BE2">
      <w:pPr>
        <w:rPr>
          <w:rFonts w:ascii="Palatino Linotype" w:hAnsi="Palatino Linotype"/>
        </w:rPr>
      </w:pPr>
      <w:r w:rsidRPr="00FC785D">
        <w:rPr>
          <w:rFonts w:ascii="Palatino Linotype" w:hAnsi="Palatino Linotype"/>
          <w:noProof/>
        </w:rPr>
        <mc:AlternateContent>
          <mc:Choice Requires="wps">
            <w:drawing>
              <wp:anchor distT="45720" distB="45720" distL="114300" distR="114300" simplePos="0" relativeHeight="251689984" behindDoc="0" locked="0" layoutInCell="1" allowOverlap="1" wp14:anchorId="3E0F7FBC" wp14:editId="73A412BB">
                <wp:simplePos x="0" y="0"/>
                <wp:positionH relativeFrom="margin">
                  <wp:posOffset>2125980</wp:posOffset>
                </wp:positionH>
                <wp:positionV relativeFrom="paragraph">
                  <wp:posOffset>50800</wp:posOffset>
                </wp:positionV>
                <wp:extent cx="1638300" cy="281940"/>
                <wp:effectExtent l="0" t="0" r="0" b="38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81940"/>
                        </a:xfrm>
                        <a:prstGeom prst="rect">
                          <a:avLst/>
                        </a:prstGeom>
                        <a:noFill/>
                        <a:ln w="9525">
                          <a:noFill/>
                          <a:miter lim="800000"/>
                          <a:headEnd/>
                          <a:tailEnd/>
                        </a:ln>
                      </wps:spPr>
                      <wps:txbx>
                        <w:txbxContent>
                          <w:p w14:paraId="7DCA50DD" w14:textId="77777777" w:rsidR="00212138" w:rsidRPr="00B015B2" w:rsidRDefault="00212138" w:rsidP="00081BE2">
                            <w:pPr>
                              <w:rPr>
                                <w:rFonts w:ascii="Palatino Linotype" w:hAnsi="Palatino Linotype"/>
                                <w:sz w:val="24"/>
                              </w:rPr>
                            </w:pPr>
                            <w:r w:rsidRPr="00B015B2">
                              <w:rPr>
                                <w:rFonts w:ascii="Palatino Linotype" w:hAnsi="Palatino Linotype"/>
                                <w:sz w:val="24"/>
                              </w:rPr>
                              <w:t>N=382 Mean=0.114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F7FBC" id="_x0000_s1027" type="#_x0000_t202" style="position:absolute;margin-left:167.4pt;margin-top:4pt;width:129pt;height:22.2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" filled="f" stroked="f">
                <v:textbox>
                  <w:txbxContent>
                    <w:p w14:paraId="7DCA50DD" w14:textId="77777777" w:rsidR="00212138" w:rsidRPr="00B015B2" w:rsidRDefault="00212138" w:rsidP="00081BE2">
                      <w:pPr>
                        <w:rPr>
                          <w:rFonts w:ascii="Palatino Linotype" w:hAnsi="Palatino Linotype"/>
                          <w:sz w:val="24"/>
                        </w:rPr>
                      </w:pPr>
                      <w:r w:rsidRPr="00B015B2">
                        <w:rPr>
                          <w:rFonts w:ascii="Palatino Linotype" w:hAnsi="Palatino Linotype"/>
                          <w:sz w:val="24"/>
                        </w:rPr>
                        <w:t>N=382 Mean=0.114</w:t>
                      </w:r>
                    </w:p>
                  </w:txbxContent>
                </v:textbox>
                <w10:wrap type="square" anchorx="margin"/>
              </v:shape>
            </w:pict>
          </mc:Fallback>
        </mc:AlternateContent>
      </w:r>
    </w:p>
    <w:p w14:paraId="4572D3BE" w14:textId="77777777" w:rsidR="00081BE2" w:rsidRDefault="00081BE2" w:rsidP="00081BE2">
      <w:pPr>
        <w:rPr>
          <w:rFonts w:ascii="Palatino Linotype" w:hAnsi="Palatino Linotype"/>
        </w:rPr>
      </w:pPr>
    </w:p>
    <w:p w14:paraId="6131F271" w14:textId="77777777" w:rsidR="00081BE2" w:rsidRDefault="00081BE2" w:rsidP="00081BE2">
      <w:pPr>
        <w:rPr>
          <w:rFonts w:ascii="Palatino Linotype" w:hAnsi="Palatino Linotype"/>
        </w:rPr>
      </w:pPr>
    </w:p>
    <w:p w14:paraId="542ED1C2" w14:textId="77777777" w:rsidR="00081BE2" w:rsidRDefault="00081BE2" w:rsidP="00081BE2">
      <w:pPr>
        <w:rPr>
          <w:rFonts w:ascii="Palatino Linotype" w:hAnsi="Palatino Linotype"/>
        </w:rPr>
      </w:pPr>
    </w:p>
    <w:p w14:paraId="2331F138" w14:textId="77777777" w:rsidR="00081BE2" w:rsidRDefault="00081BE2" w:rsidP="00081BE2">
      <w:pPr>
        <w:rPr>
          <w:rFonts w:ascii="Palatino Linotype" w:hAnsi="Palatino Linotype"/>
        </w:rPr>
      </w:pPr>
    </w:p>
    <w:p w14:paraId="4DFFC0D8" w14:textId="77777777" w:rsidR="00081BE2" w:rsidRDefault="00081BE2" w:rsidP="00081BE2">
      <w:pPr>
        <w:rPr>
          <w:rFonts w:ascii="Palatino Linotype" w:hAnsi="Palatino Linotype"/>
        </w:rPr>
      </w:pPr>
    </w:p>
    <w:p w14:paraId="6795ED97" w14:textId="77777777" w:rsidR="00081BE2" w:rsidRDefault="00081BE2" w:rsidP="00081BE2">
      <w:pPr>
        <w:rPr>
          <w:rFonts w:ascii="Palatino Linotype" w:hAnsi="Palatino Linotype"/>
        </w:rPr>
      </w:pPr>
    </w:p>
    <w:p w14:paraId="7DC8B2DC" w14:textId="77777777" w:rsidR="00081BE2" w:rsidRDefault="00081BE2" w:rsidP="00081BE2">
      <w:pPr>
        <w:rPr>
          <w:rFonts w:ascii="Palatino Linotype" w:hAnsi="Palatino Linotype"/>
        </w:rPr>
      </w:pPr>
      <w:r w:rsidRPr="00FC785D">
        <w:rPr>
          <w:rFonts w:ascii="Palatino Linotype" w:hAnsi="Palatino Linotype"/>
          <w:noProof/>
        </w:rPr>
        <mc:AlternateContent>
          <mc:Choice Requires="wps">
            <w:drawing>
              <wp:anchor distT="45720" distB="45720" distL="114300" distR="114300" simplePos="0" relativeHeight="251687936" behindDoc="0" locked="0" layoutInCell="1" allowOverlap="1" wp14:anchorId="786F7C0D" wp14:editId="67F7031E">
                <wp:simplePos x="0" y="0"/>
                <wp:positionH relativeFrom="margin">
                  <wp:posOffset>53340</wp:posOffset>
                </wp:positionH>
                <wp:positionV relativeFrom="paragraph">
                  <wp:posOffset>95250</wp:posOffset>
                </wp:positionV>
                <wp:extent cx="3764280" cy="3505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280" cy="350520"/>
                        </a:xfrm>
                        <a:prstGeom prst="rect">
                          <a:avLst/>
                        </a:prstGeom>
                        <a:noFill/>
                        <a:ln w="9525">
                          <a:noFill/>
                          <a:miter lim="800000"/>
                          <a:headEnd/>
                          <a:tailEnd/>
                        </a:ln>
                      </wps:spPr>
                      <wps:txbx>
                        <w:txbxContent>
                          <w:p w14:paraId="558D3C0C" w14:textId="77777777" w:rsidR="00212138" w:rsidRPr="00B015B2" w:rsidRDefault="00212138" w:rsidP="00081BE2">
                            <w:pPr>
                              <w:rPr>
                                <w:rFonts w:ascii="Palatino Linotype" w:hAnsi="Palatino Linotype"/>
                                <w:sz w:val="24"/>
                              </w:rPr>
                            </w:pPr>
                            <w:r w:rsidRPr="00B015B2">
                              <w:rPr>
                                <w:rFonts w:ascii="Palatino Linotype" w:hAnsi="Palatino Linotype"/>
                                <w:sz w:val="24"/>
                              </w:rPr>
                              <w:t>High Schools Represented in Survey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F7C0D" id="_x0000_s1028" type="#_x0000_t202" style="position:absolute;margin-left:4.2pt;margin-top:7.5pt;width:296.4pt;height:27.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" filled="f" stroked="f">
                <v:textbox>
                  <w:txbxContent>
                    <w:p w14:paraId="558D3C0C" w14:textId="77777777" w:rsidR="00212138" w:rsidRPr="00B015B2" w:rsidRDefault="00212138" w:rsidP="00081BE2">
                      <w:pPr>
                        <w:rPr>
                          <w:rFonts w:ascii="Palatino Linotype" w:hAnsi="Palatino Linotype"/>
                          <w:sz w:val="24"/>
                        </w:rPr>
                      </w:pPr>
                      <w:r w:rsidRPr="00B015B2">
                        <w:rPr>
                          <w:rFonts w:ascii="Palatino Linotype" w:hAnsi="Palatino Linotype"/>
                          <w:sz w:val="24"/>
                        </w:rPr>
                        <w:t>High Schools Represented in Survey</w:t>
                      </w:r>
                    </w:p>
                  </w:txbxContent>
                </v:textbox>
                <w10:wrap type="square" anchorx="margin"/>
              </v:shape>
            </w:pict>
          </mc:Fallback>
        </mc:AlternateContent>
      </w:r>
    </w:p>
    <w:p w14:paraId="1782AF8A" w14:textId="77777777" w:rsidR="00081BE2" w:rsidRDefault="00081BE2" w:rsidP="00081BE2">
      <w:pPr>
        <w:rPr>
          <w:rFonts w:ascii="Palatino Linotype" w:hAnsi="Palatino Linotype"/>
        </w:rPr>
      </w:pPr>
      <w:r>
        <w:rPr>
          <w:noProof/>
        </w:rPr>
        <w:drawing>
          <wp:anchor distT="0" distB="0" distL="114300" distR="114300" simplePos="0" relativeHeight="251686912" behindDoc="1" locked="0" layoutInCell="1" allowOverlap="1" wp14:anchorId="0A3F949B" wp14:editId="4434B7B4">
            <wp:simplePos x="0" y="0"/>
            <wp:positionH relativeFrom="margin">
              <wp:align>left</wp:align>
            </wp:positionH>
            <wp:positionV relativeFrom="paragraph">
              <wp:posOffset>76200</wp:posOffset>
            </wp:positionV>
            <wp:extent cx="4032504" cy="2926080"/>
            <wp:effectExtent l="0" t="0" r="6350" b="7620"/>
            <wp:wrapTight wrapText="bothSides">
              <wp:wrapPolygon edited="0">
                <wp:start x="0" y="0"/>
                <wp:lineTo x="0" y="21516"/>
                <wp:lineTo x="21532" y="21516"/>
                <wp:lineTo x="2153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32504" cy="2926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95004D" w14:textId="77777777" w:rsidR="00081BE2" w:rsidRDefault="00081BE2" w:rsidP="00081BE2">
      <w:pPr>
        <w:rPr>
          <w:rFonts w:ascii="Palatino Linotype" w:hAnsi="Palatino Linotype"/>
        </w:rPr>
      </w:pPr>
    </w:p>
    <w:p w14:paraId="6E39422B" w14:textId="77777777" w:rsidR="00081BE2" w:rsidRDefault="00081BE2" w:rsidP="00081BE2">
      <w:pPr>
        <w:rPr>
          <w:rFonts w:ascii="Palatino Linotype" w:hAnsi="Palatino Linotype"/>
        </w:rPr>
      </w:pPr>
      <w:r w:rsidRPr="00FC785D">
        <w:rPr>
          <w:rFonts w:ascii="Palatino Linotype" w:hAnsi="Palatino Linotype"/>
          <w:noProof/>
        </w:rPr>
        <mc:AlternateContent>
          <mc:Choice Requires="wps">
            <w:drawing>
              <wp:anchor distT="45720" distB="45720" distL="114300" distR="114300" simplePos="0" relativeHeight="251688960" behindDoc="0" locked="0" layoutInCell="1" allowOverlap="1" wp14:anchorId="3578537A" wp14:editId="6427360D">
                <wp:simplePos x="0" y="0"/>
                <wp:positionH relativeFrom="margin">
                  <wp:posOffset>2293620</wp:posOffset>
                </wp:positionH>
                <wp:positionV relativeFrom="paragraph">
                  <wp:posOffset>208915</wp:posOffset>
                </wp:positionV>
                <wp:extent cx="1524000" cy="281940"/>
                <wp:effectExtent l="0" t="0" r="0" b="381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81940"/>
                        </a:xfrm>
                        <a:prstGeom prst="rect">
                          <a:avLst/>
                        </a:prstGeom>
                        <a:noFill/>
                        <a:ln w="9525">
                          <a:noFill/>
                          <a:miter lim="800000"/>
                          <a:headEnd/>
                          <a:tailEnd/>
                        </a:ln>
                      </wps:spPr>
                      <wps:txbx>
                        <w:txbxContent>
                          <w:p w14:paraId="26458BAD" w14:textId="77777777" w:rsidR="00212138" w:rsidRPr="00B015B2" w:rsidRDefault="00212138" w:rsidP="00081BE2">
                            <w:pPr>
                              <w:rPr>
                                <w:rFonts w:ascii="Palatino Linotype" w:hAnsi="Palatino Linotype"/>
                                <w:sz w:val="24"/>
                              </w:rPr>
                            </w:pPr>
                            <w:r w:rsidRPr="00B015B2">
                              <w:rPr>
                                <w:rFonts w:ascii="Palatino Linotype" w:hAnsi="Palatino Linotype"/>
                                <w:sz w:val="24"/>
                              </w:rPr>
                              <w:t>N=134 Mean=0.113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8537A" id="_x0000_s1029" type="#_x0000_t202" style="position:absolute;margin-left:180.6pt;margin-top:16.45pt;width:120pt;height:22.2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" filled="f" stroked="f">
                <v:textbox>
                  <w:txbxContent>
                    <w:p w14:paraId="26458BAD" w14:textId="77777777" w:rsidR="00212138" w:rsidRPr="00B015B2" w:rsidRDefault="00212138" w:rsidP="00081BE2">
                      <w:pPr>
                        <w:rPr>
                          <w:rFonts w:ascii="Palatino Linotype" w:hAnsi="Palatino Linotype"/>
                          <w:sz w:val="24"/>
                        </w:rPr>
                      </w:pPr>
                      <w:r w:rsidRPr="00B015B2">
                        <w:rPr>
                          <w:rFonts w:ascii="Palatino Linotype" w:hAnsi="Palatino Linotype"/>
                          <w:sz w:val="24"/>
                        </w:rPr>
                        <w:t>N=134 Mean=0.113</w:t>
                      </w:r>
                    </w:p>
                  </w:txbxContent>
                </v:textbox>
                <w10:wrap type="square" anchorx="margin"/>
              </v:shape>
            </w:pict>
          </mc:Fallback>
        </mc:AlternateContent>
      </w:r>
    </w:p>
    <w:p w14:paraId="25AC4E4E" w14:textId="77777777" w:rsidR="00081BE2" w:rsidRDefault="00081BE2" w:rsidP="00081BE2">
      <w:pPr>
        <w:rPr>
          <w:rFonts w:ascii="Palatino Linotype" w:hAnsi="Palatino Linotype"/>
        </w:rPr>
      </w:pPr>
    </w:p>
    <w:p w14:paraId="5E44C25A" w14:textId="77777777" w:rsidR="00081BE2" w:rsidRDefault="00081BE2" w:rsidP="00081BE2">
      <w:pPr>
        <w:rPr>
          <w:rFonts w:ascii="Palatino Linotype" w:hAnsi="Palatino Linotype"/>
        </w:rPr>
      </w:pPr>
    </w:p>
    <w:p w14:paraId="0EE0E37F" w14:textId="77777777" w:rsidR="00081BE2" w:rsidRDefault="00081BE2" w:rsidP="00081BE2">
      <w:pPr>
        <w:rPr>
          <w:rFonts w:ascii="Palatino Linotype" w:hAnsi="Palatino Linotype"/>
        </w:rPr>
      </w:pPr>
    </w:p>
    <w:p w14:paraId="648428B8" w14:textId="77777777" w:rsidR="00081BE2" w:rsidRDefault="00081BE2" w:rsidP="00081BE2">
      <w:pPr>
        <w:rPr>
          <w:rFonts w:ascii="Palatino Linotype" w:hAnsi="Palatino Linotype"/>
        </w:rPr>
      </w:pPr>
    </w:p>
    <w:p w14:paraId="3D1B13C7" w14:textId="77777777" w:rsidR="00081BE2" w:rsidRDefault="00081BE2" w:rsidP="00081BE2">
      <w:pPr>
        <w:rPr>
          <w:rFonts w:ascii="Palatino Linotype" w:hAnsi="Palatino Linotype"/>
        </w:rPr>
      </w:pPr>
    </w:p>
    <w:p w14:paraId="52D29993" w14:textId="77777777" w:rsidR="00081BE2" w:rsidRDefault="00081BE2" w:rsidP="00081BE2">
      <w:pPr>
        <w:rPr>
          <w:rFonts w:ascii="Palatino Linotype" w:hAnsi="Palatino Linotype"/>
        </w:rPr>
      </w:pPr>
    </w:p>
    <w:p w14:paraId="745A85E6" w14:textId="77777777" w:rsidR="00081BE2" w:rsidRDefault="00081BE2" w:rsidP="00081BE2">
      <w:pPr>
        <w:rPr>
          <w:rFonts w:ascii="Palatino Linotype" w:hAnsi="Palatino Linotype"/>
        </w:rPr>
      </w:pPr>
    </w:p>
    <w:p w14:paraId="4FCFBF2A" w14:textId="2E458613" w:rsidR="00081BE2" w:rsidRDefault="00081BE2" w:rsidP="00081BE2">
      <w:pPr>
        <w:rPr>
          <w:rFonts w:ascii="Palatino Linotype" w:hAnsi="Palatino Linotype"/>
        </w:rPr>
      </w:pPr>
      <w:r w:rsidRPr="00A71683">
        <w:rPr>
          <w:rFonts w:ascii="Palatino Linotype" w:hAnsi="Palatino Linotype"/>
        </w:rPr>
        <w:lastRenderedPageBreak/>
        <w:t xml:space="preserve">Figure </w:t>
      </w:r>
      <w:r w:rsidR="00347224">
        <w:rPr>
          <w:rFonts w:ascii="Palatino Linotype" w:hAnsi="Palatino Linotype"/>
        </w:rPr>
        <w:t>4-2</w:t>
      </w:r>
      <w:r w:rsidRPr="00A71683">
        <w:rPr>
          <w:rFonts w:ascii="Palatino Linotype" w:hAnsi="Palatino Linotype"/>
        </w:rPr>
        <w:t xml:space="preserve">. Variation </w:t>
      </w:r>
      <w:r>
        <w:rPr>
          <w:rFonts w:ascii="Palatino Linotype" w:hAnsi="Palatino Linotype"/>
        </w:rPr>
        <w:t xml:space="preserve">Across High Schools </w:t>
      </w:r>
      <w:r w:rsidRPr="00A71683">
        <w:rPr>
          <w:rFonts w:ascii="Palatino Linotype" w:hAnsi="Palatino Linotype"/>
        </w:rPr>
        <w:t>in the Proportion of Students Receiving the Oklahoma</w:t>
      </w:r>
      <w:r w:rsidR="00981C07">
        <w:rPr>
          <w:rFonts w:ascii="Palatino Linotype" w:hAnsi="Palatino Linotype"/>
        </w:rPr>
        <w:t>’s</w:t>
      </w:r>
      <w:r w:rsidRPr="00A71683">
        <w:rPr>
          <w:rFonts w:ascii="Palatino Linotype" w:hAnsi="Palatino Linotype"/>
        </w:rPr>
        <w:t xml:space="preserve"> Promise Scholarship (2015)</w:t>
      </w:r>
    </w:p>
    <w:p w14:paraId="4C847840"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Research Design</w:t>
      </w:r>
    </w:p>
    <w:p w14:paraId="11060199"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tab/>
        <w:t xml:space="preserve">To investigate how SLBs moderate the impact of administrative burden on access to the Oklahoma’s Promise program, we implement a sequential explanatory mixed methods design that leverages data from four main sources: first, we leverage a statewide survey of SLBs in charge of implementing the Oklahoma’s Promise program; second, we supplement the survey data with in-depth interviews; third, we leverage data available through the National Center for Education Statistics (NCES) Common Core Dataset (CCD) on high school characteristics; and fourth, we gather data from OSRHE on the number of students in each high school enrolling in the promise program in the most recent year available (2015-16)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{"citationID":"lZBNUeuW","properties":{"formattedCitation":"(Creswell 2009)","plainCitation":"(Creswell 2009)","noteIndex":0},"citationItems":[{"id":6923,"uris":["http://zotero.org/users/2595715/items/YI2LEWGZ"],"uri":["http://zotero.org/users/2595715/items/YI2LEWGZ"],"itemData":{"id":6923,"type":"book","title":"Research Design: Qualitative, Quantitative, and Mixed Methods Approaches","publisher":"SAGE Publications","number-of-pages":"297","source":"Google Books","abstract":"The Bestselling Text is Completely Updated and Better than Ever!Praise for the Third Edition:“I have used the older edition with great success. The new one is even better.” —Kathleen Duncan, University of La Verne The Third Edition of the bestselling text Research Design by John W. Creswell enables readers to compare three approaches to research—qualitative, quantitative, and mixed methods—in a single research methods text. The book presents these three approaches side by side within the context of the process of research from the beginning steps of philosophical assumptions to the writing and presenting of research. Written in a user-friendly manner, Creswell's text does not rely on technical jargon. He cuts to the core of what a reader needs to know to read and design research in part by showcasing ideas in a scaffold approach so that the reader understands ideas from the simple to the complex. Key updates to the Third EditionPresents the preliminary steps of using philosophical assumptions in the beginning of the book Provides an expanded discussion on ethical issues Emphasizes new Web-based technologies for literature searches Offers updated information about mixed methods research procedures Contains a glossary of terms Highlights “research tips” throughout the chapters incorporating the author’s experiences over the last 35 years The Instructor’s Resource site at http://www.sagepub.com/creswell3einstr/ contains: Sample SyllabiPowerPoint Slide SetsSample Student ProposalsSuggested Studies Published in Journal ArticlesApplication Activities and TutorialPeer-Feedback Group ActivitiesStudy Design Group ActivitiesEnd-of-Chapter ChecklistsThe Student Study Site at www.sagepub.com/creswellstudy offers:Sample Student ProposalsApplication Activities and TutorialsPeer-Feedback Group ActivitiesStudy Design Group ActivitiesEnd-of-Chapter ChecklistsResearch Design, Third Edition appeals to students taking research design and research methods classes throughout the social and behavioral sciences—from undergraduates to the most advanced doctoral programs.","ISBN":"978-1-4129-6557-6","note":"Google-Books-ID: bttwENORfhgC","shortTitle":"Research Design","language":"en","author":[{"family":"Creswell","given":"John W."}],"issued":{"date-parts":[["2009"]]}}}],"schema":"https://github.com/citation-style-language/schema/raw/master/csl-citation.json"}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(Creswell 2009)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w:t>
      </w:r>
      <w:r w:rsidRPr="00E3535F">
        <w:rPr>
          <w:rStyle w:val="FootnoteReference"/>
        </w:rPr>
        <w:footnoteReference w:id="11"/>
      </w:r>
      <w:r w:rsidRPr="005B2DFB">
        <w:rPr>
          <w:rFonts w:ascii="Times New Roman" w:hAnsi="Times New Roman" w:cs="Times New Roman"/>
          <w:sz w:val="24"/>
          <w:szCs w:val="24"/>
        </w:rPr>
        <w:t xml:space="preserve"> The combination of both quantitative and qualitative data allows for a mutually supportive mixed methods case study design, which has been recently lauded as a particularly effective approach to the study of public agencies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{"citationID":"Ja4DyHDs","properties":{"formattedCitation":"(Honig 2018; Hendren, Luo, and Pandey 2018)","plainCitation":"(Honig 2018; Hendren, Luo, and Pandey 2018)","noteIndex":0},"citationItems":[{"id":6824,"uris":["http://zotero.org/users/2595715/items/4ZC7VC9E"],"uri":["http://zotero.org/users/2595715/items/4ZC7VC9E"],"itemData":{"id":6824,"type":"article-journal","title":"Case Study Design and Analysis as a Complementary Empirical Strategy to Econometric Analysis in the Study of Public Agencies: Deploying Mutually Supportive Mixed Methods","container-title":"Journal of Public Administration Research and Theory","source":"academic-oup-com.ezproxy.lib.ou.edu","abstract":"Abstract.  There is little methodological guidance regarding how to best integrate qualitative observational case study data and quantitative large-N observatio","URL":"http://academic.oup.com/jpart/advance-article/doi/10.1093/jopart/muy049/5096087","DOI":"10.1093/jopart/muy049","shortTitle":"Case Study Design and Analysis as a Complementary Empirical Strategy to Econometric Analysis in the Study of Public Agencies","journalAbbreviation":"J Public Adm Res Theory","language":"en","author":[{"family":"Honig","given":"Dan"}],"issued":{"date-parts":[["2018"]]},"accessed":{"date-parts":[["2018",9,19]]}}},{"id":6919,"uris":["http://zotero.org/users/2595715/items/WH8DPB7M"],"uri":["http://zotero.org/users/2595715/items/WH8DPB7M"],"itemData":{"id":6919,"type":"article-journal","title":"The State of Mixed Methods Research in Public Administration and Public Policy","container-title":"Public Administration Review","page":"904-916","volume":"78","issue":"6","source":"Wiley Online Library","abstract":"Public administration scholars have publicized the benefits of mixed methods research and exhorted researchers to embrace mixed methods research design. Despite increasing calls for and numbers of mixed methods publications, thus far there has been no rigorous assessment of the value added by mixed methods research designs. This article provides an assessment of mixed methods articles published in leading public administration and public policy journals. The authors assess methodological quality, study purpose, and research design in order to determine the added value of mixed methods research designs. Findings highlight the promise of mixed methods research in public administration and public policy. Realizing this promise will require better appreciation of the added benefits of mixed methods designs, dedicated effort to improve the qualitative component of mixed methods studies, and greater attention to integrating the qualitative and quantitative components of mixed methods studies.","DOI":"10.1111/puar.12981","ISSN":"1540-6210","language":"en","author":[{"family":"Hendren","given":"Kathryn"},{"family":"Luo","given":"Qian Eric"},{"family":"Pandey","given":"Sanjay K."}],"issued":{"date-parts":[["2018",11,1]]}}}],"schema":"https://github.com/citation-style-language/schema/raw/master/csl-citation.json"}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(Honig 2018; Hendren, Luo, and Pandey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This approach allows for triangulation of findings, effectively increasing the validity of the findings and reducing bias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{"citationID":"kbDmcivQ","properties":{"formattedCitation":"(Burch and Heinrich 2016)","plainCitation":"(Burch and Heinrich 2016)","noteIndex":0},"citationItems":[{"id":6994,"uris":["http://zotero.org/users/2595715/items/6V7GKTSG"],"uri":["http://zotero.org/users/2595715/items/6V7GKTSG"],"itemData":{"id":6994,"type":"book","title":"Mixed Methods for Policy Research and Program Evaluation","publisher":"SAGE Publications, Inc","publisher-place":"2455 Teller Road, Thousand Oaks California 91320","source":"Crossref","event-place":"2455 Teller Road, Thousand Oaks California 91320","URL":"http://methods.sagepub.com/book/mixed-methods-for-policy-research-and-program-evaluation","ISBN":"978-1-4522-7662-5","note":"DOI: 10.4135/9781483398259","author":[{"family":"Burch","given":"Patricia"},{"family":"Heinrich","given":"Carolyn J."}],"issued":{"date-parts":[["2016"]]},"accessed":{"date-parts":[["2018",12,9]]}}}],"schema":"https://github.com/citation-style-language/schema/raw/master/csl-citation.json"}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(Burch and Heinrich 2016)</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 use of qualitative interviews enables us to not only substantiate quantitative findings from survey results but also to explore explanatory factors in SLB behavior that may be omitted from the survey questions. On the other hand, the survey analysis ensures that findings from the qualitative interviews are indicative of systematic, generalizable phenomena that are not dependent on a single agencies’ context. The survey and interview protocol were deliberately created as complementary sources of data that work to </w:t>
      </w:r>
      <w:r w:rsidRPr="005B2DFB">
        <w:rPr>
          <w:rFonts w:ascii="Times New Roman" w:hAnsi="Times New Roman" w:cs="Times New Roman"/>
          <w:sz w:val="24"/>
          <w:szCs w:val="24"/>
        </w:rPr>
        <w:lastRenderedPageBreak/>
        <w:t xml:space="preserve">account for the weaknesses of each strategy when used in isolation. In our sequential explanatory research design, we first conducted the statewide survey which then informed our development of the interview plan and facilitated the integration and triangulation of the results. </w:t>
      </w:r>
    </w:p>
    <w:p w14:paraId="2E7815F6"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The statewide survey data was completed by 167 high school personnel involved in administering the Oklahoma’s Promise program in May 2018.</w:t>
      </w:r>
      <w:r w:rsidRPr="00E3535F">
        <w:rPr>
          <w:rStyle w:val="FootnoteReference"/>
        </w:rPr>
        <w:footnoteReference w:id="12"/>
      </w:r>
      <w:r w:rsidRPr="005B2DFB">
        <w:rPr>
          <w:rFonts w:ascii="Times New Roman" w:hAnsi="Times New Roman" w:cs="Times New Roman"/>
          <w:sz w:val="24"/>
          <w:szCs w:val="24"/>
        </w:rPr>
        <w:t xml:space="preserve"> This sample reflects the observations for which we were able to match the survey data with the high school level data and the observations for which we know the respondent was working at the same high school back in 2015—the year in which we observe student access. These respondents represent 134 unique high schools across the state, which allows us to observe the patterns across a large set of schools that contain rich variation in urbanicity, administrative support, and access to resources.</w:t>
      </w:r>
      <w:r w:rsidRPr="00E3535F">
        <w:rPr>
          <w:rStyle w:val="FootnoteReference"/>
        </w:rPr>
        <w:footnoteReference w:id="13"/>
      </w:r>
      <w:r w:rsidRPr="005B2DFB">
        <w:rPr>
          <w:rFonts w:ascii="Times New Roman" w:hAnsi="Times New Roman" w:cs="Times New Roman"/>
          <w:sz w:val="24"/>
          <w:szCs w:val="24"/>
        </w:rPr>
        <w:t xml:space="preserve"> We incorporate a series of survey questions that control for other factors that impact the strategic use of discretion outside of the main role perception measures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{"citationID":"9VRpcZ3F","properties":{"formattedCitation":"(May and Winter 2009)","plainCitation":"(May and Winter 2009)","noteIndex":0},"citationItems":[{"id":6354,"uris":["http://zotero.org/users/2595715/items/HW8P4KKP"],"uri":["http://zotero.org/users/2595715/items/HW8P4KKP"],"itemData":{"id":6354,"type":"article-journal","title":"Politicians, Managers, and Street-Level Bureaucrats: Influences on Policy Implementation","container-title":"Journal of Public Administration Research and Theory","page":"453-476","volume":"19","issue":"3","source":"academic.oup.com","abstract":"Abstract.  This article addresses the influence of politicians, managers, and the dispositions of street-level bureaucrats in shaping actions at the frontlines","DOI":"10.1093/jopart/mum030","ISSN":"1053-1858","shortTitle":"Politicians, Managers, and Street-Level Bureaucrats","journalAbbreviation":"J Public Adm Res Theory","language":"en","author":[{"family":"May","given":"Peter J."},{"family":"Winter","given":"Søren C."}],"issued":{"date-parts":[["2009",7,1]]}}}],"schema":"https://github.com/citation-style-language/schema/raw/master/csl-citation.json"}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(May and Winter 2009)</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The measurement and operationalization of these controls is described in the Appendix. </w:t>
      </w:r>
    </w:p>
    <w:p w14:paraId="4FEF4DDE"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Next, we gathered data from the NCES on the number of students eligible for free or reduced-price lunches as well as the total enrollment and other descriptive characteristics of each high school in the 2015-16 school year. This data helps us to account for the total client population and the proportion of students that are likely eligible for the Oklahoma’s Promise scholarship program at each high school.</w:t>
      </w:r>
      <w:r w:rsidRPr="00E3535F">
        <w:rPr>
          <w:rStyle w:val="FootnoteReference"/>
        </w:rPr>
        <w:footnoteReference w:id="14"/>
      </w:r>
      <w:r w:rsidRPr="005B2DFB">
        <w:rPr>
          <w:rFonts w:ascii="Times New Roman" w:hAnsi="Times New Roman" w:cs="Times New Roman"/>
          <w:sz w:val="24"/>
          <w:szCs w:val="24"/>
        </w:rPr>
        <w:t xml:space="preserve"> We then matched the survey data and the NCES data </w:t>
      </w:r>
      <w:r w:rsidRPr="005B2DFB">
        <w:rPr>
          <w:rFonts w:ascii="Times New Roman" w:hAnsi="Times New Roman" w:cs="Times New Roman"/>
          <w:sz w:val="24"/>
          <w:szCs w:val="24"/>
        </w:rPr>
        <w:lastRenderedPageBreak/>
        <w:t>to the data on the number of Oklahoma’s Promise recipients by high school in the 2015-16 school year provided by OSRHE. Based on this data, we construct our dependent variable—the proportion of students enrolling in the Oklahoma’s Promise in each high school out of the total enrollment.</w:t>
      </w:r>
    </w:p>
    <w:p w14:paraId="2A8B0CC6"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We triangulate the findings of the quantitative survey data with evidence from in-depth semi-structured interviews using grounded theory methodology, which provides a systematic approach to qualitative data analysis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{"citationID":"SDhYTlZi","properties":{"formattedCitation":"(Corbin and Strauss 2007; Strauss and Corbin 1998)","plainCitation":"(Corbin and Strauss 2007; Strauss and Corbin 1998)","noteIndex":0},"citationItems":[{"id":6678,"uris":["http://zotero.org/users/2595715/items/YRTV5USC"],"uri":["http://zotero.org/users/2595715/items/YRTV5USC"],"itemData":{"id":6678,"type":"book","title":"Basics of Qualitative Research: Techniques and Procedures for Developing Grounded Theory","publisher":"SAGE Publications, Inc","publisher-place":"Los Angeles, Calif","number-of-pages":"400","edition":"3rd edition","source":"Amazon","event-place":"Los Angeles, Calif","abstract":"The Third Edition of the bestselling Basics of Qualitative Research:Techniques and Procedures for Developing Grounded Theory continues to offer immensely practical advice and technical expertise to aid researchers in making sense of their collected data. Authors Juliet Corbin and the late Anselm Strauss (co-creator of Grounded Theory) present methods that enable researchers to analyze and interpret their data, and ultimately build theory from it. Highly accessible in their approach, Corbin and Strauss provide a step-by-step guide to the research act--from the formation of the research question through several approaches to coding and analysis, to reporting on the research. Full of definitions and illustrative examples, this book concludes with chapters that present criteria for evaluating a study, as well as responses to common questions posed by students of qualitative research. Significantly revised, Basics of Qualitative Research remains a landmark volume in the study of qualitative methods. Key Features of the Third Edition: Allows for students to develop their critical thinking skills in the \"Critical Issues\" section at the end of each chapter. Shows the actual steps involved in data analysis (from description to grounded theory) and data gathering by means of theoretical sampling. Provides exercises for thinking, writing and group discussion that reinforces material presented in the text.","ISBN":"978-1-4129-0644-9","shortTitle":"Basics of Qualitative Research","language":"English","author":[{"family":"Corbin","given":"Juliet"},{"family":"Strauss","given":"Anselm"}],"issued":{"date-parts":[["2007",11,19]]}}},{"id":6670,"uris":["http://zotero.org/users/2595715/items/6RTESPAH"],"uri":["http://zotero.org/users/2595715/items/6RTESPAH"],"itemData":{"id":6670,"type":"book","title":"Basics of Qualitative Research: Techniques and Procedures for Developing Grounded Theory","publisher":"SAGE Publications","number-of-pages":"342","source":"Google Books","abstract":"The second edition of this text continues to offer the immensely practical advice and technical expertise that assists researchers in making sense of their collected data. Basics of Qualitative Research, Second Edition presents methods that enable researchers to analyze and interpret their data ultimately building theory from it. Highly accessible in their approach, authors Anselm Strauss (late of the University of San Francisco and co-creator of grounded theory) and Juliet Corbin provide a step-by-step guide to the research act from the formation of the research question, through several approaches to coding and analysis, to reporting on the research. Full of definitions and illustrative examples, this highly accessible book concludes with chapters that present criteria for evaluating a study, as well as responses to common questions posed by students of qualitative research.","ISBN":"978-0-8039-5940-8","note":"Google-Books-ID: wTwYUnHYsmMC","shortTitle":"Basics of Qualitative Research","language":"en","author":[{"family":"Strauss","given":"Anselm"},{"family":"Corbin","given":"Juliet M."}],"issued":{"date-parts":[["1998",9,22]]}}}],"schema":"https://github.com/citation-style-language/schema/raw/master/csl-citation.json"}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(Corbin and Strauss 2007; Strauss and Corbin 1998)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xml:space="preserve">. Grounded theory is an appropriate methodology for this study because it enables the study of phenomena – the differential impact of SLBs on access to Oklahoma’s Promise program – on which few empirical studies have been conducted to date. In grounded theory methodology, theory is developed through the iterative process of creating and refining “abstract conceptualizations of particular phenomenon” (Jones, Arminio &amp; Torres, 2014, p. 77). Using Strauss &amp; Corbin’s (1998) guidelines for grounded theory methods, we employed several tools of analysis to explore the data that emerged from the interviews, including open and axial coding and constant comparative analysis. Open coding and axial coding occurred simultaneously, in which we broke data apart to identify concepts through open coding and then reassembled the data through axial coding to relate the concepts identified. In addition to coding, we utilize the constant comparison technique to compare incident with incident in the data and identify similarities and differences within the data (Corbin and Strauss, 2008). </w:t>
      </w:r>
    </w:p>
    <w:p w14:paraId="3375DA94"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Moreover, Jones, Torres and Arminio (2014) assert that sampling in qualitative research is generally purposeful in nature, meaning that researchers seek out information-rich cases that hold the potential to provide insight about the topic of interest. In accordance with purposeful </w:t>
      </w:r>
      <w:r w:rsidRPr="005B2DFB">
        <w:rPr>
          <w:rFonts w:ascii="Times New Roman" w:hAnsi="Times New Roman" w:cs="Times New Roman"/>
          <w:sz w:val="24"/>
          <w:szCs w:val="24"/>
        </w:rPr>
        <w:lastRenderedPageBreak/>
        <w:t>sampling, we initially reached out to counselors from 5 high-performing and 5 low-performing schools recommended by OSRHE Oklahoma’s Promise staff, as measured by the percentage of students enrolling in Oklahoma’s Promise. Finding no willing participants, we subsequently reached out to 38 survey respondents who indicated in their survey that they might have interest in participating in a follow-up interview. A total of six interviews were conducted, with interview participants representing urban, suburban, and rural school sites.</w:t>
      </w:r>
      <w:r w:rsidRPr="00E3535F">
        <w:rPr>
          <w:rStyle w:val="FootnoteReference"/>
        </w:rPr>
        <w:footnoteReference w:id="15"/>
      </w:r>
      <w:r w:rsidRPr="005B2DFB">
        <w:rPr>
          <w:rFonts w:ascii="Times New Roman" w:hAnsi="Times New Roman" w:cs="Times New Roman"/>
          <w:sz w:val="24"/>
          <w:szCs w:val="24"/>
        </w:rPr>
        <w:t xml:space="preserve"> Interviews were conducted via phone, audio-recorded, and lasted approximately 30 to 45 minutes in length. An interview protocol was utilized to guide the interview, but we also asked probing questions to elicit rich discussion on certain topics of interest that emerged. From the interviews, 103 pages of transcripts were produced.</w:t>
      </w:r>
      <w:r w:rsidRPr="00E3535F">
        <w:rPr>
          <w:rStyle w:val="FootnoteReference"/>
        </w:rPr>
        <w:footnoteReference w:id="16"/>
      </w:r>
      <w:r w:rsidRPr="005B2DFB">
        <w:rPr>
          <w:rFonts w:ascii="Times New Roman" w:hAnsi="Times New Roman" w:cs="Times New Roman"/>
          <w:sz w:val="24"/>
          <w:szCs w:val="24"/>
        </w:rPr>
        <w:t xml:space="preserve"> The triangulation of the survey data with this interview data facilitates a deeper understanding of the on-the-ground realities and constraints of the SLBs’ task environments as well as the influence of their personal values and belief systems, working to increase the validity of our findings. </w:t>
      </w:r>
    </w:p>
    <w:p w14:paraId="4B4F20A7"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Quantitative Data Description</w:t>
      </w:r>
    </w:p>
    <w:p w14:paraId="35A48C0C" w14:textId="69BD8CAF"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Table </w:t>
      </w:r>
      <w:r w:rsidR="0054630F">
        <w:rPr>
          <w:rFonts w:ascii="Times New Roman" w:hAnsi="Times New Roman" w:cs="Times New Roman"/>
          <w:sz w:val="24"/>
          <w:szCs w:val="24"/>
        </w:rPr>
        <w:t>4-</w:t>
      </w:r>
      <w:r w:rsidRPr="005B2DFB">
        <w:rPr>
          <w:rFonts w:ascii="Times New Roman" w:hAnsi="Times New Roman" w:cs="Times New Roman"/>
          <w:sz w:val="24"/>
          <w:szCs w:val="24"/>
        </w:rPr>
        <w:t xml:space="preserve">1 shows that most respondents were serving as counselors, but that 11 percent of respondents are serving in more than one position. In the inadequately funded system of K-12 education in Oklahoma, it is not altogether surprising that some administrators are also expected to serve as counselors and cover other staffing shortages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{"citationID":"XvchJIbc","properties":{"formattedCitation":"(Education Week 2018)","plainCitation":"(Education Week 2018)","noteIndex":0},"citationItems":[{"id":6832,"uris":["http://zotero.org/users/2595715/items/MTB7ELXC"],"uri":["http://zotero.org/users/2595715/items/MTB7ELXC"],"itemData":{"id":6832,"type":"article-magazine","title":"Map: Per-Pupil Spending, State-by-State - Education Week","container-title":"Education Week","source":"Education Week","abstract":"Each state's Quality Counts 2018 school finance grade includes a tally for per-pupil spending adjusted for regional cost differences, capturing factors like teacher and staff salaries, classroom spending, and administration.","URL":"https://www.edweek.org/ew/collections/quality-counts-2018-state-finance/map-per-pupil-spending-state-by-state.html","shortTitle":"Map","author":[{"family":"Education Week","given":""}],"issued":{"date-parts":[["2018",6,6]]},"accessed":{"date-parts":[["2018",9,19]]}}}],"schema":"https://github.com/citation-style-language/schema/raw/master/csl-citation.json"}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(Education Week 2018)</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w:t>
      </w:r>
      <w:r w:rsidRPr="00E3535F">
        <w:rPr>
          <w:rStyle w:val="FootnoteReference"/>
        </w:rPr>
        <w:footnoteReference w:id="17"/>
      </w:r>
      <w:r w:rsidRPr="005B2DFB">
        <w:rPr>
          <w:rFonts w:ascii="Times New Roman" w:hAnsi="Times New Roman" w:cs="Times New Roman"/>
          <w:sz w:val="24"/>
          <w:szCs w:val="24"/>
        </w:rPr>
        <w:t xml:space="preserve"> In terms of </w:t>
      </w:r>
      <w:r w:rsidRPr="005B2DFB">
        <w:rPr>
          <w:rFonts w:ascii="Times New Roman" w:hAnsi="Times New Roman" w:cs="Times New Roman"/>
          <w:sz w:val="24"/>
          <w:szCs w:val="24"/>
        </w:rPr>
        <w:lastRenderedPageBreak/>
        <w:t xml:space="preserve">demographics, the survey sample is overwhelmingly female with high levels of education and the modal annual income between $50,000 and $100,000. The sample is also mostly white (82 percent), with 56 percent of the sample identifying as somewhat or strongly conservative and 54 percent identifying with the Republican party. </w:t>
      </w:r>
    </w:p>
    <w:tbl>
      <w:tblPr>
        <w:tblW w:w="0" w:type="auto"/>
        <w:tblLook w:val="04A0" w:firstRow="1" w:lastRow="0" w:firstColumn="1" w:lastColumn="0" w:noHBand="0" w:noVBand="1"/>
      </w:tblPr>
      <w:tblGrid>
        <w:gridCol w:w="3587"/>
        <w:gridCol w:w="901"/>
        <w:gridCol w:w="486"/>
        <w:gridCol w:w="791"/>
        <w:gridCol w:w="711"/>
        <w:gridCol w:w="644"/>
        <w:gridCol w:w="656"/>
      </w:tblGrid>
      <w:tr w:rsidR="00081BE2" w:rsidRPr="00650F53" w14:paraId="08172B2D" w14:textId="77777777" w:rsidTr="00081BE2">
        <w:trPr>
          <w:trHeight w:val="450"/>
        </w:trPr>
        <w:tc>
          <w:tcPr>
            <w:tcW w:w="0" w:type="auto"/>
            <w:vMerge w:val="restart"/>
            <w:tcBorders>
              <w:top w:val="nil"/>
              <w:left w:val="nil"/>
              <w:bottom w:val="double" w:sz="6" w:space="0" w:color="000000"/>
              <w:right w:val="nil"/>
            </w:tcBorders>
            <w:shd w:val="clear" w:color="auto" w:fill="auto"/>
            <w:vAlign w:val="bottom"/>
            <w:hideMark/>
          </w:tcPr>
          <w:p w14:paraId="0F993FA5" w14:textId="7615C618" w:rsidR="00081BE2" w:rsidRPr="008A3096" w:rsidRDefault="00081BE2" w:rsidP="00081BE2">
            <w:pPr>
              <w:rPr>
                <w:rFonts w:ascii="Palatino Linotype" w:hAnsi="Palatino Linotype"/>
                <w:sz w:val="28"/>
              </w:rPr>
            </w:pPr>
            <w:r w:rsidRPr="008A3096">
              <w:rPr>
                <w:rFonts w:ascii="Palatino Linotype" w:eastAsia="Times New Roman" w:hAnsi="Palatino Linotype" w:cs="Calibri"/>
                <w:color w:val="000000"/>
                <w:sz w:val="24"/>
                <w:szCs w:val="18"/>
              </w:rPr>
              <w:t xml:space="preserve">Table </w:t>
            </w:r>
            <w:r w:rsidR="0054630F">
              <w:rPr>
                <w:rFonts w:ascii="Palatino Linotype" w:eastAsia="Times New Roman" w:hAnsi="Palatino Linotype" w:cs="Calibri"/>
                <w:color w:val="000000"/>
                <w:sz w:val="24"/>
                <w:szCs w:val="18"/>
              </w:rPr>
              <w:t>4-</w:t>
            </w:r>
            <w:r>
              <w:rPr>
                <w:rFonts w:ascii="Palatino Linotype" w:eastAsia="Times New Roman" w:hAnsi="Palatino Linotype" w:cs="Calibri"/>
                <w:color w:val="000000"/>
                <w:sz w:val="24"/>
                <w:szCs w:val="18"/>
              </w:rPr>
              <w:t>1</w:t>
            </w:r>
            <w:r w:rsidRPr="008A3096">
              <w:rPr>
                <w:rFonts w:ascii="Palatino Linotype" w:eastAsia="Times New Roman" w:hAnsi="Palatino Linotype" w:cs="Calibri"/>
                <w:color w:val="000000"/>
                <w:sz w:val="24"/>
                <w:szCs w:val="18"/>
              </w:rPr>
              <w:t>. Descriptive Statistics</w:t>
            </w:r>
          </w:p>
          <w:p w14:paraId="052B5D75"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Variables</w:t>
            </w:r>
          </w:p>
        </w:tc>
        <w:tc>
          <w:tcPr>
            <w:tcW w:w="0" w:type="auto"/>
            <w:vMerge w:val="restart"/>
            <w:tcBorders>
              <w:top w:val="nil"/>
              <w:left w:val="nil"/>
              <w:bottom w:val="double" w:sz="6" w:space="0" w:color="000000"/>
              <w:right w:val="nil"/>
            </w:tcBorders>
            <w:shd w:val="clear" w:color="auto" w:fill="auto"/>
            <w:vAlign w:val="bottom"/>
            <w:hideMark/>
          </w:tcPr>
          <w:p w14:paraId="6BAD140A"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Source</w:t>
            </w:r>
          </w:p>
        </w:tc>
        <w:tc>
          <w:tcPr>
            <w:tcW w:w="0" w:type="auto"/>
            <w:vMerge w:val="restart"/>
            <w:tcBorders>
              <w:top w:val="nil"/>
              <w:left w:val="nil"/>
              <w:bottom w:val="double" w:sz="6" w:space="0" w:color="000000"/>
              <w:right w:val="nil"/>
            </w:tcBorders>
            <w:shd w:val="clear" w:color="auto" w:fill="auto"/>
            <w:vAlign w:val="bottom"/>
            <w:hideMark/>
          </w:tcPr>
          <w:p w14:paraId="69E6A8DC"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N</w:t>
            </w:r>
          </w:p>
        </w:tc>
        <w:tc>
          <w:tcPr>
            <w:tcW w:w="0" w:type="auto"/>
            <w:vMerge w:val="restart"/>
            <w:tcBorders>
              <w:top w:val="nil"/>
              <w:left w:val="nil"/>
              <w:bottom w:val="double" w:sz="6" w:space="0" w:color="000000"/>
              <w:right w:val="nil"/>
            </w:tcBorders>
            <w:shd w:val="clear" w:color="auto" w:fill="auto"/>
            <w:vAlign w:val="bottom"/>
            <w:hideMark/>
          </w:tcPr>
          <w:p w14:paraId="50E8E90C"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Mean</w:t>
            </w:r>
          </w:p>
        </w:tc>
        <w:tc>
          <w:tcPr>
            <w:tcW w:w="0" w:type="auto"/>
            <w:vMerge w:val="restart"/>
            <w:tcBorders>
              <w:top w:val="nil"/>
              <w:left w:val="nil"/>
              <w:bottom w:val="double" w:sz="6" w:space="0" w:color="000000"/>
              <w:right w:val="nil"/>
            </w:tcBorders>
            <w:shd w:val="clear" w:color="auto" w:fill="auto"/>
            <w:vAlign w:val="bottom"/>
            <w:hideMark/>
          </w:tcPr>
          <w:p w14:paraId="12414522"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SD</w:t>
            </w:r>
          </w:p>
        </w:tc>
        <w:tc>
          <w:tcPr>
            <w:tcW w:w="0" w:type="auto"/>
            <w:vMerge w:val="restart"/>
            <w:tcBorders>
              <w:top w:val="nil"/>
              <w:left w:val="nil"/>
              <w:bottom w:val="double" w:sz="6" w:space="0" w:color="000000"/>
              <w:right w:val="nil"/>
            </w:tcBorders>
            <w:shd w:val="clear" w:color="auto" w:fill="auto"/>
            <w:vAlign w:val="bottom"/>
            <w:hideMark/>
          </w:tcPr>
          <w:p w14:paraId="6D05DFAC"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Min</w:t>
            </w:r>
          </w:p>
        </w:tc>
        <w:tc>
          <w:tcPr>
            <w:tcW w:w="0" w:type="auto"/>
            <w:vMerge w:val="restart"/>
            <w:tcBorders>
              <w:top w:val="nil"/>
              <w:left w:val="nil"/>
              <w:bottom w:val="double" w:sz="6" w:space="0" w:color="000000"/>
              <w:right w:val="nil"/>
            </w:tcBorders>
            <w:shd w:val="clear" w:color="auto" w:fill="auto"/>
            <w:vAlign w:val="bottom"/>
            <w:hideMark/>
          </w:tcPr>
          <w:p w14:paraId="1562BDC7" w14:textId="77777777" w:rsidR="00081BE2" w:rsidRPr="008A3096" w:rsidRDefault="00081BE2" w:rsidP="00081BE2">
            <w:pPr>
              <w:spacing w:after="0" w:line="240" w:lineRule="auto"/>
              <w:jc w:val="center"/>
              <w:rPr>
                <w:rFonts w:ascii="Palatino Linotype" w:eastAsia="Times New Roman" w:hAnsi="Palatino Linotype" w:cs="Calibri"/>
                <w:b/>
                <w:bCs/>
                <w:color w:val="000000"/>
                <w:szCs w:val="18"/>
              </w:rPr>
            </w:pPr>
            <w:r w:rsidRPr="008A3096">
              <w:rPr>
                <w:rFonts w:ascii="Palatino Linotype" w:eastAsia="Times New Roman" w:hAnsi="Palatino Linotype" w:cs="Calibri"/>
                <w:b/>
                <w:bCs/>
                <w:color w:val="000000"/>
                <w:szCs w:val="18"/>
              </w:rPr>
              <w:t>Max</w:t>
            </w:r>
          </w:p>
        </w:tc>
      </w:tr>
      <w:tr w:rsidR="00081BE2" w:rsidRPr="00650F53" w14:paraId="688D92ED" w14:textId="77777777" w:rsidTr="00081BE2">
        <w:trPr>
          <w:trHeight w:val="450"/>
        </w:trPr>
        <w:tc>
          <w:tcPr>
            <w:tcW w:w="0" w:type="auto"/>
            <w:vMerge/>
            <w:tcBorders>
              <w:top w:val="nil"/>
              <w:left w:val="nil"/>
              <w:bottom w:val="double" w:sz="6" w:space="0" w:color="000000"/>
              <w:right w:val="nil"/>
            </w:tcBorders>
            <w:vAlign w:val="center"/>
            <w:hideMark/>
          </w:tcPr>
          <w:p w14:paraId="7BE01371"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5E56DBCC"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453B03CA"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040D3EB1"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0B2ACBC5"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03D7F247"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c>
          <w:tcPr>
            <w:tcW w:w="0" w:type="auto"/>
            <w:vMerge/>
            <w:tcBorders>
              <w:top w:val="nil"/>
              <w:left w:val="nil"/>
              <w:bottom w:val="double" w:sz="6" w:space="0" w:color="000000"/>
              <w:right w:val="nil"/>
            </w:tcBorders>
            <w:vAlign w:val="center"/>
            <w:hideMark/>
          </w:tcPr>
          <w:p w14:paraId="0E7639A1" w14:textId="77777777" w:rsidR="00081BE2" w:rsidRPr="00650F53" w:rsidRDefault="00081BE2" w:rsidP="00081BE2">
            <w:pPr>
              <w:spacing w:after="0" w:line="240" w:lineRule="auto"/>
              <w:rPr>
                <w:rFonts w:ascii="Palatino Linotype" w:eastAsia="Times New Roman" w:hAnsi="Palatino Linotype" w:cs="Calibri"/>
                <w:b/>
                <w:bCs/>
                <w:color w:val="000000"/>
                <w:sz w:val="18"/>
                <w:szCs w:val="18"/>
              </w:rPr>
            </w:pPr>
          </w:p>
        </w:tc>
      </w:tr>
      <w:tr w:rsidR="00081BE2" w:rsidRPr="00650F53" w14:paraId="49C0B2E0" w14:textId="77777777" w:rsidTr="00081BE2">
        <w:trPr>
          <w:trHeight w:val="288"/>
        </w:trPr>
        <w:tc>
          <w:tcPr>
            <w:tcW w:w="0" w:type="auto"/>
            <w:tcBorders>
              <w:top w:val="nil"/>
              <w:left w:val="nil"/>
              <w:bottom w:val="nil"/>
              <w:right w:val="nil"/>
            </w:tcBorders>
            <w:shd w:val="clear" w:color="auto" w:fill="auto"/>
            <w:vAlign w:val="center"/>
            <w:hideMark/>
          </w:tcPr>
          <w:p w14:paraId="1A4A8C34"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Position</w:t>
            </w:r>
          </w:p>
        </w:tc>
        <w:tc>
          <w:tcPr>
            <w:tcW w:w="0" w:type="auto"/>
            <w:tcBorders>
              <w:top w:val="nil"/>
              <w:left w:val="nil"/>
              <w:bottom w:val="nil"/>
              <w:right w:val="nil"/>
            </w:tcBorders>
            <w:shd w:val="clear" w:color="auto" w:fill="auto"/>
            <w:vAlign w:val="center"/>
            <w:hideMark/>
          </w:tcPr>
          <w:p w14:paraId="38F17544"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222C8B65"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21EC656E"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04FBE83C"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F08ECE9"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4757971"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098753FE" w14:textId="77777777" w:rsidTr="00081BE2">
        <w:trPr>
          <w:trHeight w:val="264"/>
        </w:trPr>
        <w:tc>
          <w:tcPr>
            <w:tcW w:w="0" w:type="auto"/>
            <w:tcBorders>
              <w:top w:val="nil"/>
              <w:left w:val="nil"/>
              <w:bottom w:val="nil"/>
              <w:right w:val="nil"/>
            </w:tcBorders>
            <w:shd w:val="clear" w:color="auto" w:fill="auto"/>
            <w:vAlign w:val="center"/>
            <w:hideMark/>
          </w:tcPr>
          <w:p w14:paraId="009B1884"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Counselor</w:t>
            </w:r>
          </w:p>
        </w:tc>
        <w:tc>
          <w:tcPr>
            <w:tcW w:w="0" w:type="auto"/>
            <w:tcBorders>
              <w:top w:val="nil"/>
              <w:left w:val="nil"/>
              <w:bottom w:val="nil"/>
              <w:right w:val="nil"/>
            </w:tcBorders>
            <w:shd w:val="clear" w:color="auto" w:fill="auto"/>
            <w:vAlign w:val="center"/>
            <w:hideMark/>
          </w:tcPr>
          <w:p w14:paraId="59082AF6"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2965034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233A721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0.886</w:t>
            </w:r>
          </w:p>
        </w:tc>
        <w:tc>
          <w:tcPr>
            <w:tcW w:w="0" w:type="auto"/>
            <w:tcBorders>
              <w:top w:val="nil"/>
              <w:left w:val="nil"/>
              <w:bottom w:val="nil"/>
              <w:right w:val="nil"/>
            </w:tcBorders>
            <w:shd w:val="clear" w:color="auto" w:fill="auto"/>
            <w:noWrap/>
            <w:vAlign w:val="bottom"/>
            <w:hideMark/>
          </w:tcPr>
          <w:p w14:paraId="1436920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0.318</w:t>
            </w:r>
          </w:p>
        </w:tc>
        <w:tc>
          <w:tcPr>
            <w:tcW w:w="0" w:type="auto"/>
            <w:tcBorders>
              <w:top w:val="nil"/>
              <w:left w:val="nil"/>
              <w:bottom w:val="nil"/>
              <w:right w:val="nil"/>
            </w:tcBorders>
            <w:shd w:val="clear" w:color="auto" w:fill="auto"/>
            <w:noWrap/>
            <w:vAlign w:val="bottom"/>
            <w:hideMark/>
          </w:tcPr>
          <w:p w14:paraId="0C8DC61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35F4C07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4ADD5E6B" w14:textId="77777777" w:rsidTr="00081BE2">
        <w:trPr>
          <w:trHeight w:val="264"/>
        </w:trPr>
        <w:tc>
          <w:tcPr>
            <w:tcW w:w="0" w:type="auto"/>
            <w:tcBorders>
              <w:top w:val="nil"/>
              <w:left w:val="nil"/>
              <w:bottom w:val="nil"/>
              <w:right w:val="nil"/>
            </w:tcBorders>
            <w:shd w:val="clear" w:color="auto" w:fill="auto"/>
            <w:vAlign w:val="center"/>
            <w:hideMark/>
          </w:tcPr>
          <w:p w14:paraId="27ADFFCE"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Other/More Than One Position</w:t>
            </w:r>
          </w:p>
        </w:tc>
        <w:tc>
          <w:tcPr>
            <w:tcW w:w="0" w:type="auto"/>
            <w:tcBorders>
              <w:top w:val="nil"/>
              <w:left w:val="nil"/>
              <w:bottom w:val="nil"/>
              <w:right w:val="nil"/>
            </w:tcBorders>
            <w:shd w:val="clear" w:color="auto" w:fill="auto"/>
            <w:vAlign w:val="center"/>
            <w:hideMark/>
          </w:tcPr>
          <w:p w14:paraId="593B551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543BD8E6"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16FCDA5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0.114</w:t>
            </w:r>
          </w:p>
        </w:tc>
        <w:tc>
          <w:tcPr>
            <w:tcW w:w="0" w:type="auto"/>
            <w:tcBorders>
              <w:top w:val="nil"/>
              <w:left w:val="nil"/>
              <w:bottom w:val="nil"/>
              <w:right w:val="nil"/>
            </w:tcBorders>
            <w:shd w:val="clear" w:color="auto" w:fill="auto"/>
            <w:noWrap/>
            <w:vAlign w:val="bottom"/>
            <w:hideMark/>
          </w:tcPr>
          <w:p w14:paraId="7D509C2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0.319</w:t>
            </w:r>
          </w:p>
        </w:tc>
        <w:tc>
          <w:tcPr>
            <w:tcW w:w="0" w:type="auto"/>
            <w:tcBorders>
              <w:top w:val="nil"/>
              <w:left w:val="nil"/>
              <w:bottom w:val="nil"/>
              <w:right w:val="nil"/>
            </w:tcBorders>
            <w:shd w:val="clear" w:color="auto" w:fill="auto"/>
            <w:noWrap/>
            <w:vAlign w:val="bottom"/>
            <w:hideMark/>
          </w:tcPr>
          <w:p w14:paraId="1882B97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6A11E07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3B550AB9" w14:textId="77777777" w:rsidTr="00081BE2">
        <w:trPr>
          <w:trHeight w:val="276"/>
        </w:trPr>
        <w:tc>
          <w:tcPr>
            <w:tcW w:w="0" w:type="auto"/>
            <w:tcBorders>
              <w:top w:val="nil"/>
              <w:left w:val="nil"/>
              <w:bottom w:val="nil"/>
              <w:right w:val="nil"/>
            </w:tcBorders>
            <w:shd w:val="clear" w:color="auto" w:fill="auto"/>
            <w:vAlign w:val="center"/>
            <w:hideMark/>
          </w:tcPr>
          <w:p w14:paraId="297C0E42"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Demographics</w:t>
            </w:r>
          </w:p>
        </w:tc>
        <w:tc>
          <w:tcPr>
            <w:tcW w:w="0" w:type="auto"/>
            <w:tcBorders>
              <w:top w:val="nil"/>
              <w:left w:val="nil"/>
              <w:bottom w:val="nil"/>
              <w:right w:val="nil"/>
            </w:tcBorders>
            <w:shd w:val="clear" w:color="auto" w:fill="auto"/>
            <w:vAlign w:val="center"/>
            <w:hideMark/>
          </w:tcPr>
          <w:p w14:paraId="173BB639"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68CA5DAE"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3678C629"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256E697"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AD90492"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2914D73"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46ED984E" w14:textId="77777777" w:rsidTr="00081BE2">
        <w:trPr>
          <w:trHeight w:val="264"/>
        </w:trPr>
        <w:tc>
          <w:tcPr>
            <w:tcW w:w="0" w:type="auto"/>
            <w:tcBorders>
              <w:top w:val="nil"/>
              <w:left w:val="nil"/>
              <w:bottom w:val="nil"/>
              <w:right w:val="nil"/>
            </w:tcBorders>
            <w:shd w:val="clear" w:color="auto" w:fill="auto"/>
            <w:vAlign w:val="center"/>
            <w:hideMark/>
          </w:tcPr>
          <w:p w14:paraId="48891BCC"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Male</w:t>
            </w:r>
          </w:p>
        </w:tc>
        <w:tc>
          <w:tcPr>
            <w:tcW w:w="0" w:type="auto"/>
            <w:tcBorders>
              <w:top w:val="nil"/>
              <w:left w:val="nil"/>
              <w:bottom w:val="nil"/>
              <w:right w:val="nil"/>
            </w:tcBorders>
            <w:shd w:val="clear" w:color="auto" w:fill="auto"/>
            <w:vAlign w:val="center"/>
            <w:hideMark/>
          </w:tcPr>
          <w:p w14:paraId="4EFC2A9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3AFBAA2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63BB108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0.048</w:t>
            </w:r>
          </w:p>
        </w:tc>
        <w:tc>
          <w:tcPr>
            <w:tcW w:w="0" w:type="auto"/>
            <w:tcBorders>
              <w:top w:val="nil"/>
              <w:left w:val="nil"/>
              <w:bottom w:val="nil"/>
              <w:right w:val="nil"/>
            </w:tcBorders>
            <w:shd w:val="clear" w:color="auto" w:fill="auto"/>
            <w:noWrap/>
            <w:vAlign w:val="bottom"/>
            <w:hideMark/>
          </w:tcPr>
          <w:p w14:paraId="1A74EE2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0.214</w:t>
            </w:r>
          </w:p>
        </w:tc>
        <w:tc>
          <w:tcPr>
            <w:tcW w:w="0" w:type="auto"/>
            <w:tcBorders>
              <w:top w:val="nil"/>
              <w:left w:val="nil"/>
              <w:bottom w:val="nil"/>
              <w:right w:val="nil"/>
            </w:tcBorders>
            <w:shd w:val="clear" w:color="auto" w:fill="auto"/>
            <w:noWrap/>
            <w:vAlign w:val="bottom"/>
            <w:hideMark/>
          </w:tcPr>
          <w:p w14:paraId="12E0CDA6"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553E025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58FA8866" w14:textId="77777777" w:rsidTr="00081BE2">
        <w:trPr>
          <w:trHeight w:val="264"/>
        </w:trPr>
        <w:tc>
          <w:tcPr>
            <w:tcW w:w="0" w:type="auto"/>
            <w:tcBorders>
              <w:top w:val="nil"/>
              <w:left w:val="nil"/>
              <w:bottom w:val="nil"/>
              <w:right w:val="nil"/>
            </w:tcBorders>
            <w:shd w:val="clear" w:color="auto" w:fill="auto"/>
            <w:vAlign w:val="center"/>
            <w:hideMark/>
          </w:tcPr>
          <w:p w14:paraId="23F8BF1B"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Income</w:t>
            </w:r>
          </w:p>
        </w:tc>
        <w:tc>
          <w:tcPr>
            <w:tcW w:w="0" w:type="auto"/>
            <w:tcBorders>
              <w:top w:val="nil"/>
              <w:left w:val="nil"/>
              <w:bottom w:val="nil"/>
              <w:right w:val="nil"/>
            </w:tcBorders>
            <w:shd w:val="clear" w:color="auto" w:fill="auto"/>
            <w:vAlign w:val="center"/>
            <w:hideMark/>
          </w:tcPr>
          <w:p w14:paraId="18C82F5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52CC45B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019A562B"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2.222</w:t>
            </w:r>
          </w:p>
        </w:tc>
        <w:tc>
          <w:tcPr>
            <w:tcW w:w="0" w:type="auto"/>
            <w:tcBorders>
              <w:top w:val="nil"/>
              <w:left w:val="nil"/>
              <w:bottom w:val="nil"/>
              <w:right w:val="nil"/>
            </w:tcBorders>
            <w:shd w:val="clear" w:color="auto" w:fill="auto"/>
            <w:noWrap/>
            <w:vAlign w:val="bottom"/>
            <w:hideMark/>
          </w:tcPr>
          <w:p w14:paraId="18E8724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0.802</w:t>
            </w:r>
          </w:p>
        </w:tc>
        <w:tc>
          <w:tcPr>
            <w:tcW w:w="0" w:type="auto"/>
            <w:tcBorders>
              <w:top w:val="nil"/>
              <w:left w:val="nil"/>
              <w:bottom w:val="nil"/>
              <w:right w:val="nil"/>
            </w:tcBorders>
            <w:shd w:val="clear" w:color="auto" w:fill="auto"/>
            <w:noWrap/>
            <w:vAlign w:val="bottom"/>
            <w:hideMark/>
          </w:tcPr>
          <w:p w14:paraId="28760D8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c>
          <w:tcPr>
            <w:tcW w:w="0" w:type="auto"/>
            <w:tcBorders>
              <w:top w:val="nil"/>
              <w:left w:val="nil"/>
              <w:bottom w:val="nil"/>
              <w:right w:val="nil"/>
            </w:tcBorders>
            <w:shd w:val="clear" w:color="auto" w:fill="auto"/>
            <w:noWrap/>
            <w:vAlign w:val="bottom"/>
            <w:hideMark/>
          </w:tcPr>
          <w:p w14:paraId="53F0D3C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4</w:t>
            </w:r>
          </w:p>
        </w:tc>
      </w:tr>
      <w:tr w:rsidR="00081BE2" w:rsidRPr="00650F53" w14:paraId="06634C8C" w14:textId="77777777" w:rsidTr="00081BE2">
        <w:trPr>
          <w:trHeight w:val="264"/>
        </w:trPr>
        <w:tc>
          <w:tcPr>
            <w:tcW w:w="0" w:type="auto"/>
            <w:tcBorders>
              <w:top w:val="nil"/>
              <w:left w:val="nil"/>
              <w:bottom w:val="nil"/>
              <w:right w:val="nil"/>
            </w:tcBorders>
            <w:shd w:val="clear" w:color="auto" w:fill="auto"/>
            <w:vAlign w:val="center"/>
            <w:hideMark/>
          </w:tcPr>
          <w:p w14:paraId="1E4F8B45"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Education</w:t>
            </w:r>
          </w:p>
        </w:tc>
        <w:tc>
          <w:tcPr>
            <w:tcW w:w="0" w:type="auto"/>
            <w:tcBorders>
              <w:top w:val="nil"/>
              <w:left w:val="nil"/>
              <w:bottom w:val="nil"/>
              <w:right w:val="nil"/>
            </w:tcBorders>
            <w:shd w:val="clear" w:color="auto" w:fill="auto"/>
            <w:vAlign w:val="center"/>
            <w:hideMark/>
          </w:tcPr>
          <w:p w14:paraId="6C9EA43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1D0EBD2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597A6B3C"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6.994</w:t>
            </w:r>
          </w:p>
        </w:tc>
        <w:tc>
          <w:tcPr>
            <w:tcW w:w="0" w:type="auto"/>
            <w:tcBorders>
              <w:top w:val="nil"/>
              <w:left w:val="nil"/>
              <w:bottom w:val="nil"/>
              <w:right w:val="nil"/>
            </w:tcBorders>
            <w:shd w:val="clear" w:color="auto" w:fill="auto"/>
            <w:noWrap/>
            <w:vAlign w:val="bottom"/>
            <w:hideMark/>
          </w:tcPr>
          <w:p w14:paraId="4870CB3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0.257</w:t>
            </w:r>
          </w:p>
        </w:tc>
        <w:tc>
          <w:tcPr>
            <w:tcW w:w="0" w:type="auto"/>
            <w:tcBorders>
              <w:top w:val="nil"/>
              <w:left w:val="nil"/>
              <w:bottom w:val="nil"/>
              <w:right w:val="nil"/>
            </w:tcBorders>
            <w:shd w:val="clear" w:color="auto" w:fill="auto"/>
            <w:noWrap/>
            <w:vAlign w:val="bottom"/>
            <w:hideMark/>
          </w:tcPr>
          <w:p w14:paraId="2A31D95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6</w:t>
            </w:r>
          </w:p>
        </w:tc>
        <w:tc>
          <w:tcPr>
            <w:tcW w:w="0" w:type="auto"/>
            <w:tcBorders>
              <w:top w:val="nil"/>
              <w:left w:val="nil"/>
              <w:bottom w:val="nil"/>
              <w:right w:val="nil"/>
            </w:tcBorders>
            <w:shd w:val="clear" w:color="auto" w:fill="auto"/>
            <w:noWrap/>
            <w:vAlign w:val="bottom"/>
            <w:hideMark/>
          </w:tcPr>
          <w:p w14:paraId="556B09C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8</w:t>
            </w:r>
          </w:p>
        </w:tc>
      </w:tr>
      <w:tr w:rsidR="00081BE2" w:rsidRPr="00650F53" w14:paraId="7B451C07" w14:textId="77777777" w:rsidTr="00081BE2">
        <w:trPr>
          <w:trHeight w:val="276"/>
        </w:trPr>
        <w:tc>
          <w:tcPr>
            <w:tcW w:w="0" w:type="auto"/>
            <w:tcBorders>
              <w:top w:val="nil"/>
              <w:left w:val="nil"/>
              <w:bottom w:val="nil"/>
              <w:right w:val="nil"/>
            </w:tcBorders>
            <w:shd w:val="clear" w:color="auto" w:fill="auto"/>
            <w:vAlign w:val="center"/>
            <w:hideMark/>
          </w:tcPr>
          <w:p w14:paraId="2A7C593F"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Race &amp; Ethnic Identity</w:t>
            </w:r>
          </w:p>
        </w:tc>
        <w:tc>
          <w:tcPr>
            <w:tcW w:w="0" w:type="auto"/>
            <w:tcBorders>
              <w:top w:val="nil"/>
              <w:left w:val="nil"/>
              <w:bottom w:val="nil"/>
              <w:right w:val="nil"/>
            </w:tcBorders>
            <w:shd w:val="clear" w:color="auto" w:fill="auto"/>
            <w:vAlign w:val="center"/>
            <w:hideMark/>
          </w:tcPr>
          <w:p w14:paraId="7F789D2D"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5132B8A3"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21E237A2"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E7D0356"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CF5F102"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22B8975"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3F9BF773" w14:textId="77777777" w:rsidTr="00081BE2">
        <w:trPr>
          <w:trHeight w:val="264"/>
        </w:trPr>
        <w:tc>
          <w:tcPr>
            <w:tcW w:w="0" w:type="auto"/>
            <w:tcBorders>
              <w:top w:val="nil"/>
              <w:left w:val="nil"/>
              <w:bottom w:val="nil"/>
              <w:right w:val="nil"/>
            </w:tcBorders>
            <w:shd w:val="clear" w:color="auto" w:fill="auto"/>
            <w:vAlign w:val="center"/>
            <w:hideMark/>
          </w:tcPr>
          <w:p w14:paraId="2551202C"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White</w:t>
            </w:r>
          </w:p>
        </w:tc>
        <w:tc>
          <w:tcPr>
            <w:tcW w:w="0" w:type="auto"/>
            <w:tcBorders>
              <w:top w:val="nil"/>
              <w:left w:val="nil"/>
              <w:bottom w:val="nil"/>
              <w:right w:val="nil"/>
            </w:tcBorders>
            <w:shd w:val="clear" w:color="auto" w:fill="auto"/>
            <w:vAlign w:val="center"/>
            <w:hideMark/>
          </w:tcPr>
          <w:p w14:paraId="344BF38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60CB519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730536B6"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0.820</w:t>
            </w:r>
          </w:p>
        </w:tc>
        <w:tc>
          <w:tcPr>
            <w:tcW w:w="0" w:type="auto"/>
            <w:tcBorders>
              <w:top w:val="nil"/>
              <w:left w:val="nil"/>
              <w:bottom w:val="nil"/>
              <w:right w:val="nil"/>
            </w:tcBorders>
            <w:shd w:val="clear" w:color="auto" w:fill="auto"/>
            <w:noWrap/>
            <w:vAlign w:val="bottom"/>
            <w:hideMark/>
          </w:tcPr>
          <w:p w14:paraId="2A10DAC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0.385</w:t>
            </w:r>
          </w:p>
        </w:tc>
        <w:tc>
          <w:tcPr>
            <w:tcW w:w="0" w:type="auto"/>
            <w:tcBorders>
              <w:top w:val="nil"/>
              <w:left w:val="nil"/>
              <w:bottom w:val="nil"/>
              <w:right w:val="nil"/>
            </w:tcBorders>
            <w:shd w:val="clear" w:color="auto" w:fill="auto"/>
            <w:noWrap/>
            <w:vAlign w:val="bottom"/>
            <w:hideMark/>
          </w:tcPr>
          <w:p w14:paraId="63A6DFE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13E7D32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21B1B1E9" w14:textId="77777777" w:rsidTr="00081BE2">
        <w:trPr>
          <w:trHeight w:val="264"/>
        </w:trPr>
        <w:tc>
          <w:tcPr>
            <w:tcW w:w="0" w:type="auto"/>
            <w:tcBorders>
              <w:top w:val="nil"/>
              <w:left w:val="nil"/>
              <w:bottom w:val="nil"/>
              <w:right w:val="nil"/>
            </w:tcBorders>
            <w:shd w:val="clear" w:color="auto" w:fill="auto"/>
            <w:vAlign w:val="center"/>
            <w:hideMark/>
          </w:tcPr>
          <w:p w14:paraId="5D70DBC7"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Black or African American</w:t>
            </w:r>
          </w:p>
        </w:tc>
        <w:tc>
          <w:tcPr>
            <w:tcW w:w="0" w:type="auto"/>
            <w:tcBorders>
              <w:top w:val="nil"/>
              <w:left w:val="nil"/>
              <w:bottom w:val="nil"/>
              <w:right w:val="nil"/>
            </w:tcBorders>
            <w:shd w:val="clear" w:color="auto" w:fill="auto"/>
            <w:vAlign w:val="center"/>
            <w:hideMark/>
          </w:tcPr>
          <w:p w14:paraId="4DAC5BC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684AA0A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12016CE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0.018</w:t>
            </w:r>
          </w:p>
        </w:tc>
        <w:tc>
          <w:tcPr>
            <w:tcW w:w="0" w:type="auto"/>
            <w:tcBorders>
              <w:top w:val="nil"/>
              <w:left w:val="nil"/>
              <w:bottom w:val="nil"/>
              <w:right w:val="nil"/>
            </w:tcBorders>
            <w:shd w:val="clear" w:color="auto" w:fill="auto"/>
            <w:noWrap/>
            <w:vAlign w:val="bottom"/>
            <w:hideMark/>
          </w:tcPr>
          <w:p w14:paraId="5BBB8BAB"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0.133</w:t>
            </w:r>
          </w:p>
        </w:tc>
        <w:tc>
          <w:tcPr>
            <w:tcW w:w="0" w:type="auto"/>
            <w:tcBorders>
              <w:top w:val="nil"/>
              <w:left w:val="nil"/>
              <w:bottom w:val="nil"/>
              <w:right w:val="nil"/>
            </w:tcBorders>
            <w:shd w:val="clear" w:color="auto" w:fill="auto"/>
            <w:noWrap/>
            <w:vAlign w:val="bottom"/>
            <w:hideMark/>
          </w:tcPr>
          <w:p w14:paraId="44EA1056"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62819EB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2A9063A7" w14:textId="77777777" w:rsidTr="00081BE2">
        <w:trPr>
          <w:trHeight w:val="264"/>
        </w:trPr>
        <w:tc>
          <w:tcPr>
            <w:tcW w:w="0" w:type="auto"/>
            <w:tcBorders>
              <w:top w:val="nil"/>
              <w:left w:val="nil"/>
              <w:bottom w:val="nil"/>
              <w:right w:val="nil"/>
            </w:tcBorders>
            <w:shd w:val="clear" w:color="auto" w:fill="auto"/>
            <w:vAlign w:val="center"/>
            <w:hideMark/>
          </w:tcPr>
          <w:p w14:paraId="390307AB"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Native American</w:t>
            </w:r>
          </w:p>
        </w:tc>
        <w:tc>
          <w:tcPr>
            <w:tcW w:w="0" w:type="auto"/>
            <w:tcBorders>
              <w:top w:val="nil"/>
              <w:left w:val="nil"/>
              <w:bottom w:val="nil"/>
              <w:right w:val="nil"/>
            </w:tcBorders>
            <w:shd w:val="clear" w:color="auto" w:fill="auto"/>
            <w:vAlign w:val="center"/>
            <w:hideMark/>
          </w:tcPr>
          <w:p w14:paraId="444A04A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66A1A38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620C687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0.078</w:t>
            </w:r>
          </w:p>
        </w:tc>
        <w:tc>
          <w:tcPr>
            <w:tcW w:w="0" w:type="auto"/>
            <w:tcBorders>
              <w:top w:val="nil"/>
              <w:left w:val="nil"/>
              <w:bottom w:val="nil"/>
              <w:right w:val="nil"/>
            </w:tcBorders>
            <w:shd w:val="clear" w:color="auto" w:fill="auto"/>
            <w:noWrap/>
            <w:vAlign w:val="bottom"/>
            <w:hideMark/>
          </w:tcPr>
          <w:p w14:paraId="1110439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0.269</w:t>
            </w:r>
          </w:p>
        </w:tc>
        <w:tc>
          <w:tcPr>
            <w:tcW w:w="0" w:type="auto"/>
            <w:tcBorders>
              <w:top w:val="nil"/>
              <w:left w:val="nil"/>
              <w:bottom w:val="nil"/>
              <w:right w:val="nil"/>
            </w:tcBorders>
            <w:shd w:val="clear" w:color="auto" w:fill="auto"/>
            <w:noWrap/>
            <w:vAlign w:val="bottom"/>
            <w:hideMark/>
          </w:tcPr>
          <w:p w14:paraId="37FDF80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2522291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60CDCCD6" w14:textId="77777777" w:rsidTr="00081BE2">
        <w:trPr>
          <w:trHeight w:val="264"/>
        </w:trPr>
        <w:tc>
          <w:tcPr>
            <w:tcW w:w="0" w:type="auto"/>
            <w:tcBorders>
              <w:top w:val="nil"/>
              <w:left w:val="nil"/>
              <w:bottom w:val="nil"/>
              <w:right w:val="nil"/>
            </w:tcBorders>
            <w:shd w:val="clear" w:color="auto" w:fill="auto"/>
            <w:vAlign w:val="center"/>
            <w:hideMark/>
          </w:tcPr>
          <w:p w14:paraId="004BCBE6"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Hispanic</w:t>
            </w:r>
          </w:p>
        </w:tc>
        <w:tc>
          <w:tcPr>
            <w:tcW w:w="0" w:type="auto"/>
            <w:tcBorders>
              <w:top w:val="nil"/>
              <w:left w:val="nil"/>
              <w:bottom w:val="nil"/>
              <w:right w:val="nil"/>
            </w:tcBorders>
            <w:shd w:val="clear" w:color="auto" w:fill="auto"/>
            <w:vAlign w:val="center"/>
            <w:hideMark/>
          </w:tcPr>
          <w:p w14:paraId="76D9DBF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1ED79EE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50F7801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0.072</w:t>
            </w:r>
          </w:p>
        </w:tc>
        <w:tc>
          <w:tcPr>
            <w:tcW w:w="0" w:type="auto"/>
            <w:tcBorders>
              <w:top w:val="nil"/>
              <w:left w:val="nil"/>
              <w:bottom w:val="nil"/>
              <w:right w:val="nil"/>
            </w:tcBorders>
            <w:shd w:val="clear" w:color="auto" w:fill="auto"/>
            <w:noWrap/>
            <w:vAlign w:val="bottom"/>
            <w:hideMark/>
          </w:tcPr>
          <w:p w14:paraId="41FA0EC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0.259</w:t>
            </w:r>
          </w:p>
        </w:tc>
        <w:tc>
          <w:tcPr>
            <w:tcW w:w="0" w:type="auto"/>
            <w:tcBorders>
              <w:top w:val="nil"/>
              <w:left w:val="nil"/>
              <w:bottom w:val="nil"/>
              <w:right w:val="nil"/>
            </w:tcBorders>
            <w:shd w:val="clear" w:color="auto" w:fill="auto"/>
            <w:noWrap/>
            <w:vAlign w:val="bottom"/>
            <w:hideMark/>
          </w:tcPr>
          <w:p w14:paraId="3116D8D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548A82E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5D77DFD5" w14:textId="77777777" w:rsidTr="00081BE2">
        <w:trPr>
          <w:trHeight w:val="276"/>
        </w:trPr>
        <w:tc>
          <w:tcPr>
            <w:tcW w:w="0" w:type="auto"/>
            <w:tcBorders>
              <w:top w:val="nil"/>
              <w:left w:val="nil"/>
              <w:bottom w:val="nil"/>
              <w:right w:val="nil"/>
            </w:tcBorders>
            <w:shd w:val="clear" w:color="auto" w:fill="auto"/>
            <w:vAlign w:val="center"/>
            <w:hideMark/>
          </w:tcPr>
          <w:p w14:paraId="5238088E"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Political Affiliation</w:t>
            </w:r>
          </w:p>
        </w:tc>
        <w:tc>
          <w:tcPr>
            <w:tcW w:w="0" w:type="auto"/>
            <w:tcBorders>
              <w:top w:val="nil"/>
              <w:left w:val="nil"/>
              <w:bottom w:val="nil"/>
              <w:right w:val="nil"/>
            </w:tcBorders>
            <w:shd w:val="clear" w:color="auto" w:fill="auto"/>
            <w:vAlign w:val="center"/>
            <w:hideMark/>
          </w:tcPr>
          <w:p w14:paraId="4AAD0F1F"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6C29E270"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1DE0DC26"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66A6237"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A46AB9A"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43201B3"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6B76B475" w14:textId="77777777" w:rsidTr="00081BE2">
        <w:trPr>
          <w:trHeight w:val="264"/>
        </w:trPr>
        <w:tc>
          <w:tcPr>
            <w:tcW w:w="0" w:type="auto"/>
            <w:tcBorders>
              <w:top w:val="nil"/>
              <w:left w:val="nil"/>
              <w:bottom w:val="nil"/>
              <w:right w:val="nil"/>
            </w:tcBorders>
            <w:shd w:val="clear" w:color="auto" w:fill="auto"/>
            <w:vAlign w:val="center"/>
            <w:hideMark/>
          </w:tcPr>
          <w:p w14:paraId="5AD2C3DF"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Ideology-Conservative</w:t>
            </w:r>
          </w:p>
        </w:tc>
        <w:tc>
          <w:tcPr>
            <w:tcW w:w="0" w:type="auto"/>
            <w:tcBorders>
              <w:top w:val="nil"/>
              <w:left w:val="nil"/>
              <w:bottom w:val="nil"/>
              <w:right w:val="nil"/>
            </w:tcBorders>
            <w:shd w:val="clear" w:color="auto" w:fill="auto"/>
            <w:vAlign w:val="center"/>
            <w:hideMark/>
          </w:tcPr>
          <w:p w14:paraId="62B1258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40F91B2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2F94B8E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0.557</w:t>
            </w:r>
          </w:p>
        </w:tc>
        <w:tc>
          <w:tcPr>
            <w:tcW w:w="0" w:type="auto"/>
            <w:tcBorders>
              <w:top w:val="nil"/>
              <w:left w:val="nil"/>
              <w:bottom w:val="nil"/>
              <w:right w:val="nil"/>
            </w:tcBorders>
            <w:shd w:val="clear" w:color="auto" w:fill="auto"/>
            <w:noWrap/>
            <w:vAlign w:val="bottom"/>
            <w:hideMark/>
          </w:tcPr>
          <w:p w14:paraId="7787810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0.498</w:t>
            </w:r>
          </w:p>
        </w:tc>
        <w:tc>
          <w:tcPr>
            <w:tcW w:w="0" w:type="auto"/>
            <w:tcBorders>
              <w:top w:val="nil"/>
              <w:left w:val="nil"/>
              <w:bottom w:val="nil"/>
              <w:right w:val="nil"/>
            </w:tcBorders>
            <w:shd w:val="clear" w:color="auto" w:fill="auto"/>
            <w:noWrap/>
            <w:vAlign w:val="bottom"/>
            <w:hideMark/>
          </w:tcPr>
          <w:p w14:paraId="246D484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0F7A8CC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76496F64" w14:textId="77777777" w:rsidTr="00081BE2">
        <w:trPr>
          <w:trHeight w:val="264"/>
        </w:trPr>
        <w:tc>
          <w:tcPr>
            <w:tcW w:w="0" w:type="auto"/>
            <w:tcBorders>
              <w:top w:val="nil"/>
              <w:left w:val="nil"/>
              <w:bottom w:val="nil"/>
              <w:right w:val="nil"/>
            </w:tcBorders>
            <w:shd w:val="clear" w:color="auto" w:fill="auto"/>
            <w:vAlign w:val="center"/>
            <w:hideMark/>
          </w:tcPr>
          <w:p w14:paraId="43F5DF5E"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Party ID-Republican</w:t>
            </w:r>
          </w:p>
        </w:tc>
        <w:tc>
          <w:tcPr>
            <w:tcW w:w="0" w:type="auto"/>
            <w:tcBorders>
              <w:top w:val="nil"/>
              <w:left w:val="nil"/>
              <w:bottom w:val="nil"/>
              <w:right w:val="nil"/>
            </w:tcBorders>
            <w:shd w:val="clear" w:color="auto" w:fill="auto"/>
            <w:vAlign w:val="center"/>
            <w:hideMark/>
          </w:tcPr>
          <w:p w14:paraId="4A87048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38C5475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034DE8F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0.545</w:t>
            </w:r>
          </w:p>
        </w:tc>
        <w:tc>
          <w:tcPr>
            <w:tcW w:w="0" w:type="auto"/>
            <w:tcBorders>
              <w:top w:val="nil"/>
              <w:left w:val="nil"/>
              <w:bottom w:val="nil"/>
              <w:right w:val="nil"/>
            </w:tcBorders>
            <w:shd w:val="clear" w:color="auto" w:fill="auto"/>
            <w:noWrap/>
            <w:vAlign w:val="bottom"/>
            <w:hideMark/>
          </w:tcPr>
          <w:p w14:paraId="5EEDF1F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0.499</w:t>
            </w:r>
          </w:p>
        </w:tc>
        <w:tc>
          <w:tcPr>
            <w:tcW w:w="0" w:type="auto"/>
            <w:tcBorders>
              <w:top w:val="nil"/>
              <w:left w:val="nil"/>
              <w:bottom w:val="nil"/>
              <w:right w:val="nil"/>
            </w:tcBorders>
            <w:shd w:val="clear" w:color="auto" w:fill="auto"/>
            <w:noWrap/>
            <w:vAlign w:val="bottom"/>
            <w:hideMark/>
          </w:tcPr>
          <w:p w14:paraId="6969569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092BF45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716E2802" w14:textId="77777777" w:rsidTr="00081BE2">
        <w:trPr>
          <w:trHeight w:val="276"/>
        </w:trPr>
        <w:tc>
          <w:tcPr>
            <w:tcW w:w="0" w:type="auto"/>
            <w:tcBorders>
              <w:top w:val="nil"/>
              <w:left w:val="nil"/>
              <w:bottom w:val="nil"/>
              <w:right w:val="nil"/>
            </w:tcBorders>
            <w:shd w:val="clear" w:color="auto" w:fill="auto"/>
            <w:vAlign w:val="center"/>
            <w:hideMark/>
          </w:tcPr>
          <w:p w14:paraId="7A433B99"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Perceived Role</w:t>
            </w:r>
          </w:p>
        </w:tc>
        <w:tc>
          <w:tcPr>
            <w:tcW w:w="0" w:type="auto"/>
            <w:tcBorders>
              <w:top w:val="nil"/>
              <w:left w:val="nil"/>
              <w:bottom w:val="nil"/>
              <w:right w:val="nil"/>
            </w:tcBorders>
            <w:shd w:val="clear" w:color="auto" w:fill="auto"/>
            <w:vAlign w:val="center"/>
            <w:hideMark/>
          </w:tcPr>
          <w:p w14:paraId="0052488F"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6FB63FAF"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3DB5FD15"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09BAF50F"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457FF89"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EF328BA"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7823F226" w14:textId="77777777" w:rsidTr="00081BE2">
        <w:trPr>
          <w:trHeight w:val="264"/>
        </w:trPr>
        <w:tc>
          <w:tcPr>
            <w:tcW w:w="0" w:type="auto"/>
            <w:tcBorders>
              <w:top w:val="nil"/>
              <w:left w:val="nil"/>
              <w:bottom w:val="nil"/>
              <w:right w:val="nil"/>
            </w:tcBorders>
            <w:shd w:val="clear" w:color="auto" w:fill="auto"/>
            <w:vAlign w:val="center"/>
            <w:hideMark/>
          </w:tcPr>
          <w:p w14:paraId="2A01B6A9"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Compliance Officer</w:t>
            </w:r>
          </w:p>
        </w:tc>
        <w:tc>
          <w:tcPr>
            <w:tcW w:w="0" w:type="auto"/>
            <w:tcBorders>
              <w:top w:val="nil"/>
              <w:left w:val="nil"/>
              <w:bottom w:val="nil"/>
              <w:right w:val="nil"/>
            </w:tcBorders>
            <w:shd w:val="clear" w:color="auto" w:fill="auto"/>
            <w:vAlign w:val="center"/>
            <w:hideMark/>
          </w:tcPr>
          <w:p w14:paraId="1EC9347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27EE35C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78922C3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r>
              <w:rPr>
                <w:rFonts w:ascii="Palatino Linotype" w:eastAsia="Times New Roman" w:hAnsi="Palatino Linotype" w:cs="Calibri"/>
                <w:color w:val="000000"/>
                <w:sz w:val="18"/>
                <w:szCs w:val="18"/>
              </w:rPr>
              <w:t>423</w:t>
            </w:r>
          </w:p>
        </w:tc>
        <w:tc>
          <w:tcPr>
            <w:tcW w:w="0" w:type="auto"/>
            <w:tcBorders>
              <w:top w:val="nil"/>
              <w:left w:val="nil"/>
              <w:bottom w:val="nil"/>
              <w:right w:val="nil"/>
            </w:tcBorders>
            <w:shd w:val="clear" w:color="auto" w:fill="auto"/>
            <w:noWrap/>
            <w:vAlign w:val="bottom"/>
            <w:hideMark/>
          </w:tcPr>
          <w:p w14:paraId="1AB7562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r>
              <w:rPr>
                <w:rFonts w:ascii="Palatino Linotype" w:eastAsia="Times New Roman" w:hAnsi="Palatino Linotype" w:cs="Calibri"/>
                <w:color w:val="000000"/>
                <w:sz w:val="18"/>
                <w:szCs w:val="18"/>
              </w:rPr>
              <w:t>495</w:t>
            </w:r>
          </w:p>
        </w:tc>
        <w:tc>
          <w:tcPr>
            <w:tcW w:w="0" w:type="auto"/>
            <w:tcBorders>
              <w:top w:val="nil"/>
              <w:left w:val="nil"/>
              <w:bottom w:val="nil"/>
              <w:right w:val="nil"/>
            </w:tcBorders>
            <w:shd w:val="clear" w:color="auto" w:fill="auto"/>
            <w:noWrap/>
            <w:vAlign w:val="bottom"/>
            <w:hideMark/>
          </w:tcPr>
          <w:p w14:paraId="06701E8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164F37F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7F27847B" w14:textId="77777777" w:rsidTr="00081BE2">
        <w:trPr>
          <w:trHeight w:val="264"/>
        </w:trPr>
        <w:tc>
          <w:tcPr>
            <w:tcW w:w="0" w:type="auto"/>
            <w:tcBorders>
              <w:top w:val="nil"/>
              <w:left w:val="nil"/>
              <w:bottom w:val="nil"/>
              <w:right w:val="nil"/>
            </w:tcBorders>
            <w:shd w:val="clear" w:color="auto" w:fill="auto"/>
            <w:vAlign w:val="center"/>
            <w:hideMark/>
          </w:tcPr>
          <w:p w14:paraId="160D84B5"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Student Support</w:t>
            </w:r>
          </w:p>
        </w:tc>
        <w:tc>
          <w:tcPr>
            <w:tcW w:w="0" w:type="auto"/>
            <w:tcBorders>
              <w:top w:val="nil"/>
              <w:left w:val="nil"/>
              <w:bottom w:val="nil"/>
              <w:right w:val="nil"/>
            </w:tcBorders>
            <w:shd w:val="clear" w:color="auto" w:fill="auto"/>
            <w:vAlign w:val="center"/>
            <w:hideMark/>
          </w:tcPr>
          <w:p w14:paraId="1FA8D29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2AA4E07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1243689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r>
              <w:rPr>
                <w:rFonts w:ascii="Palatino Linotype" w:eastAsia="Times New Roman" w:hAnsi="Palatino Linotype" w:cs="Calibri"/>
                <w:color w:val="000000"/>
                <w:sz w:val="18"/>
                <w:szCs w:val="18"/>
              </w:rPr>
              <w:t>591</w:t>
            </w:r>
          </w:p>
        </w:tc>
        <w:tc>
          <w:tcPr>
            <w:tcW w:w="0" w:type="auto"/>
            <w:tcBorders>
              <w:top w:val="nil"/>
              <w:left w:val="nil"/>
              <w:bottom w:val="nil"/>
              <w:right w:val="nil"/>
            </w:tcBorders>
            <w:shd w:val="clear" w:color="auto" w:fill="auto"/>
            <w:noWrap/>
            <w:vAlign w:val="bottom"/>
            <w:hideMark/>
          </w:tcPr>
          <w:p w14:paraId="3F0FD69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0.4</w:t>
            </w:r>
            <w:r>
              <w:rPr>
                <w:rFonts w:ascii="Palatino Linotype" w:eastAsia="Times New Roman" w:hAnsi="Palatino Linotype" w:cs="Calibri"/>
                <w:color w:val="000000"/>
                <w:sz w:val="18"/>
                <w:szCs w:val="18"/>
              </w:rPr>
              <w:t>92</w:t>
            </w:r>
          </w:p>
        </w:tc>
        <w:tc>
          <w:tcPr>
            <w:tcW w:w="0" w:type="auto"/>
            <w:tcBorders>
              <w:top w:val="nil"/>
              <w:left w:val="nil"/>
              <w:bottom w:val="nil"/>
              <w:right w:val="nil"/>
            </w:tcBorders>
            <w:shd w:val="clear" w:color="auto" w:fill="auto"/>
            <w:noWrap/>
            <w:vAlign w:val="bottom"/>
            <w:hideMark/>
          </w:tcPr>
          <w:p w14:paraId="5DA792F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00BD746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2EF2080D" w14:textId="77777777" w:rsidTr="00081BE2">
        <w:trPr>
          <w:trHeight w:val="264"/>
        </w:trPr>
        <w:tc>
          <w:tcPr>
            <w:tcW w:w="0" w:type="auto"/>
            <w:tcBorders>
              <w:top w:val="nil"/>
              <w:left w:val="nil"/>
              <w:bottom w:val="nil"/>
              <w:right w:val="nil"/>
            </w:tcBorders>
            <w:shd w:val="clear" w:color="auto" w:fill="auto"/>
            <w:vAlign w:val="center"/>
            <w:hideMark/>
          </w:tcPr>
          <w:p w14:paraId="2A12668F"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Information Disseminator</w:t>
            </w:r>
          </w:p>
        </w:tc>
        <w:tc>
          <w:tcPr>
            <w:tcW w:w="0" w:type="auto"/>
            <w:tcBorders>
              <w:top w:val="nil"/>
              <w:left w:val="nil"/>
              <w:bottom w:val="nil"/>
              <w:right w:val="nil"/>
            </w:tcBorders>
            <w:shd w:val="clear" w:color="auto" w:fill="auto"/>
            <w:vAlign w:val="center"/>
            <w:hideMark/>
          </w:tcPr>
          <w:p w14:paraId="1EF5555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44D7B8D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22DA8F2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0.4</w:t>
            </w:r>
            <w:r>
              <w:rPr>
                <w:rFonts w:ascii="Palatino Linotype" w:eastAsia="Times New Roman" w:hAnsi="Palatino Linotype" w:cs="Calibri"/>
                <w:color w:val="000000"/>
                <w:sz w:val="18"/>
                <w:szCs w:val="18"/>
              </w:rPr>
              <w:t>71</w:t>
            </w:r>
          </w:p>
        </w:tc>
        <w:tc>
          <w:tcPr>
            <w:tcW w:w="0" w:type="auto"/>
            <w:tcBorders>
              <w:top w:val="nil"/>
              <w:left w:val="nil"/>
              <w:bottom w:val="nil"/>
              <w:right w:val="nil"/>
            </w:tcBorders>
            <w:shd w:val="clear" w:color="auto" w:fill="auto"/>
            <w:noWrap/>
            <w:vAlign w:val="bottom"/>
            <w:hideMark/>
          </w:tcPr>
          <w:p w14:paraId="35B1D75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0.50</w:t>
            </w:r>
            <w:r>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029E926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1863279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21A0E222" w14:textId="77777777" w:rsidTr="00081BE2">
        <w:trPr>
          <w:trHeight w:val="276"/>
        </w:trPr>
        <w:tc>
          <w:tcPr>
            <w:tcW w:w="0" w:type="auto"/>
            <w:tcBorders>
              <w:top w:val="nil"/>
              <w:left w:val="nil"/>
              <w:bottom w:val="nil"/>
              <w:right w:val="nil"/>
            </w:tcBorders>
            <w:shd w:val="clear" w:color="auto" w:fill="auto"/>
            <w:vAlign w:val="center"/>
            <w:hideMark/>
          </w:tcPr>
          <w:p w14:paraId="162B9672"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Task Environment</w:t>
            </w:r>
          </w:p>
        </w:tc>
        <w:tc>
          <w:tcPr>
            <w:tcW w:w="0" w:type="auto"/>
            <w:tcBorders>
              <w:top w:val="nil"/>
              <w:left w:val="nil"/>
              <w:bottom w:val="nil"/>
              <w:right w:val="nil"/>
            </w:tcBorders>
            <w:shd w:val="clear" w:color="auto" w:fill="auto"/>
            <w:vAlign w:val="center"/>
            <w:hideMark/>
          </w:tcPr>
          <w:p w14:paraId="21373DFA"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5F5159E3"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4EF250E6"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11675ED"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5B6CDEE"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06EC38"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063A9EE2" w14:textId="77777777" w:rsidTr="00081BE2">
        <w:trPr>
          <w:trHeight w:val="276"/>
        </w:trPr>
        <w:tc>
          <w:tcPr>
            <w:tcW w:w="0" w:type="auto"/>
            <w:tcBorders>
              <w:top w:val="nil"/>
              <w:left w:val="nil"/>
              <w:bottom w:val="nil"/>
              <w:right w:val="nil"/>
            </w:tcBorders>
            <w:shd w:val="clear" w:color="auto" w:fill="auto"/>
            <w:vAlign w:val="center"/>
          </w:tcPr>
          <w:p w14:paraId="340FF843" w14:textId="77777777" w:rsidR="00081BE2" w:rsidRPr="005402D5" w:rsidRDefault="00081BE2" w:rsidP="00081BE2">
            <w:pPr>
              <w:spacing w:after="0" w:line="240" w:lineRule="auto"/>
              <w:rPr>
                <w:rFonts w:ascii="Palatino Linotype" w:eastAsia="Times New Roman" w:hAnsi="Palatino Linotype" w:cs="Calibri"/>
                <w:iCs/>
                <w:color w:val="000000"/>
                <w:sz w:val="18"/>
                <w:szCs w:val="18"/>
              </w:rPr>
            </w:pPr>
            <w:r>
              <w:rPr>
                <w:rFonts w:ascii="Palatino Linotype" w:eastAsia="Times New Roman" w:hAnsi="Palatino Linotype" w:cs="Calibri"/>
                <w:i/>
                <w:iCs/>
                <w:color w:val="000000"/>
                <w:sz w:val="18"/>
                <w:szCs w:val="18"/>
              </w:rPr>
              <w:t xml:space="preserve">    </w:t>
            </w:r>
            <w:r w:rsidRPr="005402D5">
              <w:rPr>
                <w:rFonts w:ascii="Palatino Linotype" w:eastAsia="Times New Roman" w:hAnsi="Palatino Linotype" w:cs="Calibri"/>
                <w:iCs/>
                <w:color w:val="000000"/>
                <w:sz w:val="18"/>
                <w:szCs w:val="18"/>
              </w:rPr>
              <w:t>High Discretion</w:t>
            </w:r>
          </w:p>
        </w:tc>
        <w:tc>
          <w:tcPr>
            <w:tcW w:w="0" w:type="auto"/>
            <w:tcBorders>
              <w:top w:val="nil"/>
              <w:left w:val="nil"/>
              <w:bottom w:val="nil"/>
              <w:right w:val="nil"/>
            </w:tcBorders>
            <w:shd w:val="clear" w:color="auto" w:fill="auto"/>
            <w:vAlign w:val="center"/>
          </w:tcPr>
          <w:p w14:paraId="63B3E7DF" w14:textId="77777777" w:rsidR="00081BE2" w:rsidRPr="005402D5" w:rsidRDefault="00081BE2" w:rsidP="00081BE2">
            <w:pPr>
              <w:spacing w:after="0" w:line="240" w:lineRule="auto"/>
              <w:rPr>
                <w:rFonts w:ascii="Palatino Linotype" w:eastAsia="Times New Roman" w:hAnsi="Palatino Linotype" w:cs="Calibri"/>
                <w:iCs/>
                <w:color w:val="000000"/>
                <w:sz w:val="18"/>
                <w:szCs w:val="18"/>
              </w:rPr>
            </w:pPr>
            <w:r>
              <w:rPr>
                <w:rFonts w:ascii="Palatino Linotype" w:eastAsia="Times New Roman" w:hAnsi="Palatino Linotype" w:cs="Calibri"/>
                <w:iCs/>
                <w:color w:val="000000"/>
                <w:sz w:val="18"/>
                <w:szCs w:val="18"/>
              </w:rPr>
              <w:t xml:space="preserve"> Survey</w:t>
            </w:r>
          </w:p>
        </w:tc>
        <w:tc>
          <w:tcPr>
            <w:tcW w:w="0" w:type="auto"/>
            <w:tcBorders>
              <w:top w:val="nil"/>
              <w:left w:val="nil"/>
              <w:bottom w:val="nil"/>
              <w:right w:val="nil"/>
            </w:tcBorders>
            <w:shd w:val="clear" w:color="auto" w:fill="auto"/>
            <w:vAlign w:val="center"/>
          </w:tcPr>
          <w:p w14:paraId="07D3456F" w14:textId="77777777" w:rsidR="00081BE2" w:rsidRPr="005402D5" w:rsidRDefault="00081BE2" w:rsidP="00081BE2">
            <w:pPr>
              <w:spacing w:after="0" w:line="240" w:lineRule="auto"/>
              <w:jc w:val="center"/>
              <w:rPr>
                <w:rFonts w:ascii="Palatino Linotype" w:eastAsia="Times New Roman" w:hAnsi="Palatino Linotype" w:cs="Calibri"/>
                <w:color w:val="000000"/>
                <w:sz w:val="18"/>
                <w:szCs w:val="18"/>
              </w:rPr>
            </w:pPr>
            <w:r w:rsidRPr="005402D5">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tcPr>
          <w:p w14:paraId="4F1B6A9F" w14:textId="77777777" w:rsidR="00081BE2" w:rsidRPr="005402D5"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0.521</w:t>
            </w:r>
          </w:p>
        </w:tc>
        <w:tc>
          <w:tcPr>
            <w:tcW w:w="0" w:type="auto"/>
            <w:tcBorders>
              <w:top w:val="nil"/>
              <w:left w:val="nil"/>
              <w:bottom w:val="nil"/>
              <w:right w:val="nil"/>
            </w:tcBorders>
            <w:shd w:val="clear" w:color="auto" w:fill="auto"/>
            <w:noWrap/>
            <w:vAlign w:val="center"/>
          </w:tcPr>
          <w:p w14:paraId="69D6318C" w14:textId="77777777" w:rsidR="00081BE2" w:rsidRPr="005402D5" w:rsidRDefault="00081BE2" w:rsidP="00081BE2">
            <w:pPr>
              <w:spacing w:after="0" w:line="240" w:lineRule="auto"/>
              <w:jc w:val="center"/>
              <w:rPr>
                <w:rFonts w:ascii="Palatino Linotype" w:eastAsia="Times New Roman" w:hAnsi="Palatino Linotype" w:cs="Calibri"/>
                <w:color w:val="000000"/>
                <w:sz w:val="18"/>
                <w:szCs w:val="18"/>
              </w:rPr>
            </w:pPr>
            <w:r w:rsidRPr="005402D5">
              <w:rPr>
                <w:rFonts w:ascii="Palatino Linotype" w:eastAsia="Times New Roman" w:hAnsi="Palatino Linotype" w:cs="Calibri"/>
                <w:color w:val="000000"/>
                <w:sz w:val="18"/>
                <w:szCs w:val="18"/>
              </w:rPr>
              <w:t>0.201</w:t>
            </w:r>
          </w:p>
        </w:tc>
        <w:tc>
          <w:tcPr>
            <w:tcW w:w="0" w:type="auto"/>
            <w:tcBorders>
              <w:top w:val="nil"/>
              <w:left w:val="nil"/>
              <w:bottom w:val="nil"/>
              <w:right w:val="nil"/>
            </w:tcBorders>
            <w:shd w:val="clear" w:color="auto" w:fill="auto"/>
            <w:noWrap/>
            <w:vAlign w:val="center"/>
          </w:tcPr>
          <w:p w14:paraId="5937B541" w14:textId="77777777" w:rsidR="00081BE2" w:rsidRPr="005402D5"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center"/>
          </w:tcPr>
          <w:p w14:paraId="49315FF2" w14:textId="77777777" w:rsidR="00081BE2" w:rsidRPr="005402D5"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1</w:t>
            </w:r>
          </w:p>
        </w:tc>
      </w:tr>
      <w:tr w:rsidR="00081BE2" w:rsidRPr="00650F53" w14:paraId="3B806C6E" w14:textId="77777777" w:rsidTr="00081BE2">
        <w:trPr>
          <w:trHeight w:val="264"/>
        </w:trPr>
        <w:tc>
          <w:tcPr>
            <w:tcW w:w="0" w:type="auto"/>
            <w:tcBorders>
              <w:top w:val="nil"/>
              <w:left w:val="nil"/>
              <w:bottom w:val="nil"/>
              <w:right w:val="nil"/>
            </w:tcBorders>
            <w:shd w:val="clear" w:color="auto" w:fill="auto"/>
            <w:vAlign w:val="center"/>
            <w:hideMark/>
          </w:tcPr>
          <w:p w14:paraId="11EE0105"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 of Time Spent on College Preparation</w:t>
            </w:r>
          </w:p>
        </w:tc>
        <w:tc>
          <w:tcPr>
            <w:tcW w:w="0" w:type="auto"/>
            <w:tcBorders>
              <w:top w:val="nil"/>
              <w:left w:val="nil"/>
              <w:bottom w:val="nil"/>
              <w:right w:val="nil"/>
            </w:tcBorders>
            <w:shd w:val="clear" w:color="auto" w:fill="auto"/>
            <w:vAlign w:val="center"/>
            <w:hideMark/>
          </w:tcPr>
          <w:p w14:paraId="72A9EA2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7B88524C"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37CA2B1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44.575</w:t>
            </w:r>
          </w:p>
        </w:tc>
        <w:tc>
          <w:tcPr>
            <w:tcW w:w="0" w:type="auto"/>
            <w:tcBorders>
              <w:top w:val="nil"/>
              <w:left w:val="nil"/>
              <w:bottom w:val="nil"/>
              <w:right w:val="nil"/>
            </w:tcBorders>
            <w:shd w:val="clear" w:color="auto" w:fill="auto"/>
            <w:noWrap/>
            <w:vAlign w:val="bottom"/>
            <w:hideMark/>
          </w:tcPr>
          <w:p w14:paraId="61E4DAF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21.868</w:t>
            </w:r>
          </w:p>
        </w:tc>
        <w:tc>
          <w:tcPr>
            <w:tcW w:w="0" w:type="auto"/>
            <w:tcBorders>
              <w:top w:val="nil"/>
              <w:left w:val="nil"/>
              <w:bottom w:val="nil"/>
              <w:right w:val="nil"/>
            </w:tcBorders>
            <w:shd w:val="clear" w:color="auto" w:fill="auto"/>
            <w:noWrap/>
            <w:vAlign w:val="bottom"/>
            <w:hideMark/>
          </w:tcPr>
          <w:p w14:paraId="23B110F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5</w:t>
            </w:r>
          </w:p>
        </w:tc>
        <w:tc>
          <w:tcPr>
            <w:tcW w:w="0" w:type="auto"/>
            <w:tcBorders>
              <w:top w:val="nil"/>
              <w:left w:val="nil"/>
              <w:bottom w:val="nil"/>
              <w:right w:val="nil"/>
            </w:tcBorders>
            <w:shd w:val="clear" w:color="auto" w:fill="auto"/>
            <w:noWrap/>
            <w:vAlign w:val="bottom"/>
            <w:hideMark/>
          </w:tcPr>
          <w:p w14:paraId="5AE5C34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95</w:t>
            </w:r>
          </w:p>
        </w:tc>
      </w:tr>
      <w:tr w:rsidR="00081BE2" w:rsidRPr="00650F53" w14:paraId="1789DED7" w14:textId="77777777" w:rsidTr="00081BE2">
        <w:trPr>
          <w:trHeight w:val="264"/>
        </w:trPr>
        <w:tc>
          <w:tcPr>
            <w:tcW w:w="0" w:type="auto"/>
            <w:tcBorders>
              <w:top w:val="nil"/>
              <w:left w:val="nil"/>
              <w:bottom w:val="nil"/>
              <w:right w:val="nil"/>
            </w:tcBorders>
            <w:shd w:val="clear" w:color="auto" w:fill="auto"/>
            <w:vAlign w:val="center"/>
            <w:hideMark/>
          </w:tcPr>
          <w:p w14:paraId="48CC8D4E"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 of Students Able to meet One-on-One</w:t>
            </w:r>
          </w:p>
        </w:tc>
        <w:tc>
          <w:tcPr>
            <w:tcW w:w="0" w:type="auto"/>
            <w:tcBorders>
              <w:top w:val="nil"/>
              <w:left w:val="nil"/>
              <w:bottom w:val="nil"/>
              <w:right w:val="nil"/>
            </w:tcBorders>
            <w:shd w:val="clear" w:color="auto" w:fill="auto"/>
            <w:vAlign w:val="center"/>
            <w:hideMark/>
          </w:tcPr>
          <w:p w14:paraId="6A55BEE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76898E6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1628707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79.682</w:t>
            </w:r>
          </w:p>
        </w:tc>
        <w:tc>
          <w:tcPr>
            <w:tcW w:w="0" w:type="auto"/>
            <w:tcBorders>
              <w:top w:val="nil"/>
              <w:left w:val="nil"/>
              <w:bottom w:val="nil"/>
              <w:right w:val="nil"/>
            </w:tcBorders>
            <w:shd w:val="clear" w:color="auto" w:fill="auto"/>
            <w:noWrap/>
            <w:vAlign w:val="bottom"/>
            <w:hideMark/>
          </w:tcPr>
          <w:p w14:paraId="286E57EC"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29.574</w:t>
            </w:r>
          </w:p>
        </w:tc>
        <w:tc>
          <w:tcPr>
            <w:tcW w:w="0" w:type="auto"/>
            <w:tcBorders>
              <w:top w:val="nil"/>
              <w:left w:val="nil"/>
              <w:bottom w:val="nil"/>
              <w:right w:val="nil"/>
            </w:tcBorders>
            <w:shd w:val="clear" w:color="auto" w:fill="auto"/>
            <w:noWrap/>
            <w:vAlign w:val="bottom"/>
            <w:hideMark/>
          </w:tcPr>
          <w:p w14:paraId="2C2FCD6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40E7CBF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100</w:t>
            </w:r>
          </w:p>
        </w:tc>
      </w:tr>
      <w:tr w:rsidR="00081BE2" w:rsidRPr="00650F53" w14:paraId="6C9334B5" w14:textId="77777777" w:rsidTr="00081BE2">
        <w:trPr>
          <w:trHeight w:val="264"/>
        </w:trPr>
        <w:tc>
          <w:tcPr>
            <w:tcW w:w="0" w:type="auto"/>
            <w:tcBorders>
              <w:top w:val="nil"/>
              <w:left w:val="nil"/>
              <w:bottom w:val="nil"/>
              <w:right w:val="nil"/>
            </w:tcBorders>
            <w:shd w:val="clear" w:color="auto" w:fill="auto"/>
            <w:vAlign w:val="center"/>
            <w:hideMark/>
          </w:tcPr>
          <w:p w14:paraId="1F36927C"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School Family Income Comparison</w:t>
            </w:r>
          </w:p>
        </w:tc>
        <w:tc>
          <w:tcPr>
            <w:tcW w:w="0" w:type="auto"/>
            <w:tcBorders>
              <w:top w:val="nil"/>
              <w:left w:val="nil"/>
              <w:bottom w:val="nil"/>
              <w:right w:val="nil"/>
            </w:tcBorders>
            <w:shd w:val="clear" w:color="auto" w:fill="auto"/>
            <w:vAlign w:val="center"/>
            <w:hideMark/>
          </w:tcPr>
          <w:p w14:paraId="0B9E514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539FD28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355D3DF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3.611</w:t>
            </w:r>
          </w:p>
        </w:tc>
        <w:tc>
          <w:tcPr>
            <w:tcW w:w="0" w:type="auto"/>
            <w:tcBorders>
              <w:top w:val="nil"/>
              <w:left w:val="nil"/>
              <w:bottom w:val="nil"/>
              <w:right w:val="nil"/>
            </w:tcBorders>
            <w:shd w:val="clear" w:color="auto" w:fill="auto"/>
            <w:noWrap/>
            <w:vAlign w:val="bottom"/>
            <w:hideMark/>
          </w:tcPr>
          <w:p w14:paraId="551E34C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0.863</w:t>
            </w:r>
          </w:p>
        </w:tc>
        <w:tc>
          <w:tcPr>
            <w:tcW w:w="0" w:type="auto"/>
            <w:tcBorders>
              <w:top w:val="nil"/>
              <w:left w:val="nil"/>
              <w:bottom w:val="nil"/>
              <w:right w:val="nil"/>
            </w:tcBorders>
            <w:shd w:val="clear" w:color="auto" w:fill="auto"/>
            <w:noWrap/>
            <w:vAlign w:val="bottom"/>
            <w:hideMark/>
          </w:tcPr>
          <w:p w14:paraId="02DB4AD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2</w:t>
            </w:r>
          </w:p>
        </w:tc>
        <w:tc>
          <w:tcPr>
            <w:tcW w:w="0" w:type="auto"/>
            <w:tcBorders>
              <w:top w:val="nil"/>
              <w:left w:val="nil"/>
              <w:bottom w:val="nil"/>
              <w:right w:val="nil"/>
            </w:tcBorders>
            <w:shd w:val="clear" w:color="auto" w:fill="auto"/>
            <w:noWrap/>
            <w:vAlign w:val="bottom"/>
            <w:hideMark/>
          </w:tcPr>
          <w:p w14:paraId="31D251A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5</w:t>
            </w:r>
          </w:p>
        </w:tc>
      </w:tr>
      <w:tr w:rsidR="00081BE2" w:rsidRPr="00650F53" w14:paraId="2D6B4402" w14:textId="77777777" w:rsidTr="00081BE2">
        <w:trPr>
          <w:trHeight w:val="264"/>
        </w:trPr>
        <w:tc>
          <w:tcPr>
            <w:tcW w:w="0" w:type="auto"/>
            <w:tcBorders>
              <w:top w:val="nil"/>
              <w:left w:val="nil"/>
              <w:bottom w:val="nil"/>
              <w:right w:val="nil"/>
            </w:tcBorders>
            <w:shd w:val="clear" w:color="auto" w:fill="auto"/>
            <w:vAlign w:val="center"/>
            <w:hideMark/>
          </w:tcPr>
          <w:p w14:paraId="6659E7B5"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w:t>
            </w:r>
            <w:r>
              <w:rPr>
                <w:rFonts w:ascii="Palatino Linotype" w:eastAsia="Times New Roman" w:hAnsi="Palatino Linotype" w:cs="Calibri"/>
                <w:color w:val="000000"/>
                <w:sz w:val="18"/>
                <w:szCs w:val="18"/>
              </w:rPr>
              <w:t>Partner with</w:t>
            </w:r>
            <w:r w:rsidRPr="00650F53">
              <w:rPr>
                <w:rFonts w:ascii="Palatino Linotype" w:eastAsia="Times New Roman" w:hAnsi="Palatino Linotype" w:cs="Calibri"/>
                <w:color w:val="000000"/>
                <w:sz w:val="18"/>
                <w:szCs w:val="18"/>
              </w:rPr>
              <w:t xml:space="preserve"> Nonprofits</w:t>
            </w:r>
          </w:p>
        </w:tc>
        <w:tc>
          <w:tcPr>
            <w:tcW w:w="0" w:type="auto"/>
            <w:tcBorders>
              <w:top w:val="nil"/>
              <w:left w:val="nil"/>
              <w:bottom w:val="nil"/>
              <w:right w:val="nil"/>
            </w:tcBorders>
            <w:shd w:val="clear" w:color="auto" w:fill="auto"/>
            <w:vAlign w:val="center"/>
            <w:hideMark/>
          </w:tcPr>
          <w:p w14:paraId="221AF09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7E8C583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69206EB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0.132</w:t>
            </w:r>
          </w:p>
        </w:tc>
        <w:tc>
          <w:tcPr>
            <w:tcW w:w="0" w:type="auto"/>
            <w:tcBorders>
              <w:top w:val="nil"/>
              <w:left w:val="nil"/>
              <w:bottom w:val="nil"/>
              <w:right w:val="nil"/>
            </w:tcBorders>
            <w:shd w:val="clear" w:color="auto" w:fill="auto"/>
            <w:noWrap/>
            <w:vAlign w:val="bottom"/>
            <w:hideMark/>
          </w:tcPr>
          <w:p w14:paraId="1C449317"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0.339</w:t>
            </w:r>
          </w:p>
        </w:tc>
        <w:tc>
          <w:tcPr>
            <w:tcW w:w="0" w:type="auto"/>
            <w:tcBorders>
              <w:top w:val="nil"/>
              <w:left w:val="nil"/>
              <w:bottom w:val="nil"/>
              <w:right w:val="nil"/>
            </w:tcBorders>
            <w:shd w:val="clear" w:color="auto" w:fill="auto"/>
            <w:noWrap/>
            <w:vAlign w:val="bottom"/>
            <w:hideMark/>
          </w:tcPr>
          <w:p w14:paraId="0DCB91B4"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w:t>
            </w:r>
          </w:p>
        </w:tc>
        <w:tc>
          <w:tcPr>
            <w:tcW w:w="0" w:type="auto"/>
            <w:tcBorders>
              <w:top w:val="nil"/>
              <w:left w:val="nil"/>
              <w:bottom w:val="nil"/>
              <w:right w:val="nil"/>
            </w:tcBorders>
            <w:shd w:val="clear" w:color="auto" w:fill="auto"/>
            <w:noWrap/>
            <w:vAlign w:val="bottom"/>
            <w:hideMark/>
          </w:tcPr>
          <w:p w14:paraId="55A170A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r>
      <w:tr w:rsidR="00081BE2" w:rsidRPr="00650F53" w14:paraId="17F0ADF9" w14:textId="77777777" w:rsidTr="00081BE2">
        <w:trPr>
          <w:trHeight w:val="264"/>
        </w:trPr>
        <w:tc>
          <w:tcPr>
            <w:tcW w:w="0" w:type="auto"/>
            <w:tcBorders>
              <w:top w:val="nil"/>
              <w:left w:val="nil"/>
              <w:bottom w:val="nil"/>
              <w:right w:val="nil"/>
            </w:tcBorders>
            <w:shd w:val="clear" w:color="auto" w:fill="auto"/>
            <w:vAlign w:val="center"/>
            <w:hideMark/>
          </w:tcPr>
          <w:p w14:paraId="071CC0F2"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Administrative Support</w:t>
            </w:r>
          </w:p>
        </w:tc>
        <w:tc>
          <w:tcPr>
            <w:tcW w:w="0" w:type="auto"/>
            <w:tcBorders>
              <w:top w:val="nil"/>
              <w:left w:val="nil"/>
              <w:bottom w:val="nil"/>
              <w:right w:val="nil"/>
            </w:tcBorders>
            <w:shd w:val="clear" w:color="auto" w:fill="auto"/>
            <w:vAlign w:val="center"/>
            <w:hideMark/>
          </w:tcPr>
          <w:p w14:paraId="7522AA9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Survey</w:t>
            </w:r>
          </w:p>
        </w:tc>
        <w:tc>
          <w:tcPr>
            <w:tcW w:w="0" w:type="auto"/>
            <w:tcBorders>
              <w:top w:val="nil"/>
              <w:left w:val="nil"/>
              <w:bottom w:val="nil"/>
              <w:right w:val="nil"/>
            </w:tcBorders>
            <w:shd w:val="clear" w:color="auto" w:fill="auto"/>
            <w:vAlign w:val="center"/>
            <w:hideMark/>
          </w:tcPr>
          <w:p w14:paraId="4DF6BF1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0E0EA32A"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1.054</w:t>
            </w:r>
          </w:p>
        </w:tc>
        <w:tc>
          <w:tcPr>
            <w:tcW w:w="0" w:type="auto"/>
            <w:tcBorders>
              <w:top w:val="nil"/>
              <w:left w:val="nil"/>
              <w:bottom w:val="nil"/>
              <w:right w:val="nil"/>
            </w:tcBorders>
            <w:shd w:val="clear" w:color="auto" w:fill="auto"/>
            <w:noWrap/>
            <w:vAlign w:val="bottom"/>
            <w:hideMark/>
          </w:tcPr>
          <w:p w14:paraId="62963DC0"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0.275</w:t>
            </w:r>
          </w:p>
        </w:tc>
        <w:tc>
          <w:tcPr>
            <w:tcW w:w="0" w:type="auto"/>
            <w:tcBorders>
              <w:top w:val="nil"/>
              <w:left w:val="nil"/>
              <w:bottom w:val="nil"/>
              <w:right w:val="nil"/>
            </w:tcBorders>
            <w:shd w:val="clear" w:color="auto" w:fill="auto"/>
            <w:noWrap/>
            <w:vAlign w:val="bottom"/>
            <w:hideMark/>
          </w:tcPr>
          <w:p w14:paraId="38CBD12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w:t>
            </w:r>
          </w:p>
        </w:tc>
        <w:tc>
          <w:tcPr>
            <w:tcW w:w="0" w:type="auto"/>
            <w:tcBorders>
              <w:top w:val="nil"/>
              <w:left w:val="nil"/>
              <w:bottom w:val="nil"/>
              <w:right w:val="nil"/>
            </w:tcBorders>
            <w:shd w:val="clear" w:color="auto" w:fill="auto"/>
            <w:noWrap/>
            <w:vAlign w:val="bottom"/>
            <w:hideMark/>
          </w:tcPr>
          <w:p w14:paraId="7E22CBC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3</w:t>
            </w:r>
          </w:p>
        </w:tc>
      </w:tr>
      <w:tr w:rsidR="00081BE2" w:rsidRPr="00650F53" w14:paraId="6C225CF6" w14:textId="77777777" w:rsidTr="00081BE2">
        <w:trPr>
          <w:trHeight w:val="276"/>
        </w:trPr>
        <w:tc>
          <w:tcPr>
            <w:tcW w:w="0" w:type="auto"/>
            <w:tcBorders>
              <w:top w:val="nil"/>
              <w:left w:val="nil"/>
              <w:bottom w:val="nil"/>
              <w:right w:val="nil"/>
            </w:tcBorders>
            <w:shd w:val="clear" w:color="auto" w:fill="auto"/>
            <w:vAlign w:val="center"/>
            <w:hideMark/>
          </w:tcPr>
          <w:p w14:paraId="074ED5BE"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High School Characteristics</w:t>
            </w:r>
          </w:p>
        </w:tc>
        <w:tc>
          <w:tcPr>
            <w:tcW w:w="0" w:type="auto"/>
            <w:tcBorders>
              <w:top w:val="nil"/>
              <w:left w:val="nil"/>
              <w:bottom w:val="nil"/>
              <w:right w:val="nil"/>
            </w:tcBorders>
            <w:shd w:val="clear" w:color="auto" w:fill="auto"/>
            <w:vAlign w:val="center"/>
            <w:hideMark/>
          </w:tcPr>
          <w:p w14:paraId="766A9AE9"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p>
        </w:tc>
        <w:tc>
          <w:tcPr>
            <w:tcW w:w="0" w:type="auto"/>
            <w:tcBorders>
              <w:top w:val="nil"/>
              <w:left w:val="nil"/>
              <w:bottom w:val="nil"/>
              <w:right w:val="nil"/>
            </w:tcBorders>
            <w:shd w:val="clear" w:color="auto" w:fill="auto"/>
            <w:vAlign w:val="center"/>
            <w:hideMark/>
          </w:tcPr>
          <w:p w14:paraId="72C5C205" w14:textId="77777777" w:rsidR="00081BE2" w:rsidRPr="00650F53" w:rsidRDefault="00081BE2" w:rsidP="00081BE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center"/>
            <w:hideMark/>
          </w:tcPr>
          <w:p w14:paraId="27B130E1"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3ACF357"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D003503"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BFE76D9" w14:textId="77777777" w:rsidR="00081BE2" w:rsidRPr="00650F53" w:rsidRDefault="00081BE2" w:rsidP="00081BE2">
            <w:pPr>
              <w:spacing w:after="0" w:line="240" w:lineRule="auto"/>
              <w:jc w:val="center"/>
              <w:rPr>
                <w:rFonts w:ascii="Times New Roman" w:eastAsia="Times New Roman" w:hAnsi="Times New Roman" w:cs="Times New Roman"/>
                <w:sz w:val="20"/>
                <w:szCs w:val="20"/>
              </w:rPr>
            </w:pPr>
          </w:p>
        </w:tc>
      </w:tr>
      <w:tr w:rsidR="00081BE2" w:rsidRPr="00650F53" w14:paraId="1C914C72" w14:textId="77777777" w:rsidTr="00081BE2">
        <w:trPr>
          <w:trHeight w:val="276"/>
        </w:trPr>
        <w:tc>
          <w:tcPr>
            <w:tcW w:w="0" w:type="auto"/>
            <w:tcBorders>
              <w:top w:val="nil"/>
              <w:left w:val="nil"/>
              <w:bottom w:val="nil"/>
              <w:right w:val="nil"/>
            </w:tcBorders>
            <w:shd w:val="clear" w:color="auto" w:fill="auto"/>
            <w:vAlign w:val="center"/>
            <w:hideMark/>
          </w:tcPr>
          <w:p w14:paraId="7D554C90" w14:textId="77777777" w:rsidR="00081BE2" w:rsidRPr="00650F53" w:rsidRDefault="00081BE2" w:rsidP="00081BE2">
            <w:pPr>
              <w:spacing w:after="0" w:line="240" w:lineRule="auto"/>
              <w:rPr>
                <w:rFonts w:ascii="Palatino Linotype" w:eastAsia="Times New Roman" w:hAnsi="Palatino Linotype" w:cs="Calibri"/>
                <w:i/>
                <w:iCs/>
                <w:color w:val="000000"/>
                <w:sz w:val="18"/>
                <w:szCs w:val="18"/>
              </w:rPr>
            </w:pPr>
            <w:r w:rsidRPr="00650F53">
              <w:rPr>
                <w:rFonts w:ascii="Palatino Linotype" w:eastAsia="Times New Roman" w:hAnsi="Palatino Linotype" w:cs="Calibri"/>
                <w:i/>
                <w:iCs/>
                <w:color w:val="000000"/>
                <w:sz w:val="18"/>
                <w:szCs w:val="18"/>
              </w:rPr>
              <w:t xml:space="preserve">   </w:t>
            </w:r>
            <w:r w:rsidRPr="00650F53">
              <w:rPr>
                <w:rFonts w:ascii="Palatino Linotype" w:eastAsia="Times New Roman" w:hAnsi="Palatino Linotype" w:cs="Calibri"/>
                <w:color w:val="000000"/>
                <w:sz w:val="18"/>
                <w:szCs w:val="18"/>
              </w:rPr>
              <w:t>Total Enrollment</w:t>
            </w:r>
          </w:p>
        </w:tc>
        <w:tc>
          <w:tcPr>
            <w:tcW w:w="0" w:type="auto"/>
            <w:tcBorders>
              <w:top w:val="nil"/>
              <w:left w:val="nil"/>
              <w:bottom w:val="nil"/>
              <w:right w:val="nil"/>
            </w:tcBorders>
            <w:shd w:val="clear" w:color="auto" w:fill="auto"/>
            <w:vAlign w:val="center"/>
            <w:hideMark/>
          </w:tcPr>
          <w:p w14:paraId="4C67329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NCES</w:t>
            </w:r>
          </w:p>
        </w:tc>
        <w:tc>
          <w:tcPr>
            <w:tcW w:w="0" w:type="auto"/>
            <w:tcBorders>
              <w:top w:val="nil"/>
              <w:left w:val="nil"/>
              <w:bottom w:val="nil"/>
              <w:right w:val="nil"/>
            </w:tcBorders>
            <w:shd w:val="clear" w:color="auto" w:fill="auto"/>
            <w:vAlign w:val="center"/>
            <w:hideMark/>
          </w:tcPr>
          <w:p w14:paraId="2E0D861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nil"/>
              <w:right w:val="nil"/>
            </w:tcBorders>
            <w:shd w:val="clear" w:color="auto" w:fill="auto"/>
            <w:vAlign w:val="center"/>
            <w:hideMark/>
          </w:tcPr>
          <w:p w14:paraId="57DD8D5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572.34</w:t>
            </w:r>
          </w:p>
        </w:tc>
        <w:tc>
          <w:tcPr>
            <w:tcW w:w="0" w:type="auto"/>
            <w:tcBorders>
              <w:top w:val="nil"/>
              <w:left w:val="nil"/>
              <w:bottom w:val="nil"/>
              <w:right w:val="nil"/>
            </w:tcBorders>
            <w:shd w:val="clear" w:color="auto" w:fill="auto"/>
            <w:noWrap/>
            <w:vAlign w:val="bottom"/>
            <w:hideMark/>
          </w:tcPr>
          <w:p w14:paraId="69837DB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657.7</w:t>
            </w:r>
          </w:p>
        </w:tc>
        <w:tc>
          <w:tcPr>
            <w:tcW w:w="0" w:type="auto"/>
            <w:tcBorders>
              <w:top w:val="nil"/>
              <w:left w:val="nil"/>
              <w:bottom w:val="nil"/>
              <w:right w:val="nil"/>
            </w:tcBorders>
            <w:shd w:val="clear" w:color="auto" w:fill="auto"/>
            <w:noWrap/>
            <w:vAlign w:val="bottom"/>
            <w:hideMark/>
          </w:tcPr>
          <w:p w14:paraId="747BE4FF"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24</w:t>
            </w:r>
          </w:p>
        </w:tc>
        <w:tc>
          <w:tcPr>
            <w:tcW w:w="0" w:type="auto"/>
            <w:tcBorders>
              <w:top w:val="nil"/>
              <w:left w:val="nil"/>
              <w:bottom w:val="nil"/>
              <w:right w:val="nil"/>
            </w:tcBorders>
            <w:shd w:val="clear" w:color="auto" w:fill="auto"/>
            <w:noWrap/>
            <w:vAlign w:val="bottom"/>
            <w:hideMark/>
          </w:tcPr>
          <w:p w14:paraId="500CF7F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3489</w:t>
            </w:r>
          </w:p>
        </w:tc>
      </w:tr>
      <w:tr w:rsidR="00081BE2" w:rsidRPr="00650F53" w14:paraId="4668E5A7" w14:textId="77777777" w:rsidTr="00081BE2">
        <w:trPr>
          <w:trHeight w:val="264"/>
        </w:trPr>
        <w:tc>
          <w:tcPr>
            <w:tcW w:w="0" w:type="auto"/>
            <w:tcBorders>
              <w:top w:val="nil"/>
              <w:left w:val="nil"/>
              <w:right w:val="nil"/>
            </w:tcBorders>
            <w:shd w:val="clear" w:color="auto" w:fill="auto"/>
            <w:vAlign w:val="center"/>
            <w:hideMark/>
          </w:tcPr>
          <w:p w14:paraId="0D2E6E1C"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Percent FRL</w:t>
            </w:r>
          </w:p>
        </w:tc>
        <w:tc>
          <w:tcPr>
            <w:tcW w:w="0" w:type="auto"/>
            <w:tcBorders>
              <w:top w:val="nil"/>
              <w:left w:val="nil"/>
              <w:right w:val="nil"/>
            </w:tcBorders>
            <w:shd w:val="clear" w:color="auto" w:fill="auto"/>
            <w:vAlign w:val="center"/>
            <w:hideMark/>
          </w:tcPr>
          <w:p w14:paraId="4942E09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NCES</w:t>
            </w:r>
          </w:p>
        </w:tc>
        <w:tc>
          <w:tcPr>
            <w:tcW w:w="0" w:type="auto"/>
            <w:tcBorders>
              <w:top w:val="nil"/>
              <w:left w:val="nil"/>
              <w:right w:val="nil"/>
            </w:tcBorders>
            <w:shd w:val="clear" w:color="auto" w:fill="auto"/>
            <w:vAlign w:val="center"/>
            <w:hideMark/>
          </w:tcPr>
          <w:p w14:paraId="25AEF871"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right w:val="nil"/>
            </w:tcBorders>
            <w:shd w:val="clear" w:color="auto" w:fill="auto"/>
            <w:vAlign w:val="center"/>
            <w:hideMark/>
          </w:tcPr>
          <w:p w14:paraId="447DDCF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0.553</w:t>
            </w:r>
          </w:p>
        </w:tc>
        <w:tc>
          <w:tcPr>
            <w:tcW w:w="0" w:type="auto"/>
            <w:tcBorders>
              <w:top w:val="nil"/>
              <w:left w:val="nil"/>
              <w:right w:val="nil"/>
            </w:tcBorders>
            <w:shd w:val="clear" w:color="auto" w:fill="auto"/>
            <w:noWrap/>
            <w:vAlign w:val="bottom"/>
            <w:hideMark/>
          </w:tcPr>
          <w:p w14:paraId="2B93E33A"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0.175</w:t>
            </w:r>
          </w:p>
        </w:tc>
        <w:tc>
          <w:tcPr>
            <w:tcW w:w="0" w:type="auto"/>
            <w:tcBorders>
              <w:top w:val="nil"/>
              <w:left w:val="nil"/>
              <w:right w:val="nil"/>
            </w:tcBorders>
            <w:shd w:val="clear" w:color="auto" w:fill="auto"/>
            <w:noWrap/>
            <w:vAlign w:val="bottom"/>
            <w:hideMark/>
          </w:tcPr>
          <w:p w14:paraId="6380F193"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0.071</w:t>
            </w:r>
          </w:p>
        </w:tc>
        <w:tc>
          <w:tcPr>
            <w:tcW w:w="0" w:type="auto"/>
            <w:tcBorders>
              <w:top w:val="nil"/>
              <w:left w:val="nil"/>
              <w:right w:val="nil"/>
            </w:tcBorders>
            <w:shd w:val="clear" w:color="auto" w:fill="auto"/>
            <w:noWrap/>
            <w:vAlign w:val="bottom"/>
            <w:hideMark/>
          </w:tcPr>
          <w:p w14:paraId="64C07582"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0.985</w:t>
            </w:r>
          </w:p>
        </w:tc>
      </w:tr>
      <w:tr w:rsidR="00081BE2" w:rsidRPr="00650F53" w14:paraId="70FB7310" w14:textId="77777777" w:rsidTr="00081BE2">
        <w:trPr>
          <w:trHeight w:val="264"/>
        </w:trPr>
        <w:tc>
          <w:tcPr>
            <w:tcW w:w="0" w:type="auto"/>
            <w:tcBorders>
              <w:top w:val="nil"/>
              <w:left w:val="nil"/>
              <w:bottom w:val="single" w:sz="4" w:space="0" w:color="auto"/>
              <w:right w:val="nil"/>
            </w:tcBorders>
            <w:shd w:val="clear" w:color="auto" w:fill="auto"/>
            <w:vAlign w:val="center"/>
            <w:hideMark/>
          </w:tcPr>
          <w:p w14:paraId="413F00F3" w14:textId="77777777" w:rsidR="00081BE2" w:rsidRPr="00650F53" w:rsidRDefault="00081BE2" w:rsidP="00081BE2">
            <w:pPr>
              <w:spacing w:after="0" w:line="240" w:lineRule="auto"/>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 xml:space="preserve">    Percent OK Promise Recipients</w:t>
            </w:r>
          </w:p>
        </w:tc>
        <w:tc>
          <w:tcPr>
            <w:tcW w:w="0" w:type="auto"/>
            <w:tcBorders>
              <w:top w:val="nil"/>
              <w:left w:val="nil"/>
              <w:bottom w:val="single" w:sz="4" w:space="0" w:color="auto"/>
              <w:right w:val="nil"/>
            </w:tcBorders>
            <w:shd w:val="clear" w:color="auto" w:fill="auto"/>
            <w:vAlign w:val="center"/>
            <w:hideMark/>
          </w:tcPr>
          <w:p w14:paraId="2914367B"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OSRHE</w:t>
            </w:r>
          </w:p>
        </w:tc>
        <w:tc>
          <w:tcPr>
            <w:tcW w:w="0" w:type="auto"/>
            <w:tcBorders>
              <w:top w:val="nil"/>
              <w:left w:val="nil"/>
              <w:bottom w:val="single" w:sz="4" w:space="0" w:color="auto"/>
              <w:right w:val="nil"/>
            </w:tcBorders>
            <w:shd w:val="clear" w:color="auto" w:fill="auto"/>
            <w:vAlign w:val="center"/>
            <w:hideMark/>
          </w:tcPr>
          <w:p w14:paraId="077ADC1D"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167</w:t>
            </w:r>
          </w:p>
        </w:tc>
        <w:tc>
          <w:tcPr>
            <w:tcW w:w="0" w:type="auto"/>
            <w:tcBorders>
              <w:top w:val="nil"/>
              <w:left w:val="nil"/>
              <w:bottom w:val="single" w:sz="4" w:space="0" w:color="auto"/>
              <w:right w:val="nil"/>
            </w:tcBorders>
            <w:shd w:val="clear" w:color="auto" w:fill="auto"/>
            <w:vAlign w:val="center"/>
            <w:hideMark/>
          </w:tcPr>
          <w:p w14:paraId="0F5AE655"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0.113</w:t>
            </w:r>
          </w:p>
        </w:tc>
        <w:tc>
          <w:tcPr>
            <w:tcW w:w="0" w:type="auto"/>
            <w:tcBorders>
              <w:top w:val="nil"/>
              <w:left w:val="nil"/>
              <w:bottom w:val="single" w:sz="4" w:space="0" w:color="auto"/>
              <w:right w:val="nil"/>
            </w:tcBorders>
            <w:shd w:val="clear" w:color="auto" w:fill="auto"/>
            <w:noWrap/>
            <w:vAlign w:val="bottom"/>
            <w:hideMark/>
          </w:tcPr>
          <w:p w14:paraId="2D42FB49"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0.048</w:t>
            </w:r>
          </w:p>
        </w:tc>
        <w:tc>
          <w:tcPr>
            <w:tcW w:w="0" w:type="auto"/>
            <w:tcBorders>
              <w:top w:val="nil"/>
              <w:left w:val="nil"/>
              <w:bottom w:val="single" w:sz="4" w:space="0" w:color="auto"/>
              <w:right w:val="nil"/>
            </w:tcBorders>
            <w:shd w:val="clear" w:color="auto" w:fill="auto"/>
            <w:noWrap/>
            <w:vAlign w:val="bottom"/>
            <w:hideMark/>
          </w:tcPr>
          <w:p w14:paraId="7DAEE008"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0.038</w:t>
            </w:r>
          </w:p>
        </w:tc>
        <w:tc>
          <w:tcPr>
            <w:tcW w:w="0" w:type="auto"/>
            <w:tcBorders>
              <w:top w:val="nil"/>
              <w:left w:val="nil"/>
              <w:bottom w:val="single" w:sz="4" w:space="0" w:color="auto"/>
              <w:right w:val="nil"/>
            </w:tcBorders>
            <w:shd w:val="clear" w:color="auto" w:fill="auto"/>
            <w:noWrap/>
            <w:vAlign w:val="bottom"/>
            <w:hideMark/>
          </w:tcPr>
          <w:p w14:paraId="38D57BCE" w14:textId="77777777" w:rsidR="00081BE2" w:rsidRPr="00650F53" w:rsidRDefault="00081BE2" w:rsidP="00081BE2">
            <w:pPr>
              <w:spacing w:after="0" w:line="240" w:lineRule="auto"/>
              <w:jc w:val="center"/>
              <w:rPr>
                <w:rFonts w:ascii="Palatino Linotype" w:eastAsia="Times New Roman" w:hAnsi="Palatino Linotype" w:cs="Calibri"/>
                <w:color w:val="000000"/>
                <w:sz w:val="18"/>
                <w:szCs w:val="18"/>
              </w:rPr>
            </w:pPr>
            <w:r w:rsidRPr="00650F53">
              <w:rPr>
                <w:rFonts w:ascii="Palatino Linotype" w:eastAsia="Times New Roman" w:hAnsi="Palatino Linotype" w:cs="Calibri"/>
                <w:color w:val="000000"/>
                <w:sz w:val="18"/>
                <w:szCs w:val="18"/>
              </w:rPr>
              <w:t>0.288</w:t>
            </w:r>
          </w:p>
        </w:tc>
      </w:tr>
    </w:tbl>
    <w:p w14:paraId="547A21AD" w14:textId="77777777" w:rsidR="00081BE2" w:rsidRDefault="00081BE2" w:rsidP="0046518A">
      <w:pPr>
        <w:spacing w:after="0" w:line="480" w:lineRule="auto"/>
        <w:ind w:firstLine="720"/>
        <w:rPr>
          <w:rFonts w:ascii="Times New Roman" w:hAnsi="Times New Roman" w:cs="Times New Roman"/>
          <w:sz w:val="24"/>
          <w:szCs w:val="24"/>
        </w:rPr>
      </w:pPr>
    </w:p>
    <w:p w14:paraId="2837201C" w14:textId="34996A45"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Next, the survey data reveal substantial variation in the self-identified role of the respondents as well as their access to resources and time spent on college preparation. Table 1 shows that approximately 50 percent of the respondents identified with the compliance officer and information disseminator roles. Moreover, 62 percent of respondents identified as a student support official. It is important to note that this question allowed respondents to be able to identify with more than one role, if desired.</w:t>
      </w:r>
      <w:r w:rsidRPr="00E3535F">
        <w:rPr>
          <w:rStyle w:val="FootnoteReference"/>
        </w:rPr>
        <w:footnoteReference w:id="18"/>
      </w:r>
      <w:r w:rsidRPr="005B2DFB">
        <w:rPr>
          <w:rFonts w:ascii="Times New Roman" w:hAnsi="Times New Roman" w:cs="Times New Roman"/>
          <w:sz w:val="24"/>
          <w:szCs w:val="24"/>
        </w:rPr>
        <w:t xml:space="preserve"> The measurement and operationalization of these key variables is described in Table </w:t>
      </w:r>
      <w:r w:rsidR="0054630F">
        <w:rPr>
          <w:rFonts w:ascii="Times New Roman" w:hAnsi="Times New Roman" w:cs="Times New Roman"/>
          <w:sz w:val="24"/>
          <w:szCs w:val="24"/>
        </w:rPr>
        <w:t>4-</w:t>
      </w:r>
      <w:r w:rsidRPr="005B2DFB">
        <w:rPr>
          <w:rFonts w:ascii="Times New Roman" w:hAnsi="Times New Roman" w:cs="Times New Roman"/>
          <w:sz w:val="24"/>
          <w:szCs w:val="24"/>
        </w:rPr>
        <w:t xml:space="preserve">2 below. The information dissemination is treated as the neutral category, with support and compliance roles being the variables of interest based on the theoretical hypotheses. </w:t>
      </w:r>
    </w:p>
    <w:p w14:paraId="132AF915" w14:textId="05F4482D" w:rsidR="00081BE2" w:rsidRPr="0073616B" w:rsidRDefault="00081BE2" w:rsidP="00081BE2">
      <w:pPr>
        <w:spacing w:after="0" w:line="240" w:lineRule="auto"/>
        <w:textAlignment w:val="center"/>
        <w:rPr>
          <w:rFonts w:ascii="Palatino Linotype" w:hAnsi="Palatino Linotype" w:cs="Times New Roman"/>
        </w:rPr>
      </w:pPr>
      <w:r w:rsidRPr="0073616B">
        <w:rPr>
          <w:rFonts w:ascii="Palatino Linotype" w:hAnsi="Palatino Linotype" w:cs="Times New Roman"/>
        </w:rPr>
        <w:t xml:space="preserve">Table </w:t>
      </w:r>
      <w:r w:rsidR="0054630F">
        <w:rPr>
          <w:rFonts w:ascii="Palatino Linotype" w:hAnsi="Palatino Linotype" w:cs="Times New Roman"/>
        </w:rPr>
        <w:t>4-</w:t>
      </w:r>
      <w:r>
        <w:rPr>
          <w:rFonts w:ascii="Palatino Linotype" w:hAnsi="Palatino Linotype" w:cs="Times New Roman"/>
        </w:rPr>
        <w:t>2</w:t>
      </w:r>
      <w:r w:rsidRPr="0073616B">
        <w:rPr>
          <w:rFonts w:ascii="Palatino Linotype" w:hAnsi="Palatino Linotype" w:cs="Times New Roman"/>
        </w:rPr>
        <w:t xml:space="preserve">. Measurement and </w:t>
      </w:r>
      <w:r>
        <w:rPr>
          <w:rFonts w:ascii="Palatino Linotype" w:hAnsi="Palatino Linotype" w:cs="Times New Roman"/>
        </w:rPr>
        <w:t>Operationalization</w:t>
      </w:r>
      <w:r w:rsidRPr="0073616B">
        <w:rPr>
          <w:rFonts w:ascii="Palatino Linotype" w:hAnsi="Palatino Linotype" w:cs="Times New Roman"/>
        </w:rPr>
        <w:t xml:space="preserve"> of </w:t>
      </w:r>
      <w:r>
        <w:rPr>
          <w:rFonts w:ascii="Palatino Linotype" w:hAnsi="Palatino Linotype" w:cs="Times New Roman"/>
        </w:rPr>
        <w:t>Role Perception Variables</w:t>
      </w:r>
    </w:p>
    <w:tbl>
      <w:tblPr>
        <w:tblW w:w="8820" w:type="dxa"/>
        <w:jc w:val="center"/>
        <w:tblCellMar>
          <w:left w:w="0" w:type="dxa"/>
          <w:right w:w="0" w:type="dxa"/>
        </w:tblCellMar>
        <w:tblLook w:val="04A0" w:firstRow="1" w:lastRow="0" w:firstColumn="1" w:lastColumn="0" w:noHBand="0" w:noVBand="1"/>
        <w:tblCaption w:val=""/>
        <w:tblDescription w:val=""/>
      </w:tblPr>
      <w:tblGrid>
        <w:gridCol w:w="1350"/>
        <w:gridCol w:w="5760"/>
        <w:gridCol w:w="1710"/>
      </w:tblGrid>
      <w:tr w:rsidR="00081BE2" w:rsidRPr="000164AA" w14:paraId="5CDFDF08" w14:textId="77777777" w:rsidTr="00081BE2">
        <w:trPr>
          <w:trHeight w:val="450"/>
          <w:jc w:val="center"/>
        </w:trPr>
        <w:tc>
          <w:tcPr>
            <w:tcW w:w="1350" w:type="dxa"/>
            <w:tcBorders>
              <w:bottom w:val="single" w:sz="12" w:space="0" w:color="auto"/>
            </w:tcBorders>
            <w:vAlign w:val="center"/>
          </w:tcPr>
          <w:p w14:paraId="72A25BBD" w14:textId="77777777" w:rsidR="00081BE2" w:rsidRPr="000164AA" w:rsidRDefault="00081BE2" w:rsidP="00081BE2">
            <w:pPr>
              <w:spacing w:after="0" w:line="240" w:lineRule="auto"/>
              <w:rPr>
                <w:rFonts w:ascii="Palatino Linotype" w:eastAsia="Times New Roman" w:hAnsi="Palatino Linotype" w:cs="Times New Roman"/>
                <w:b/>
                <w:bCs/>
                <w:color w:val="000000"/>
                <w:sz w:val="20"/>
                <w:szCs w:val="20"/>
              </w:rPr>
            </w:pPr>
            <w:r w:rsidRPr="000164AA">
              <w:rPr>
                <w:rFonts w:ascii="Palatino Linotype" w:eastAsia="Times New Roman" w:hAnsi="Palatino Linotype" w:cs="Times New Roman"/>
                <w:b/>
                <w:bCs/>
                <w:color w:val="000000"/>
                <w:sz w:val="20"/>
                <w:szCs w:val="20"/>
              </w:rPr>
              <w:t>Concept</w:t>
            </w:r>
          </w:p>
        </w:tc>
        <w:tc>
          <w:tcPr>
            <w:tcW w:w="5760" w:type="dxa"/>
            <w:tcBorders>
              <w:bottom w:val="single" w:sz="12" w:space="0" w:color="auto"/>
            </w:tcBorders>
            <w:tcMar>
              <w:top w:w="80" w:type="dxa"/>
              <w:left w:w="80" w:type="dxa"/>
              <w:bottom w:w="80" w:type="dxa"/>
              <w:right w:w="80" w:type="dxa"/>
            </w:tcMar>
            <w:vAlign w:val="center"/>
          </w:tcPr>
          <w:p w14:paraId="59A65BF1" w14:textId="77777777" w:rsidR="00081BE2" w:rsidRPr="000164AA" w:rsidRDefault="00081BE2" w:rsidP="00081BE2">
            <w:pPr>
              <w:spacing w:after="0" w:line="240" w:lineRule="auto"/>
              <w:rPr>
                <w:rFonts w:ascii="Palatino Linotype" w:eastAsia="Times New Roman" w:hAnsi="Palatino Linotype" w:cs="Times New Roman"/>
                <w:b/>
                <w:bCs/>
                <w:color w:val="000000"/>
                <w:sz w:val="20"/>
                <w:szCs w:val="20"/>
              </w:rPr>
            </w:pPr>
            <w:r w:rsidRPr="000164AA">
              <w:rPr>
                <w:rFonts w:ascii="Palatino Linotype" w:eastAsia="Times New Roman" w:hAnsi="Palatino Linotype" w:cs="Times New Roman"/>
                <w:b/>
                <w:bCs/>
                <w:color w:val="000000"/>
                <w:sz w:val="20"/>
                <w:szCs w:val="20"/>
              </w:rPr>
              <w:t>Question Wording</w:t>
            </w:r>
          </w:p>
        </w:tc>
        <w:tc>
          <w:tcPr>
            <w:tcW w:w="1710" w:type="dxa"/>
            <w:tcBorders>
              <w:bottom w:val="single" w:sz="12" w:space="0" w:color="auto"/>
            </w:tcBorders>
            <w:vAlign w:val="center"/>
          </w:tcPr>
          <w:p w14:paraId="5E22172C" w14:textId="77777777" w:rsidR="00081BE2" w:rsidRPr="000164AA" w:rsidRDefault="00081BE2" w:rsidP="00081BE2">
            <w:pPr>
              <w:spacing w:after="0" w:line="240" w:lineRule="auto"/>
              <w:rPr>
                <w:rFonts w:ascii="Palatino Linotype" w:eastAsia="Times New Roman" w:hAnsi="Palatino Linotype" w:cs="Times New Roman"/>
                <w:b/>
                <w:bCs/>
                <w:color w:val="000000"/>
                <w:sz w:val="20"/>
                <w:szCs w:val="20"/>
              </w:rPr>
            </w:pPr>
            <w:r w:rsidRPr="000164AA">
              <w:rPr>
                <w:rFonts w:ascii="Palatino Linotype" w:eastAsia="Times New Roman" w:hAnsi="Palatino Linotype" w:cs="Times New Roman"/>
                <w:b/>
                <w:bCs/>
                <w:color w:val="000000"/>
                <w:sz w:val="20"/>
                <w:szCs w:val="20"/>
              </w:rPr>
              <w:t>Measurement</w:t>
            </w:r>
          </w:p>
        </w:tc>
      </w:tr>
      <w:tr w:rsidR="00081BE2" w:rsidRPr="000164AA" w14:paraId="1FD3910A" w14:textId="77777777" w:rsidTr="00081BE2">
        <w:trPr>
          <w:trHeight w:val="369"/>
          <w:jc w:val="center"/>
        </w:trPr>
        <w:tc>
          <w:tcPr>
            <w:tcW w:w="1350" w:type="dxa"/>
            <w:tcBorders>
              <w:top w:val="single" w:sz="4" w:space="0" w:color="auto"/>
              <w:bottom w:val="single" w:sz="4" w:space="0" w:color="auto"/>
            </w:tcBorders>
            <w:vAlign w:val="center"/>
          </w:tcPr>
          <w:p w14:paraId="137C0CE7" w14:textId="77777777" w:rsidR="00081BE2" w:rsidRPr="000164AA" w:rsidRDefault="00081BE2" w:rsidP="00081BE2">
            <w:pPr>
              <w:spacing w:after="0" w:line="240" w:lineRule="auto"/>
              <w:rPr>
                <w:rFonts w:ascii="Palatino Linotype" w:eastAsia="Times New Roman" w:hAnsi="Palatino Linotype" w:cs="Times New Roman"/>
                <w:sz w:val="20"/>
                <w:szCs w:val="20"/>
              </w:rPr>
            </w:pPr>
            <w:r w:rsidRPr="000164AA">
              <w:rPr>
                <w:rFonts w:ascii="Palatino Linotype" w:eastAsia="Times New Roman" w:hAnsi="Palatino Linotype" w:cs="Times New Roman"/>
                <w:sz w:val="20"/>
                <w:szCs w:val="20"/>
              </w:rPr>
              <w:t>Role Perception</w:t>
            </w:r>
          </w:p>
        </w:tc>
        <w:tc>
          <w:tcPr>
            <w:tcW w:w="5760" w:type="dxa"/>
            <w:tcBorders>
              <w:top w:val="single" w:sz="4" w:space="0" w:color="auto"/>
              <w:bottom w:val="single" w:sz="4" w:space="0" w:color="auto"/>
            </w:tcBorders>
            <w:tcMar>
              <w:top w:w="80" w:type="dxa"/>
              <w:left w:w="80" w:type="dxa"/>
              <w:bottom w:w="80" w:type="dxa"/>
              <w:right w:w="80" w:type="dxa"/>
            </w:tcMar>
            <w:vAlign w:val="center"/>
            <w:hideMark/>
          </w:tcPr>
          <w:p w14:paraId="1907A8FA" w14:textId="77777777" w:rsidR="00081BE2" w:rsidRPr="000164AA" w:rsidRDefault="00081BE2" w:rsidP="00081BE2">
            <w:p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rPr>
              <w:t>Which of the following best describes the role you identify with when dealing with students applying for the Oklahoma’s Promise scholarship program? Please select all that apply.</w:t>
            </w:r>
          </w:p>
          <w:p w14:paraId="55EA34FE" w14:textId="77777777" w:rsidR="00081BE2" w:rsidRPr="000164AA" w:rsidRDefault="00081BE2" w:rsidP="00081BE2">
            <w:pPr>
              <w:spacing w:after="0" w:line="240" w:lineRule="auto"/>
              <w:rPr>
                <w:rFonts w:ascii="Palatino Linotype" w:eastAsia="Calibri" w:hAnsi="Palatino Linotype" w:cs="Times New Roman"/>
                <w:sz w:val="20"/>
                <w:szCs w:val="20"/>
              </w:rPr>
            </w:pPr>
          </w:p>
          <w:p w14:paraId="14FFDAA1" w14:textId="77777777" w:rsidR="00081BE2" w:rsidRPr="000164AA" w:rsidRDefault="00081BE2" w:rsidP="00081BE2">
            <w:pPr>
              <w:pStyle w:val="ListParagraph"/>
              <w:numPr>
                <w:ilvl w:val="0"/>
                <w:numId w:val="12"/>
              </w:num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u w:val="single"/>
              </w:rPr>
              <w:t>Compliance Officer</w:t>
            </w:r>
            <w:r w:rsidRPr="000164AA">
              <w:rPr>
                <w:rFonts w:ascii="Palatino Linotype" w:eastAsia="Calibri" w:hAnsi="Palatino Linotype" w:cs="Times New Roman"/>
                <w:sz w:val="20"/>
                <w:szCs w:val="20"/>
              </w:rPr>
              <w:t>: I am primarily concerned with making sure students meet program requirements and have the right documentation</w:t>
            </w:r>
          </w:p>
          <w:p w14:paraId="36730A9C" w14:textId="77777777" w:rsidR="00081BE2" w:rsidRPr="000164AA" w:rsidRDefault="00081BE2" w:rsidP="00081BE2">
            <w:pPr>
              <w:pStyle w:val="ListParagraph"/>
              <w:spacing w:after="0" w:line="240" w:lineRule="auto"/>
              <w:rPr>
                <w:rFonts w:ascii="Palatino Linotype" w:eastAsia="Calibri" w:hAnsi="Palatino Linotype" w:cs="Times New Roman"/>
                <w:sz w:val="20"/>
                <w:szCs w:val="20"/>
              </w:rPr>
            </w:pPr>
          </w:p>
          <w:p w14:paraId="766ADE62" w14:textId="77777777" w:rsidR="00081BE2" w:rsidRPr="000164AA" w:rsidRDefault="00081BE2" w:rsidP="00081BE2">
            <w:pPr>
              <w:pStyle w:val="ListParagraph"/>
              <w:numPr>
                <w:ilvl w:val="0"/>
                <w:numId w:val="12"/>
              </w:num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u w:val="single"/>
              </w:rPr>
              <w:t>Student Support Official</w:t>
            </w:r>
            <w:r w:rsidRPr="000164AA">
              <w:rPr>
                <w:rFonts w:ascii="Palatino Linotype" w:eastAsia="Calibri" w:hAnsi="Palatino Linotype" w:cs="Times New Roman"/>
                <w:sz w:val="20"/>
                <w:szCs w:val="20"/>
              </w:rPr>
              <w:t xml:space="preserve">: I am primarily concerned with helping all potentially eligible students navigate the process and ensure that as many eligible students as possible receive the Oklahoma Promise Scholarship  </w:t>
            </w:r>
          </w:p>
          <w:p w14:paraId="7CE23C06" w14:textId="77777777" w:rsidR="00081BE2" w:rsidRPr="000164AA" w:rsidRDefault="00081BE2" w:rsidP="00081BE2">
            <w:pPr>
              <w:spacing w:after="0" w:line="240" w:lineRule="auto"/>
              <w:rPr>
                <w:rFonts w:ascii="Palatino Linotype" w:eastAsia="Calibri" w:hAnsi="Palatino Linotype" w:cs="Times New Roman"/>
                <w:sz w:val="20"/>
                <w:szCs w:val="20"/>
              </w:rPr>
            </w:pPr>
          </w:p>
          <w:p w14:paraId="0E25BE13" w14:textId="77777777" w:rsidR="00081BE2" w:rsidRPr="000164AA" w:rsidRDefault="00081BE2" w:rsidP="00081BE2">
            <w:pPr>
              <w:pStyle w:val="ListParagraph"/>
              <w:numPr>
                <w:ilvl w:val="0"/>
                <w:numId w:val="12"/>
              </w:num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u w:val="single"/>
              </w:rPr>
              <w:t>Information Liaison</w:t>
            </w:r>
            <w:r w:rsidRPr="000164AA">
              <w:rPr>
                <w:rFonts w:ascii="Palatino Linotype" w:eastAsia="Calibri" w:hAnsi="Palatino Linotype" w:cs="Times New Roman"/>
                <w:sz w:val="20"/>
                <w:szCs w:val="20"/>
              </w:rPr>
              <w:t xml:space="preserve">: I am primarily concerned with disseminating information about the scholarship requirements  </w:t>
            </w:r>
          </w:p>
        </w:tc>
        <w:tc>
          <w:tcPr>
            <w:tcW w:w="1710" w:type="dxa"/>
            <w:tcBorders>
              <w:top w:val="single" w:sz="4" w:space="0" w:color="auto"/>
              <w:bottom w:val="single" w:sz="4" w:space="0" w:color="auto"/>
            </w:tcBorders>
            <w:vAlign w:val="center"/>
          </w:tcPr>
          <w:p w14:paraId="58F9972C" w14:textId="77777777" w:rsidR="00081BE2" w:rsidRPr="000164AA" w:rsidRDefault="00081BE2" w:rsidP="00081BE2">
            <w:p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rPr>
              <w:t>1—Identifies with the role</w:t>
            </w:r>
          </w:p>
          <w:p w14:paraId="7A295CA1" w14:textId="77777777" w:rsidR="00081BE2" w:rsidRPr="000164AA" w:rsidRDefault="00081BE2" w:rsidP="00081BE2">
            <w:pPr>
              <w:spacing w:after="0" w:line="240" w:lineRule="auto"/>
              <w:rPr>
                <w:rFonts w:ascii="Palatino Linotype" w:eastAsia="Calibri" w:hAnsi="Palatino Linotype" w:cs="Times New Roman"/>
                <w:sz w:val="20"/>
                <w:szCs w:val="20"/>
              </w:rPr>
            </w:pPr>
            <w:r w:rsidRPr="000164AA">
              <w:rPr>
                <w:rFonts w:ascii="Palatino Linotype" w:eastAsia="Calibri" w:hAnsi="Palatino Linotype" w:cs="Times New Roman"/>
                <w:sz w:val="20"/>
                <w:szCs w:val="20"/>
              </w:rPr>
              <w:t>0—Does not identify with the role</w:t>
            </w:r>
          </w:p>
        </w:tc>
      </w:tr>
    </w:tbl>
    <w:p w14:paraId="126FEC8D" w14:textId="77777777" w:rsidR="00081BE2" w:rsidRPr="000164AA" w:rsidRDefault="00081BE2" w:rsidP="00081BE2">
      <w:pPr>
        <w:spacing w:line="240" w:lineRule="auto"/>
        <w:rPr>
          <w:rFonts w:ascii="Palatino Linotype" w:hAnsi="Palatino Linotype"/>
          <w:sz w:val="18"/>
          <w:szCs w:val="18"/>
        </w:rPr>
      </w:pPr>
      <w:r w:rsidRPr="000164AA">
        <w:rPr>
          <w:rFonts w:ascii="Palatino Linotype" w:hAnsi="Palatino Linotype"/>
          <w:sz w:val="18"/>
          <w:szCs w:val="18"/>
        </w:rPr>
        <w:t>Note: Respondents could choose more than one role. Each role is coded as a separate dichotomous variable.</w:t>
      </w:r>
    </w:p>
    <w:p w14:paraId="4DDD9B74" w14:textId="77777777" w:rsidR="00081BE2" w:rsidRDefault="00081BE2" w:rsidP="0046518A">
      <w:pPr>
        <w:spacing w:after="0" w:line="480" w:lineRule="auto"/>
        <w:ind w:firstLine="720"/>
        <w:rPr>
          <w:rFonts w:ascii="Times New Roman" w:hAnsi="Times New Roman" w:cs="Times New Roman"/>
          <w:sz w:val="24"/>
          <w:szCs w:val="24"/>
        </w:rPr>
      </w:pPr>
    </w:p>
    <w:p w14:paraId="195715A9" w14:textId="20112C4F"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descriptive statistics also demonstrate that, on average, less than half of the respondents’ time is spent on college preparation (44 percent) but that the average SLB meets </w:t>
      </w:r>
      <w:r w:rsidRPr="005B2DFB">
        <w:rPr>
          <w:rFonts w:ascii="Times New Roman" w:hAnsi="Times New Roman" w:cs="Times New Roman"/>
          <w:sz w:val="24"/>
          <w:szCs w:val="24"/>
        </w:rPr>
        <w:lastRenderedPageBreak/>
        <w:t xml:space="preserve">with almost 80 percent of students one-on-one. Additionally, 13 percent of survey respondents indicated that they partnered with a community organization in the implementation of the Promise program. The average respondent indicated the perceived family incomes of their school population was about the same (3) or slightly lower (4) than the surrounding area and the perceived administrative support of efforts on behalf of students applying for the Promise program was generally low. </w:t>
      </w:r>
    </w:p>
    <w:p w14:paraId="3CE6A4F3"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Finally, the data from CCD help provide a picture of the school level characteristics. This data reveals that the average high school in the sample had 574 students enrolled and 55 percent of students eligible for free and reduced-price lunches. Lastly, as we would expect, the proportion of students eligible for free and reduced-price lunch at each school is substantially larger than the proportion of students that actually end up receiving the Promise scholarship. This data suggests that there is substantial variation across high schools in the proportion of students accessing the Promise program, providing the ideal context to explore the mechanisms by which administrative burden translates to restricted program access at the local level.</w:t>
      </w:r>
    </w:p>
    <w:p w14:paraId="7752CCB9"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Quantitative Analytical Approach</w:t>
      </w:r>
    </w:p>
    <w:p w14:paraId="3E84DC3A" w14:textId="77777777" w:rsidR="0046518A" w:rsidRPr="005B2DFB" w:rsidRDefault="0046518A" w:rsidP="0046518A">
      <w:pPr>
        <w:spacing w:line="480" w:lineRule="auto"/>
        <w:rPr>
          <w:rFonts w:ascii="Times New Roman" w:hAnsi="Times New Roman" w:cs="Times New Roman"/>
          <w:sz w:val="24"/>
          <w:szCs w:val="24"/>
        </w:rPr>
      </w:pPr>
      <w:r w:rsidRPr="005B2DFB">
        <w:rPr>
          <w:rFonts w:ascii="Times New Roman" w:hAnsi="Times New Roman" w:cs="Times New Roman"/>
          <w:b/>
          <w:sz w:val="24"/>
          <w:szCs w:val="24"/>
        </w:rPr>
        <w:tab/>
      </w:r>
      <w:r w:rsidRPr="005B2DFB">
        <w:rPr>
          <w:rFonts w:ascii="Times New Roman" w:hAnsi="Times New Roman" w:cs="Times New Roman"/>
          <w:sz w:val="24"/>
          <w:szCs w:val="24"/>
        </w:rPr>
        <w:t>We model the variation in the proportion of students gaining access to the Oklahoma’s Promise program at each high school as a function of the role perception in addition to a set of control variables capturing organizational as well as individual factors that have been identified as important in previous studies on street-level bureaucracy. At the individual level, these factors include education, race, gender, ideology, perceived support from administration, the number of years they have been working in the position, and the task environment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oMath>
      <w:r w:rsidRPr="005B2DFB">
        <w:rPr>
          <w:rFonts w:ascii="Times New Roman" w:eastAsiaTheme="minorEastAsia" w:hAnsi="Times New Roman" w:cs="Times New Roman"/>
          <w:sz w:val="24"/>
          <w:szCs w:val="24"/>
        </w:rPr>
        <w:t>).</w:t>
      </w:r>
      <w:r w:rsidRPr="005B2DFB">
        <w:rPr>
          <w:rFonts w:ascii="Times New Roman" w:hAnsi="Times New Roman" w:cs="Times New Roman"/>
          <w:sz w:val="24"/>
          <w:szCs w:val="24"/>
        </w:rPr>
        <w:t xml:space="preserve"> At the organizational level, we include the proportion of students in the FRL program and the perceived </w:t>
      </w:r>
      <w:r w:rsidRPr="005B2DFB">
        <w:rPr>
          <w:rFonts w:ascii="Times New Roman" w:hAnsi="Times New Roman" w:cs="Times New Roman"/>
          <w:sz w:val="24"/>
          <w:szCs w:val="24"/>
        </w:rPr>
        <w:lastRenderedPageBreak/>
        <w:t>average family income of the school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s</m:t>
            </m:r>
          </m:sub>
        </m:sSub>
      </m:oMath>
      <w:r w:rsidRPr="005B2DFB">
        <w:rPr>
          <w:rFonts w:ascii="Times New Roman" w:eastAsiaTheme="minorEastAsia" w:hAnsi="Times New Roman" w:cs="Times New Roman"/>
          <w:sz w:val="24"/>
          <w:szCs w:val="24"/>
        </w:rPr>
        <w:t>)</w:t>
      </w:r>
      <w:r w:rsidRPr="005B2DFB">
        <w:rPr>
          <w:rFonts w:ascii="Times New Roman" w:hAnsi="Times New Roman" w:cs="Times New Roman"/>
          <w:sz w:val="24"/>
          <w:szCs w:val="24"/>
        </w:rPr>
        <w:t>. Access to Oklahoma’s Promise program is modeled as a function of these sets of variables in the following equation:</w:t>
      </w:r>
    </w:p>
    <w:p w14:paraId="0A018334" w14:textId="77777777" w:rsidR="0046518A" w:rsidRPr="005B2DFB" w:rsidRDefault="003C3EBF" w:rsidP="0046518A">
      <w:pPr>
        <w:spacing w:line="480" w:lineRule="auto"/>
        <w:ind w:left="2160" w:firstLine="720"/>
        <w:jc w:val="center"/>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s</m:t>
            </m:r>
          </m:sub>
        </m:sSub>
        <m:r>
          <w:rPr>
            <w:rFonts w:ascii="Cambria Math" w:hAnsi="Cambria Math" w:cs="Times New Roman"/>
            <w:sz w:val="24"/>
            <w:szCs w:val="24"/>
          </w:rPr>
          <m:t>=α+</m:t>
        </m:r>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δ+</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is</m:t>
            </m:r>
          </m:sub>
        </m:sSub>
        <m:r>
          <w:rPr>
            <w:rFonts w:ascii="Cambria Math" w:hAnsi="Cambria Math" w:cs="Times New Roman"/>
            <w:sz w:val="24"/>
            <w:szCs w:val="24"/>
          </w:rPr>
          <m:t>β+</m:t>
        </m:r>
        <m:sSub>
          <m:sSubPr>
            <m:ctrlPr>
              <w:rPr>
                <w:rFonts w:ascii="Cambria Math" w:hAnsi="Cambria Math" w:cs="Times New Roman"/>
                <w:i/>
                <w:iCs/>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oMath>
      <w:r w:rsidR="0046518A" w:rsidRPr="005B2DFB">
        <w:rPr>
          <w:rFonts w:ascii="Times New Roman" w:eastAsiaTheme="minorEastAsia" w:hAnsi="Times New Roman" w:cs="Times New Roman"/>
          <w:iCs/>
          <w:sz w:val="24"/>
          <w:szCs w:val="24"/>
        </w:rPr>
        <w:tab/>
      </w:r>
      <w:r w:rsidR="0046518A" w:rsidRPr="005B2DFB">
        <w:rPr>
          <w:rFonts w:ascii="Times New Roman" w:eastAsiaTheme="minorEastAsia" w:hAnsi="Times New Roman" w:cs="Times New Roman"/>
          <w:iCs/>
          <w:sz w:val="24"/>
          <w:szCs w:val="24"/>
        </w:rPr>
        <w:tab/>
      </w:r>
      <w:r w:rsidR="0046518A" w:rsidRPr="005B2DFB">
        <w:rPr>
          <w:rFonts w:ascii="Times New Roman" w:eastAsiaTheme="minorEastAsia" w:hAnsi="Times New Roman" w:cs="Times New Roman"/>
          <w:iCs/>
          <w:sz w:val="24"/>
          <w:szCs w:val="24"/>
        </w:rPr>
        <w:tab/>
      </w:r>
      <w:r w:rsidR="0046518A" w:rsidRPr="005B2DFB">
        <w:rPr>
          <w:rFonts w:ascii="Times New Roman" w:eastAsiaTheme="minorEastAsia" w:hAnsi="Times New Roman" w:cs="Times New Roman"/>
          <w:iCs/>
          <w:sz w:val="24"/>
          <w:szCs w:val="24"/>
        </w:rPr>
        <w:tab/>
      </w:r>
      <w:r w:rsidR="0046518A" w:rsidRPr="005B2DFB">
        <w:rPr>
          <w:rFonts w:ascii="Times New Roman" w:hAnsi="Times New Roman" w:cs="Times New Roman"/>
          <w:sz w:val="24"/>
          <w:szCs w:val="24"/>
        </w:rPr>
        <w:t>(</w:t>
      </w:r>
      <w:r w:rsidR="0046518A" w:rsidRPr="005B2DFB">
        <w:rPr>
          <w:rFonts w:ascii="Times New Roman" w:eastAsia="Times New Roman" w:hAnsi="Times New Roman" w:cs="Times New Roman"/>
          <w:sz w:val="24"/>
          <w:szCs w:val="24"/>
        </w:rPr>
        <w:t>1)</w:t>
      </w:r>
    </w:p>
    <w:p w14:paraId="7713051B" w14:textId="77777777" w:rsidR="0046518A" w:rsidRPr="005B2DFB" w:rsidRDefault="0046518A" w:rsidP="0046518A">
      <w:pPr>
        <w:spacing w:line="480" w:lineRule="auto"/>
        <w:rPr>
          <w:rFonts w:ascii="Times New Roman" w:hAnsi="Times New Roman" w:cs="Times New Roman"/>
          <w:sz w:val="24"/>
          <w:szCs w:val="24"/>
        </w:rPr>
      </w:pPr>
      <w:r w:rsidRPr="005B2DFB">
        <w:rPr>
          <w:rFonts w:ascii="Times New Roman" w:hAnsi="Times New Roman" w:cs="Times New Roman"/>
          <w:sz w:val="24"/>
          <w:szCs w:val="24"/>
        </w:rPr>
        <w:t xml:space="preserve">where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Y</m:t>
            </m:r>
          </m:e>
          <m:sub>
            <m:r>
              <w:rPr>
                <w:rFonts w:ascii="Cambria Math" w:eastAsia="Times New Roman" w:hAnsi="Cambria Math" w:cs="Times New Roman"/>
                <w:sz w:val="24"/>
                <w:szCs w:val="24"/>
              </w:rPr>
              <m:t>s</m:t>
            </m:r>
          </m:sub>
        </m:sSub>
      </m:oMath>
      <w:r w:rsidRPr="005B2DFB">
        <w:rPr>
          <w:rFonts w:ascii="Times New Roman" w:hAnsi="Times New Roman" w:cs="Times New Roman"/>
          <w:sz w:val="24"/>
          <w:szCs w:val="24"/>
        </w:rPr>
        <w:t xml:space="preserve"> is the proportion of school enrollment that gains access to the Oklahoma’s Promise scholarship, </w:t>
      </w:r>
      <m:oMath>
        <m:r>
          <w:rPr>
            <w:rFonts w:ascii="Cambria Math" w:eastAsia="Times New Roman" w:hAnsi="Cambria Math" w:cs="Times New Roman"/>
            <w:sz w:val="24"/>
            <w:szCs w:val="24"/>
          </w:rPr>
          <m:t>α</m:t>
        </m:r>
      </m:oMath>
      <w:r w:rsidRPr="005B2DFB">
        <w:rPr>
          <w:rFonts w:ascii="Times New Roman" w:eastAsiaTheme="minorEastAsia" w:hAnsi="Times New Roman" w:cs="Times New Roman"/>
          <w:sz w:val="24"/>
          <w:szCs w:val="24"/>
        </w:rPr>
        <w:t xml:space="preserve"> is the constant,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ε</m:t>
            </m:r>
          </m:e>
          <m:sub>
            <m:r>
              <w:rPr>
                <w:rFonts w:ascii="Cambria Math" w:eastAsia="Times New Roman" w:hAnsi="Cambria Math" w:cs="Times New Roman"/>
                <w:sz w:val="24"/>
                <w:szCs w:val="24"/>
              </w:rPr>
              <m:t>i</m:t>
            </m:r>
          </m:sub>
        </m:sSub>
      </m:oMath>
      <w:r w:rsidRPr="005B2DFB">
        <w:rPr>
          <w:rFonts w:ascii="Times New Roman" w:eastAsiaTheme="minorEastAsia" w:hAnsi="Times New Roman" w:cs="Times New Roman"/>
          <w:sz w:val="24"/>
          <w:szCs w:val="24"/>
        </w:rPr>
        <w:t xml:space="preserve"> is the error term,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is</m:t>
            </m:r>
          </m:sub>
        </m:sSub>
      </m:oMath>
      <w:r w:rsidRPr="005B2DFB">
        <w:rPr>
          <w:rFonts w:ascii="Times New Roman" w:eastAsiaTheme="minorEastAsia" w:hAnsi="Times New Roman" w:cs="Times New Roman"/>
          <w:sz w:val="24"/>
          <w:szCs w:val="24"/>
        </w:rPr>
        <w:t xml:space="preserve"> are the independent variables at the individual (</w:t>
      </w:r>
      <m:oMath>
        <m:r>
          <w:rPr>
            <w:rFonts w:ascii="Cambria Math" w:eastAsia="Times New Roman" w:hAnsi="Cambria Math" w:cs="Times New Roman"/>
            <w:sz w:val="24"/>
            <w:szCs w:val="24"/>
          </w:rPr>
          <m:t>i</m:t>
        </m:r>
      </m:oMath>
      <w:r w:rsidRPr="005B2DFB">
        <w:rPr>
          <w:rFonts w:ascii="Times New Roman" w:eastAsiaTheme="minorEastAsia" w:hAnsi="Times New Roman" w:cs="Times New Roman"/>
          <w:sz w:val="24"/>
          <w:szCs w:val="24"/>
        </w:rPr>
        <w:t>) and school level (</w:t>
      </w:r>
      <m:oMath>
        <m:r>
          <w:rPr>
            <w:rFonts w:ascii="Cambria Math" w:eastAsia="Times New Roman" w:hAnsi="Cambria Math" w:cs="Times New Roman"/>
            <w:sz w:val="24"/>
            <w:szCs w:val="24"/>
          </w:rPr>
          <m:t>s</m:t>
        </m:r>
      </m:oMath>
      <w:r w:rsidRPr="005B2DFB">
        <w:rPr>
          <w:rFonts w:ascii="Times New Roman" w:eastAsiaTheme="minorEastAsia" w:hAnsi="Times New Roman" w:cs="Times New Roman"/>
          <w:sz w:val="24"/>
          <w:szCs w:val="24"/>
        </w:rPr>
        <w:t xml:space="preserve">) and </w:t>
      </w:r>
      <m:oMath>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oMath>
      <w:r w:rsidRPr="005B2DFB">
        <w:rPr>
          <w:rFonts w:ascii="Times New Roman" w:eastAsiaTheme="minorEastAsia" w:hAnsi="Times New Roman" w:cs="Times New Roman"/>
          <w:sz w:val="24"/>
          <w:szCs w:val="24"/>
        </w:rPr>
        <w:t xml:space="preserve"> are the dichotomous role perception variables.</w:t>
      </w:r>
      <w:r w:rsidRPr="00E3535F">
        <w:rPr>
          <w:rStyle w:val="FootnoteReference"/>
        </w:rPr>
        <w:footnoteReference w:id="19"/>
      </w:r>
    </w:p>
    <w:p w14:paraId="2FB7C4E3"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Quantitative Findings</w:t>
      </w:r>
    </w:p>
    <w:p w14:paraId="3808F77B" w14:textId="217E3E44"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The analysis predicting the proportion of students accessing the Oklahoma’s Promise scholarship is presented in Table </w:t>
      </w:r>
      <w:r w:rsidR="00A00172">
        <w:rPr>
          <w:rFonts w:ascii="Times New Roman" w:hAnsi="Times New Roman" w:cs="Times New Roman"/>
          <w:sz w:val="24"/>
          <w:szCs w:val="24"/>
        </w:rPr>
        <w:t>4-</w:t>
      </w:r>
      <w:r w:rsidRPr="005B2DFB">
        <w:rPr>
          <w:rFonts w:ascii="Times New Roman" w:hAnsi="Times New Roman" w:cs="Times New Roman"/>
          <w:sz w:val="24"/>
          <w:szCs w:val="24"/>
        </w:rPr>
        <w:t xml:space="preserve">3. These results reveal that the self-identified role is significantly related to program access, providing support for both key theoretical hypotheses. In high schools where personnel indicated that they perceive their role as a compliance officer, a smaller proportion of students enroll in the promise program (p&lt;0.01). On the other hand, high schools that employ SLBs identifying as student support officials were significantly positively related to the proportion of students enrolling in the promise program (p&lt;0.05). In terms of magnitude, these role perceptions translate to approximately 2.3 percent more students gaining access in the case of support officials and 1.8 percent less students gaining access in the case of compliance officers. These findings reveal that the role identification of SLBs is significantly related to the ability of students to overcome the barriers of administrative burden and gain access to the promise program, which is also corroborated with the qualitative evidence presented in the next section. </w:t>
      </w:r>
    </w:p>
    <w:p w14:paraId="4E0E0C6B" w14:textId="2E9E61AE" w:rsidR="00081BE2"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Moreover, the results in Table </w:t>
      </w:r>
      <w:r w:rsidR="00A00172">
        <w:rPr>
          <w:rFonts w:ascii="Times New Roman" w:hAnsi="Times New Roman" w:cs="Times New Roman"/>
          <w:sz w:val="24"/>
          <w:szCs w:val="24"/>
        </w:rPr>
        <w:t>4-</w:t>
      </w:r>
      <w:r w:rsidRPr="005B2DFB">
        <w:rPr>
          <w:rFonts w:ascii="Times New Roman" w:hAnsi="Times New Roman" w:cs="Times New Roman"/>
          <w:sz w:val="24"/>
          <w:szCs w:val="24"/>
        </w:rPr>
        <w:t xml:space="preserve">3 also reveal interesting relationships between the control variables and the level of program access. For instance, respondents who identified with the Republican party were significantly negatively related to the proportion of students that overcome administrative burden and access the Promise program. </w:t>
      </w:r>
    </w:p>
    <w:p w14:paraId="7A231E67" w14:textId="4A63DEF8" w:rsidR="00081BE2" w:rsidRDefault="00081BE2" w:rsidP="00081BE2">
      <w:pPr>
        <w:jc w:val="center"/>
        <w:rPr>
          <w:rFonts w:ascii="Palatino Linotype" w:hAnsi="Palatino Linotype"/>
        </w:rPr>
      </w:pPr>
      <w:r w:rsidRPr="007C3CD2">
        <w:rPr>
          <w:rFonts w:ascii="Palatino Linotype" w:eastAsia="Times New Roman" w:hAnsi="Palatino Linotype" w:cs="Calibri"/>
          <w:sz w:val="20"/>
          <w:szCs w:val="18"/>
        </w:rPr>
        <w:t xml:space="preserve">Table </w:t>
      </w:r>
      <w:r w:rsidR="00A00172">
        <w:rPr>
          <w:rFonts w:ascii="Palatino Linotype" w:eastAsia="Times New Roman" w:hAnsi="Palatino Linotype" w:cs="Calibri"/>
          <w:sz w:val="20"/>
          <w:szCs w:val="18"/>
        </w:rPr>
        <w:t>4-</w:t>
      </w:r>
      <w:r>
        <w:rPr>
          <w:rFonts w:ascii="Palatino Linotype" w:eastAsia="Times New Roman" w:hAnsi="Palatino Linotype" w:cs="Calibri"/>
          <w:sz w:val="20"/>
          <w:szCs w:val="18"/>
        </w:rPr>
        <w:t>3</w:t>
      </w:r>
      <w:r w:rsidRPr="007C3CD2">
        <w:rPr>
          <w:rFonts w:ascii="Palatino Linotype" w:eastAsia="Times New Roman" w:hAnsi="Palatino Linotype" w:cs="Calibri"/>
          <w:sz w:val="20"/>
          <w:szCs w:val="18"/>
        </w:rPr>
        <w:t>. Regression Results</w:t>
      </w:r>
    </w:p>
    <w:tbl>
      <w:tblPr>
        <w:tblW w:w="5847" w:type="dxa"/>
        <w:jc w:val="center"/>
        <w:tblLook w:val="04A0" w:firstRow="1" w:lastRow="0" w:firstColumn="1" w:lastColumn="0" w:noHBand="0" w:noVBand="1"/>
      </w:tblPr>
      <w:tblGrid>
        <w:gridCol w:w="3744"/>
        <w:gridCol w:w="2103"/>
      </w:tblGrid>
      <w:tr w:rsidR="00081BE2" w:rsidRPr="007C3CD2" w14:paraId="5D174DCA" w14:textId="77777777" w:rsidTr="00081BE2">
        <w:trPr>
          <w:trHeight w:val="792"/>
          <w:jc w:val="center"/>
        </w:trPr>
        <w:tc>
          <w:tcPr>
            <w:tcW w:w="3744" w:type="dxa"/>
            <w:tcBorders>
              <w:top w:val="nil"/>
              <w:left w:val="nil"/>
              <w:bottom w:val="nil"/>
              <w:right w:val="nil"/>
            </w:tcBorders>
            <w:shd w:val="clear" w:color="auto" w:fill="auto"/>
            <w:noWrap/>
            <w:vAlign w:val="bottom"/>
            <w:hideMark/>
          </w:tcPr>
          <w:p w14:paraId="30525433" w14:textId="77777777" w:rsidR="00081BE2" w:rsidRPr="007C3CD2" w:rsidRDefault="00081BE2" w:rsidP="00081BE2">
            <w:pPr>
              <w:spacing w:after="0" w:line="240" w:lineRule="auto"/>
              <w:rPr>
                <w:rFonts w:ascii="Palatino Linotype" w:eastAsia="Times New Roman" w:hAnsi="Palatino Linotype" w:cs="Calibri"/>
                <w:sz w:val="18"/>
                <w:szCs w:val="18"/>
              </w:rPr>
            </w:pPr>
          </w:p>
        </w:tc>
        <w:tc>
          <w:tcPr>
            <w:tcW w:w="2103" w:type="dxa"/>
            <w:tcBorders>
              <w:top w:val="nil"/>
              <w:left w:val="nil"/>
              <w:bottom w:val="nil"/>
              <w:right w:val="nil"/>
            </w:tcBorders>
            <w:shd w:val="clear" w:color="auto" w:fill="auto"/>
            <w:vAlign w:val="bottom"/>
            <w:hideMark/>
          </w:tcPr>
          <w:p w14:paraId="6174E8E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Percent</w:t>
            </w:r>
            <w:r w:rsidRPr="007C3CD2">
              <w:rPr>
                <w:rFonts w:ascii="Palatino Linotype" w:eastAsia="Times New Roman" w:hAnsi="Palatino Linotype" w:cs="Calibri"/>
                <w:color w:val="000000"/>
                <w:sz w:val="18"/>
                <w:szCs w:val="18"/>
              </w:rPr>
              <w:t xml:space="preserve"> of Total Enrollment </w:t>
            </w:r>
            <w:r>
              <w:rPr>
                <w:rFonts w:ascii="Palatino Linotype" w:eastAsia="Times New Roman" w:hAnsi="Palatino Linotype" w:cs="Calibri"/>
                <w:color w:val="000000"/>
                <w:sz w:val="18"/>
                <w:szCs w:val="18"/>
              </w:rPr>
              <w:t>Accessing</w:t>
            </w:r>
            <w:r w:rsidRPr="007C3CD2">
              <w:rPr>
                <w:rFonts w:ascii="Palatino Linotype" w:eastAsia="Times New Roman" w:hAnsi="Palatino Linotype" w:cs="Calibri"/>
                <w:color w:val="000000"/>
                <w:sz w:val="18"/>
                <w:szCs w:val="18"/>
              </w:rPr>
              <w:t xml:space="preserve"> Oklahoma's Promise</w:t>
            </w:r>
          </w:p>
        </w:tc>
      </w:tr>
      <w:tr w:rsidR="00081BE2" w:rsidRPr="007C3CD2" w14:paraId="41F105FB" w14:textId="77777777" w:rsidTr="00081BE2">
        <w:trPr>
          <w:trHeight w:val="276"/>
          <w:jc w:val="center"/>
        </w:trPr>
        <w:tc>
          <w:tcPr>
            <w:tcW w:w="3744" w:type="dxa"/>
            <w:tcBorders>
              <w:top w:val="single" w:sz="4" w:space="0" w:color="auto"/>
              <w:left w:val="nil"/>
              <w:bottom w:val="nil"/>
              <w:right w:val="nil"/>
            </w:tcBorders>
            <w:shd w:val="clear" w:color="auto" w:fill="auto"/>
            <w:noWrap/>
            <w:vAlign w:val="bottom"/>
            <w:hideMark/>
          </w:tcPr>
          <w:p w14:paraId="62102BDA"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bookmarkStart w:id="17" w:name="_Hlk528586982"/>
            <w:r>
              <w:rPr>
                <w:rFonts w:ascii="Palatino Linotype" w:eastAsia="Times New Roman" w:hAnsi="Palatino Linotype" w:cs="Calibri"/>
                <w:i/>
                <w:iCs/>
                <w:color w:val="000000"/>
                <w:sz w:val="18"/>
                <w:szCs w:val="18"/>
              </w:rPr>
              <w:t>Role Perception</w:t>
            </w:r>
          </w:p>
        </w:tc>
        <w:tc>
          <w:tcPr>
            <w:tcW w:w="2103" w:type="dxa"/>
            <w:tcBorders>
              <w:top w:val="single" w:sz="4" w:space="0" w:color="auto"/>
              <w:left w:val="nil"/>
              <w:bottom w:val="nil"/>
              <w:right w:val="nil"/>
            </w:tcBorders>
            <w:shd w:val="clear" w:color="auto" w:fill="auto"/>
            <w:noWrap/>
            <w:vAlign w:val="bottom"/>
            <w:hideMark/>
          </w:tcPr>
          <w:p w14:paraId="216F327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w:t>
            </w:r>
          </w:p>
        </w:tc>
      </w:tr>
      <w:tr w:rsidR="00081BE2" w:rsidRPr="007C3CD2" w14:paraId="0072B74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67F51D6"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Support</w:t>
            </w:r>
            <w:r w:rsidRPr="007C3CD2">
              <w:rPr>
                <w:rFonts w:ascii="Palatino Linotype" w:eastAsia="Times New Roman" w:hAnsi="Palatino Linotype" w:cs="Calibri"/>
                <w:color w:val="000000"/>
                <w:sz w:val="18"/>
                <w:szCs w:val="18"/>
              </w:rPr>
              <w:t xml:space="preserve"> Role</w:t>
            </w:r>
          </w:p>
        </w:tc>
        <w:tc>
          <w:tcPr>
            <w:tcW w:w="2103" w:type="dxa"/>
            <w:tcBorders>
              <w:top w:val="nil"/>
              <w:left w:val="nil"/>
              <w:bottom w:val="nil"/>
              <w:right w:val="nil"/>
            </w:tcBorders>
            <w:shd w:val="clear" w:color="auto" w:fill="auto"/>
            <w:noWrap/>
            <w:vAlign w:val="bottom"/>
            <w:hideMark/>
          </w:tcPr>
          <w:p w14:paraId="6D736EE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0.02</w:t>
            </w:r>
            <w:r>
              <w:rPr>
                <w:rFonts w:ascii="Palatino Linotype" w:eastAsia="Times New Roman" w:hAnsi="Palatino Linotype" w:cs="Calibri"/>
                <w:color w:val="000000"/>
                <w:sz w:val="18"/>
                <w:szCs w:val="18"/>
              </w:rPr>
              <w:t>3</w:t>
            </w:r>
            <w:r w:rsidRPr="003D639F">
              <w:rPr>
                <w:rFonts w:ascii="Palatino Linotype" w:eastAsia="Times New Roman" w:hAnsi="Palatino Linotype" w:cs="Calibri"/>
                <w:color w:val="000000"/>
                <w:sz w:val="18"/>
                <w:szCs w:val="18"/>
              </w:rPr>
              <w:t>**</w:t>
            </w:r>
          </w:p>
        </w:tc>
      </w:tr>
      <w:tr w:rsidR="00081BE2" w:rsidRPr="007C3CD2" w14:paraId="707E52C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4BED5E4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6C46BAE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7</w:t>
            </w:r>
            <w:r w:rsidRPr="003D639F">
              <w:rPr>
                <w:rFonts w:ascii="Palatino Linotype" w:eastAsia="Times New Roman" w:hAnsi="Palatino Linotype" w:cs="Calibri"/>
                <w:color w:val="000000"/>
                <w:sz w:val="18"/>
                <w:szCs w:val="18"/>
              </w:rPr>
              <w:t>)</w:t>
            </w:r>
          </w:p>
        </w:tc>
      </w:tr>
      <w:tr w:rsidR="00081BE2" w:rsidRPr="007C3CD2" w14:paraId="49A75A63" w14:textId="77777777" w:rsidTr="00081BE2">
        <w:trPr>
          <w:trHeight w:val="264"/>
          <w:jc w:val="center"/>
        </w:trPr>
        <w:tc>
          <w:tcPr>
            <w:tcW w:w="3744" w:type="dxa"/>
            <w:tcBorders>
              <w:top w:val="nil"/>
              <w:left w:val="nil"/>
              <w:right w:val="nil"/>
            </w:tcBorders>
            <w:shd w:val="clear" w:color="auto" w:fill="auto"/>
            <w:noWrap/>
            <w:vAlign w:val="bottom"/>
            <w:hideMark/>
          </w:tcPr>
          <w:p w14:paraId="393A116E"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bookmarkStart w:id="18" w:name="_Hlk528587026"/>
            <w:r>
              <w:rPr>
                <w:rFonts w:ascii="Palatino Linotype" w:eastAsia="Times New Roman" w:hAnsi="Palatino Linotype" w:cs="Calibri"/>
                <w:color w:val="000000"/>
                <w:sz w:val="18"/>
                <w:szCs w:val="18"/>
              </w:rPr>
              <w:t>Compliance</w:t>
            </w:r>
            <w:r w:rsidRPr="007C3CD2">
              <w:rPr>
                <w:rFonts w:ascii="Palatino Linotype" w:eastAsia="Times New Roman" w:hAnsi="Palatino Linotype" w:cs="Calibri"/>
                <w:color w:val="000000"/>
                <w:sz w:val="18"/>
                <w:szCs w:val="18"/>
              </w:rPr>
              <w:t xml:space="preserve"> Role</w:t>
            </w:r>
          </w:p>
        </w:tc>
        <w:tc>
          <w:tcPr>
            <w:tcW w:w="2103" w:type="dxa"/>
            <w:tcBorders>
              <w:top w:val="nil"/>
              <w:left w:val="nil"/>
              <w:bottom w:val="nil"/>
              <w:right w:val="nil"/>
            </w:tcBorders>
            <w:shd w:val="clear" w:color="auto" w:fill="auto"/>
            <w:noWrap/>
            <w:vAlign w:val="bottom"/>
            <w:hideMark/>
          </w:tcPr>
          <w:p w14:paraId="03BB75E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-0.018*</w:t>
            </w:r>
          </w:p>
        </w:tc>
      </w:tr>
      <w:tr w:rsidR="00081BE2" w:rsidRPr="007C3CD2" w14:paraId="2219DF99" w14:textId="77777777" w:rsidTr="00081BE2">
        <w:trPr>
          <w:trHeight w:val="264"/>
          <w:jc w:val="center"/>
        </w:trPr>
        <w:tc>
          <w:tcPr>
            <w:tcW w:w="3744" w:type="dxa"/>
            <w:tcBorders>
              <w:top w:val="nil"/>
              <w:left w:val="nil"/>
              <w:right w:val="nil"/>
            </w:tcBorders>
            <w:shd w:val="clear" w:color="auto" w:fill="auto"/>
            <w:noWrap/>
            <w:vAlign w:val="bottom"/>
            <w:hideMark/>
          </w:tcPr>
          <w:p w14:paraId="344373A3"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AB80EB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(0.007)</w:t>
            </w:r>
          </w:p>
        </w:tc>
      </w:tr>
      <w:tr w:rsidR="00081BE2" w:rsidRPr="007C3CD2" w14:paraId="52A6FC73" w14:textId="77777777" w:rsidTr="00081BE2">
        <w:trPr>
          <w:trHeight w:val="264"/>
          <w:jc w:val="center"/>
        </w:trPr>
        <w:tc>
          <w:tcPr>
            <w:tcW w:w="3744" w:type="dxa"/>
            <w:tcBorders>
              <w:top w:val="nil"/>
              <w:left w:val="nil"/>
              <w:right w:val="nil"/>
            </w:tcBorders>
            <w:shd w:val="clear" w:color="auto" w:fill="auto"/>
            <w:noWrap/>
            <w:vAlign w:val="bottom"/>
            <w:hideMark/>
          </w:tcPr>
          <w:p w14:paraId="55A3A4E2"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Information Dissemination Role</w:t>
            </w:r>
          </w:p>
        </w:tc>
        <w:tc>
          <w:tcPr>
            <w:tcW w:w="2103" w:type="dxa"/>
            <w:tcBorders>
              <w:top w:val="nil"/>
              <w:left w:val="nil"/>
              <w:bottom w:val="nil"/>
              <w:right w:val="nil"/>
            </w:tcBorders>
            <w:shd w:val="clear" w:color="auto" w:fill="auto"/>
            <w:noWrap/>
            <w:vAlign w:val="bottom"/>
            <w:hideMark/>
          </w:tcPr>
          <w:p w14:paraId="01F943B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0.000</w:t>
            </w:r>
          </w:p>
        </w:tc>
      </w:tr>
      <w:tr w:rsidR="00081BE2" w:rsidRPr="007C3CD2" w14:paraId="435F333C" w14:textId="77777777" w:rsidTr="00081BE2">
        <w:trPr>
          <w:trHeight w:val="264"/>
          <w:jc w:val="center"/>
        </w:trPr>
        <w:tc>
          <w:tcPr>
            <w:tcW w:w="3744" w:type="dxa"/>
            <w:tcBorders>
              <w:top w:val="nil"/>
              <w:left w:val="nil"/>
              <w:right w:val="nil"/>
            </w:tcBorders>
            <w:shd w:val="clear" w:color="auto" w:fill="auto"/>
            <w:noWrap/>
            <w:vAlign w:val="bottom"/>
            <w:hideMark/>
          </w:tcPr>
          <w:p w14:paraId="6B2F9A2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C38A002"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(0.006)</w:t>
            </w:r>
          </w:p>
        </w:tc>
      </w:tr>
      <w:bookmarkEnd w:id="18"/>
      <w:tr w:rsidR="00081BE2" w:rsidRPr="007C3CD2" w14:paraId="38C5101F" w14:textId="77777777" w:rsidTr="00081BE2">
        <w:trPr>
          <w:trHeight w:val="276"/>
          <w:jc w:val="center"/>
        </w:trPr>
        <w:tc>
          <w:tcPr>
            <w:tcW w:w="3744" w:type="dxa"/>
            <w:tcBorders>
              <w:left w:val="nil"/>
              <w:bottom w:val="nil"/>
              <w:right w:val="nil"/>
            </w:tcBorders>
            <w:shd w:val="clear" w:color="auto" w:fill="auto"/>
            <w:noWrap/>
            <w:vAlign w:val="bottom"/>
            <w:hideMark/>
          </w:tcPr>
          <w:p w14:paraId="363D5BB7"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r w:rsidRPr="007C3CD2">
              <w:rPr>
                <w:rFonts w:ascii="Palatino Linotype" w:eastAsia="Times New Roman" w:hAnsi="Palatino Linotype" w:cs="Calibri"/>
                <w:i/>
                <w:iCs/>
                <w:color w:val="000000"/>
                <w:sz w:val="18"/>
                <w:szCs w:val="18"/>
              </w:rPr>
              <w:t>Individual C</w:t>
            </w:r>
            <w:r>
              <w:rPr>
                <w:rFonts w:ascii="Palatino Linotype" w:eastAsia="Times New Roman" w:hAnsi="Palatino Linotype" w:cs="Calibri"/>
                <w:i/>
                <w:iCs/>
                <w:color w:val="000000"/>
                <w:sz w:val="18"/>
                <w:szCs w:val="18"/>
              </w:rPr>
              <w:t>ontrols</w:t>
            </w:r>
          </w:p>
        </w:tc>
        <w:tc>
          <w:tcPr>
            <w:tcW w:w="2103" w:type="dxa"/>
            <w:tcBorders>
              <w:left w:val="nil"/>
              <w:bottom w:val="nil"/>
              <w:right w:val="nil"/>
            </w:tcBorders>
            <w:shd w:val="clear" w:color="auto" w:fill="auto"/>
            <w:noWrap/>
            <w:vAlign w:val="bottom"/>
            <w:hideMark/>
          </w:tcPr>
          <w:p w14:paraId="6AF449EE" w14:textId="4813813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w:t>
            </w:r>
          </w:p>
        </w:tc>
      </w:tr>
      <w:bookmarkEnd w:id="17"/>
      <w:tr w:rsidR="00081BE2" w:rsidRPr="007C3CD2" w14:paraId="306EE87D"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B083506"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White</w:t>
            </w:r>
          </w:p>
        </w:tc>
        <w:tc>
          <w:tcPr>
            <w:tcW w:w="2103" w:type="dxa"/>
            <w:tcBorders>
              <w:top w:val="nil"/>
              <w:left w:val="nil"/>
              <w:bottom w:val="nil"/>
              <w:right w:val="nil"/>
            </w:tcBorders>
            <w:shd w:val="clear" w:color="auto" w:fill="auto"/>
            <w:noWrap/>
            <w:vAlign w:val="bottom"/>
            <w:hideMark/>
          </w:tcPr>
          <w:p w14:paraId="04E7172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-0.003</w:t>
            </w:r>
          </w:p>
        </w:tc>
      </w:tr>
      <w:tr w:rsidR="00081BE2" w:rsidRPr="007C3CD2" w14:paraId="5765F50A"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29D9D04A"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418684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(0.009)</w:t>
            </w:r>
          </w:p>
        </w:tc>
      </w:tr>
      <w:tr w:rsidR="00081BE2" w:rsidRPr="007C3CD2" w14:paraId="4EED9297"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D765AC5"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Education</w:t>
            </w:r>
          </w:p>
        </w:tc>
        <w:tc>
          <w:tcPr>
            <w:tcW w:w="2103" w:type="dxa"/>
            <w:tcBorders>
              <w:top w:val="nil"/>
              <w:left w:val="nil"/>
              <w:bottom w:val="nil"/>
              <w:right w:val="nil"/>
            </w:tcBorders>
            <w:shd w:val="clear" w:color="auto" w:fill="auto"/>
            <w:noWrap/>
            <w:vAlign w:val="bottom"/>
            <w:hideMark/>
          </w:tcPr>
          <w:p w14:paraId="4085251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-0.010</w:t>
            </w:r>
          </w:p>
        </w:tc>
      </w:tr>
      <w:tr w:rsidR="00081BE2" w:rsidRPr="007C3CD2" w14:paraId="4DCE3F0E"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B1D8885"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070B0BB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(0.014)</w:t>
            </w:r>
          </w:p>
        </w:tc>
      </w:tr>
      <w:tr w:rsidR="00081BE2" w:rsidRPr="007C3CD2" w14:paraId="247DDA2D"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C55DD6A"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Conservative</w:t>
            </w:r>
          </w:p>
        </w:tc>
        <w:tc>
          <w:tcPr>
            <w:tcW w:w="2103" w:type="dxa"/>
            <w:tcBorders>
              <w:top w:val="nil"/>
              <w:left w:val="nil"/>
              <w:bottom w:val="nil"/>
              <w:right w:val="nil"/>
            </w:tcBorders>
            <w:shd w:val="clear" w:color="auto" w:fill="auto"/>
            <w:noWrap/>
            <w:vAlign w:val="bottom"/>
            <w:hideMark/>
          </w:tcPr>
          <w:p w14:paraId="051C29D7"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0.010</w:t>
            </w:r>
          </w:p>
        </w:tc>
      </w:tr>
      <w:tr w:rsidR="00081BE2" w:rsidRPr="007C3CD2" w14:paraId="648DD076"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B27A54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0AFB44D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(0.007)</w:t>
            </w:r>
          </w:p>
        </w:tc>
      </w:tr>
      <w:tr w:rsidR="00081BE2" w:rsidRPr="007C3CD2" w14:paraId="195E8A92"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2F833A93"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Republican</w:t>
            </w:r>
          </w:p>
        </w:tc>
        <w:tc>
          <w:tcPr>
            <w:tcW w:w="2103" w:type="dxa"/>
            <w:tcBorders>
              <w:top w:val="nil"/>
              <w:left w:val="nil"/>
              <w:bottom w:val="nil"/>
              <w:right w:val="nil"/>
            </w:tcBorders>
            <w:shd w:val="clear" w:color="auto" w:fill="auto"/>
            <w:noWrap/>
            <w:vAlign w:val="bottom"/>
            <w:hideMark/>
          </w:tcPr>
          <w:p w14:paraId="586AEEF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-0.021*</w:t>
            </w:r>
          </w:p>
        </w:tc>
      </w:tr>
      <w:tr w:rsidR="00081BE2" w:rsidRPr="007C3CD2" w14:paraId="3472E24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AF6BAC9"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668904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(0.008)</w:t>
            </w:r>
          </w:p>
        </w:tc>
      </w:tr>
      <w:tr w:rsidR="00081BE2" w:rsidRPr="007C3CD2" w14:paraId="7248C2DF"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65FC7BD" w14:textId="1EEBD134"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xml:space="preserve">Promise Knowledge </w:t>
            </w:r>
          </w:p>
        </w:tc>
        <w:tc>
          <w:tcPr>
            <w:tcW w:w="2103" w:type="dxa"/>
            <w:tcBorders>
              <w:top w:val="nil"/>
              <w:left w:val="nil"/>
              <w:bottom w:val="nil"/>
              <w:right w:val="nil"/>
            </w:tcBorders>
            <w:shd w:val="clear" w:color="auto" w:fill="auto"/>
            <w:noWrap/>
            <w:vAlign w:val="bottom"/>
            <w:hideMark/>
          </w:tcPr>
          <w:p w14:paraId="137E608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-0.007</w:t>
            </w:r>
          </w:p>
        </w:tc>
      </w:tr>
      <w:tr w:rsidR="00081BE2" w:rsidRPr="007C3CD2" w14:paraId="29CBD7BC"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C68E3F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0EFD630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(0.004)</w:t>
            </w:r>
          </w:p>
        </w:tc>
      </w:tr>
      <w:tr w:rsidR="00081BE2" w:rsidRPr="007C3CD2" w14:paraId="46F21A7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C200DE2"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Years in Position</w:t>
            </w:r>
          </w:p>
        </w:tc>
        <w:tc>
          <w:tcPr>
            <w:tcW w:w="2103" w:type="dxa"/>
            <w:tcBorders>
              <w:top w:val="nil"/>
              <w:left w:val="nil"/>
              <w:bottom w:val="nil"/>
              <w:right w:val="nil"/>
            </w:tcBorders>
            <w:shd w:val="clear" w:color="auto" w:fill="auto"/>
            <w:noWrap/>
            <w:vAlign w:val="bottom"/>
            <w:hideMark/>
          </w:tcPr>
          <w:p w14:paraId="44C14EA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0.003</w:t>
            </w:r>
          </w:p>
        </w:tc>
      </w:tr>
      <w:tr w:rsidR="00081BE2" w:rsidRPr="007C3CD2" w14:paraId="69912B73"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0EDB52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A4C3B7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(0.004)</w:t>
            </w:r>
          </w:p>
        </w:tc>
      </w:tr>
      <w:tr w:rsidR="00081BE2" w:rsidRPr="007C3CD2" w14:paraId="771D716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13CCCF9"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Perceived Support from Administration</w:t>
            </w:r>
          </w:p>
        </w:tc>
        <w:tc>
          <w:tcPr>
            <w:tcW w:w="2103" w:type="dxa"/>
            <w:tcBorders>
              <w:top w:val="nil"/>
              <w:left w:val="nil"/>
              <w:bottom w:val="nil"/>
              <w:right w:val="nil"/>
            </w:tcBorders>
            <w:shd w:val="clear" w:color="auto" w:fill="auto"/>
            <w:noWrap/>
            <w:vAlign w:val="bottom"/>
            <w:hideMark/>
          </w:tcPr>
          <w:p w14:paraId="1490190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0.009</w:t>
            </w:r>
          </w:p>
        </w:tc>
      </w:tr>
      <w:tr w:rsidR="00081BE2" w:rsidRPr="007C3CD2" w14:paraId="01A6F1E6"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F941016"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E39FCE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6</w:t>
            </w:r>
            <w:r w:rsidRPr="00CA5AAF">
              <w:rPr>
                <w:rFonts w:ascii="Palatino Linotype" w:eastAsia="Times New Roman" w:hAnsi="Palatino Linotype" w:cs="Calibri"/>
                <w:color w:val="000000"/>
                <w:sz w:val="18"/>
                <w:szCs w:val="18"/>
              </w:rPr>
              <w:t>)</w:t>
            </w:r>
          </w:p>
        </w:tc>
      </w:tr>
      <w:tr w:rsidR="00081BE2" w:rsidRPr="007C3CD2" w14:paraId="3BBDD4D1"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C9AB3D5"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High Discretion</w:t>
            </w:r>
          </w:p>
        </w:tc>
        <w:tc>
          <w:tcPr>
            <w:tcW w:w="2103" w:type="dxa"/>
            <w:tcBorders>
              <w:top w:val="nil"/>
              <w:left w:val="nil"/>
              <w:bottom w:val="nil"/>
              <w:right w:val="nil"/>
            </w:tcBorders>
            <w:shd w:val="clear" w:color="auto" w:fill="auto"/>
            <w:noWrap/>
            <w:vAlign w:val="bottom"/>
            <w:hideMark/>
          </w:tcPr>
          <w:p w14:paraId="55F1E3D2"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0.002</w:t>
            </w:r>
          </w:p>
        </w:tc>
      </w:tr>
      <w:tr w:rsidR="00081BE2" w:rsidRPr="007C3CD2" w14:paraId="1AB7D0F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C9A347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2DC5BBA"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(0.007)</w:t>
            </w:r>
          </w:p>
        </w:tc>
      </w:tr>
      <w:tr w:rsidR="00081BE2" w:rsidRPr="007C3CD2" w14:paraId="02DCE4C5"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8D7E713"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of Students Able to Meet With</w:t>
            </w:r>
          </w:p>
        </w:tc>
        <w:tc>
          <w:tcPr>
            <w:tcW w:w="2103" w:type="dxa"/>
            <w:tcBorders>
              <w:top w:val="nil"/>
              <w:left w:val="nil"/>
              <w:bottom w:val="nil"/>
              <w:right w:val="nil"/>
            </w:tcBorders>
            <w:shd w:val="clear" w:color="auto" w:fill="auto"/>
            <w:noWrap/>
            <w:vAlign w:val="bottom"/>
            <w:hideMark/>
          </w:tcPr>
          <w:p w14:paraId="2DC893DA"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1</w:t>
            </w:r>
            <w:r w:rsidRPr="00CA5AAF">
              <w:rPr>
                <w:rFonts w:ascii="Palatino Linotype" w:eastAsia="Times New Roman" w:hAnsi="Palatino Linotype" w:cs="Calibri"/>
                <w:color w:val="000000"/>
                <w:sz w:val="18"/>
                <w:szCs w:val="18"/>
              </w:rPr>
              <w:t>**</w:t>
            </w:r>
          </w:p>
        </w:tc>
      </w:tr>
      <w:tr w:rsidR="00081BE2" w:rsidRPr="007C3CD2" w14:paraId="34659330"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F41137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E95658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(0.0001)</w:t>
            </w:r>
          </w:p>
        </w:tc>
      </w:tr>
      <w:tr w:rsidR="00081BE2" w:rsidRPr="007C3CD2" w14:paraId="14CE149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7CC5E6C"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of Time Spent on College Preparation</w:t>
            </w:r>
          </w:p>
        </w:tc>
        <w:tc>
          <w:tcPr>
            <w:tcW w:w="2103" w:type="dxa"/>
            <w:tcBorders>
              <w:top w:val="nil"/>
              <w:left w:val="nil"/>
              <w:bottom w:val="nil"/>
              <w:right w:val="nil"/>
            </w:tcBorders>
            <w:shd w:val="clear" w:color="auto" w:fill="auto"/>
            <w:noWrap/>
            <w:vAlign w:val="bottom"/>
            <w:hideMark/>
          </w:tcPr>
          <w:p w14:paraId="364F21B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0.000</w:t>
            </w:r>
          </w:p>
        </w:tc>
      </w:tr>
      <w:tr w:rsidR="00081BE2" w:rsidRPr="007C3CD2" w14:paraId="6AF4A287"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40F8E94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8193AE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CA5AAF">
              <w:rPr>
                <w:rFonts w:ascii="Palatino Linotype" w:eastAsia="Times New Roman" w:hAnsi="Palatino Linotype" w:cs="Calibri"/>
                <w:color w:val="000000"/>
                <w:sz w:val="18"/>
                <w:szCs w:val="18"/>
              </w:rPr>
              <w:t>(0.0002)</w:t>
            </w:r>
          </w:p>
        </w:tc>
      </w:tr>
      <w:tr w:rsidR="00081BE2" w:rsidRPr="007C3CD2" w14:paraId="218FAAA7" w14:textId="77777777" w:rsidTr="00081BE2">
        <w:trPr>
          <w:trHeight w:val="198"/>
          <w:jc w:val="center"/>
        </w:trPr>
        <w:tc>
          <w:tcPr>
            <w:tcW w:w="3744" w:type="dxa"/>
            <w:tcBorders>
              <w:top w:val="nil"/>
              <w:left w:val="nil"/>
              <w:bottom w:val="nil"/>
              <w:right w:val="nil"/>
            </w:tcBorders>
            <w:shd w:val="clear" w:color="auto" w:fill="auto"/>
            <w:noWrap/>
            <w:vAlign w:val="bottom"/>
            <w:hideMark/>
          </w:tcPr>
          <w:p w14:paraId="460BF83F"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r w:rsidRPr="007C3CD2">
              <w:rPr>
                <w:rFonts w:ascii="Palatino Linotype" w:eastAsia="Times New Roman" w:hAnsi="Palatino Linotype" w:cs="Calibri"/>
                <w:i/>
                <w:iCs/>
                <w:color w:val="000000"/>
                <w:sz w:val="18"/>
                <w:szCs w:val="18"/>
              </w:rPr>
              <w:t>School Level C</w:t>
            </w:r>
            <w:r>
              <w:rPr>
                <w:rFonts w:ascii="Palatino Linotype" w:eastAsia="Times New Roman" w:hAnsi="Palatino Linotype" w:cs="Calibri"/>
                <w:i/>
                <w:iCs/>
                <w:color w:val="000000"/>
                <w:sz w:val="18"/>
                <w:szCs w:val="18"/>
              </w:rPr>
              <w:t>ontrols</w:t>
            </w:r>
          </w:p>
        </w:tc>
        <w:tc>
          <w:tcPr>
            <w:tcW w:w="2103" w:type="dxa"/>
            <w:tcBorders>
              <w:top w:val="nil"/>
              <w:left w:val="nil"/>
              <w:bottom w:val="nil"/>
              <w:right w:val="nil"/>
            </w:tcBorders>
            <w:shd w:val="clear" w:color="auto" w:fill="auto"/>
            <w:noWrap/>
            <w:vAlign w:val="bottom"/>
            <w:hideMark/>
          </w:tcPr>
          <w:p w14:paraId="543F759B"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p>
        </w:tc>
      </w:tr>
      <w:tr w:rsidR="00081BE2" w:rsidRPr="007C3CD2" w14:paraId="1360BF8A"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F929F5D"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School Family Income Comparison</w:t>
            </w:r>
          </w:p>
        </w:tc>
        <w:tc>
          <w:tcPr>
            <w:tcW w:w="2103" w:type="dxa"/>
            <w:tcBorders>
              <w:top w:val="nil"/>
              <w:left w:val="nil"/>
              <w:bottom w:val="nil"/>
              <w:right w:val="nil"/>
            </w:tcBorders>
            <w:shd w:val="clear" w:color="auto" w:fill="auto"/>
            <w:noWrap/>
            <w:vAlign w:val="bottom"/>
            <w:hideMark/>
          </w:tcPr>
          <w:p w14:paraId="56F86C5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9</w:t>
            </w:r>
          </w:p>
        </w:tc>
      </w:tr>
      <w:tr w:rsidR="00081BE2" w:rsidRPr="007C3CD2" w14:paraId="5D08E54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1A0CFA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149F356"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4</w:t>
            </w:r>
            <w:r w:rsidRPr="000B2CF0">
              <w:rPr>
                <w:rFonts w:ascii="Palatino Linotype" w:eastAsia="Times New Roman" w:hAnsi="Palatino Linotype" w:cs="Calibri"/>
                <w:color w:val="000000"/>
                <w:sz w:val="18"/>
                <w:szCs w:val="18"/>
              </w:rPr>
              <w:t>)</w:t>
            </w:r>
          </w:p>
        </w:tc>
      </w:tr>
      <w:tr w:rsidR="00081BE2" w:rsidRPr="007C3CD2" w14:paraId="5F8EE2D3"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9510BF5"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Partner with Nonprofits</w:t>
            </w:r>
          </w:p>
        </w:tc>
        <w:tc>
          <w:tcPr>
            <w:tcW w:w="2103" w:type="dxa"/>
            <w:tcBorders>
              <w:top w:val="nil"/>
              <w:left w:val="nil"/>
              <w:bottom w:val="nil"/>
              <w:right w:val="nil"/>
            </w:tcBorders>
            <w:shd w:val="clear" w:color="auto" w:fill="auto"/>
            <w:noWrap/>
            <w:vAlign w:val="bottom"/>
            <w:hideMark/>
          </w:tcPr>
          <w:p w14:paraId="75447D7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-0.018</w:t>
            </w:r>
          </w:p>
        </w:tc>
      </w:tr>
      <w:tr w:rsidR="00081BE2" w:rsidRPr="007C3CD2" w14:paraId="3085F288"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7A09E55"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37E6E903"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(0.009)</w:t>
            </w:r>
          </w:p>
        </w:tc>
      </w:tr>
      <w:tr w:rsidR="00081BE2" w:rsidRPr="007C3CD2" w14:paraId="175966E0"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DB6081A"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Percent FRL Students</w:t>
            </w:r>
          </w:p>
        </w:tc>
        <w:tc>
          <w:tcPr>
            <w:tcW w:w="2103" w:type="dxa"/>
            <w:tcBorders>
              <w:top w:val="nil"/>
              <w:left w:val="nil"/>
              <w:bottom w:val="nil"/>
              <w:right w:val="nil"/>
            </w:tcBorders>
            <w:shd w:val="clear" w:color="auto" w:fill="auto"/>
            <w:noWrap/>
            <w:vAlign w:val="bottom"/>
            <w:hideMark/>
          </w:tcPr>
          <w:p w14:paraId="6B6185D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0.040</w:t>
            </w:r>
          </w:p>
        </w:tc>
      </w:tr>
      <w:tr w:rsidR="00081BE2" w:rsidRPr="007C3CD2" w14:paraId="6EC509B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BCC4EF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7FDCD9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(0.0258)</w:t>
            </w:r>
          </w:p>
        </w:tc>
      </w:tr>
      <w:tr w:rsidR="00081BE2" w:rsidRPr="007C3CD2" w14:paraId="5BC329B0"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812DF51"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lastRenderedPageBreak/>
              <w:t>Constant</w:t>
            </w:r>
          </w:p>
        </w:tc>
        <w:tc>
          <w:tcPr>
            <w:tcW w:w="2103" w:type="dxa"/>
            <w:tcBorders>
              <w:top w:val="nil"/>
              <w:left w:val="nil"/>
              <w:bottom w:val="nil"/>
              <w:right w:val="nil"/>
            </w:tcBorders>
            <w:shd w:val="clear" w:color="auto" w:fill="auto"/>
            <w:noWrap/>
            <w:vAlign w:val="bottom"/>
            <w:hideMark/>
          </w:tcPr>
          <w:p w14:paraId="270DE97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0.174</w:t>
            </w:r>
          </w:p>
        </w:tc>
      </w:tr>
      <w:tr w:rsidR="00081BE2" w:rsidRPr="007C3CD2" w14:paraId="505E220A"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923378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07151F4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0B2CF0">
              <w:rPr>
                <w:rFonts w:ascii="Palatino Linotype" w:eastAsia="Times New Roman" w:hAnsi="Palatino Linotype" w:cs="Calibri"/>
                <w:color w:val="000000"/>
                <w:sz w:val="18"/>
                <w:szCs w:val="18"/>
              </w:rPr>
              <w:t>(0.0891)</w:t>
            </w:r>
          </w:p>
        </w:tc>
      </w:tr>
      <w:tr w:rsidR="00081BE2" w:rsidRPr="007C3CD2" w14:paraId="438DD65C"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464CB066"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Observations</w:t>
            </w:r>
          </w:p>
        </w:tc>
        <w:tc>
          <w:tcPr>
            <w:tcW w:w="2103" w:type="dxa"/>
            <w:tcBorders>
              <w:top w:val="nil"/>
              <w:left w:val="nil"/>
              <w:bottom w:val="nil"/>
              <w:right w:val="nil"/>
            </w:tcBorders>
            <w:shd w:val="clear" w:color="auto" w:fill="auto"/>
            <w:noWrap/>
            <w:vAlign w:val="bottom"/>
            <w:hideMark/>
          </w:tcPr>
          <w:p w14:paraId="07181FE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167</w:t>
            </w:r>
          </w:p>
        </w:tc>
      </w:tr>
      <w:tr w:rsidR="00081BE2" w:rsidRPr="007C3CD2" w14:paraId="630840DC" w14:textId="77777777" w:rsidTr="00081BE2">
        <w:trPr>
          <w:trHeight w:val="264"/>
          <w:jc w:val="center"/>
        </w:trPr>
        <w:tc>
          <w:tcPr>
            <w:tcW w:w="3744" w:type="dxa"/>
            <w:tcBorders>
              <w:top w:val="nil"/>
              <w:left w:val="nil"/>
              <w:bottom w:val="single" w:sz="4" w:space="0" w:color="auto"/>
              <w:right w:val="nil"/>
            </w:tcBorders>
            <w:shd w:val="clear" w:color="auto" w:fill="auto"/>
            <w:noWrap/>
            <w:vAlign w:val="bottom"/>
            <w:hideMark/>
          </w:tcPr>
          <w:p w14:paraId="33656CA7"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R-squared</w:t>
            </w:r>
          </w:p>
        </w:tc>
        <w:tc>
          <w:tcPr>
            <w:tcW w:w="2103" w:type="dxa"/>
            <w:tcBorders>
              <w:top w:val="nil"/>
              <w:left w:val="nil"/>
              <w:bottom w:val="single" w:sz="4" w:space="0" w:color="auto"/>
              <w:right w:val="nil"/>
            </w:tcBorders>
            <w:shd w:val="clear" w:color="auto" w:fill="auto"/>
            <w:noWrap/>
            <w:vAlign w:val="bottom"/>
            <w:hideMark/>
          </w:tcPr>
          <w:p w14:paraId="5506055A"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0.</w:t>
            </w:r>
            <w:r>
              <w:rPr>
                <w:rFonts w:ascii="Palatino Linotype" w:eastAsia="Times New Roman" w:hAnsi="Palatino Linotype" w:cs="Calibri"/>
                <w:color w:val="000000"/>
                <w:sz w:val="18"/>
                <w:szCs w:val="18"/>
              </w:rPr>
              <w:t>247</w:t>
            </w:r>
          </w:p>
        </w:tc>
      </w:tr>
    </w:tbl>
    <w:p w14:paraId="4EAD18BB" w14:textId="77777777" w:rsidR="00081BE2" w:rsidRDefault="00081BE2" w:rsidP="00081BE2">
      <w:pPr>
        <w:spacing w:after="0" w:line="240" w:lineRule="auto"/>
        <w:jc w:val="center"/>
        <w:rPr>
          <w:rFonts w:ascii="Palatino Linotype" w:eastAsia="Times New Roman" w:hAnsi="Palatino Linotype" w:cs="Calibri"/>
          <w:color w:val="000000"/>
          <w:sz w:val="18"/>
          <w:szCs w:val="18"/>
        </w:rPr>
      </w:pPr>
      <w:r w:rsidRPr="00A0315B">
        <w:rPr>
          <w:rFonts w:ascii="Palatino Linotype" w:eastAsia="Times New Roman" w:hAnsi="Palatino Linotype" w:cs="Calibri"/>
          <w:color w:val="000000"/>
          <w:sz w:val="18"/>
          <w:szCs w:val="18"/>
        </w:rPr>
        <w:t>Robust standard errors in parentheses clustered at the school level;  ** p&lt;0.01, * p&lt;0.05</w:t>
      </w:r>
    </w:p>
    <w:p w14:paraId="5CB07FC9" w14:textId="77777777" w:rsidR="00081BE2" w:rsidRDefault="00081BE2" w:rsidP="0046518A">
      <w:pPr>
        <w:spacing w:after="0" w:line="480" w:lineRule="auto"/>
        <w:ind w:firstLine="720"/>
        <w:rPr>
          <w:rFonts w:ascii="Times New Roman" w:hAnsi="Times New Roman" w:cs="Times New Roman"/>
          <w:sz w:val="24"/>
          <w:szCs w:val="24"/>
        </w:rPr>
      </w:pPr>
    </w:p>
    <w:p w14:paraId="7F316D41" w14:textId="0BFF5019"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In terms of magnitude, this model suggests identifying with the Republican party was associated with a 2 percent reduction in the proportion of students gaining program access. This finding likely reflects the role of political beliefs in shaping interpretations of burden and the formulation of role perception, further indicating the importance of values and beliefs of SLBs (Lavertu et al. 2013). Finally, the findings highlight the importance of task environments in predicting access to the promise program. For instance, the more students the SLB meets with one-on-one, the more likely the school is to have a higher proportion of students able to overcome barriers and gain access to the program. This reveals that SLBs find themselves in schools with unequal capacity to increase student resilience to administrative burden, which is also corroborated in the qualitative analysis in the next section.</w:t>
      </w:r>
    </w:p>
    <w:p w14:paraId="42B9DE24" w14:textId="417B28B6" w:rsidR="00081BE2" w:rsidRDefault="0046518A" w:rsidP="00081BE2">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Given the potential for SLBs to take on multiple roles, we also perform the same model presented in Table </w:t>
      </w:r>
      <w:r w:rsidR="00A00172">
        <w:rPr>
          <w:rFonts w:ascii="Times New Roman" w:hAnsi="Times New Roman" w:cs="Times New Roman"/>
          <w:sz w:val="24"/>
          <w:szCs w:val="24"/>
        </w:rPr>
        <w:t xml:space="preserve">4-3 </w:t>
      </w:r>
      <w:r w:rsidRPr="005B2DFB">
        <w:rPr>
          <w:rFonts w:ascii="Times New Roman" w:hAnsi="Times New Roman" w:cs="Times New Roman"/>
          <w:sz w:val="24"/>
          <w:szCs w:val="24"/>
        </w:rPr>
        <w:t xml:space="preserve">with an interaction between the support and compliance role and present the results in Table </w:t>
      </w:r>
      <w:r w:rsidR="00A00172">
        <w:rPr>
          <w:rFonts w:ascii="Times New Roman" w:hAnsi="Times New Roman" w:cs="Times New Roman"/>
          <w:sz w:val="24"/>
          <w:szCs w:val="24"/>
        </w:rPr>
        <w:t>4-</w:t>
      </w:r>
      <w:r w:rsidRPr="005B2DFB">
        <w:rPr>
          <w:rFonts w:ascii="Times New Roman" w:hAnsi="Times New Roman" w:cs="Times New Roman"/>
          <w:sz w:val="24"/>
          <w:szCs w:val="24"/>
        </w:rPr>
        <w:t xml:space="preserve">4. These results add significantly more nuance to the relationships uncovered previously. First, those counselors that take on only a support role are insignificantly related to program access. On the other hand, counselors that take on only a compliance role are significantly negatively associated with program access at an even higher substantive magnitude than the previous results. Lastly, when counselors are taking on both a support and compliance role, this is insignificantly related to program access. These findings suggest that taking on the support role, in addition to the compliance role, counteracts the negative association we find with </w:t>
      </w:r>
      <w:r w:rsidRPr="005B2DFB">
        <w:rPr>
          <w:rFonts w:ascii="Times New Roman" w:hAnsi="Times New Roman" w:cs="Times New Roman"/>
          <w:sz w:val="24"/>
          <w:szCs w:val="24"/>
        </w:rPr>
        <w:lastRenderedPageBreak/>
        <w:t xml:space="preserve">those counselors who are only identifying as compliance officers. Moreover, these findings suggest that it is likely easier to prevent access than promote access. </w:t>
      </w:r>
    </w:p>
    <w:p w14:paraId="6E205185" w14:textId="77777777" w:rsidR="00081BE2" w:rsidRDefault="00081BE2">
      <w:pPr>
        <w:rPr>
          <w:rFonts w:ascii="Palatino Linotype" w:eastAsia="Times New Roman" w:hAnsi="Palatino Linotype" w:cs="Calibri"/>
          <w:sz w:val="20"/>
          <w:szCs w:val="18"/>
        </w:rPr>
      </w:pPr>
      <w:r>
        <w:rPr>
          <w:rFonts w:ascii="Palatino Linotype" w:eastAsia="Times New Roman" w:hAnsi="Palatino Linotype" w:cs="Calibri"/>
          <w:sz w:val="20"/>
          <w:szCs w:val="18"/>
        </w:rPr>
        <w:br w:type="page"/>
      </w:r>
    </w:p>
    <w:p w14:paraId="751E2A3A" w14:textId="1D9E9C66" w:rsidR="00081BE2" w:rsidRPr="002345F4" w:rsidRDefault="00081BE2" w:rsidP="00081BE2">
      <w:pPr>
        <w:jc w:val="center"/>
        <w:rPr>
          <w:rFonts w:ascii="Palatino Linotype" w:hAnsi="Palatino Linotype"/>
        </w:rPr>
      </w:pPr>
      <w:r w:rsidRPr="007C3CD2">
        <w:rPr>
          <w:rFonts w:ascii="Palatino Linotype" w:eastAsia="Times New Roman" w:hAnsi="Palatino Linotype" w:cs="Calibri"/>
          <w:sz w:val="20"/>
          <w:szCs w:val="18"/>
        </w:rPr>
        <w:lastRenderedPageBreak/>
        <w:t xml:space="preserve">Table </w:t>
      </w:r>
      <w:r w:rsidR="00A00172">
        <w:rPr>
          <w:rFonts w:ascii="Palatino Linotype" w:eastAsia="Times New Roman" w:hAnsi="Palatino Linotype" w:cs="Calibri"/>
          <w:sz w:val="20"/>
          <w:szCs w:val="18"/>
        </w:rPr>
        <w:t>4-</w:t>
      </w:r>
      <w:r>
        <w:rPr>
          <w:rFonts w:ascii="Palatino Linotype" w:eastAsia="Times New Roman" w:hAnsi="Palatino Linotype" w:cs="Calibri"/>
          <w:sz w:val="20"/>
          <w:szCs w:val="18"/>
        </w:rPr>
        <w:t>4</w:t>
      </w:r>
      <w:r w:rsidRPr="007C3CD2">
        <w:rPr>
          <w:rFonts w:ascii="Palatino Linotype" w:eastAsia="Times New Roman" w:hAnsi="Palatino Linotype" w:cs="Calibri"/>
          <w:sz w:val="20"/>
          <w:szCs w:val="18"/>
        </w:rPr>
        <w:t xml:space="preserve">. Regression Results </w:t>
      </w:r>
      <w:r>
        <w:rPr>
          <w:rFonts w:ascii="Palatino Linotype" w:eastAsia="Times New Roman" w:hAnsi="Palatino Linotype" w:cs="Calibri"/>
          <w:sz w:val="20"/>
          <w:szCs w:val="18"/>
        </w:rPr>
        <w:t>with Role Perception Interaction</w:t>
      </w:r>
    </w:p>
    <w:tbl>
      <w:tblPr>
        <w:tblW w:w="5847" w:type="dxa"/>
        <w:jc w:val="center"/>
        <w:tblLook w:val="04A0" w:firstRow="1" w:lastRow="0" w:firstColumn="1" w:lastColumn="0" w:noHBand="0" w:noVBand="1"/>
      </w:tblPr>
      <w:tblGrid>
        <w:gridCol w:w="3744"/>
        <w:gridCol w:w="2103"/>
      </w:tblGrid>
      <w:tr w:rsidR="00081BE2" w:rsidRPr="007C3CD2" w14:paraId="58D1279F" w14:textId="77777777" w:rsidTr="00081BE2">
        <w:trPr>
          <w:trHeight w:val="792"/>
          <w:jc w:val="center"/>
        </w:trPr>
        <w:tc>
          <w:tcPr>
            <w:tcW w:w="3744" w:type="dxa"/>
            <w:tcBorders>
              <w:top w:val="nil"/>
              <w:left w:val="nil"/>
              <w:bottom w:val="nil"/>
              <w:right w:val="nil"/>
            </w:tcBorders>
            <w:shd w:val="clear" w:color="auto" w:fill="auto"/>
            <w:noWrap/>
            <w:vAlign w:val="bottom"/>
            <w:hideMark/>
          </w:tcPr>
          <w:p w14:paraId="2146F54C" w14:textId="77777777" w:rsidR="00081BE2" w:rsidRPr="007C3CD2" w:rsidRDefault="00081BE2" w:rsidP="00081BE2">
            <w:pPr>
              <w:spacing w:after="0" w:line="240" w:lineRule="auto"/>
              <w:rPr>
                <w:rFonts w:ascii="Palatino Linotype" w:eastAsia="Times New Roman" w:hAnsi="Palatino Linotype" w:cs="Calibri"/>
                <w:sz w:val="18"/>
                <w:szCs w:val="18"/>
              </w:rPr>
            </w:pPr>
          </w:p>
        </w:tc>
        <w:tc>
          <w:tcPr>
            <w:tcW w:w="2103" w:type="dxa"/>
            <w:tcBorders>
              <w:top w:val="nil"/>
              <w:left w:val="nil"/>
              <w:bottom w:val="nil"/>
              <w:right w:val="nil"/>
            </w:tcBorders>
            <w:shd w:val="clear" w:color="auto" w:fill="auto"/>
            <w:vAlign w:val="bottom"/>
            <w:hideMark/>
          </w:tcPr>
          <w:p w14:paraId="3A3D32C3"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Percent</w:t>
            </w:r>
            <w:r w:rsidRPr="007C3CD2">
              <w:rPr>
                <w:rFonts w:ascii="Palatino Linotype" w:eastAsia="Times New Roman" w:hAnsi="Palatino Linotype" w:cs="Calibri"/>
                <w:color w:val="000000"/>
                <w:sz w:val="18"/>
                <w:szCs w:val="18"/>
              </w:rPr>
              <w:t xml:space="preserve"> of Total Enrollment </w:t>
            </w:r>
            <w:r>
              <w:rPr>
                <w:rFonts w:ascii="Palatino Linotype" w:eastAsia="Times New Roman" w:hAnsi="Palatino Linotype" w:cs="Calibri"/>
                <w:color w:val="000000"/>
                <w:sz w:val="18"/>
                <w:szCs w:val="18"/>
              </w:rPr>
              <w:t>Accessing</w:t>
            </w:r>
            <w:r w:rsidRPr="007C3CD2">
              <w:rPr>
                <w:rFonts w:ascii="Palatino Linotype" w:eastAsia="Times New Roman" w:hAnsi="Palatino Linotype" w:cs="Calibri"/>
                <w:color w:val="000000"/>
                <w:sz w:val="18"/>
                <w:szCs w:val="18"/>
              </w:rPr>
              <w:t xml:space="preserve"> Oklahoma's Promise</w:t>
            </w:r>
          </w:p>
        </w:tc>
      </w:tr>
      <w:tr w:rsidR="00081BE2" w:rsidRPr="007C3CD2" w14:paraId="16515206" w14:textId="77777777" w:rsidTr="00081BE2">
        <w:trPr>
          <w:trHeight w:val="276"/>
          <w:jc w:val="center"/>
        </w:trPr>
        <w:tc>
          <w:tcPr>
            <w:tcW w:w="3744" w:type="dxa"/>
            <w:tcBorders>
              <w:top w:val="single" w:sz="4" w:space="0" w:color="auto"/>
              <w:left w:val="nil"/>
              <w:bottom w:val="nil"/>
              <w:right w:val="nil"/>
            </w:tcBorders>
            <w:shd w:val="clear" w:color="auto" w:fill="auto"/>
            <w:noWrap/>
            <w:vAlign w:val="bottom"/>
            <w:hideMark/>
          </w:tcPr>
          <w:p w14:paraId="6AE9F539"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r>
              <w:rPr>
                <w:rFonts w:ascii="Palatino Linotype" w:eastAsia="Times New Roman" w:hAnsi="Palatino Linotype" w:cs="Calibri"/>
                <w:i/>
                <w:iCs/>
                <w:color w:val="000000"/>
                <w:sz w:val="18"/>
                <w:szCs w:val="18"/>
              </w:rPr>
              <w:t>Role Perception</w:t>
            </w:r>
          </w:p>
        </w:tc>
        <w:tc>
          <w:tcPr>
            <w:tcW w:w="2103" w:type="dxa"/>
            <w:tcBorders>
              <w:top w:val="single" w:sz="4" w:space="0" w:color="auto"/>
              <w:left w:val="nil"/>
              <w:bottom w:val="nil"/>
              <w:right w:val="nil"/>
            </w:tcBorders>
            <w:shd w:val="clear" w:color="auto" w:fill="auto"/>
            <w:noWrap/>
            <w:vAlign w:val="bottom"/>
            <w:hideMark/>
          </w:tcPr>
          <w:p w14:paraId="2C716C37"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w:t>
            </w:r>
          </w:p>
        </w:tc>
      </w:tr>
      <w:tr w:rsidR="00081BE2" w:rsidRPr="007C3CD2" w14:paraId="6E2E69D5"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48C47411"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Support</w:t>
            </w:r>
            <w:r w:rsidRPr="007C3CD2">
              <w:rPr>
                <w:rFonts w:ascii="Palatino Linotype" w:eastAsia="Times New Roman" w:hAnsi="Palatino Linotype" w:cs="Calibri"/>
                <w:color w:val="000000"/>
                <w:sz w:val="18"/>
                <w:szCs w:val="18"/>
              </w:rPr>
              <w:t xml:space="preserve"> Role</w:t>
            </w:r>
          </w:p>
        </w:tc>
        <w:tc>
          <w:tcPr>
            <w:tcW w:w="2103" w:type="dxa"/>
            <w:tcBorders>
              <w:top w:val="nil"/>
              <w:left w:val="nil"/>
              <w:bottom w:val="nil"/>
              <w:right w:val="nil"/>
            </w:tcBorders>
            <w:shd w:val="clear" w:color="auto" w:fill="auto"/>
            <w:noWrap/>
            <w:vAlign w:val="bottom"/>
            <w:hideMark/>
          </w:tcPr>
          <w:p w14:paraId="33A57962" w14:textId="77777777" w:rsidR="00081BE2" w:rsidRPr="004A7BD8" w:rsidRDefault="00081BE2" w:rsidP="00081BE2">
            <w:pPr>
              <w:spacing w:after="0" w:line="240" w:lineRule="auto"/>
              <w:jc w:val="center"/>
              <w:rPr>
                <w:rFonts w:ascii="Palatino Linotype" w:eastAsia="Times New Roman" w:hAnsi="Palatino Linotype" w:cs="Calibri"/>
                <w:color w:val="000000"/>
                <w:sz w:val="18"/>
                <w:szCs w:val="18"/>
              </w:rPr>
            </w:pPr>
            <w:r w:rsidRPr="004A7BD8">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8</w:t>
            </w:r>
          </w:p>
        </w:tc>
      </w:tr>
      <w:tr w:rsidR="00081BE2" w:rsidRPr="007C3CD2" w14:paraId="4809B3EB"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59F0A4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15A80BD" w14:textId="77777777" w:rsidR="00081BE2" w:rsidRPr="004A7BD8" w:rsidRDefault="00081BE2" w:rsidP="00081BE2">
            <w:pPr>
              <w:spacing w:after="0" w:line="240" w:lineRule="auto"/>
              <w:jc w:val="center"/>
              <w:rPr>
                <w:rFonts w:ascii="Palatino Linotype" w:eastAsia="Times New Roman" w:hAnsi="Palatino Linotype" w:cs="Calibri"/>
                <w:color w:val="000000"/>
                <w:sz w:val="18"/>
                <w:szCs w:val="18"/>
              </w:rPr>
            </w:pPr>
            <w:r w:rsidRPr="004A7BD8">
              <w:rPr>
                <w:rFonts w:ascii="Palatino Linotype" w:eastAsia="Times New Roman" w:hAnsi="Palatino Linotype" w:cs="Calibri"/>
                <w:color w:val="000000"/>
                <w:sz w:val="18"/>
                <w:szCs w:val="18"/>
              </w:rPr>
              <w:t>(0.01</w:t>
            </w:r>
            <w:r>
              <w:rPr>
                <w:rFonts w:ascii="Palatino Linotype" w:eastAsia="Times New Roman" w:hAnsi="Palatino Linotype" w:cs="Calibri"/>
                <w:color w:val="000000"/>
                <w:sz w:val="18"/>
                <w:szCs w:val="18"/>
              </w:rPr>
              <w:t>1</w:t>
            </w:r>
            <w:r w:rsidRPr="004A7BD8">
              <w:rPr>
                <w:rFonts w:ascii="Palatino Linotype" w:eastAsia="Times New Roman" w:hAnsi="Palatino Linotype" w:cs="Calibri"/>
                <w:color w:val="000000"/>
                <w:sz w:val="18"/>
                <w:szCs w:val="18"/>
              </w:rPr>
              <w:t>)</w:t>
            </w:r>
          </w:p>
        </w:tc>
      </w:tr>
      <w:tr w:rsidR="00081BE2" w:rsidRPr="007C3CD2" w14:paraId="41249E2D" w14:textId="77777777" w:rsidTr="00081BE2">
        <w:trPr>
          <w:trHeight w:val="264"/>
          <w:jc w:val="center"/>
        </w:trPr>
        <w:tc>
          <w:tcPr>
            <w:tcW w:w="3744" w:type="dxa"/>
            <w:tcBorders>
              <w:top w:val="nil"/>
              <w:left w:val="nil"/>
              <w:right w:val="nil"/>
            </w:tcBorders>
            <w:shd w:val="clear" w:color="auto" w:fill="auto"/>
            <w:noWrap/>
            <w:vAlign w:val="bottom"/>
            <w:hideMark/>
          </w:tcPr>
          <w:p w14:paraId="37480F5F"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Compliance</w:t>
            </w:r>
            <w:r w:rsidRPr="007C3CD2">
              <w:rPr>
                <w:rFonts w:ascii="Palatino Linotype" w:eastAsia="Times New Roman" w:hAnsi="Palatino Linotype" w:cs="Calibri"/>
                <w:color w:val="000000"/>
                <w:sz w:val="18"/>
                <w:szCs w:val="18"/>
              </w:rPr>
              <w:t xml:space="preserve"> Role</w:t>
            </w:r>
          </w:p>
        </w:tc>
        <w:tc>
          <w:tcPr>
            <w:tcW w:w="2103" w:type="dxa"/>
            <w:tcBorders>
              <w:top w:val="nil"/>
              <w:left w:val="nil"/>
              <w:bottom w:val="nil"/>
              <w:right w:val="nil"/>
            </w:tcBorders>
            <w:shd w:val="clear" w:color="auto" w:fill="auto"/>
            <w:noWrap/>
            <w:vAlign w:val="bottom"/>
            <w:hideMark/>
          </w:tcPr>
          <w:p w14:paraId="6282708C" w14:textId="77777777" w:rsidR="00081BE2" w:rsidRPr="004A7BD8" w:rsidRDefault="00081BE2" w:rsidP="00081BE2">
            <w:pPr>
              <w:spacing w:after="0" w:line="240" w:lineRule="auto"/>
              <w:jc w:val="center"/>
              <w:rPr>
                <w:rFonts w:ascii="Palatino Linotype" w:eastAsia="Times New Roman" w:hAnsi="Palatino Linotype" w:cs="Calibri"/>
                <w:color w:val="000000"/>
                <w:sz w:val="18"/>
                <w:szCs w:val="18"/>
              </w:rPr>
            </w:pPr>
            <w:r w:rsidRPr="004A7BD8">
              <w:rPr>
                <w:rFonts w:ascii="Palatino Linotype" w:eastAsia="Times New Roman" w:hAnsi="Palatino Linotype" w:cs="Calibri"/>
                <w:color w:val="000000"/>
                <w:sz w:val="18"/>
                <w:szCs w:val="18"/>
              </w:rPr>
              <w:t>-0.034**</w:t>
            </w:r>
          </w:p>
        </w:tc>
      </w:tr>
      <w:tr w:rsidR="00081BE2" w:rsidRPr="007C3CD2" w14:paraId="48733009" w14:textId="77777777" w:rsidTr="00081BE2">
        <w:trPr>
          <w:trHeight w:val="264"/>
          <w:jc w:val="center"/>
        </w:trPr>
        <w:tc>
          <w:tcPr>
            <w:tcW w:w="3744" w:type="dxa"/>
            <w:tcBorders>
              <w:top w:val="nil"/>
              <w:left w:val="nil"/>
              <w:right w:val="nil"/>
            </w:tcBorders>
            <w:shd w:val="clear" w:color="auto" w:fill="auto"/>
            <w:noWrap/>
            <w:vAlign w:val="bottom"/>
            <w:hideMark/>
          </w:tcPr>
          <w:p w14:paraId="34D4ECBB"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678A873D" w14:textId="77777777" w:rsidR="00081BE2" w:rsidRPr="004A7BD8" w:rsidRDefault="00081BE2" w:rsidP="00081BE2">
            <w:pPr>
              <w:spacing w:after="0" w:line="240" w:lineRule="auto"/>
              <w:jc w:val="center"/>
              <w:rPr>
                <w:rFonts w:ascii="Palatino Linotype" w:eastAsia="Times New Roman" w:hAnsi="Palatino Linotype" w:cs="Calibri"/>
                <w:color w:val="000000"/>
                <w:sz w:val="18"/>
                <w:szCs w:val="18"/>
              </w:rPr>
            </w:pPr>
            <w:r w:rsidRPr="004A7BD8">
              <w:rPr>
                <w:rFonts w:ascii="Palatino Linotype" w:eastAsia="Times New Roman" w:hAnsi="Palatino Linotype" w:cs="Calibri"/>
                <w:color w:val="000000"/>
                <w:sz w:val="18"/>
                <w:szCs w:val="18"/>
              </w:rPr>
              <w:t>(0.011)</w:t>
            </w:r>
          </w:p>
        </w:tc>
      </w:tr>
      <w:tr w:rsidR="00081BE2" w:rsidRPr="007C3CD2" w14:paraId="40C3A23E" w14:textId="77777777" w:rsidTr="00081BE2">
        <w:trPr>
          <w:trHeight w:val="264"/>
          <w:jc w:val="center"/>
        </w:trPr>
        <w:tc>
          <w:tcPr>
            <w:tcW w:w="3744" w:type="dxa"/>
            <w:tcBorders>
              <w:top w:val="nil"/>
              <w:left w:val="nil"/>
              <w:right w:val="nil"/>
            </w:tcBorders>
            <w:shd w:val="clear" w:color="auto" w:fill="auto"/>
            <w:noWrap/>
            <w:vAlign w:val="bottom"/>
          </w:tcPr>
          <w:p w14:paraId="0606B34C" w14:textId="77777777" w:rsidR="00081BE2" w:rsidRPr="007C3CD2" w:rsidRDefault="00081BE2" w:rsidP="00081BE2">
            <w:pPr>
              <w:spacing w:after="0" w:line="240" w:lineRule="auto"/>
              <w:ind w:left="144"/>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Support Role</w:t>
            </w:r>
            <w:r>
              <w:rPr>
                <w:rFonts w:ascii="Palatino Linotype" w:eastAsia="Times New Roman" w:hAnsi="Palatino Linotype" w:cs="Calibri"/>
                <w:color w:val="000000"/>
                <w:sz w:val="18"/>
                <w:szCs w:val="18"/>
              </w:rPr>
              <w:t>*Compliance Role</w:t>
            </w:r>
          </w:p>
        </w:tc>
        <w:tc>
          <w:tcPr>
            <w:tcW w:w="2103" w:type="dxa"/>
            <w:tcBorders>
              <w:top w:val="nil"/>
              <w:left w:val="nil"/>
              <w:bottom w:val="nil"/>
              <w:right w:val="nil"/>
            </w:tcBorders>
            <w:shd w:val="clear" w:color="auto" w:fill="auto"/>
            <w:noWrap/>
            <w:vAlign w:val="bottom"/>
          </w:tcPr>
          <w:p w14:paraId="4A191EE9" w14:textId="404A8DFF" w:rsidR="00081BE2" w:rsidRPr="003D639F"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0.03</w:t>
            </w:r>
            <w:r w:rsidR="00C64602">
              <w:rPr>
                <w:rFonts w:ascii="Palatino Linotype" w:eastAsia="Times New Roman" w:hAnsi="Palatino Linotype" w:cs="Calibri"/>
                <w:color w:val="000000"/>
                <w:sz w:val="18"/>
                <w:szCs w:val="18"/>
              </w:rPr>
              <w:t>5</w:t>
            </w:r>
          </w:p>
        </w:tc>
      </w:tr>
      <w:tr w:rsidR="00081BE2" w:rsidRPr="007C3CD2" w14:paraId="6099F9B7" w14:textId="77777777" w:rsidTr="00081BE2">
        <w:trPr>
          <w:trHeight w:val="264"/>
          <w:jc w:val="center"/>
        </w:trPr>
        <w:tc>
          <w:tcPr>
            <w:tcW w:w="3744" w:type="dxa"/>
            <w:tcBorders>
              <w:top w:val="nil"/>
              <w:left w:val="nil"/>
              <w:right w:val="nil"/>
            </w:tcBorders>
            <w:shd w:val="clear" w:color="auto" w:fill="auto"/>
            <w:noWrap/>
            <w:vAlign w:val="bottom"/>
          </w:tcPr>
          <w:p w14:paraId="2C33F6F2"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tcPr>
          <w:p w14:paraId="60957442" w14:textId="77777777" w:rsidR="00081BE2" w:rsidRPr="003D639F"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(0.017)</w:t>
            </w:r>
          </w:p>
        </w:tc>
      </w:tr>
      <w:tr w:rsidR="00081BE2" w:rsidRPr="007C3CD2" w14:paraId="78F4DD5D" w14:textId="77777777" w:rsidTr="00081BE2">
        <w:trPr>
          <w:trHeight w:val="264"/>
          <w:jc w:val="center"/>
        </w:trPr>
        <w:tc>
          <w:tcPr>
            <w:tcW w:w="3744" w:type="dxa"/>
            <w:tcBorders>
              <w:top w:val="nil"/>
              <w:left w:val="nil"/>
              <w:right w:val="nil"/>
            </w:tcBorders>
            <w:shd w:val="clear" w:color="auto" w:fill="auto"/>
            <w:noWrap/>
            <w:vAlign w:val="bottom"/>
            <w:hideMark/>
          </w:tcPr>
          <w:p w14:paraId="0E0DD759"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Information Dissemination Role</w:t>
            </w:r>
          </w:p>
        </w:tc>
        <w:tc>
          <w:tcPr>
            <w:tcW w:w="2103" w:type="dxa"/>
            <w:tcBorders>
              <w:top w:val="nil"/>
              <w:left w:val="nil"/>
              <w:bottom w:val="nil"/>
              <w:right w:val="nil"/>
            </w:tcBorders>
            <w:shd w:val="clear" w:color="auto" w:fill="auto"/>
            <w:noWrap/>
            <w:vAlign w:val="bottom"/>
            <w:hideMark/>
          </w:tcPr>
          <w:p w14:paraId="440B1A1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w:t>
            </w:r>
            <w:r w:rsidRPr="003D639F">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9</w:t>
            </w:r>
          </w:p>
        </w:tc>
      </w:tr>
      <w:tr w:rsidR="00081BE2" w:rsidRPr="007C3CD2" w14:paraId="5ECA16AB" w14:textId="77777777" w:rsidTr="00081BE2">
        <w:trPr>
          <w:trHeight w:val="264"/>
          <w:jc w:val="center"/>
        </w:trPr>
        <w:tc>
          <w:tcPr>
            <w:tcW w:w="3744" w:type="dxa"/>
            <w:tcBorders>
              <w:top w:val="nil"/>
              <w:left w:val="nil"/>
              <w:right w:val="nil"/>
            </w:tcBorders>
            <w:shd w:val="clear" w:color="auto" w:fill="auto"/>
            <w:noWrap/>
            <w:vAlign w:val="bottom"/>
            <w:hideMark/>
          </w:tcPr>
          <w:p w14:paraId="64DD2009"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222DEC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3D639F">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8</w:t>
            </w:r>
            <w:r w:rsidRPr="003D639F">
              <w:rPr>
                <w:rFonts w:ascii="Palatino Linotype" w:eastAsia="Times New Roman" w:hAnsi="Palatino Linotype" w:cs="Calibri"/>
                <w:color w:val="000000"/>
                <w:sz w:val="18"/>
                <w:szCs w:val="18"/>
              </w:rPr>
              <w:t>)</w:t>
            </w:r>
          </w:p>
        </w:tc>
      </w:tr>
      <w:tr w:rsidR="00081BE2" w:rsidRPr="007C3CD2" w14:paraId="0D362A20" w14:textId="77777777" w:rsidTr="00081BE2">
        <w:trPr>
          <w:trHeight w:val="276"/>
          <w:jc w:val="center"/>
        </w:trPr>
        <w:tc>
          <w:tcPr>
            <w:tcW w:w="3744" w:type="dxa"/>
            <w:tcBorders>
              <w:left w:val="nil"/>
              <w:bottom w:val="nil"/>
              <w:right w:val="nil"/>
            </w:tcBorders>
            <w:shd w:val="clear" w:color="auto" w:fill="auto"/>
            <w:noWrap/>
            <w:vAlign w:val="bottom"/>
            <w:hideMark/>
          </w:tcPr>
          <w:p w14:paraId="09D480CE"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r w:rsidRPr="007C3CD2">
              <w:rPr>
                <w:rFonts w:ascii="Palatino Linotype" w:eastAsia="Times New Roman" w:hAnsi="Palatino Linotype" w:cs="Calibri"/>
                <w:i/>
                <w:iCs/>
                <w:color w:val="000000"/>
                <w:sz w:val="18"/>
                <w:szCs w:val="18"/>
              </w:rPr>
              <w:t>Individual C</w:t>
            </w:r>
            <w:r>
              <w:rPr>
                <w:rFonts w:ascii="Palatino Linotype" w:eastAsia="Times New Roman" w:hAnsi="Palatino Linotype" w:cs="Calibri"/>
                <w:i/>
                <w:iCs/>
                <w:color w:val="000000"/>
                <w:sz w:val="18"/>
                <w:szCs w:val="18"/>
              </w:rPr>
              <w:t>ontrols</w:t>
            </w:r>
          </w:p>
        </w:tc>
        <w:tc>
          <w:tcPr>
            <w:tcW w:w="2103" w:type="dxa"/>
            <w:tcBorders>
              <w:left w:val="nil"/>
              <w:bottom w:val="nil"/>
              <w:right w:val="nil"/>
            </w:tcBorders>
            <w:shd w:val="clear" w:color="auto" w:fill="auto"/>
            <w:noWrap/>
            <w:vAlign w:val="bottom"/>
            <w:hideMark/>
          </w:tcPr>
          <w:p w14:paraId="385E1AC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w:t>
            </w:r>
          </w:p>
        </w:tc>
      </w:tr>
      <w:tr w:rsidR="00081BE2" w:rsidRPr="007C3CD2" w14:paraId="5D7E82C8"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1FABB54"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White</w:t>
            </w:r>
          </w:p>
        </w:tc>
        <w:tc>
          <w:tcPr>
            <w:tcW w:w="2103" w:type="dxa"/>
            <w:tcBorders>
              <w:top w:val="nil"/>
              <w:left w:val="nil"/>
              <w:bottom w:val="nil"/>
              <w:right w:val="nil"/>
            </w:tcBorders>
            <w:shd w:val="clear" w:color="auto" w:fill="auto"/>
            <w:noWrap/>
            <w:vAlign w:val="bottom"/>
            <w:hideMark/>
          </w:tcPr>
          <w:p w14:paraId="3AF17E13"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3</w:t>
            </w:r>
          </w:p>
        </w:tc>
      </w:tr>
      <w:tr w:rsidR="00081BE2" w:rsidRPr="007C3CD2" w14:paraId="1E86027C"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96C115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1E30D6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(0.009)</w:t>
            </w:r>
          </w:p>
        </w:tc>
      </w:tr>
      <w:tr w:rsidR="00081BE2" w:rsidRPr="007C3CD2" w14:paraId="1ED9C780"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61A0F43"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Education</w:t>
            </w:r>
          </w:p>
        </w:tc>
        <w:tc>
          <w:tcPr>
            <w:tcW w:w="2103" w:type="dxa"/>
            <w:tcBorders>
              <w:top w:val="nil"/>
              <w:left w:val="nil"/>
              <w:bottom w:val="nil"/>
              <w:right w:val="nil"/>
            </w:tcBorders>
            <w:shd w:val="clear" w:color="auto" w:fill="auto"/>
            <w:noWrap/>
            <w:vAlign w:val="bottom"/>
            <w:hideMark/>
          </w:tcPr>
          <w:p w14:paraId="00C84A5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-0.01</w:t>
            </w:r>
            <w:r>
              <w:rPr>
                <w:rFonts w:ascii="Palatino Linotype" w:eastAsia="Times New Roman" w:hAnsi="Palatino Linotype" w:cs="Calibri"/>
                <w:color w:val="000000"/>
                <w:sz w:val="18"/>
                <w:szCs w:val="18"/>
              </w:rPr>
              <w:t>2</w:t>
            </w:r>
          </w:p>
        </w:tc>
      </w:tr>
      <w:tr w:rsidR="00081BE2" w:rsidRPr="007C3CD2" w14:paraId="40005D4E"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23C73AB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D23585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(0.014)</w:t>
            </w:r>
          </w:p>
        </w:tc>
      </w:tr>
      <w:tr w:rsidR="00081BE2" w:rsidRPr="007C3CD2" w14:paraId="0840976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9083FCE"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Conservative</w:t>
            </w:r>
          </w:p>
        </w:tc>
        <w:tc>
          <w:tcPr>
            <w:tcW w:w="2103" w:type="dxa"/>
            <w:tcBorders>
              <w:top w:val="nil"/>
              <w:left w:val="nil"/>
              <w:bottom w:val="nil"/>
              <w:right w:val="nil"/>
            </w:tcBorders>
            <w:shd w:val="clear" w:color="auto" w:fill="auto"/>
            <w:noWrap/>
            <w:vAlign w:val="bottom"/>
            <w:hideMark/>
          </w:tcPr>
          <w:p w14:paraId="7C84A87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0.010</w:t>
            </w:r>
          </w:p>
        </w:tc>
      </w:tr>
      <w:tr w:rsidR="00081BE2" w:rsidRPr="007C3CD2" w14:paraId="031047EE"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0FD3C16"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7DF6E085"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7</w:t>
            </w:r>
            <w:r w:rsidRPr="00B80DC0">
              <w:rPr>
                <w:rFonts w:ascii="Palatino Linotype" w:eastAsia="Times New Roman" w:hAnsi="Palatino Linotype" w:cs="Calibri"/>
                <w:color w:val="000000"/>
                <w:sz w:val="18"/>
                <w:szCs w:val="18"/>
              </w:rPr>
              <w:t>)</w:t>
            </w:r>
          </w:p>
        </w:tc>
      </w:tr>
      <w:tr w:rsidR="00081BE2" w:rsidRPr="007C3CD2" w14:paraId="62809B3F"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22A42172"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Republican</w:t>
            </w:r>
          </w:p>
        </w:tc>
        <w:tc>
          <w:tcPr>
            <w:tcW w:w="2103" w:type="dxa"/>
            <w:tcBorders>
              <w:top w:val="nil"/>
              <w:left w:val="nil"/>
              <w:bottom w:val="nil"/>
              <w:right w:val="nil"/>
            </w:tcBorders>
            <w:shd w:val="clear" w:color="auto" w:fill="auto"/>
            <w:noWrap/>
            <w:vAlign w:val="bottom"/>
            <w:hideMark/>
          </w:tcPr>
          <w:p w14:paraId="0DA3DDC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-0.02</w:t>
            </w:r>
            <w:r>
              <w:rPr>
                <w:rFonts w:ascii="Palatino Linotype" w:eastAsia="Times New Roman" w:hAnsi="Palatino Linotype" w:cs="Calibri"/>
                <w:color w:val="000000"/>
                <w:sz w:val="18"/>
                <w:szCs w:val="18"/>
              </w:rPr>
              <w:t>1</w:t>
            </w:r>
            <w:r w:rsidRPr="00B80DC0">
              <w:rPr>
                <w:rFonts w:ascii="Palatino Linotype" w:eastAsia="Times New Roman" w:hAnsi="Palatino Linotype" w:cs="Calibri"/>
                <w:color w:val="000000"/>
                <w:sz w:val="18"/>
                <w:szCs w:val="18"/>
              </w:rPr>
              <w:t>*</w:t>
            </w:r>
          </w:p>
        </w:tc>
      </w:tr>
      <w:tr w:rsidR="00081BE2" w:rsidRPr="007C3CD2" w14:paraId="6D1826F2"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AD0AC4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326F262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(0.008)</w:t>
            </w:r>
          </w:p>
        </w:tc>
      </w:tr>
      <w:tr w:rsidR="00081BE2" w:rsidRPr="007C3CD2" w14:paraId="217A0F25"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29AFE42"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xml:space="preserve">Promise Knowledge </w:t>
            </w:r>
          </w:p>
        </w:tc>
        <w:tc>
          <w:tcPr>
            <w:tcW w:w="2103" w:type="dxa"/>
            <w:tcBorders>
              <w:top w:val="nil"/>
              <w:left w:val="nil"/>
              <w:bottom w:val="nil"/>
              <w:right w:val="nil"/>
            </w:tcBorders>
            <w:shd w:val="clear" w:color="auto" w:fill="auto"/>
            <w:noWrap/>
            <w:vAlign w:val="bottom"/>
            <w:hideMark/>
          </w:tcPr>
          <w:p w14:paraId="1F191CF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8</w:t>
            </w:r>
          </w:p>
        </w:tc>
      </w:tr>
      <w:tr w:rsidR="00081BE2" w:rsidRPr="007C3CD2" w14:paraId="42042F4F"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2A3D43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4211DAD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5</w:t>
            </w:r>
            <w:r w:rsidRPr="00B80DC0">
              <w:rPr>
                <w:rFonts w:ascii="Palatino Linotype" w:eastAsia="Times New Roman" w:hAnsi="Palatino Linotype" w:cs="Calibri"/>
                <w:color w:val="000000"/>
                <w:sz w:val="18"/>
                <w:szCs w:val="18"/>
              </w:rPr>
              <w:t>)</w:t>
            </w:r>
          </w:p>
        </w:tc>
      </w:tr>
      <w:tr w:rsidR="00081BE2" w:rsidRPr="007C3CD2" w14:paraId="053DF2B8"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597CA0F"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Years in Position</w:t>
            </w:r>
          </w:p>
        </w:tc>
        <w:tc>
          <w:tcPr>
            <w:tcW w:w="2103" w:type="dxa"/>
            <w:tcBorders>
              <w:top w:val="nil"/>
              <w:left w:val="nil"/>
              <w:bottom w:val="nil"/>
              <w:right w:val="nil"/>
            </w:tcBorders>
            <w:shd w:val="clear" w:color="auto" w:fill="auto"/>
            <w:noWrap/>
            <w:vAlign w:val="bottom"/>
            <w:hideMark/>
          </w:tcPr>
          <w:p w14:paraId="1B2F6B8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3</w:t>
            </w:r>
          </w:p>
        </w:tc>
      </w:tr>
      <w:tr w:rsidR="00081BE2" w:rsidRPr="007C3CD2" w14:paraId="7B02109F"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34951EF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57D0A977"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(0.004)</w:t>
            </w:r>
          </w:p>
        </w:tc>
      </w:tr>
      <w:tr w:rsidR="00081BE2" w:rsidRPr="007C3CD2" w14:paraId="280546A0"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9448E2A"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Perceived Support from Administration</w:t>
            </w:r>
          </w:p>
        </w:tc>
        <w:tc>
          <w:tcPr>
            <w:tcW w:w="2103" w:type="dxa"/>
            <w:tcBorders>
              <w:top w:val="nil"/>
              <w:left w:val="nil"/>
              <w:bottom w:val="nil"/>
              <w:right w:val="nil"/>
            </w:tcBorders>
            <w:shd w:val="clear" w:color="auto" w:fill="auto"/>
            <w:noWrap/>
            <w:vAlign w:val="bottom"/>
            <w:hideMark/>
          </w:tcPr>
          <w:p w14:paraId="760E920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9</w:t>
            </w:r>
          </w:p>
        </w:tc>
      </w:tr>
      <w:tr w:rsidR="00081BE2" w:rsidRPr="007C3CD2" w14:paraId="6381EAD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D733C9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78E77BB6"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(0.005)</w:t>
            </w:r>
          </w:p>
        </w:tc>
      </w:tr>
      <w:tr w:rsidR="00081BE2" w:rsidRPr="007C3CD2" w14:paraId="7A7FA3B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A1AAEA5"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High Discretion</w:t>
            </w:r>
          </w:p>
        </w:tc>
        <w:tc>
          <w:tcPr>
            <w:tcW w:w="2103" w:type="dxa"/>
            <w:tcBorders>
              <w:top w:val="nil"/>
              <w:left w:val="nil"/>
              <w:bottom w:val="nil"/>
              <w:right w:val="nil"/>
            </w:tcBorders>
            <w:shd w:val="clear" w:color="auto" w:fill="auto"/>
            <w:noWrap/>
            <w:vAlign w:val="bottom"/>
            <w:hideMark/>
          </w:tcPr>
          <w:p w14:paraId="3CAAAB6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1</w:t>
            </w:r>
          </w:p>
        </w:tc>
      </w:tr>
      <w:tr w:rsidR="00081BE2" w:rsidRPr="007C3CD2" w14:paraId="3F7DCA89"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DB81D31"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6B448A62"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(0.007)</w:t>
            </w:r>
          </w:p>
        </w:tc>
      </w:tr>
      <w:tr w:rsidR="00081BE2" w:rsidRPr="007C3CD2" w14:paraId="10F7B4BD"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7CFCA33"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of Students Able to Meet With</w:t>
            </w:r>
          </w:p>
        </w:tc>
        <w:tc>
          <w:tcPr>
            <w:tcW w:w="2103" w:type="dxa"/>
            <w:tcBorders>
              <w:top w:val="nil"/>
              <w:left w:val="nil"/>
              <w:bottom w:val="nil"/>
              <w:right w:val="nil"/>
            </w:tcBorders>
            <w:shd w:val="clear" w:color="auto" w:fill="auto"/>
            <w:noWrap/>
            <w:vAlign w:val="bottom"/>
            <w:hideMark/>
          </w:tcPr>
          <w:p w14:paraId="598CFDF6"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1</w:t>
            </w:r>
            <w:r w:rsidRPr="00B80DC0">
              <w:rPr>
                <w:rFonts w:ascii="Palatino Linotype" w:eastAsia="Times New Roman" w:hAnsi="Palatino Linotype" w:cs="Calibri"/>
                <w:color w:val="000000"/>
                <w:sz w:val="18"/>
                <w:szCs w:val="18"/>
              </w:rPr>
              <w:t>**</w:t>
            </w:r>
          </w:p>
        </w:tc>
      </w:tr>
      <w:tr w:rsidR="00081BE2" w:rsidRPr="007C3CD2" w14:paraId="2F899C32"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09DD7F7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170CD8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(0.000</w:t>
            </w:r>
            <w:r>
              <w:rPr>
                <w:rFonts w:ascii="Palatino Linotype" w:eastAsia="Times New Roman" w:hAnsi="Palatino Linotype" w:cs="Calibri"/>
                <w:color w:val="000000"/>
                <w:sz w:val="18"/>
                <w:szCs w:val="18"/>
              </w:rPr>
              <w:t>1</w:t>
            </w:r>
            <w:r w:rsidRPr="00B80DC0">
              <w:rPr>
                <w:rFonts w:ascii="Palatino Linotype" w:eastAsia="Times New Roman" w:hAnsi="Palatino Linotype" w:cs="Calibri"/>
                <w:color w:val="000000"/>
                <w:sz w:val="18"/>
                <w:szCs w:val="18"/>
              </w:rPr>
              <w:t>)</w:t>
            </w:r>
          </w:p>
        </w:tc>
      </w:tr>
      <w:tr w:rsidR="00081BE2" w:rsidRPr="007C3CD2" w14:paraId="39EB67BE"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4D39F012"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 of Time Spent on College Preparation</w:t>
            </w:r>
          </w:p>
        </w:tc>
        <w:tc>
          <w:tcPr>
            <w:tcW w:w="2103" w:type="dxa"/>
            <w:tcBorders>
              <w:top w:val="nil"/>
              <w:left w:val="nil"/>
              <w:bottom w:val="nil"/>
              <w:right w:val="nil"/>
            </w:tcBorders>
            <w:shd w:val="clear" w:color="auto" w:fill="auto"/>
            <w:noWrap/>
            <w:vAlign w:val="bottom"/>
            <w:hideMark/>
          </w:tcPr>
          <w:p w14:paraId="42BBCE7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0.000</w:t>
            </w:r>
          </w:p>
        </w:tc>
      </w:tr>
      <w:tr w:rsidR="00081BE2" w:rsidRPr="007C3CD2" w14:paraId="366EE0D1"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6F7C1B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39CE325D"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(0.0002)</w:t>
            </w:r>
          </w:p>
        </w:tc>
      </w:tr>
      <w:tr w:rsidR="00081BE2" w:rsidRPr="007C3CD2" w14:paraId="25BA5AD5" w14:textId="77777777" w:rsidTr="00081BE2">
        <w:trPr>
          <w:trHeight w:val="198"/>
          <w:jc w:val="center"/>
        </w:trPr>
        <w:tc>
          <w:tcPr>
            <w:tcW w:w="3744" w:type="dxa"/>
            <w:tcBorders>
              <w:top w:val="nil"/>
              <w:left w:val="nil"/>
              <w:bottom w:val="nil"/>
              <w:right w:val="nil"/>
            </w:tcBorders>
            <w:shd w:val="clear" w:color="auto" w:fill="auto"/>
            <w:noWrap/>
            <w:vAlign w:val="bottom"/>
            <w:hideMark/>
          </w:tcPr>
          <w:p w14:paraId="56B39342"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r w:rsidRPr="007C3CD2">
              <w:rPr>
                <w:rFonts w:ascii="Palatino Linotype" w:eastAsia="Times New Roman" w:hAnsi="Palatino Linotype" w:cs="Calibri"/>
                <w:i/>
                <w:iCs/>
                <w:color w:val="000000"/>
                <w:sz w:val="18"/>
                <w:szCs w:val="18"/>
              </w:rPr>
              <w:t>School Level C</w:t>
            </w:r>
            <w:r>
              <w:rPr>
                <w:rFonts w:ascii="Palatino Linotype" w:eastAsia="Times New Roman" w:hAnsi="Palatino Linotype" w:cs="Calibri"/>
                <w:i/>
                <w:iCs/>
                <w:color w:val="000000"/>
                <w:sz w:val="18"/>
                <w:szCs w:val="18"/>
              </w:rPr>
              <w:t>ontrols</w:t>
            </w:r>
          </w:p>
        </w:tc>
        <w:tc>
          <w:tcPr>
            <w:tcW w:w="2103" w:type="dxa"/>
            <w:tcBorders>
              <w:top w:val="nil"/>
              <w:left w:val="nil"/>
              <w:bottom w:val="nil"/>
              <w:right w:val="nil"/>
            </w:tcBorders>
            <w:shd w:val="clear" w:color="auto" w:fill="auto"/>
            <w:noWrap/>
            <w:vAlign w:val="bottom"/>
            <w:hideMark/>
          </w:tcPr>
          <w:p w14:paraId="422522F1" w14:textId="77777777" w:rsidR="00081BE2" w:rsidRPr="007C3CD2" w:rsidRDefault="00081BE2" w:rsidP="00081BE2">
            <w:pPr>
              <w:spacing w:after="0" w:line="240" w:lineRule="auto"/>
              <w:rPr>
                <w:rFonts w:ascii="Palatino Linotype" w:eastAsia="Times New Roman" w:hAnsi="Palatino Linotype" w:cs="Calibri"/>
                <w:i/>
                <w:iCs/>
                <w:color w:val="000000"/>
                <w:sz w:val="18"/>
                <w:szCs w:val="18"/>
              </w:rPr>
            </w:pPr>
          </w:p>
        </w:tc>
      </w:tr>
      <w:tr w:rsidR="00081BE2" w:rsidRPr="007C3CD2" w14:paraId="07626C2E"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793B6AB4"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School Family Income Comparison</w:t>
            </w:r>
          </w:p>
        </w:tc>
        <w:tc>
          <w:tcPr>
            <w:tcW w:w="2103" w:type="dxa"/>
            <w:tcBorders>
              <w:top w:val="nil"/>
              <w:left w:val="nil"/>
              <w:bottom w:val="nil"/>
              <w:right w:val="nil"/>
            </w:tcBorders>
            <w:shd w:val="clear" w:color="auto" w:fill="auto"/>
            <w:noWrap/>
            <w:vAlign w:val="bottom"/>
            <w:hideMark/>
          </w:tcPr>
          <w:p w14:paraId="7779669C"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-0.009</w:t>
            </w:r>
          </w:p>
        </w:tc>
      </w:tr>
      <w:tr w:rsidR="00081BE2" w:rsidRPr="007C3CD2" w14:paraId="3BE38891"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5DCDDC7"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6534F68E"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w:t>
            </w:r>
            <w:r>
              <w:rPr>
                <w:rFonts w:ascii="Palatino Linotype" w:eastAsia="Times New Roman" w:hAnsi="Palatino Linotype" w:cs="Calibri"/>
                <w:color w:val="000000"/>
                <w:sz w:val="18"/>
                <w:szCs w:val="18"/>
              </w:rPr>
              <w:t>4</w:t>
            </w:r>
            <w:r w:rsidRPr="00B80DC0">
              <w:rPr>
                <w:rFonts w:ascii="Palatino Linotype" w:eastAsia="Times New Roman" w:hAnsi="Palatino Linotype" w:cs="Calibri"/>
                <w:color w:val="000000"/>
                <w:sz w:val="18"/>
                <w:szCs w:val="18"/>
              </w:rPr>
              <w:t>)</w:t>
            </w:r>
          </w:p>
        </w:tc>
      </w:tr>
      <w:tr w:rsidR="00081BE2" w:rsidRPr="007C3CD2" w14:paraId="72611977"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22FAFA7E"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Partner with Nonprofits</w:t>
            </w:r>
          </w:p>
        </w:tc>
        <w:tc>
          <w:tcPr>
            <w:tcW w:w="2103" w:type="dxa"/>
            <w:tcBorders>
              <w:top w:val="nil"/>
              <w:left w:val="nil"/>
              <w:bottom w:val="nil"/>
              <w:right w:val="nil"/>
            </w:tcBorders>
            <w:shd w:val="clear" w:color="auto" w:fill="auto"/>
            <w:noWrap/>
            <w:vAlign w:val="bottom"/>
            <w:hideMark/>
          </w:tcPr>
          <w:p w14:paraId="1168891F"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-0.016</w:t>
            </w:r>
          </w:p>
        </w:tc>
      </w:tr>
      <w:tr w:rsidR="00081BE2" w:rsidRPr="007C3CD2" w14:paraId="141A7C9C"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21AD4B5"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2A5EDB9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(0.009)</w:t>
            </w:r>
          </w:p>
        </w:tc>
      </w:tr>
      <w:tr w:rsidR="00081BE2" w:rsidRPr="007C3CD2" w14:paraId="6DAB8E4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572B16DB" w14:textId="77777777" w:rsidR="00081BE2" w:rsidRPr="007C3CD2" w:rsidRDefault="00081BE2" w:rsidP="00081BE2">
            <w:pPr>
              <w:spacing w:after="0" w:line="240" w:lineRule="auto"/>
              <w:ind w:firstLineChars="100" w:firstLine="180"/>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Percent FRL Students</w:t>
            </w:r>
          </w:p>
        </w:tc>
        <w:tc>
          <w:tcPr>
            <w:tcW w:w="2103" w:type="dxa"/>
            <w:tcBorders>
              <w:top w:val="nil"/>
              <w:left w:val="nil"/>
              <w:bottom w:val="nil"/>
              <w:right w:val="nil"/>
            </w:tcBorders>
            <w:shd w:val="clear" w:color="auto" w:fill="auto"/>
            <w:noWrap/>
            <w:vAlign w:val="bottom"/>
            <w:hideMark/>
          </w:tcPr>
          <w:p w14:paraId="2B18B384"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0.042</w:t>
            </w:r>
          </w:p>
        </w:tc>
      </w:tr>
      <w:tr w:rsidR="00081BE2" w:rsidRPr="007C3CD2" w14:paraId="2A3037CA"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97DB332"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165085F8"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(0.02</w:t>
            </w:r>
            <w:r>
              <w:rPr>
                <w:rFonts w:ascii="Palatino Linotype" w:eastAsia="Times New Roman" w:hAnsi="Palatino Linotype" w:cs="Calibri"/>
                <w:color w:val="000000"/>
                <w:sz w:val="18"/>
                <w:szCs w:val="18"/>
              </w:rPr>
              <w:t>5</w:t>
            </w:r>
            <w:r w:rsidRPr="00B80DC0">
              <w:rPr>
                <w:rFonts w:ascii="Palatino Linotype" w:eastAsia="Times New Roman" w:hAnsi="Palatino Linotype" w:cs="Calibri"/>
                <w:color w:val="000000"/>
                <w:sz w:val="18"/>
                <w:szCs w:val="18"/>
              </w:rPr>
              <w:t>)</w:t>
            </w:r>
          </w:p>
        </w:tc>
      </w:tr>
      <w:tr w:rsidR="00081BE2" w:rsidRPr="007C3CD2" w14:paraId="1D80BD65"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16D8F8CF"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Constant</w:t>
            </w:r>
          </w:p>
        </w:tc>
        <w:tc>
          <w:tcPr>
            <w:tcW w:w="2103" w:type="dxa"/>
            <w:tcBorders>
              <w:top w:val="nil"/>
              <w:left w:val="nil"/>
              <w:bottom w:val="nil"/>
              <w:right w:val="nil"/>
            </w:tcBorders>
            <w:shd w:val="clear" w:color="auto" w:fill="auto"/>
            <w:noWrap/>
            <w:vAlign w:val="bottom"/>
            <w:hideMark/>
          </w:tcPr>
          <w:p w14:paraId="1CCDC810"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0.201*</w:t>
            </w:r>
          </w:p>
        </w:tc>
      </w:tr>
      <w:tr w:rsidR="00081BE2" w:rsidRPr="007C3CD2" w14:paraId="1D308794"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EEE8C47"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p>
        </w:tc>
        <w:tc>
          <w:tcPr>
            <w:tcW w:w="2103" w:type="dxa"/>
            <w:tcBorders>
              <w:top w:val="nil"/>
              <w:left w:val="nil"/>
              <w:bottom w:val="nil"/>
              <w:right w:val="nil"/>
            </w:tcBorders>
            <w:shd w:val="clear" w:color="auto" w:fill="auto"/>
            <w:noWrap/>
            <w:vAlign w:val="bottom"/>
            <w:hideMark/>
          </w:tcPr>
          <w:p w14:paraId="50886FA9"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B80DC0">
              <w:rPr>
                <w:rFonts w:ascii="Palatino Linotype" w:eastAsia="Times New Roman" w:hAnsi="Palatino Linotype" w:cs="Calibri"/>
                <w:color w:val="000000"/>
                <w:sz w:val="18"/>
                <w:szCs w:val="18"/>
              </w:rPr>
              <w:t>(0.0879)</w:t>
            </w:r>
          </w:p>
        </w:tc>
      </w:tr>
      <w:tr w:rsidR="00081BE2" w:rsidRPr="007C3CD2" w14:paraId="10F950A5" w14:textId="77777777" w:rsidTr="00081BE2">
        <w:trPr>
          <w:trHeight w:val="264"/>
          <w:jc w:val="center"/>
        </w:trPr>
        <w:tc>
          <w:tcPr>
            <w:tcW w:w="3744" w:type="dxa"/>
            <w:tcBorders>
              <w:top w:val="nil"/>
              <w:left w:val="nil"/>
              <w:bottom w:val="nil"/>
              <w:right w:val="nil"/>
            </w:tcBorders>
            <w:shd w:val="clear" w:color="auto" w:fill="auto"/>
            <w:noWrap/>
            <w:vAlign w:val="bottom"/>
            <w:hideMark/>
          </w:tcPr>
          <w:p w14:paraId="69CE02CB"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Observations</w:t>
            </w:r>
          </w:p>
        </w:tc>
        <w:tc>
          <w:tcPr>
            <w:tcW w:w="2103" w:type="dxa"/>
            <w:tcBorders>
              <w:top w:val="nil"/>
              <w:left w:val="nil"/>
              <w:bottom w:val="nil"/>
              <w:right w:val="nil"/>
            </w:tcBorders>
            <w:shd w:val="clear" w:color="auto" w:fill="auto"/>
            <w:noWrap/>
            <w:vAlign w:val="bottom"/>
            <w:hideMark/>
          </w:tcPr>
          <w:p w14:paraId="1F4E1145"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167</w:t>
            </w:r>
          </w:p>
        </w:tc>
      </w:tr>
      <w:tr w:rsidR="00081BE2" w:rsidRPr="007C3CD2" w14:paraId="7ADDDD3D" w14:textId="77777777" w:rsidTr="00081BE2">
        <w:trPr>
          <w:trHeight w:val="264"/>
          <w:jc w:val="center"/>
        </w:trPr>
        <w:tc>
          <w:tcPr>
            <w:tcW w:w="3744" w:type="dxa"/>
            <w:tcBorders>
              <w:top w:val="nil"/>
              <w:left w:val="nil"/>
              <w:bottom w:val="single" w:sz="4" w:space="0" w:color="auto"/>
              <w:right w:val="nil"/>
            </w:tcBorders>
            <w:shd w:val="clear" w:color="auto" w:fill="auto"/>
            <w:noWrap/>
            <w:vAlign w:val="bottom"/>
            <w:hideMark/>
          </w:tcPr>
          <w:p w14:paraId="479795D8" w14:textId="77777777" w:rsidR="00081BE2" w:rsidRPr="007C3CD2" w:rsidRDefault="00081BE2" w:rsidP="00081BE2">
            <w:pPr>
              <w:spacing w:after="0" w:line="240" w:lineRule="auto"/>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R-squared</w:t>
            </w:r>
          </w:p>
        </w:tc>
        <w:tc>
          <w:tcPr>
            <w:tcW w:w="2103" w:type="dxa"/>
            <w:tcBorders>
              <w:top w:val="nil"/>
              <w:left w:val="nil"/>
              <w:bottom w:val="single" w:sz="4" w:space="0" w:color="auto"/>
              <w:right w:val="nil"/>
            </w:tcBorders>
            <w:shd w:val="clear" w:color="auto" w:fill="auto"/>
            <w:noWrap/>
            <w:vAlign w:val="bottom"/>
            <w:hideMark/>
          </w:tcPr>
          <w:p w14:paraId="1D5C5963" w14:textId="77777777" w:rsidR="00081BE2" w:rsidRPr="007C3CD2" w:rsidRDefault="00081BE2" w:rsidP="00081BE2">
            <w:pPr>
              <w:spacing w:after="0" w:line="240" w:lineRule="auto"/>
              <w:jc w:val="center"/>
              <w:rPr>
                <w:rFonts w:ascii="Palatino Linotype" w:eastAsia="Times New Roman" w:hAnsi="Palatino Linotype" w:cs="Calibri"/>
                <w:color w:val="000000"/>
                <w:sz w:val="18"/>
                <w:szCs w:val="18"/>
              </w:rPr>
            </w:pPr>
            <w:r w:rsidRPr="007C3CD2">
              <w:rPr>
                <w:rFonts w:ascii="Palatino Linotype" w:eastAsia="Times New Roman" w:hAnsi="Palatino Linotype" w:cs="Calibri"/>
                <w:color w:val="000000"/>
                <w:sz w:val="18"/>
                <w:szCs w:val="18"/>
              </w:rPr>
              <w:t>0.</w:t>
            </w:r>
            <w:r>
              <w:rPr>
                <w:rFonts w:ascii="Palatino Linotype" w:eastAsia="Times New Roman" w:hAnsi="Palatino Linotype" w:cs="Calibri"/>
                <w:color w:val="000000"/>
                <w:sz w:val="18"/>
                <w:szCs w:val="18"/>
              </w:rPr>
              <w:t>261</w:t>
            </w:r>
          </w:p>
        </w:tc>
      </w:tr>
    </w:tbl>
    <w:p w14:paraId="2C7D68CB" w14:textId="77777777" w:rsidR="00081BE2" w:rsidRDefault="00081BE2" w:rsidP="00081BE2">
      <w:pPr>
        <w:spacing w:after="0" w:line="240" w:lineRule="auto"/>
        <w:jc w:val="center"/>
        <w:rPr>
          <w:rFonts w:ascii="Palatino Linotype" w:eastAsia="Times New Roman" w:hAnsi="Palatino Linotype" w:cs="Calibri"/>
          <w:color w:val="000000"/>
          <w:sz w:val="18"/>
          <w:szCs w:val="18"/>
        </w:rPr>
      </w:pPr>
      <w:r w:rsidRPr="00A0315B">
        <w:rPr>
          <w:rFonts w:ascii="Palatino Linotype" w:eastAsia="Times New Roman" w:hAnsi="Palatino Linotype" w:cs="Calibri"/>
          <w:color w:val="000000"/>
          <w:sz w:val="18"/>
          <w:szCs w:val="18"/>
        </w:rPr>
        <w:t>Robust standard errors in parentheses clustered at the school level;  ** p&lt;0.01, * p&lt;0.05</w:t>
      </w:r>
    </w:p>
    <w:p w14:paraId="672442A9" w14:textId="77777777" w:rsidR="00081BE2" w:rsidRDefault="00081BE2" w:rsidP="00081BE2">
      <w:pPr>
        <w:spacing w:after="0" w:line="480" w:lineRule="auto"/>
        <w:ind w:firstLine="720"/>
        <w:rPr>
          <w:rFonts w:ascii="Times New Roman" w:hAnsi="Times New Roman" w:cs="Times New Roman"/>
          <w:sz w:val="24"/>
          <w:szCs w:val="24"/>
        </w:rPr>
      </w:pPr>
    </w:p>
    <w:p w14:paraId="4B9FB065" w14:textId="12402AE2" w:rsidR="00081BE2" w:rsidRPr="005B2DFB" w:rsidRDefault="0046518A" w:rsidP="00081BE2">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For instance, if a counselor has gone above and beyond to support students by certifying compliance with all of the academic and conduct requirements, parents still may fail to send in the required income or citizenship documentation. Therefore, while student support officials may do everything in their power to promote access, they still may face challenges in facilitating student access. On the other hand, all it takes to prevent access is refusing to certify compliance on any of the long list of requirements, which makes restricting access much simpler than going above and beyond to increase student resilience to administrative burdens. </w:t>
      </w:r>
    </w:p>
    <w:p w14:paraId="673B5E73" w14:textId="77777777" w:rsidR="0046518A" w:rsidRPr="005B2DFB" w:rsidRDefault="0046518A" w:rsidP="0046518A">
      <w:pPr>
        <w:spacing w:line="480" w:lineRule="auto"/>
        <w:rPr>
          <w:rFonts w:ascii="Times New Roman" w:hAnsi="Times New Roman" w:cs="Times New Roman"/>
          <w:b/>
          <w:sz w:val="24"/>
          <w:szCs w:val="24"/>
        </w:rPr>
      </w:pPr>
      <w:r w:rsidRPr="005B2DFB">
        <w:rPr>
          <w:rFonts w:ascii="Times New Roman" w:hAnsi="Times New Roman" w:cs="Times New Roman"/>
          <w:b/>
          <w:sz w:val="24"/>
          <w:szCs w:val="24"/>
        </w:rPr>
        <w:t>Qualitative Findings</w:t>
      </w:r>
    </w:p>
    <w:p w14:paraId="6BA34E59"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Our grounded theory analysis reveals three main findings: 1) high school counselors’ role perceptions influence the use of discretion, 2) the self-identified role is largely a product of beliefs about responsibility, and 3) administrative support and institutional capacity constrain SLBs’ ability to facilitate program access.</w:t>
      </w:r>
    </w:p>
    <w:p w14:paraId="7301A4BD" w14:textId="77777777" w:rsidR="0046518A" w:rsidRPr="005B2DFB" w:rsidRDefault="0046518A" w:rsidP="0046518A">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Role Perception and Discretion: Routine Activities vs. Going the Extra Mile</w:t>
      </w:r>
    </w:p>
    <w:p w14:paraId="2119E2F8"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In the context of Oklahoma’s Promise, administrative burden is not self-implementing—it functions through a system of decentralized authority, in which local agencies delegate discretion to the front-lines of government, where the individual values, expertise, and moral judgments of SLBs come into play. Accordingly, high school counselors serve a key role in advertising the Oklahoma’s Promise scholarship and assisting students enroll in and complete program requirements. Our survey asked respondents to indicate whether they see themselves as performing compliance officer, information dissemination, or student support roles with regard to implementation of the Oklahoma’s Promise program. Qualitative data from follow-up interviews with survey respondents confirm these types of roles among counselors and administrators involved in the implementation of the program. Furthermore, the interviews </w:t>
      </w:r>
      <w:r w:rsidRPr="005B2DFB">
        <w:rPr>
          <w:rFonts w:ascii="Times New Roman" w:hAnsi="Times New Roman" w:cs="Times New Roman"/>
          <w:sz w:val="24"/>
          <w:szCs w:val="24"/>
        </w:rPr>
        <w:lastRenderedPageBreak/>
        <w:t>reveal that these roles translate to different uses of discretion, and specifically in decisions to engage in routine activities or to “go the extra mile.”</w:t>
      </w:r>
    </w:p>
    <w:p w14:paraId="792504C1" w14:textId="77777777" w:rsidR="0046518A" w:rsidRPr="005B2DFB" w:rsidRDefault="0046518A" w:rsidP="0046518A">
      <w:pPr>
        <w:spacing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 xml:space="preserve">In taking on a compliance role, counselors review lists of students with incomplete applications, conduct regular credit checks to ensure students are on track to complete curricular requirements, and verify completion of course requirements and grade point averages after graduation. </w:t>
      </w:r>
      <w:r w:rsidRPr="005B2DFB">
        <w:rPr>
          <w:rFonts w:ascii="Times New Roman" w:eastAsia="Times New Roman" w:hAnsi="Times New Roman" w:cs="Times New Roman"/>
          <w:sz w:val="24"/>
          <w:szCs w:val="24"/>
        </w:rPr>
        <w:t xml:space="preserve">Counselors also function as disseminators of information about the Oklahoma’s Promise program. In this capacity, counselors and other front-line personnel communicate information about Oklahoma’s Promise to students and their families as well as correct misinformation about the program. Interestingly, the support role manifests as the way in which counselors choose to engage in the compliance and information activities. Counselors can choose to take on passive roles and engage in routine activities or they can take on a student support role, which manifests as going the extra mile in their efforts to facilitate compliance and disseminate information. </w:t>
      </w:r>
    </w:p>
    <w:p w14:paraId="1C3456F4"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The passive role, in which counselors engage in routine information dissemination and compliance activities, consists of outreach strategies such as group presentations, distribution of flyers, mass communication through text messages or e-mails, etc. As an example, in describing her responsibilities for college preparation and financial aid awareness activities, one counselor (Participant 3) noted:</w:t>
      </w:r>
    </w:p>
    <w:p w14:paraId="1EF8856A" w14:textId="77777777" w:rsidR="0046518A" w:rsidRPr="005B2DFB" w:rsidRDefault="0046518A" w:rsidP="0046518A">
      <w:pPr>
        <w:spacing w:line="480" w:lineRule="auto"/>
        <w:ind w:left="720" w:right="720"/>
        <w:jc w:val="both"/>
        <w:rPr>
          <w:rFonts w:ascii="Times New Roman" w:hAnsi="Times New Roman" w:cs="Times New Roman"/>
          <w:sz w:val="24"/>
          <w:szCs w:val="24"/>
        </w:rPr>
      </w:pPr>
      <w:r w:rsidRPr="005B2DFB">
        <w:rPr>
          <w:rFonts w:ascii="Times New Roman" w:hAnsi="Times New Roman" w:cs="Times New Roman"/>
          <w:sz w:val="24"/>
          <w:szCs w:val="24"/>
        </w:rPr>
        <w:t xml:space="preserve">In general, mostly it’s the seniors I work with on college and scholarships. Don’t really have a lot of time with the younger ones. And so, I ended up spending most of my time with the older ones…I go into the classroom with juniors and seniors and talk about college scholarships. I attempt to maintain a scholarship page, but I get behind on it honestly. But a lot of the students come to me when they need </w:t>
      </w:r>
      <w:r w:rsidRPr="005B2DFB">
        <w:rPr>
          <w:rFonts w:ascii="Times New Roman" w:hAnsi="Times New Roman" w:cs="Times New Roman"/>
          <w:sz w:val="24"/>
          <w:szCs w:val="24"/>
        </w:rPr>
        <w:lastRenderedPageBreak/>
        <w:t>something as opposed to me doing as much going out to them. They come to me as they need it.</w:t>
      </w:r>
    </w:p>
    <w:p w14:paraId="3F2304E1" w14:textId="77777777" w:rsidR="0046518A" w:rsidRPr="005B2DFB" w:rsidRDefault="0046518A" w:rsidP="0046518A">
      <w:pPr>
        <w:spacing w:line="480" w:lineRule="auto"/>
        <w:rPr>
          <w:rFonts w:ascii="Times New Roman" w:hAnsi="Times New Roman" w:cs="Times New Roman"/>
          <w:sz w:val="24"/>
          <w:szCs w:val="24"/>
        </w:rPr>
      </w:pPr>
      <w:r w:rsidRPr="005B2DFB">
        <w:rPr>
          <w:rFonts w:ascii="Times New Roman" w:hAnsi="Times New Roman" w:cs="Times New Roman"/>
          <w:sz w:val="24"/>
          <w:szCs w:val="24"/>
        </w:rPr>
        <w:t xml:space="preserve">With regard to Oklahoma’s Promise advertisement in particular, Participant 3 cites distributing “flyers that Oklahoma’s Promise gives us at any event that we have” and utilizing “our all call system” to notify families of the upcoming application deadline. Participant 3’s statements reveals a passive approach to outreach activities, relying on students to take initiative and ownership for their interactions with the counselor by going to her when needed rather than actively reaching out to students. Additionally, in “triaging” her workload by focusing her time primarily on seniors, the counselor is no longer able to help low-income ninth and tenth grade students in the critical period where students must enroll in the Oklahoma’s Promise program to gain access. </w:t>
      </w:r>
    </w:p>
    <w:p w14:paraId="3D7F0F9E" w14:textId="77777777" w:rsidR="0046518A" w:rsidRPr="005B2DFB" w:rsidRDefault="0046518A" w:rsidP="0046518A">
      <w:pPr>
        <w:spacing w:line="480" w:lineRule="auto"/>
        <w:ind w:firstLine="720"/>
        <w:rPr>
          <w:rFonts w:ascii="Times New Roman" w:hAnsi="Times New Roman" w:cs="Times New Roman"/>
          <w:i/>
          <w:sz w:val="24"/>
          <w:szCs w:val="24"/>
        </w:rPr>
      </w:pPr>
      <w:r w:rsidRPr="005B2DFB">
        <w:rPr>
          <w:rFonts w:ascii="Times New Roman" w:hAnsi="Times New Roman" w:cs="Times New Roman"/>
          <w:sz w:val="24"/>
          <w:szCs w:val="24"/>
        </w:rPr>
        <w:t xml:space="preserve">While all interviewees viewed themselves as performing compliance and information dissemination functions to some extent, two interviewees strongly identified with the student support role, seeing themselves as college advocates for students. These interviewees went above and beyond, engaging in </w:t>
      </w:r>
      <w:r w:rsidRPr="005B2DFB">
        <w:rPr>
          <w:rFonts w:ascii="Times New Roman" w:eastAsia="Times New Roman" w:hAnsi="Times New Roman" w:cs="Times New Roman"/>
          <w:sz w:val="24"/>
          <w:szCs w:val="24"/>
        </w:rPr>
        <w:t>high-touch strategies that were more time consuming and involved one-on-one communication with students and/or parents</w:t>
      </w:r>
      <w:r w:rsidRPr="005B2DFB">
        <w:rPr>
          <w:rFonts w:ascii="Times New Roman" w:hAnsi="Times New Roman" w:cs="Times New Roman"/>
          <w:sz w:val="24"/>
          <w:szCs w:val="24"/>
        </w:rPr>
        <w:t xml:space="preserve">. For example, Participant 5 described his efforts to assist a student obtain income documentation. While the student was a U.S. citizen, his father was an undocumented immigrant who refused to provide income documentation due to fear of deportation. Ultimately, Participant 5 assisted the student’s mother in drafting a letter attesting that the father lives in Mexico but sends money to the family. In reflecting on the situation, Participant 5 noted “that was a little bit of a hurdle, but it wasn’t that bad. We got it fixed and…it’s not a complaint, it’s just… it was just a situation where it wasn’t as clear cut and there was no quick solution, it required more work.” </w:t>
      </w:r>
    </w:p>
    <w:p w14:paraId="4E86FF1B"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 xml:space="preserve">In another example, Participant 1 recalled a situation in which she “had a little girl, her mom, she struggled with drugs really bad, she did have like the W2s, so I even helped her mom get on Turbo Tax and file her taxes so that she would complete that so that she could have the documentation to complete her application for Oklahoma’s Promise.” Participant 1 also noted that she took it upon herself to communicate directly with OSRHE staff when the daughter of a personal friend was told by her school counselor that she was short one history credit and would not receive the Oklahoma’s Promise scholarship. In communicating with the OSRHE, Participant 1 was able to clarify that the military studies course taken by the student did indeed count towards the history credit requirement and that the student had met the curricular requirements to receive the scholarship. These instances of going above and beyond in a support role reflect the power of SLBs’ uses of discretion in meaningfully reducing the onerous experiences of policy in systems of administrative burden. </w:t>
      </w:r>
    </w:p>
    <w:p w14:paraId="2BF59F6D"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Decisions to engage in routine activities or to make every effort possible to assist students access the Oklahoma’s Promise scholarship highlight the potential of SLBs to serve as both policymakers and gatekeepers. In helping the student and his family provide an acceptable source of income verification while at the same time protecting the father’s undocumented status, Participant 5 worked to craft a solution to a vague policy.  Additionally, Participant 1’s intervention to clarify the completion of course credit and help a parent fill out tax forms demonstrates the potential for the student support role perception to translate to uses of discretion that serve as a source of client empowerment. </w:t>
      </w:r>
    </w:p>
    <w:p w14:paraId="08F1F2AA" w14:textId="77777777" w:rsidR="0046518A" w:rsidRPr="005B2DFB" w:rsidRDefault="0046518A" w:rsidP="0046518A">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Responsibility for Administrative Burden: Individual Responsibility vs. Alleviating Systematic Barriers</w:t>
      </w:r>
    </w:p>
    <w:p w14:paraId="44F723F9"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Follow-up interviews with survey respondents indicated varying beliefs about the extent to which school personnel are responsible for facilitating student access to Oklahoma’s Promise. While some SLBs view themselves as having primary responsibility, others externalize responsibility for administrative burdens related to Oklahoma’s Promise to students and parents. For example, one counselor (Participant 3) suggested that many students simply do not view college in their future.</w:t>
      </w:r>
      <w:r w:rsidRPr="005B2DFB">
        <w:rPr>
          <w:rFonts w:ascii="Times New Roman" w:eastAsia="Times New Roman" w:hAnsi="Times New Roman" w:cs="Times New Roman"/>
          <w:sz w:val="24"/>
          <w:szCs w:val="24"/>
        </w:rPr>
        <w:t xml:space="preserve"> </w:t>
      </w:r>
      <w:r w:rsidRPr="005B2DFB">
        <w:rPr>
          <w:rFonts w:ascii="Times New Roman" w:hAnsi="Times New Roman" w:cs="Times New Roman"/>
          <w:sz w:val="24"/>
          <w:szCs w:val="24"/>
        </w:rPr>
        <w:t xml:space="preserve">While this counselor assigns primary responsibility to students for decisions to prepare or not prepare for college, she also peripherally acknowledges the immaturity of adolescents, noting the tendency for these students to “change their mind” about college attendance as high graduation approaches. Additionally, even in instances when potentially eligible students wish to enroll in Oklahoma’s Promise, many survey respondents and interview participants maintained that enrolling children in Oklahoma’s Promise, submitting documentation, and ensuring that curriculum requirements are met is just not a “priority” for some parents. To illustrate, one counselor (Participant 4) observed, “Yeah, I mean there’s been some where parents just are not quite with it enough to get stuff together. Yeah. And they just don’t – the parents don’t make it a priority.” </w:t>
      </w:r>
      <w:r w:rsidRPr="005B2DFB">
        <w:rPr>
          <w:rFonts w:ascii="Times New Roman" w:eastAsia="Times New Roman" w:hAnsi="Times New Roman" w:cs="Times New Roman"/>
          <w:sz w:val="24"/>
          <w:szCs w:val="24"/>
        </w:rPr>
        <w:t xml:space="preserve">Another interviewee (Participant 6) lamented that “we can’t get parents to follow through on their end” and described not taking advantage of Oklahoma’s Promise as “crazy.” Participant 3 blamed an underlying attitude among parents that the student is just not college material—“I think sometimes they [parents] think their kid’s not going to go to college. They’re just going to go to work, and so they’re not thinking that’s really in the child’s plan.” </w:t>
      </w:r>
    </w:p>
    <w:p w14:paraId="582BD47B" w14:textId="77777777" w:rsidR="0046518A" w:rsidRPr="005B2DFB" w:rsidRDefault="0046518A" w:rsidP="0046518A">
      <w:pPr>
        <w:spacing w:line="480" w:lineRule="auto"/>
        <w:ind w:firstLine="720"/>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Perceptions regarding student and parent priorities as well as student status as college-bound, in turn, influence the degree to which counselors internalize their level of responsibility for helping students overcome administrative burdens and judge their own performance. For </w:t>
      </w:r>
      <w:r w:rsidRPr="005B2DFB">
        <w:rPr>
          <w:rFonts w:ascii="Times New Roman" w:eastAsia="Times New Roman" w:hAnsi="Times New Roman" w:cs="Times New Roman"/>
          <w:sz w:val="24"/>
          <w:szCs w:val="24"/>
        </w:rPr>
        <w:lastRenderedPageBreak/>
        <w:t>example, with regard to their role in information dissemination, two counselors (Participant 2 and Participant 3) maintained that information about Oklahoma’s Promise is frequently distributed to students, but students often to do not relay this information to parents. As Participant 3 noted, one major barrier to access is “probably just the information actually getting to their parents. We get it to the kids pretty frequently, but then the kids don’t get it to their parents.” In passing responsibility to students for communicating information about Oklahoma’s Promise to their parents, SLBs generally demonstrate a passive, perfunctory role in the implementation of the program.</w:t>
      </w:r>
    </w:p>
    <w:p w14:paraId="24836866" w14:textId="77777777" w:rsidR="0046518A" w:rsidRPr="005B2DFB" w:rsidRDefault="0046518A" w:rsidP="0046518A">
      <w:pPr>
        <w:spacing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 xml:space="preserve">In contrast to beliefs about student and parental responsibility held by front-line staff focused on compliance and information roles, interviewees exhibiting a support role were more likely to recognize the role systematic barriers play in preventing access to the Oklahoma’s Promise scholarship. For example, in describing the need for more centralized and dedicated staff to assist students enroll in Oklahoma’s Promise, Participant 1 acknowledged poverty and low parental educational attainment as significant college access barriers for students. </w:t>
      </w:r>
    </w:p>
    <w:p w14:paraId="6048D23E" w14:textId="77777777" w:rsidR="0046518A" w:rsidRPr="005B2DFB" w:rsidRDefault="0046518A" w:rsidP="0046518A">
      <w:pPr>
        <w:spacing w:line="480" w:lineRule="auto"/>
        <w:ind w:left="720" w:right="720"/>
        <w:rPr>
          <w:rFonts w:ascii="Times New Roman" w:hAnsi="Times New Roman" w:cs="Times New Roman"/>
          <w:sz w:val="24"/>
          <w:szCs w:val="24"/>
        </w:rPr>
      </w:pPr>
      <w:r w:rsidRPr="005B2DFB">
        <w:rPr>
          <w:rFonts w:ascii="Times New Roman" w:hAnsi="Times New Roman" w:cs="Times New Roman"/>
          <w:sz w:val="24"/>
          <w:szCs w:val="24"/>
        </w:rPr>
        <w:t xml:space="preserve">Because especially, like Oklahoma, our poverty rate is so high, but then we also have a high area of like rural areas where, you know, those, those families in the rural areas are less likely to have any kind of post-high school education. So they just don’t know. They’re just uninformed. </w:t>
      </w:r>
    </w:p>
    <w:p w14:paraId="64B66F69" w14:textId="77777777" w:rsidR="0046518A" w:rsidRPr="005B2DFB" w:rsidRDefault="0046518A" w:rsidP="0046518A">
      <w:pPr>
        <w:spacing w:line="480" w:lineRule="auto"/>
        <w:rPr>
          <w:rFonts w:ascii="Times New Roman" w:hAnsi="Times New Roman" w:cs="Times New Roman"/>
          <w:sz w:val="24"/>
          <w:szCs w:val="24"/>
        </w:rPr>
      </w:pPr>
      <w:r w:rsidRPr="005B2DFB">
        <w:rPr>
          <w:rFonts w:ascii="Times New Roman" w:hAnsi="Times New Roman" w:cs="Times New Roman"/>
          <w:sz w:val="24"/>
          <w:szCs w:val="24"/>
        </w:rPr>
        <w:t xml:space="preserve">In addition to poverty and a lack of college-going culture, many students also face psychological barriers to college access. One interviewee (Participant 5) maintained that low self-esteem prevented some students from enrolling in the program and preparing academically for college. He commented that students sometimes think, “I don’t think I can do it. I really would like to go to OU, but I’m probably not going to get in.” </w:t>
      </w:r>
    </w:p>
    <w:p w14:paraId="45DCF5A5"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In recognizing systematic barriers to college access, it’s important to note that student advocates also seem to assume more personal responsibility for the role they play in helping students overcome these obstacles. To illustrate, in addressing the problem of parent-child communication, Participant 5 described taking a more proactive and assertive role in assisting students overcome administrative burdens:</w:t>
      </w:r>
    </w:p>
    <w:p w14:paraId="48C8A75D" w14:textId="77777777" w:rsidR="0046518A" w:rsidRPr="005B2DFB" w:rsidRDefault="0046518A" w:rsidP="0046518A">
      <w:pPr>
        <w:spacing w:line="480" w:lineRule="auto"/>
        <w:ind w:left="720" w:right="720"/>
        <w:jc w:val="both"/>
        <w:rPr>
          <w:rFonts w:ascii="Times New Roman" w:hAnsi="Times New Roman" w:cs="Times New Roman"/>
          <w:sz w:val="24"/>
          <w:szCs w:val="24"/>
        </w:rPr>
      </w:pPr>
      <w:r w:rsidRPr="005B2DFB">
        <w:rPr>
          <w:rFonts w:ascii="Times New Roman" w:hAnsi="Times New Roman" w:cs="Times New Roman"/>
          <w:sz w:val="24"/>
          <w:szCs w:val="24"/>
        </w:rPr>
        <w:t>Another problem that I’ve picked up on is the parent-offspring communication or lack thereof. In other words, didn’t you do it? No, I thought you did it. No, I thought you did it, no I thought you did it.  Well somebody’s got to do it, let’s get it done right now.  Let’s not let another day go by, there’s the computer, you and your mom go sit over there and do it.</w:t>
      </w:r>
    </w:p>
    <w:p w14:paraId="54C96E41"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t>This section reveals that, depending on personal values and ideology, SLBs may think that the parents or students bear primary responsibility for access, or they may blame an inherently inequitable system and exert additional effort to assist students in need of help. These beliefs about responsibility are ultimately shaping how SLBs take on different roles and use discretion which has serious consequences for program access, as shown in the quantitative analysis.</w:t>
      </w:r>
    </w:p>
    <w:p w14:paraId="4E979ACA" w14:textId="77777777" w:rsidR="0046518A" w:rsidRPr="005B2DFB" w:rsidRDefault="0046518A" w:rsidP="0046518A">
      <w:pPr>
        <w:spacing w:line="480" w:lineRule="auto"/>
        <w:rPr>
          <w:rFonts w:ascii="Times New Roman" w:hAnsi="Times New Roman" w:cs="Times New Roman"/>
          <w:i/>
          <w:sz w:val="24"/>
          <w:szCs w:val="24"/>
        </w:rPr>
      </w:pPr>
      <w:r w:rsidRPr="005B2DFB">
        <w:rPr>
          <w:rFonts w:ascii="Times New Roman" w:hAnsi="Times New Roman" w:cs="Times New Roman"/>
          <w:i/>
          <w:sz w:val="24"/>
          <w:szCs w:val="24"/>
        </w:rPr>
        <w:t>Administrative Support and Capacity</w:t>
      </w:r>
    </w:p>
    <w:p w14:paraId="291A15CB" w14:textId="77777777" w:rsidR="0046518A" w:rsidRPr="005B2DFB" w:rsidRDefault="0046518A" w:rsidP="0046518A">
      <w:pPr>
        <w:spacing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An additional element that emerged from the qualitative evidence and was marginally significant in the quantitative models was support from administration and task environment or capacity. First, respondents with higher levels of perceived support from administration were associated with higher levels of program access (p&lt;0.10). This relationship was echoed in the qualitative evidence. For example, one counselor noted that her school administrators are generally supportive of Oklahoma’s Promise, but “they’re not a school that says we need to get as many signed up as we can.” When administrators do not explicitly make Oklahoma’s Promise </w:t>
      </w:r>
      <w:r w:rsidRPr="005B2DFB">
        <w:rPr>
          <w:rFonts w:ascii="Times New Roman" w:hAnsi="Times New Roman" w:cs="Times New Roman"/>
          <w:sz w:val="24"/>
          <w:szCs w:val="24"/>
        </w:rPr>
        <w:lastRenderedPageBreak/>
        <w:t xml:space="preserve">enrollment a top priority, advertising the program and working closely with students to ensure access can take a backseat to other duties, such as testing, course scheduling, and crisis intervention. As another interviewee put it, “because counselors have so many other duties, it’s not that this isn't a priority but when administrators don't put this on your list of things to do, you kind of have to stick to your list. It does take going above and beyond and using your own time and not all counselors are going to do that.” Therefore, when street-level personnel perceive higher levels of support from administration, they are more likely to help students overcome burdens and gain access. </w:t>
      </w:r>
    </w:p>
    <w:p w14:paraId="68C2E17D" w14:textId="77777777" w:rsidR="0046518A" w:rsidRPr="005B2DFB" w:rsidRDefault="0046518A" w:rsidP="0046518A">
      <w:pPr>
        <w:spacing w:after="0"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Moreover, the qualitative evidence corroborates our quantitative findings that indicate unequal organizational capacity plays a role in constraining SLBs’ ability to facilitate high levels of program access. In the quantitative analysis, high schools where SLBs meet one-on-one with a larger proportion of students (p&lt;0.01) were associated with a higher proportion of students overcoming administrative burden and gaining access to the program. This indicates that counselors vary in their capacity to provide a large proportion of students with personalized support. The problem of resources and capacity also surfaced in our interviews, where front-line personnel described the struggle to balance their many job responsibilities with providing one-on-one support to students during the Oklahoma’s Promise application process. For example, in describing her responsibilities at a rural school serving approximately 800 Pre-K-12 students, one interviewee asserted that she did “anything and everything under the sun” including curriculum development, supervising alternative education students on a daily basis, substituting in the classroom for absent teachers, and serving as the school’s primary counselor for high school students. As Participant 1 observed, her fellow counselors are “</w:t>
      </w:r>
      <w:r w:rsidRPr="005B2DFB">
        <w:rPr>
          <w:rFonts w:ascii="Times New Roman" w:eastAsia="Times New Roman" w:hAnsi="Times New Roman" w:cs="Times New Roman"/>
          <w:sz w:val="24"/>
          <w:szCs w:val="24"/>
        </w:rPr>
        <w:t xml:space="preserve">just spread so thin, that they don’t have the time that it takes to dedicate to something like Oklahoma’s Promise to make </w:t>
      </w:r>
      <w:r w:rsidRPr="005B2DFB">
        <w:rPr>
          <w:rFonts w:ascii="Times New Roman" w:eastAsia="Times New Roman" w:hAnsi="Times New Roman" w:cs="Times New Roman"/>
          <w:sz w:val="24"/>
          <w:szCs w:val="24"/>
        </w:rPr>
        <w:lastRenderedPageBreak/>
        <w:t xml:space="preserve">sure that every student eligible applies, every student eligible, you know, has their parent send in their…information.” </w:t>
      </w:r>
    </w:p>
    <w:p w14:paraId="175162F6"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Furthermore, the schools with the highest proportions of potentially eligible students may have the least capacity to meet student needs. The quantitative findings show that schools with lower family incomes than surrounding schools were negatively associated with program access (p&lt;0.10). This is echoed in the interviews in which one counselor noted that:</w:t>
      </w:r>
    </w:p>
    <w:p w14:paraId="284E3615" w14:textId="77777777" w:rsidR="0046518A" w:rsidRPr="005B2DFB" w:rsidRDefault="0046518A" w:rsidP="0046518A">
      <w:pPr>
        <w:spacing w:after="0" w:line="480" w:lineRule="auto"/>
        <w:ind w:left="720"/>
        <w:rPr>
          <w:rFonts w:ascii="Times New Roman" w:hAnsi="Times New Roman" w:cs="Times New Roman"/>
          <w:sz w:val="24"/>
          <w:szCs w:val="24"/>
        </w:rPr>
      </w:pPr>
      <w:r w:rsidRPr="005B2DFB">
        <w:rPr>
          <w:rFonts w:ascii="Times New Roman" w:hAnsi="Times New Roman" w:cs="Times New Roman"/>
          <w:sz w:val="24"/>
          <w:szCs w:val="24"/>
        </w:rPr>
        <w:t>Since many of our students will be first generation college students and 70% of our school receives free/reduced lunch our students need more support. Unfortunately much of time is spent testing during peak seasons, we cannot possibly help all of our kids in a timely manner.</w:t>
      </w:r>
    </w:p>
    <w:p w14:paraId="5B7D9EBE"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t>Previous research further supports these comments, with Perna and Thomas (2009) finding that counselors in lower-resourced schools devote a disproportionate amount of time on standardized testing and improving exam pass rates, “thereby reducing the ability of counseling services that are more directly related to college going” (475). Therefore, institutional environments matter—SLBS in schools with less supportive administration and high concentrations of disadvantaged students face capacity constraints that restrict the ability to go above and beyond for clientele.</w:t>
      </w:r>
    </w:p>
    <w:p w14:paraId="7D3FB410" w14:textId="77777777" w:rsidR="0046518A" w:rsidRPr="005B2DFB" w:rsidRDefault="0046518A" w:rsidP="0046518A">
      <w:pPr>
        <w:spacing w:after="0" w:line="480" w:lineRule="auto"/>
        <w:rPr>
          <w:rFonts w:ascii="Times New Roman" w:hAnsi="Times New Roman" w:cs="Times New Roman"/>
          <w:b/>
          <w:sz w:val="24"/>
          <w:szCs w:val="24"/>
        </w:rPr>
      </w:pPr>
      <w:r w:rsidRPr="005B2DFB">
        <w:rPr>
          <w:rFonts w:ascii="Times New Roman" w:hAnsi="Times New Roman" w:cs="Times New Roman"/>
          <w:b/>
          <w:sz w:val="24"/>
          <w:szCs w:val="24"/>
        </w:rPr>
        <w:t xml:space="preserve">Conclusion </w:t>
      </w:r>
    </w:p>
    <w:p w14:paraId="0FEBD03D" w14:textId="77777777" w:rsidR="0046518A" w:rsidRPr="005B2DFB" w:rsidRDefault="0046518A" w:rsidP="0046518A">
      <w:pPr>
        <w:spacing w:after="0" w:line="480" w:lineRule="auto"/>
        <w:rPr>
          <w:rFonts w:ascii="Times New Roman" w:hAnsi="Times New Roman" w:cs="Times New Roman"/>
          <w:sz w:val="24"/>
          <w:szCs w:val="24"/>
        </w:rPr>
      </w:pPr>
      <w:r w:rsidRPr="005B2DFB">
        <w:rPr>
          <w:rFonts w:ascii="Times New Roman" w:hAnsi="Times New Roman" w:cs="Times New Roman"/>
          <w:sz w:val="24"/>
          <w:szCs w:val="24"/>
        </w:rPr>
        <w:tab/>
        <w:t xml:space="preserve">Previous research has highlighted the negative impacts of administrative burden on access to public programs—however, many of these studies have not explored the role of SLBs in shaping variation in program access at the local level. This study provides evidence on the role of SLBs in shaping access to the Oklahoma’s Promise scholarship program—a state means-tested financial aid program that requires low-income families to overcome significant administrative burden. </w:t>
      </w:r>
    </w:p>
    <w:p w14:paraId="64A0628A"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lastRenderedPageBreak/>
        <w:t>First, the findings indicate that SLBs play an important role in moderating the impact of administrative burden on access to public programs—specifically, we find that the role perceptions and party identification of SLBs influence the proportion of clientele that overcome administrative burdens and gain access to the program. The qualitative findings reveal that the role that SLBs take on is mainly a function of values and beliefs, such as whether they believe the client is facing systemic barriers or is personally responsible for their inability to submit documentation. Moreover, the role that SLBs take on is translated to uneven uses of discretion, which function to either exacerbate or alleviate the administrative burdens students face in pursuit of the Promise program.</w:t>
      </w:r>
      <w:r w:rsidRPr="00E3535F">
        <w:rPr>
          <w:rStyle w:val="FootnoteReference"/>
        </w:rPr>
        <w:footnoteReference w:id="20"/>
      </w:r>
      <w:r w:rsidRPr="005B2DFB">
        <w:rPr>
          <w:rFonts w:ascii="Times New Roman" w:hAnsi="Times New Roman" w:cs="Times New Roman"/>
          <w:sz w:val="24"/>
          <w:szCs w:val="24"/>
        </w:rPr>
        <w:t xml:space="preserve"> Taken together, the quantitative and qualitative analyses suggest that in a system of administrative burden, SLBs play an important role in facilitating clients’ resilience to barriers to program access. </w:t>
      </w:r>
    </w:p>
    <w:p w14:paraId="77F132AE" w14:textId="77777777" w:rsidR="0046518A" w:rsidRPr="005B2DFB" w:rsidRDefault="0046518A" w:rsidP="0046518A">
      <w:pPr>
        <w:spacing w:after="0" w:line="480" w:lineRule="auto"/>
        <w:ind w:firstLine="720"/>
        <w:rPr>
          <w:rFonts w:ascii="Times New Roman" w:eastAsia="Times New Roman" w:hAnsi="Times New Roman" w:cs="Times New Roman"/>
          <w:sz w:val="24"/>
          <w:szCs w:val="24"/>
        </w:rPr>
      </w:pPr>
      <w:r w:rsidRPr="005B2DFB">
        <w:rPr>
          <w:rFonts w:ascii="Times New Roman" w:hAnsi="Times New Roman" w:cs="Times New Roman"/>
          <w:sz w:val="24"/>
          <w:szCs w:val="24"/>
        </w:rPr>
        <w:t>Second, we find that capacity and perceived support from administration are significant predictors of program access. This means that a program aimed at reducing systemic inequality for low-income populations is being implemented in ways that could potentially reinforce existing inequality through a system of K-12 schools that are unequal in their capacity to help students overcome administrative burden. In this way, the results suggest that the politics of administrative burden penetrates the street-level through hard-wiring policy with stringent eligibility requirements and delegating the implementation of burden to vastly unequal local agencies</w:t>
      </w:r>
      <w:r w:rsidRPr="005B2DFB">
        <w:rPr>
          <w:rFonts w:ascii="Times New Roman" w:eastAsia="Times New Roman" w:hAnsi="Times New Roman" w:cs="Times New Roman"/>
          <w:sz w:val="24"/>
          <w:szCs w:val="24"/>
        </w:rPr>
        <w:t xml:space="preserve">. </w:t>
      </w:r>
    </w:p>
    <w:p w14:paraId="7B322249"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eastAsia="Times New Roman" w:hAnsi="Times New Roman" w:cs="Times New Roman"/>
          <w:sz w:val="24"/>
          <w:szCs w:val="24"/>
        </w:rPr>
        <w:t xml:space="preserve">While the delegation of responsibility by state agencies down to the street-level in these programs may actually be a vehicle for perpetuating inequality, it also provides insight into </w:t>
      </w:r>
      <w:r w:rsidRPr="005B2DFB">
        <w:rPr>
          <w:rFonts w:ascii="Times New Roman" w:eastAsia="Times New Roman" w:hAnsi="Times New Roman" w:cs="Times New Roman"/>
          <w:sz w:val="24"/>
          <w:szCs w:val="24"/>
        </w:rPr>
        <w:lastRenderedPageBreak/>
        <w:t xml:space="preserve">efforts that could reduce the detrimental impacts of administrative burden. For instance, in the interviews, 5 out of the 6 interviewees said the program could be improved by more direct communication from the OSRHE with students and parents so that the concern about resources, workload, and the difficulty counselors face in providing customized assistance to students would not serve as a barrier to access. In this way, state level responsibility for the primary promotion of Oklahoma’s Promise would mitigate some of the existing inequities in program access. Further research should investigate whether programs with administrative burden, when implemented in a centralized, rather than a decentralized implementation system, function to alleviate some of the negative impacts on administrative burden. </w:t>
      </w:r>
    </w:p>
    <w:p w14:paraId="4D5A4C12" w14:textId="77777777" w:rsidR="0046518A" w:rsidRPr="005B2DFB" w:rsidRDefault="0046518A" w:rsidP="0046518A">
      <w:pPr>
        <w:spacing w:after="0" w:line="480" w:lineRule="auto"/>
        <w:ind w:firstLine="720"/>
        <w:rPr>
          <w:rFonts w:ascii="Times New Roman" w:hAnsi="Times New Roman" w:cs="Times New Roman"/>
          <w:sz w:val="24"/>
          <w:szCs w:val="24"/>
        </w:rPr>
      </w:pPr>
      <w:r w:rsidRPr="005B2DFB">
        <w:rPr>
          <w:rFonts w:ascii="Times New Roman" w:hAnsi="Times New Roman" w:cs="Times New Roman"/>
          <w:sz w:val="24"/>
          <w:szCs w:val="24"/>
        </w:rPr>
        <w:t xml:space="preserve">This study has multiple limitations. First, the sample of participants who agreed to participate in follow-up interviews is relatively small. However, we believe that the interviews provide convincing support for our survey findings and reach the level of theoretical saturation. Second, Oklahoma’s economic, political, and policy context is an essential element of the story, which makes the rich description and case study approach appropriate, but also may limit the generalizability of the findings. For instance, the findings may translate well to other states that have low levels of per pupil education funding and high levels of inequality and poverty but may not reflect states in which these conditions diverge. However, it is interesting to note that despite applying the theoretical framework of administrative burden into the previously unexplored area of higher education policy, many of the findings of previous research are consistent. This suggests that administrative burden frameworks may be broadly applicable across policy areas, which is another area that should be tested in the future. Finally, moving forward, scholars should also develop a framework for better understanding the mechanisms underlying the impact of administrative burden on access to programs in a causal framework and explore other </w:t>
      </w:r>
      <w:r w:rsidRPr="005B2DFB">
        <w:rPr>
          <w:rFonts w:ascii="Times New Roman" w:hAnsi="Times New Roman" w:cs="Times New Roman"/>
          <w:sz w:val="24"/>
          <w:szCs w:val="24"/>
        </w:rPr>
        <w:lastRenderedPageBreak/>
        <w:t xml:space="preserve">potential mechanisms that explain variation in program access at the local level under a system of administrative burden. </w:t>
      </w:r>
    </w:p>
    <w:p w14:paraId="1C252AA1" w14:textId="77777777" w:rsidR="0046518A" w:rsidRPr="005B2DFB" w:rsidRDefault="0046518A" w:rsidP="0046518A">
      <w:pPr>
        <w:spacing w:after="0"/>
        <w:ind w:firstLine="720"/>
        <w:rPr>
          <w:rFonts w:ascii="Times New Roman" w:hAnsi="Times New Roman" w:cs="Times New Roman"/>
          <w:sz w:val="24"/>
          <w:szCs w:val="24"/>
        </w:rPr>
      </w:pPr>
    </w:p>
    <w:p w14:paraId="213BC02C" w14:textId="330510E7" w:rsidR="00967B87" w:rsidRPr="009D5924" w:rsidRDefault="0046518A">
      <w:pPr>
        <w:rPr>
          <w:rFonts w:ascii="Times New Roman" w:hAnsi="Times New Roman" w:cs="Times New Roman"/>
          <w:sz w:val="24"/>
          <w:szCs w:val="24"/>
        </w:rPr>
      </w:pPr>
      <w:r w:rsidRPr="005B2DFB">
        <w:rPr>
          <w:rFonts w:ascii="Times New Roman" w:hAnsi="Times New Roman" w:cs="Times New Roman"/>
          <w:sz w:val="24"/>
          <w:szCs w:val="24"/>
        </w:rPr>
        <w:br w:type="page"/>
      </w:r>
    </w:p>
    <w:p w14:paraId="09221C64" w14:textId="539EAE27" w:rsidR="0046518A" w:rsidRPr="005B2DFB" w:rsidRDefault="0046518A" w:rsidP="0046518A">
      <w:pPr>
        <w:spacing w:after="0" w:line="240" w:lineRule="auto"/>
        <w:jc w:val="center"/>
        <w:textAlignment w:val="center"/>
        <w:rPr>
          <w:rFonts w:ascii="Times New Roman" w:hAnsi="Times New Roman" w:cs="Times New Roman"/>
          <w:b/>
          <w:sz w:val="24"/>
          <w:szCs w:val="24"/>
        </w:rPr>
      </w:pPr>
      <w:r w:rsidRPr="005B2DFB">
        <w:rPr>
          <w:rFonts w:ascii="Times New Roman" w:hAnsi="Times New Roman" w:cs="Times New Roman"/>
          <w:b/>
          <w:sz w:val="24"/>
          <w:szCs w:val="24"/>
        </w:rPr>
        <w:lastRenderedPageBreak/>
        <w:t xml:space="preserve">Appendix </w:t>
      </w:r>
      <w:r w:rsidR="00A00172">
        <w:rPr>
          <w:rFonts w:ascii="Times New Roman" w:hAnsi="Times New Roman" w:cs="Times New Roman"/>
          <w:b/>
          <w:sz w:val="24"/>
          <w:szCs w:val="24"/>
        </w:rPr>
        <w:t>Table 4-</w:t>
      </w:r>
      <w:r w:rsidRPr="005B2DFB">
        <w:rPr>
          <w:rFonts w:ascii="Times New Roman" w:hAnsi="Times New Roman" w:cs="Times New Roman"/>
          <w:b/>
          <w:sz w:val="24"/>
          <w:szCs w:val="24"/>
        </w:rPr>
        <w:t>A</w:t>
      </w:r>
      <w:r w:rsidR="00A00172">
        <w:rPr>
          <w:rFonts w:ascii="Times New Roman" w:hAnsi="Times New Roman" w:cs="Times New Roman"/>
          <w:b/>
          <w:sz w:val="24"/>
          <w:szCs w:val="24"/>
        </w:rPr>
        <w:t>1</w:t>
      </w:r>
      <w:r w:rsidRPr="005B2DFB">
        <w:rPr>
          <w:rFonts w:ascii="Times New Roman" w:hAnsi="Times New Roman" w:cs="Times New Roman"/>
          <w:b/>
          <w:sz w:val="24"/>
          <w:szCs w:val="24"/>
        </w:rPr>
        <w:t>. Changes to Eligibility Requirements for Oklahoma’s Promise Over Time</w:t>
      </w:r>
    </w:p>
    <w:p w14:paraId="7CA7D1D6" w14:textId="77777777" w:rsidR="0046518A" w:rsidRPr="005B2DFB" w:rsidRDefault="0046518A" w:rsidP="0046518A">
      <w:pPr>
        <w:spacing w:after="0" w:line="240" w:lineRule="auto"/>
        <w:jc w:val="center"/>
        <w:textAlignment w:val="center"/>
        <w:rPr>
          <w:rFonts w:ascii="Times New Roman" w:hAnsi="Times New Roman" w:cs="Times New Roman"/>
          <w:sz w:val="24"/>
          <w:szCs w:val="24"/>
        </w:rPr>
      </w:pPr>
    </w:p>
    <w:tbl>
      <w:tblPr>
        <w:tblW w:w="9450" w:type="dxa"/>
        <w:jc w:val="center"/>
        <w:tblCellMar>
          <w:left w:w="0" w:type="dxa"/>
          <w:right w:w="0" w:type="dxa"/>
        </w:tblCellMar>
        <w:tblLook w:val="04A0" w:firstRow="1" w:lastRow="0" w:firstColumn="1" w:lastColumn="0" w:noHBand="0" w:noVBand="1"/>
        <w:tblCaption w:val=""/>
        <w:tblDescription w:val=""/>
      </w:tblPr>
      <w:tblGrid>
        <w:gridCol w:w="1320"/>
        <w:gridCol w:w="8043"/>
        <w:gridCol w:w="87"/>
      </w:tblGrid>
      <w:tr w:rsidR="0046518A" w:rsidRPr="005B2DFB" w14:paraId="0554AB88" w14:textId="77777777" w:rsidTr="00683113">
        <w:trPr>
          <w:trHeight w:val="24"/>
          <w:jc w:val="center"/>
        </w:trPr>
        <w:tc>
          <w:tcPr>
            <w:tcW w:w="1102" w:type="dxa"/>
            <w:tcBorders>
              <w:top w:val="nil"/>
              <w:left w:val="nil"/>
              <w:bottom w:val="single" w:sz="12" w:space="0" w:color="auto"/>
              <w:right w:val="nil"/>
            </w:tcBorders>
            <w:tcMar>
              <w:top w:w="80" w:type="dxa"/>
              <w:left w:w="80" w:type="dxa"/>
              <w:bottom w:w="80" w:type="dxa"/>
              <w:right w:w="80" w:type="dxa"/>
            </w:tcMar>
            <w:vAlign w:val="center"/>
            <w:hideMark/>
          </w:tcPr>
          <w:p w14:paraId="4D29F0B5" w14:textId="77777777" w:rsidR="0046518A" w:rsidRPr="005B2DFB" w:rsidRDefault="0046518A" w:rsidP="0068311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Year</w:t>
            </w:r>
          </w:p>
        </w:tc>
        <w:tc>
          <w:tcPr>
            <w:tcW w:w="8348" w:type="dxa"/>
            <w:gridSpan w:val="2"/>
            <w:tcBorders>
              <w:top w:val="nil"/>
              <w:left w:val="nil"/>
              <w:bottom w:val="single" w:sz="12" w:space="0" w:color="auto"/>
              <w:right w:val="nil"/>
            </w:tcBorders>
            <w:tcMar>
              <w:top w:w="80" w:type="dxa"/>
              <w:left w:w="80" w:type="dxa"/>
              <w:bottom w:w="80" w:type="dxa"/>
              <w:right w:w="80" w:type="dxa"/>
            </w:tcMar>
            <w:vAlign w:val="center"/>
            <w:hideMark/>
          </w:tcPr>
          <w:p w14:paraId="5D04343B" w14:textId="77777777" w:rsidR="0046518A" w:rsidRPr="005B2DFB" w:rsidRDefault="0046518A" w:rsidP="00683113">
            <w:pPr>
              <w:spacing w:after="0" w:line="240" w:lineRule="auto"/>
              <w:jc w:val="center"/>
              <w:rPr>
                <w:rFonts w:ascii="Times New Roman" w:eastAsia="Times New Roman" w:hAnsi="Times New Roman" w:cs="Times New Roman"/>
                <w:b/>
                <w:bCs/>
                <w:color w:val="000000"/>
                <w:sz w:val="24"/>
                <w:szCs w:val="24"/>
              </w:rPr>
            </w:pPr>
            <w:r w:rsidRPr="005B2DFB">
              <w:rPr>
                <w:rFonts w:ascii="Times New Roman" w:eastAsia="Times New Roman" w:hAnsi="Times New Roman" w:cs="Times New Roman"/>
                <w:b/>
                <w:bCs/>
                <w:color w:val="000000"/>
                <w:sz w:val="24"/>
                <w:szCs w:val="24"/>
              </w:rPr>
              <w:t>Eligibility Requirements</w:t>
            </w:r>
          </w:p>
        </w:tc>
      </w:tr>
      <w:tr w:rsidR="0046518A" w:rsidRPr="005B2DFB" w14:paraId="0ACF69F5" w14:textId="77777777" w:rsidTr="00683113">
        <w:trPr>
          <w:gridAfter w:val="1"/>
          <w:wAfter w:w="90" w:type="dxa"/>
          <w:trHeight w:val="1861"/>
          <w:jc w:val="center"/>
        </w:trPr>
        <w:tc>
          <w:tcPr>
            <w:tcW w:w="1102" w:type="dxa"/>
            <w:tcBorders>
              <w:top w:val="single" w:sz="12" w:space="0" w:color="auto"/>
              <w:left w:val="nil"/>
              <w:bottom w:val="single" w:sz="4" w:space="0" w:color="auto"/>
              <w:right w:val="nil"/>
            </w:tcBorders>
            <w:tcMar>
              <w:top w:w="80" w:type="dxa"/>
              <w:left w:w="80" w:type="dxa"/>
              <w:bottom w:w="80" w:type="dxa"/>
              <w:right w:w="80" w:type="dxa"/>
            </w:tcMar>
            <w:vAlign w:val="center"/>
            <w:hideMark/>
          </w:tcPr>
          <w:p w14:paraId="1C4529B2"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1992 (Original Legislation)</w:t>
            </w:r>
          </w:p>
        </w:tc>
        <w:tc>
          <w:tcPr>
            <w:tcW w:w="8258" w:type="dxa"/>
            <w:tcBorders>
              <w:top w:val="single" w:sz="12" w:space="0" w:color="auto"/>
              <w:left w:val="nil"/>
              <w:bottom w:val="single" w:sz="4" w:space="0" w:color="auto"/>
              <w:right w:val="nil"/>
            </w:tcBorders>
            <w:tcMar>
              <w:top w:w="80" w:type="dxa"/>
              <w:left w:w="80" w:type="dxa"/>
              <w:bottom w:w="80" w:type="dxa"/>
              <w:right w:w="80" w:type="dxa"/>
            </w:tcMar>
            <w:vAlign w:val="center"/>
            <w:hideMark/>
          </w:tcPr>
          <w:p w14:paraId="245D485D" w14:textId="77777777" w:rsidR="0046518A" w:rsidRPr="005B2DFB" w:rsidRDefault="0046518A" w:rsidP="00E45E88">
            <w:pPr>
              <w:pStyle w:val="ListParagraph"/>
              <w:numPr>
                <w:ilvl w:val="0"/>
                <w:numId w:val="3"/>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$25,000 family income limit at time of application; income defined as total “taxable and nontaxable” income.</w:t>
            </w:r>
          </w:p>
          <w:p w14:paraId="29ADE231" w14:textId="77777777" w:rsidR="0046518A" w:rsidRPr="005B2DFB" w:rsidRDefault="0046518A" w:rsidP="00E45E88">
            <w:pPr>
              <w:pStyle w:val="ListParagraph"/>
              <w:numPr>
                <w:ilvl w:val="0"/>
                <w:numId w:val="3"/>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15-unit core curriculum; 2.5 overall GPA; 2.5 GPA in the core curriculum</w:t>
            </w:r>
          </w:p>
          <w:p w14:paraId="0ECB3371" w14:textId="77777777" w:rsidR="0046518A" w:rsidRPr="005B2DFB" w:rsidRDefault="0046518A" w:rsidP="00E45E88">
            <w:pPr>
              <w:pStyle w:val="ListParagraph"/>
              <w:numPr>
                <w:ilvl w:val="0"/>
                <w:numId w:val="3"/>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Must attend school regularly and do homework regularly; refrain from substance abuse; refrain from criminal or delinquent acts.</w:t>
            </w:r>
          </w:p>
          <w:p w14:paraId="24812E06" w14:textId="77777777" w:rsidR="0046518A" w:rsidRPr="005B2DFB" w:rsidRDefault="0046518A" w:rsidP="00E45E88">
            <w:pPr>
              <w:pStyle w:val="ListParagraph"/>
              <w:numPr>
                <w:ilvl w:val="0"/>
                <w:numId w:val="3"/>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Must start college within 3 years of high school graduation; May not receive the award for more than five years (consecutive) or the completion of a baccalaureate degree; Must maintain standard academic eligibility in college.</w:t>
            </w:r>
          </w:p>
        </w:tc>
      </w:tr>
      <w:tr w:rsidR="0046518A" w:rsidRPr="005B2DFB" w14:paraId="0F8F010E" w14:textId="77777777" w:rsidTr="00683113">
        <w:trPr>
          <w:gridAfter w:val="1"/>
          <w:wAfter w:w="90" w:type="dxa"/>
          <w:trHeight w:val="24"/>
          <w:jc w:val="center"/>
        </w:trPr>
        <w:tc>
          <w:tcPr>
            <w:tcW w:w="1102" w:type="dxa"/>
            <w:tcBorders>
              <w:top w:val="single" w:sz="4" w:space="0" w:color="auto"/>
              <w:left w:val="nil"/>
              <w:bottom w:val="single" w:sz="4" w:space="0" w:color="auto"/>
              <w:right w:val="nil"/>
            </w:tcBorders>
            <w:tcMar>
              <w:top w:w="80" w:type="dxa"/>
              <w:left w:w="80" w:type="dxa"/>
              <w:bottom w:w="80" w:type="dxa"/>
              <w:right w:w="80" w:type="dxa"/>
            </w:tcMar>
            <w:vAlign w:val="center"/>
          </w:tcPr>
          <w:p w14:paraId="5220A44F"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1994</w:t>
            </w:r>
          </w:p>
        </w:tc>
        <w:tc>
          <w:tcPr>
            <w:tcW w:w="8258" w:type="dxa"/>
            <w:tcBorders>
              <w:top w:val="single" w:sz="4" w:space="0" w:color="auto"/>
              <w:left w:val="nil"/>
              <w:bottom w:val="single" w:sz="4" w:space="0" w:color="auto"/>
              <w:right w:val="nil"/>
            </w:tcBorders>
            <w:tcMar>
              <w:top w:w="80" w:type="dxa"/>
              <w:left w:w="80" w:type="dxa"/>
              <w:bottom w:w="80" w:type="dxa"/>
              <w:right w:w="80" w:type="dxa"/>
            </w:tcMar>
            <w:vAlign w:val="center"/>
          </w:tcPr>
          <w:p w14:paraId="494C4F67" w14:textId="77777777" w:rsidR="0046518A" w:rsidRPr="005B2DFB" w:rsidRDefault="0046518A" w:rsidP="00E45E88">
            <w:pPr>
              <w:pStyle w:val="ListParagraph"/>
              <w:numPr>
                <w:ilvl w:val="0"/>
                <w:numId w:val="4"/>
              </w:numPr>
              <w:spacing w:after="0" w:line="240" w:lineRule="auto"/>
              <w:rPr>
                <w:rFonts w:ascii="Times New Roman" w:hAnsi="Times New Roman" w:cs="Times New Roman"/>
                <w:sz w:val="24"/>
                <w:szCs w:val="24"/>
              </w:rPr>
            </w:pPr>
            <w:r w:rsidRPr="005B2DFB">
              <w:rPr>
                <w:rFonts w:ascii="Times New Roman" w:eastAsia="Times New Roman" w:hAnsi="Times New Roman" w:cs="Times New Roman"/>
                <w:sz w:val="24"/>
                <w:szCs w:val="24"/>
              </w:rPr>
              <w:t>Increased the 15-unit core curriculum to 17 units for students in the 9</w:t>
            </w:r>
            <w:r w:rsidRPr="005B2DFB">
              <w:rPr>
                <w:rFonts w:ascii="Times New Roman" w:eastAsia="Times New Roman" w:hAnsi="Times New Roman" w:cs="Times New Roman"/>
                <w:sz w:val="24"/>
                <w:szCs w:val="24"/>
                <w:vertAlign w:val="superscript"/>
              </w:rPr>
              <w:t>th</w:t>
            </w:r>
            <w:r w:rsidRPr="005B2DFB">
              <w:rPr>
                <w:rFonts w:ascii="Times New Roman" w:eastAsia="Times New Roman" w:hAnsi="Times New Roman" w:cs="Times New Roman"/>
                <w:sz w:val="24"/>
                <w:szCs w:val="24"/>
              </w:rPr>
              <w:t xml:space="preserve"> grade </w:t>
            </w:r>
          </w:p>
        </w:tc>
      </w:tr>
      <w:tr w:rsidR="0046518A" w:rsidRPr="005B2DFB" w14:paraId="2E85C5F1" w14:textId="77777777" w:rsidTr="00683113">
        <w:trPr>
          <w:gridAfter w:val="1"/>
          <w:wAfter w:w="90" w:type="dxa"/>
          <w:trHeight w:val="24"/>
          <w:jc w:val="center"/>
        </w:trPr>
        <w:tc>
          <w:tcPr>
            <w:tcW w:w="1102" w:type="dxa"/>
            <w:tcBorders>
              <w:top w:val="single" w:sz="4" w:space="0" w:color="auto"/>
              <w:left w:val="nil"/>
              <w:bottom w:val="single" w:sz="4" w:space="0" w:color="auto"/>
              <w:right w:val="nil"/>
            </w:tcBorders>
            <w:tcMar>
              <w:top w:w="80" w:type="dxa"/>
              <w:left w:w="80" w:type="dxa"/>
              <w:bottom w:w="80" w:type="dxa"/>
              <w:right w:w="80" w:type="dxa"/>
            </w:tcMar>
            <w:vAlign w:val="center"/>
          </w:tcPr>
          <w:p w14:paraId="7C28395E"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1996</w:t>
            </w:r>
          </w:p>
        </w:tc>
        <w:tc>
          <w:tcPr>
            <w:tcW w:w="8258" w:type="dxa"/>
            <w:tcBorders>
              <w:top w:val="single" w:sz="4" w:space="0" w:color="auto"/>
              <w:left w:val="nil"/>
              <w:bottom w:val="single" w:sz="4" w:space="0" w:color="auto"/>
              <w:right w:val="nil"/>
            </w:tcBorders>
            <w:tcMar>
              <w:top w:w="80" w:type="dxa"/>
              <w:left w:w="80" w:type="dxa"/>
              <w:bottom w:w="80" w:type="dxa"/>
              <w:right w:w="80" w:type="dxa"/>
            </w:tcMar>
            <w:vAlign w:val="center"/>
          </w:tcPr>
          <w:p w14:paraId="2E2DCFB3" w14:textId="77777777" w:rsidR="0046518A" w:rsidRPr="005B2DFB" w:rsidRDefault="0046518A" w:rsidP="00E45E88">
            <w:pPr>
              <w:pStyle w:val="ListParagraph"/>
              <w:numPr>
                <w:ilvl w:val="0"/>
                <w:numId w:val="4"/>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Required students to provide their SSN or local school ID number</w:t>
            </w:r>
          </w:p>
        </w:tc>
      </w:tr>
      <w:tr w:rsidR="0046518A" w:rsidRPr="005B2DFB" w14:paraId="4C85A4C7" w14:textId="77777777" w:rsidTr="00683113">
        <w:trPr>
          <w:gridAfter w:val="1"/>
          <w:wAfter w:w="90" w:type="dxa"/>
          <w:trHeight w:val="24"/>
          <w:jc w:val="center"/>
        </w:trPr>
        <w:tc>
          <w:tcPr>
            <w:tcW w:w="1102" w:type="dxa"/>
            <w:tcBorders>
              <w:top w:val="single" w:sz="4" w:space="0" w:color="auto"/>
              <w:left w:val="nil"/>
              <w:bottom w:val="single" w:sz="4" w:space="0" w:color="auto"/>
              <w:right w:val="nil"/>
            </w:tcBorders>
            <w:tcMar>
              <w:top w:w="80" w:type="dxa"/>
              <w:left w:w="80" w:type="dxa"/>
              <w:bottom w:w="80" w:type="dxa"/>
              <w:right w:w="80" w:type="dxa"/>
            </w:tcMar>
            <w:vAlign w:val="center"/>
          </w:tcPr>
          <w:p w14:paraId="5D078611"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1999</w:t>
            </w:r>
          </w:p>
        </w:tc>
        <w:tc>
          <w:tcPr>
            <w:tcW w:w="8258" w:type="dxa"/>
            <w:tcBorders>
              <w:top w:val="single" w:sz="4" w:space="0" w:color="auto"/>
              <w:left w:val="nil"/>
              <w:bottom w:val="single" w:sz="4" w:space="0" w:color="auto"/>
              <w:right w:val="nil"/>
            </w:tcBorders>
            <w:tcMar>
              <w:top w:w="80" w:type="dxa"/>
              <w:left w:w="80" w:type="dxa"/>
              <w:bottom w:w="80" w:type="dxa"/>
              <w:right w:w="80" w:type="dxa"/>
            </w:tcMar>
            <w:vAlign w:val="center"/>
          </w:tcPr>
          <w:p w14:paraId="04AF1A03" w14:textId="77777777" w:rsidR="0046518A" w:rsidRPr="005B2DFB" w:rsidRDefault="0046518A" w:rsidP="00E45E88">
            <w:pPr>
              <w:pStyle w:val="ListParagraph"/>
              <w:numPr>
                <w:ilvl w:val="0"/>
                <w:numId w:val="4"/>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Increased the family income limit at the time of application from $25,000 to $32,000</w:t>
            </w:r>
          </w:p>
        </w:tc>
      </w:tr>
      <w:tr w:rsidR="0046518A" w:rsidRPr="005B2DFB" w14:paraId="04D1554D" w14:textId="77777777" w:rsidTr="00683113">
        <w:trPr>
          <w:gridAfter w:val="1"/>
          <w:wAfter w:w="90" w:type="dxa"/>
          <w:trHeight w:val="24"/>
          <w:jc w:val="center"/>
        </w:trPr>
        <w:tc>
          <w:tcPr>
            <w:tcW w:w="1102" w:type="dxa"/>
            <w:tcBorders>
              <w:top w:val="single" w:sz="4" w:space="0" w:color="auto"/>
              <w:left w:val="nil"/>
              <w:bottom w:val="single" w:sz="4" w:space="0" w:color="auto"/>
              <w:right w:val="nil"/>
            </w:tcBorders>
            <w:tcMar>
              <w:top w:w="80" w:type="dxa"/>
              <w:left w:w="80" w:type="dxa"/>
              <w:bottom w:w="80" w:type="dxa"/>
              <w:right w:w="80" w:type="dxa"/>
            </w:tcMar>
            <w:vAlign w:val="center"/>
          </w:tcPr>
          <w:p w14:paraId="3E0F4F45"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2000</w:t>
            </w:r>
          </w:p>
        </w:tc>
        <w:tc>
          <w:tcPr>
            <w:tcW w:w="8258" w:type="dxa"/>
            <w:tcBorders>
              <w:top w:val="single" w:sz="4" w:space="0" w:color="auto"/>
              <w:left w:val="nil"/>
              <w:bottom w:val="single" w:sz="4" w:space="0" w:color="auto"/>
              <w:right w:val="nil"/>
            </w:tcBorders>
            <w:tcMar>
              <w:top w:w="80" w:type="dxa"/>
              <w:left w:w="80" w:type="dxa"/>
              <w:bottom w:w="80" w:type="dxa"/>
              <w:right w:w="80" w:type="dxa"/>
            </w:tcMar>
            <w:vAlign w:val="center"/>
          </w:tcPr>
          <w:p w14:paraId="6C60CFE6" w14:textId="77777777" w:rsidR="0046518A" w:rsidRPr="005B2DFB" w:rsidRDefault="0046518A" w:rsidP="00E45E88">
            <w:pPr>
              <w:pStyle w:val="ListParagraph"/>
              <w:numPr>
                <w:ilvl w:val="0"/>
                <w:numId w:val="5"/>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The income limit at the time of application was increased from $32,000 to $50,000.</w:t>
            </w:r>
          </w:p>
          <w:p w14:paraId="59148F7B" w14:textId="77777777" w:rsidR="0046518A" w:rsidRPr="005B2DFB" w:rsidRDefault="0046518A" w:rsidP="00E45E88">
            <w:pPr>
              <w:pStyle w:val="ListParagraph"/>
              <w:numPr>
                <w:ilvl w:val="0"/>
                <w:numId w:val="5"/>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Specified content of the core curriculum</w:t>
            </w:r>
          </w:p>
        </w:tc>
      </w:tr>
      <w:tr w:rsidR="0046518A" w:rsidRPr="005B2DFB" w14:paraId="6D299E50" w14:textId="77777777" w:rsidTr="00683113">
        <w:trPr>
          <w:trHeight w:val="1557"/>
          <w:jc w:val="center"/>
        </w:trPr>
        <w:tc>
          <w:tcPr>
            <w:tcW w:w="1102" w:type="dxa"/>
            <w:tcBorders>
              <w:top w:val="single" w:sz="4" w:space="0" w:color="auto"/>
              <w:bottom w:val="single" w:sz="4" w:space="0" w:color="auto"/>
            </w:tcBorders>
            <w:tcMar>
              <w:top w:w="80" w:type="dxa"/>
              <w:left w:w="80" w:type="dxa"/>
              <w:bottom w:w="80" w:type="dxa"/>
              <w:right w:w="80" w:type="dxa"/>
            </w:tcMar>
            <w:vAlign w:val="center"/>
            <w:hideMark/>
          </w:tcPr>
          <w:p w14:paraId="6DC228DC"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bCs/>
                <w:color w:val="000000"/>
                <w:sz w:val="24"/>
                <w:szCs w:val="24"/>
              </w:rPr>
              <w:t>2007</w:t>
            </w:r>
          </w:p>
        </w:tc>
        <w:tc>
          <w:tcPr>
            <w:tcW w:w="8348" w:type="dxa"/>
            <w:gridSpan w:val="2"/>
            <w:tcBorders>
              <w:top w:val="single" w:sz="4" w:space="0" w:color="auto"/>
              <w:bottom w:val="single" w:sz="4" w:space="0" w:color="auto"/>
            </w:tcBorders>
            <w:tcMar>
              <w:top w:w="80" w:type="dxa"/>
              <w:left w:w="80" w:type="dxa"/>
              <w:bottom w:w="80" w:type="dxa"/>
              <w:right w:w="80" w:type="dxa"/>
            </w:tcMar>
            <w:vAlign w:val="center"/>
            <w:hideMark/>
          </w:tcPr>
          <w:p w14:paraId="4CA68179" w14:textId="77777777" w:rsidR="0046518A" w:rsidRPr="005B2DFB" w:rsidRDefault="0046518A" w:rsidP="00E45E88">
            <w:pPr>
              <w:pStyle w:val="ListParagraph"/>
              <w:numPr>
                <w:ilvl w:val="0"/>
                <w:numId w:val="6"/>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Created a second income check at $100,000 at the time the student begins college</w:t>
            </w:r>
          </w:p>
          <w:p w14:paraId="2AC1DB0C" w14:textId="77777777" w:rsidR="0046518A" w:rsidRPr="005B2DFB" w:rsidRDefault="0046518A" w:rsidP="00E45E88">
            <w:pPr>
              <w:pStyle w:val="ListParagraph"/>
              <w:numPr>
                <w:ilvl w:val="0"/>
                <w:numId w:val="6"/>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Created a statutory college GPA requirement requiring a 2.0 for courses taken during the sophomore year and a 2.5 for courses thereafter</w:t>
            </w:r>
          </w:p>
          <w:p w14:paraId="69FD17E6" w14:textId="77777777" w:rsidR="0046518A" w:rsidRPr="005B2DFB" w:rsidRDefault="0046518A" w:rsidP="00E45E88">
            <w:pPr>
              <w:pStyle w:val="ListParagraph"/>
              <w:numPr>
                <w:ilvl w:val="0"/>
                <w:numId w:val="6"/>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Required scholarship recipients to provide documentation proving that they are a U.S. citizen or lawfully present in the U.S.</w:t>
            </w:r>
          </w:p>
          <w:p w14:paraId="2D8AC9C4" w14:textId="77777777" w:rsidR="0046518A" w:rsidRPr="005B2DFB" w:rsidRDefault="0046518A" w:rsidP="00E45E88">
            <w:pPr>
              <w:pStyle w:val="ListParagraph"/>
              <w:numPr>
                <w:ilvl w:val="0"/>
                <w:numId w:val="6"/>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Created a college conduct requirement </w:t>
            </w:r>
          </w:p>
          <w:p w14:paraId="406B3DAB" w14:textId="77777777" w:rsidR="0046518A" w:rsidRPr="005B2DFB" w:rsidRDefault="0046518A" w:rsidP="00683113">
            <w:pPr>
              <w:autoSpaceDE w:val="0"/>
              <w:autoSpaceDN w:val="0"/>
              <w:adjustRightInd w:val="0"/>
              <w:spacing w:after="0" w:line="240" w:lineRule="auto"/>
              <w:rPr>
                <w:rFonts w:ascii="Times New Roman" w:hAnsi="Times New Roman" w:cs="Times New Roman"/>
                <w:sz w:val="24"/>
                <w:szCs w:val="24"/>
              </w:rPr>
            </w:pPr>
          </w:p>
        </w:tc>
      </w:tr>
      <w:tr w:rsidR="0046518A" w:rsidRPr="005B2DFB" w14:paraId="0B942DE9" w14:textId="77777777" w:rsidTr="00683113">
        <w:trPr>
          <w:trHeight w:val="163"/>
          <w:jc w:val="center"/>
        </w:trPr>
        <w:tc>
          <w:tcPr>
            <w:tcW w:w="1102" w:type="dxa"/>
            <w:tcBorders>
              <w:top w:val="single" w:sz="4" w:space="0" w:color="auto"/>
              <w:bottom w:val="single" w:sz="4" w:space="0" w:color="auto"/>
            </w:tcBorders>
            <w:tcMar>
              <w:top w:w="80" w:type="dxa"/>
              <w:left w:w="80" w:type="dxa"/>
              <w:bottom w:w="80" w:type="dxa"/>
              <w:right w:w="80" w:type="dxa"/>
            </w:tcMar>
            <w:vAlign w:val="center"/>
            <w:hideMark/>
          </w:tcPr>
          <w:p w14:paraId="70AB510E" w14:textId="77777777" w:rsidR="0046518A" w:rsidRPr="005B2DFB" w:rsidRDefault="0046518A" w:rsidP="00683113">
            <w:pPr>
              <w:spacing w:after="0" w:line="240" w:lineRule="auto"/>
              <w:jc w:val="center"/>
              <w:rPr>
                <w:rFonts w:ascii="Times New Roman" w:eastAsia="Times New Roman" w:hAnsi="Times New Roman" w:cs="Times New Roman"/>
                <w:bCs/>
                <w:color w:val="000000"/>
                <w:sz w:val="24"/>
                <w:szCs w:val="24"/>
              </w:rPr>
            </w:pPr>
            <w:r w:rsidRPr="005B2DFB">
              <w:rPr>
                <w:rFonts w:ascii="Times New Roman" w:eastAsia="Times New Roman" w:hAnsi="Times New Roman" w:cs="Times New Roman"/>
                <w:color w:val="000000"/>
                <w:sz w:val="24"/>
                <w:szCs w:val="24"/>
              </w:rPr>
              <w:t>2011</w:t>
            </w:r>
          </w:p>
        </w:tc>
        <w:tc>
          <w:tcPr>
            <w:tcW w:w="8348" w:type="dxa"/>
            <w:gridSpan w:val="2"/>
            <w:tcBorders>
              <w:top w:val="single" w:sz="4" w:space="0" w:color="auto"/>
              <w:bottom w:val="single" w:sz="4" w:space="0" w:color="auto"/>
            </w:tcBorders>
            <w:tcMar>
              <w:top w:w="80" w:type="dxa"/>
              <w:left w:w="80" w:type="dxa"/>
              <w:bottom w:w="80" w:type="dxa"/>
              <w:right w:w="80" w:type="dxa"/>
            </w:tcMar>
            <w:vAlign w:val="center"/>
            <w:hideMark/>
          </w:tcPr>
          <w:p w14:paraId="775178CC" w14:textId="77777777" w:rsidR="0046518A" w:rsidRPr="005B2DFB" w:rsidRDefault="0046518A" w:rsidP="00E45E8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5B2DFB">
              <w:rPr>
                <w:rFonts w:ascii="Times New Roman" w:hAnsi="Times New Roman" w:cs="Times New Roman"/>
                <w:sz w:val="24"/>
                <w:szCs w:val="24"/>
              </w:rPr>
              <w:t>Added requirement that students meet satisfactory academic progress standards</w:t>
            </w:r>
          </w:p>
        </w:tc>
      </w:tr>
      <w:tr w:rsidR="0046518A" w:rsidRPr="005B2DFB" w14:paraId="0C2B826F" w14:textId="77777777" w:rsidTr="00683113">
        <w:trPr>
          <w:trHeight w:val="522"/>
          <w:jc w:val="center"/>
        </w:trPr>
        <w:tc>
          <w:tcPr>
            <w:tcW w:w="1102" w:type="dxa"/>
            <w:tcBorders>
              <w:top w:val="single" w:sz="4" w:space="0" w:color="auto"/>
              <w:left w:val="nil"/>
              <w:bottom w:val="single" w:sz="4" w:space="0" w:color="auto"/>
              <w:right w:val="nil"/>
            </w:tcBorders>
            <w:tcMar>
              <w:top w:w="80" w:type="dxa"/>
              <w:left w:w="80" w:type="dxa"/>
              <w:bottom w:w="80" w:type="dxa"/>
              <w:right w:w="80" w:type="dxa"/>
            </w:tcMar>
            <w:vAlign w:val="center"/>
            <w:hideMark/>
          </w:tcPr>
          <w:p w14:paraId="4EB20A9A"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2017</w:t>
            </w:r>
          </w:p>
        </w:tc>
        <w:tc>
          <w:tcPr>
            <w:tcW w:w="8348" w:type="dxa"/>
            <w:gridSpan w:val="2"/>
            <w:tcBorders>
              <w:top w:val="single" w:sz="4" w:space="0" w:color="auto"/>
              <w:left w:val="nil"/>
              <w:bottom w:val="single" w:sz="4" w:space="0" w:color="auto"/>
              <w:right w:val="nil"/>
            </w:tcBorders>
            <w:tcMar>
              <w:top w:w="80" w:type="dxa"/>
              <w:left w:w="80" w:type="dxa"/>
              <w:bottom w:w="80" w:type="dxa"/>
              <w:right w:w="80" w:type="dxa"/>
            </w:tcMar>
            <w:vAlign w:val="center"/>
          </w:tcPr>
          <w:p w14:paraId="1F4D9050" w14:textId="77777777" w:rsidR="0046518A" w:rsidRPr="005B2DFB" w:rsidRDefault="0046518A" w:rsidP="00E45E88">
            <w:pPr>
              <w:pStyle w:val="ListParagraph"/>
              <w:numPr>
                <w:ilvl w:val="0"/>
                <w:numId w:val="8"/>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The family income limit at the time of application in the 8th-10th grade is increased to $55,000 AGI in 2017-18 and later to $60,000 beginning in 2021-22.</w:t>
            </w:r>
          </w:p>
          <w:p w14:paraId="7DA602C8" w14:textId="77777777" w:rsidR="0046518A" w:rsidRPr="005B2DFB" w:rsidRDefault="0046518A" w:rsidP="00E45E88">
            <w:pPr>
              <w:pStyle w:val="ListParagraph"/>
              <w:numPr>
                <w:ilvl w:val="0"/>
                <w:numId w:val="8"/>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Added yearly income checks in college to make sure family doesn’t make more than $100,000. </w:t>
            </w:r>
          </w:p>
          <w:p w14:paraId="64C5BBEC" w14:textId="77777777" w:rsidR="0046518A" w:rsidRPr="005B2DFB" w:rsidRDefault="0046518A" w:rsidP="00E45E88">
            <w:pPr>
              <w:pStyle w:val="ListParagraph"/>
              <w:numPr>
                <w:ilvl w:val="0"/>
                <w:numId w:val="8"/>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 xml:space="preserve">Elimination of payment for noncredit remedial courses in college beginning in 2018-19. </w:t>
            </w:r>
          </w:p>
          <w:p w14:paraId="10C743F3" w14:textId="77777777" w:rsidR="0046518A" w:rsidRPr="005B2DFB" w:rsidRDefault="0046518A" w:rsidP="00E45E88">
            <w:pPr>
              <w:pStyle w:val="ListParagraph"/>
              <w:numPr>
                <w:ilvl w:val="0"/>
                <w:numId w:val="8"/>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Cap on the number of credit hours paid in college</w:t>
            </w:r>
          </w:p>
          <w:p w14:paraId="47867461" w14:textId="77777777" w:rsidR="0046518A" w:rsidRPr="005B2DFB" w:rsidRDefault="0046518A" w:rsidP="00E45E88">
            <w:pPr>
              <w:pStyle w:val="ListParagraph"/>
              <w:numPr>
                <w:ilvl w:val="0"/>
                <w:numId w:val="8"/>
              </w:numPr>
              <w:spacing w:after="0" w:line="240" w:lineRule="auto"/>
              <w:rPr>
                <w:rFonts w:ascii="Times New Roman" w:eastAsia="Times New Roman" w:hAnsi="Times New Roman" w:cs="Times New Roman"/>
                <w:sz w:val="24"/>
                <w:szCs w:val="24"/>
              </w:rPr>
            </w:pPr>
            <w:r w:rsidRPr="005B2DFB">
              <w:rPr>
                <w:rFonts w:ascii="Times New Roman" w:eastAsia="Times New Roman" w:hAnsi="Times New Roman" w:cs="Times New Roman"/>
                <w:sz w:val="24"/>
                <w:szCs w:val="24"/>
              </w:rPr>
              <w:t>The specific statutory college GPA requirements are repealed; the scholarship retention/GPA requirements are now aligned with college academic retention and degree-completion standards.</w:t>
            </w:r>
          </w:p>
        </w:tc>
      </w:tr>
    </w:tbl>
    <w:p w14:paraId="7D99BA5A" w14:textId="3ACDF084" w:rsidR="0046518A" w:rsidRPr="005B2DFB" w:rsidRDefault="0046518A" w:rsidP="0046518A">
      <w:pPr>
        <w:rPr>
          <w:rFonts w:ascii="Times New Roman" w:eastAsia="Times New Roman" w:hAnsi="Times New Roman" w:cs="Times New Roman"/>
          <w:b/>
          <w:color w:val="000000"/>
          <w:sz w:val="24"/>
          <w:szCs w:val="24"/>
        </w:rPr>
      </w:pPr>
    </w:p>
    <w:p w14:paraId="0D8F127F" w14:textId="77777777" w:rsidR="0046518A" w:rsidRPr="005B2DFB" w:rsidRDefault="0046518A" w:rsidP="0046518A">
      <w:pPr>
        <w:jc w:val="center"/>
        <w:rPr>
          <w:rFonts w:ascii="Times New Roman" w:eastAsia="Times New Roman" w:hAnsi="Times New Roman" w:cs="Times New Roman"/>
          <w:b/>
          <w:color w:val="000000"/>
          <w:sz w:val="24"/>
          <w:szCs w:val="24"/>
        </w:rPr>
      </w:pPr>
    </w:p>
    <w:p w14:paraId="44C55918" w14:textId="14B510B4" w:rsidR="0046518A" w:rsidRPr="005B2DFB" w:rsidRDefault="0046518A" w:rsidP="0046518A">
      <w:pPr>
        <w:jc w:val="center"/>
        <w:rPr>
          <w:rFonts w:ascii="Times New Roman" w:eastAsia="Times New Roman" w:hAnsi="Times New Roman" w:cs="Times New Roman"/>
          <w:b/>
          <w:color w:val="000000"/>
          <w:sz w:val="24"/>
          <w:szCs w:val="24"/>
        </w:rPr>
      </w:pPr>
      <w:r w:rsidRPr="005B2DFB">
        <w:rPr>
          <w:rFonts w:ascii="Times New Roman" w:eastAsia="Times New Roman" w:hAnsi="Times New Roman" w:cs="Times New Roman"/>
          <w:b/>
          <w:color w:val="000000"/>
          <w:sz w:val="24"/>
          <w:szCs w:val="24"/>
        </w:rPr>
        <w:t>Appendix</w:t>
      </w:r>
      <w:r w:rsidR="001A4B16">
        <w:rPr>
          <w:rFonts w:ascii="Times New Roman" w:eastAsia="Times New Roman" w:hAnsi="Times New Roman" w:cs="Times New Roman"/>
          <w:b/>
          <w:color w:val="000000"/>
          <w:sz w:val="24"/>
          <w:szCs w:val="24"/>
        </w:rPr>
        <w:t xml:space="preserve"> B</w:t>
      </w:r>
      <w:r w:rsidRPr="005B2DFB">
        <w:rPr>
          <w:rFonts w:ascii="Times New Roman" w:eastAsia="Times New Roman" w:hAnsi="Times New Roman" w:cs="Times New Roman"/>
          <w:b/>
          <w:color w:val="000000"/>
          <w:sz w:val="24"/>
          <w:szCs w:val="24"/>
        </w:rPr>
        <w:t>: Representativeness of the Sample</w:t>
      </w:r>
    </w:p>
    <w:p w14:paraId="61F7C815" w14:textId="77777777" w:rsidR="0046518A" w:rsidRPr="005B2DFB" w:rsidRDefault="0046518A" w:rsidP="0046518A">
      <w:pPr>
        <w:rPr>
          <w:rFonts w:ascii="Times New Roman" w:hAnsi="Times New Roman" w:cs="Times New Roman"/>
          <w:sz w:val="24"/>
          <w:szCs w:val="24"/>
        </w:rPr>
      </w:pPr>
      <w:r w:rsidRPr="005B2DFB">
        <w:rPr>
          <w:rFonts w:ascii="Times New Roman" w:hAnsi="Times New Roman" w:cs="Times New Roman"/>
          <w:sz w:val="24"/>
          <w:szCs w:val="24"/>
        </w:rPr>
        <w:tab/>
        <w:t xml:space="preserve">To provide evidence on the representativeness of the high schools included in the sample of respondents, we present Table B1, which compares the descriptive characteristics of all schools in Oklahoma with those in the survey sample. First, the survey sample captures 134 unique high schools out of 382 total high schools in the state. </w:t>
      </w:r>
    </w:p>
    <w:tbl>
      <w:tblPr>
        <w:tblW w:w="5240" w:type="dxa"/>
        <w:jc w:val="center"/>
        <w:tblLook w:val="04A0" w:firstRow="1" w:lastRow="0" w:firstColumn="1" w:lastColumn="0" w:noHBand="0" w:noVBand="1"/>
      </w:tblPr>
      <w:tblGrid>
        <w:gridCol w:w="1515"/>
        <w:gridCol w:w="861"/>
        <w:gridCol w:w="766"/>
        <w:gridCol w:w="766"/>
        <w:gridCol w:w="666"/>
        <w:gridCol w:w="666"/>
      </w:tblGrid>
      <w:tr w:rsidR="0046518A" w:rsidRPr="00967B87" w14:paraId="6252B462" w14:textId="77777777" w:rsidTr="00683113">
        <w:trPr>
          <w:trHeight w:val="264"/>
          <w:jc w:val="center"/>
        </w:trPr>
        <w:tc>
          <w:tcPr>
            <w:tcW w:w="5240" w:type="dxa"/>
            <w:gridSpan w:val="6"/>
            <w:tcBorders>
              <w:top w:val="nil"/>
              <w:left w:val="nil"/>
              <w:bottom w:val="nil"/>
              <w:right w:val="nil"/>
            </w:tcBorders>
            <w:shd w:val="clear" w:color="auto" w:fill="auto"/>
            <w:noWrap/>
            <w:vAlign w:val="bottom"/>
            <w:hideMark/>
          </w:tcPr>
          <w:p w14:paraId="79C3A9B6" w14:textId="3A0AEE7A"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Table </w:t>
            </w:r>
            <w:r w:rsidR="001A4B16">
              <w:rPr>
                <w:rFonts w:ascii="Times New Roman" w:eastAsia="Times New Roman" w:hAnsi="Times New Roman" w:cs="Times New Roman"/>
                <w:color w:val="000000"/>
                <w:sz w:val="20"/>
                <w:szCs w:val="20"/>
              </w:rPr>
              <w:t>4-</w:t>
            </w:r>
            <w:r w:rsidRPr="00967B87">
              <w:rPr>
                <w:rFonts w:ascii="Times New Roman" w:eastAsia="Times New Roman" w:hAnsi="Times New Roman" w:cs="Times New Roman"/>
                <w:color w:val="000000"/>
                <w:sz w:val="20"/>
                <w:szCs w:val="20"/>
              </w:rPr>
              <w:t>B1. Comparison of Sample of High Schools with Population Across State</w:t>
            </w:r>
          </w:p>
        </w:tc>
      </w:tr>
      <w:tr w:rsidR="0046518A" w:rsidRPr="00967B87" w14:paraId="32FF44D4" w14:textId="77777777" w:rsidTr="00683113">
        <w:trPr>
          <w:trHeight w:val="458"/>
          <w:jc w:val="center"/>
        </w:trPr>
        <w:tc>
          <w:tcPr>
            <w:tcW w:w="1940" w:type="dxa"/>
            <w:vMerge w:val="restart"/>
            <w:tcBorders>
              <w:top w:val="nil"/>
              <w:left w:val="nil"/>
              <w:bottom w:val="double" w:sz="6" w:space="0" w:color="000000"/>
              <w:right w:val="nil"/>
            </w:tcBorders>
            <w:shd w:val="clear" w:color="auto" w:fill="auto"/>
            <w:vAlign w:val="center"/>
            <w:hideMark/>
          </w:tcPr>
          <w:p w14:paraId="19DF0AD1"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Variables</w:t>
            </w:r>
          </w:p>
        </w:tc>
        <w:tc>
          <w:tcPr>
            <w:tcW w:w="780" w:type="dxa"/>
            <w:vMerge w:val="restart"/>
            <w:tcBorders>
              <w:top w:val="nil"/>
              <w:left w:val="nil"/>
              <w:bottom w:val="double" w:sz="6" w:space="0" w:color="000000"/>
              <w:right w:val="nil"/>
            </w:tcBorders>
            <w:shd w:val="clear" w:color="auto" w:fill="auto"/>
            <w:vAlign w:val="center"/>
            <w:hideMark/>
          </w:tcPr>
          <w:p w14:paraId="1CAEA708"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N Schools</w:t>
            </w:r>
          </w:p>
        </w:tc>
        <w:tc>
          <w:tcPr>
            <w:tcW w:w="740" w:type="dxa"/>
            <w:vMerge w:val="restart"/>
            <w:tcBorders>
              <w:top w:val="nil"/>
              <w:left w:val="nil"/>
              <w:bottom w:val="double" w:sz="6" w:space="0" w:color="000000"/>
              <w:right w:val="nil"/>
            </w:tcBorders>
            <w:shd w:val="clear" w:color="auto" w:fill="auto"/>
            <w:vAlign w:val="center"/>
            <w:hideMark/>
          </w:tcPr>
          <w:p w14:paraId="734A8CBC"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Mean</w:t>
            </w:r>
          </w:p>
        </w:tc>
        <w:tc>
          <w:tcPr>
            <w:tcW w:w="660" w:type="dxa"/>
            <w:vMerge w:val="restart"/>
            <w:tcBorders>
              <w:top w:val="nil"/>
              <w:left w:val="nil"/>
              <w:bottom w:val="double" w:sz="6" w:space="0" w:color="000000"/>
              <w:right w:val="nil"/>
            </w:tcBorders>
            <w:shd w:val="clear" w:color="auto" w:fill="auto"/>
            <w:vAlign w:val="center"/>
            <w:hideMark/>
          </w:tcPr>
          <w:p w14:paraId="0E05F64C"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SD</w:t>
            </w:r>
          </w:p>
        </w:tc>
        <w:tc>
          <w:tcPr>
            <w:tcW w:w="560" w:type="dxa"/>
            <w:vMerge w:val="restart"/>
            <w:tcBorders>
              <w:top w:val="nil"/>
              <w:left w:val="nil"/>
              <w:bottom w:val="double" w:sz="6" w:space="0" w:color="000000"/>
              <w:right w:val="nil"/>
            </w:tcBorders>
            <w:shd w:val="clear" w:color="auto" w:fill="auto"/>
            <w:vAlign w:val="center"/>
            <w:hideMark/>
          </w:tcPr>
          <w:p w14:paraId="15C6679A"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Min</w:t>
            </w:r>
          </w:p>
        </w:tc>
        <w:tc>
          <w:tcPr>
            <w:tcW w:w="560" w:type="dxa"/>
            <w:vMerge w:val="restart"/>
            <w:tcBorders>
              <w:top w:val="nil"/>
              <w:left w:val="nil"/>
              <w:bottom w:val="double" w:sz="6" w:space="0" w:color="000000"/>
              <w:right w:val="nil"/>
            </w:tcBorders>
            <w:shd w:val="clear" w:color="auto" w:fill="auto"/>
            <w:vAlign w:val="center"/>
            <w:hideMark/>
          </w:tcPr>
          <w:p w14:paraId="778135F1"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r w:rsidRPr="00967B87">
              <w:rPr>
                <w:rFonts w:ascii="Times New Roman" w:eastAsia="Times New Roman" w:hAnsi="Times New Roman" w:cs="Times New Roman"/>
                <w:b/>
                <w:bCs/>
                <w:color w:val="000000"/>
                <w:sz w:val="20"/>
                <w:szCs w:val="20"/>
              </w:rPr>
              <w:t>Max</w:t>
            </w:r>
          </w:p>
        </w:tc>
      </w:tr>
      <w:tr w:rsidR="0046518A" w:rsidRPr="00967B87" w14:paraId="05125EC9" w14:textId="77777777" w:rsidTr="00683113">
        <w:trPr>
          <w:trHeight w:val="458"/>
          <w:jc w:val="center"/>
        </w:trPr>
        <w:tc>
          <w:tcPr>
            <w:tcW w:w="1940" w:type="dxa"/>
            <w:vMerge/>
            <w:tcBorders>
              <w:top w:val="nil"/>
              <w:left w:val="nil"/>
              <w:bottom w:val="double" w:sz="6" w:space="0" w:color="000000"/>
              <w:right w:val="nil"/>
            </w:tcBorders>
            <w:vAlign w:val="center"/>
            <w:hideMark/>
          </w:tcPr>
          <w:p w14:paraId="0600509C"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c>
          <w:tcPr>
            <w:tcW w:w="780" w:type="dxa"/>
            <w:vMerge/>
            <w:tcBorders>
              <w:top w:val="nil"/>
              <w:left w:val="nil"/>
              <w:bottom w:val="double" w:sz="6" w:space="0" w:color="000000"/>
              <w:right w:val="nil"/>
            </w:tcBorders>
            <w:vAlign w:val="center"/>
            <w:hideMark/>
          </w:tcPr>
          <w:p w14:paraId="5521311C"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c>
          <w:tcPr>
            <w:tcW w:w="740" w:type="dxa"/>
            <w:vMerge/>
            <w:tcBorders>
              <w:top w:val="nil"/>
              <w:left w:val="nil"/>
              <w:bottom w:val="double" w:sz="6" w:space="0" w:color="000000"/>
              <w:right w:val="nil"/>
            </w:tcBorders>
            <w:vAlign w:val="center"/>
            <w:hideMark/>
          </w:tcPr>
          <w:p w14:paraId="7565E11A"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c>
          <w:tcPr>
            <w:tcW w:w="660" w:type="dxa"/>
            <w:vMerge/>
            <w:tcBorders>
              <w:top w:val="nil"/>
              <w:left w:val="nil"/>
              <w:bottom w:val="double" w:sz="6" w:space="0" w:color="000000"/>
              <w:right w:val="nil"/>
            </w:tcBorders>
            <w:vAlign w:val="center"/>
            <w:hideMark/>
          </w:tcPr>
          <w:p w14:paraId="60798BCB"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c>
          <w:tcPr>
            <w:tcW w:w="560" w:type="dxa"/>
            <w:vMerge/>
            <w:tcBorders>
              <w:top w:val="nil"/>
              <w:left w:val="nil"/>
              <w:bottom w:val="double" w:sz="6" w:space="0" w:color="000000"/>
              <w:right w:val="nil"/>
            </w:tcBorders>
            <w:vAlign w:val="center"/>
            <w:hideMark/>
          </w:tcPr>
          <w:p w14:paraId="31F4D392"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c>
          <w:tcPr>
            <w:tcW w:w="560" w:type="dxa"/>
            <w:vMerge/>
            <w:tcBorders>
              <w:top w:val="nil"/>
              <w:left w:val="nil"/>
              <w:bottom w:val="double" w:sz="6" w:space="0" w:color="000000"/>
              <w:right w:val="nil"/>
            </w:tcBorders>
            <w:vAlign w:val="center"/>
            <w:hideMark/>
          </w:tcPr>
          <w:p w14:paraId="1865664D" w14:textId="77777777" w:rsidR="0046518A" w:rsidRPr="00967B87" w:rsidRDefault="0046518A" w:rsidP="00683113">
            <w:pPr>
              <w:spacing w:after="0" w:line="240" w:lineRule="auto"/>
              <w:rPr>
                <w:rFonts w:ascii="Times New Roman" w:eastAsia="Times New Roman" w:hAnsi="Times New Roman" w:cs="Times New Roman"/>
                <w:b/>
                <w:bCs/>
                <w:color w:val="000000"/>
                <w:sz w:val="20"/>
                <w:szCs w:val="20"/>
              </w:rPr>
            </w:pPr>
          </w:p>
        </w:tc>
      </w:tr>
      <w:tr w:rsidR="0046518A" w:rsidRPr="00967B87" w14:paraId="212C612A" w14:textId="77777777" w:rsidTr="00683113">
        <w:trPr>
          <w:trHeight w:val="288"/>
          <w:jc w:val="center"/>
        </w:trPr>
        <w:tc>
          <w:tcPr>
            <w:tcW w:w="1940" w:type="dxa"/>
            <w:tcBorders>
              <w:top w:val="nil"/>
              <w:left w:val="nil"/>
              <w:bottom w:val="nil"/>
              <w:right w:val="nil"/>
            </w:tcBorders>
            <w:shd w:val="clear" w:color="auto" w:fill="auto"/>
            <w:vAlign w:val="center"/>
            <w:hideMark/>
          </w:tcPr>
          <w:p w14:paraId="2CCAEB16" w14:textId="77777777" w:rsidR="0046518A" w:rsidRPr="00967B87" w:rsidRDefault="0046518A" w:rsidP="00683113">
            <w:pPr>
              <w:spacing w:after="0" w:line="240" w:lineRule="auto"/>
              <w:jc w:val="center"/>
              <w:rPr>
                <w:rFonts w:ascii="Times New Roman" w:eastAsia="Times New Roman" w:hAnsi="Times New Roman" w:cs="Times New Roman"/>
                <w:b/>
                <w:bCs/>
                <w:color w:val="000000"/>
                <w:sz w:val="20"/>
                <w:szCs w:val="20"/>
              </w:rPr>
            </w:pPr>
          </w:p>
        </w:tc>
        <w:tc>
          <w:tcPr>
            <w:tcW w:w="3300" w:type="dxa"/>
            <w:gridSpan w:val="5"/>
            <w:tcBorders>
              <w:top w:val="single" w:sz="4" w:space="0" w:color="auto"/>
              <w:left w:val="nil"/>
              <w:bottom w:val="nil"/>
              <w:right w:val="nil"/>
            </w:tcBorders>
            <w:shd w:val="clear" w:color="auto" w:fill="auto"/>
            <w:vAlign w:val="center"/>
            <w:hideMark/>
          </w:tcPr>
          <w:p w14:paraId="7FA968F4" w14:textId="77777777" w:rsidR="0046518A" w:rsidRPr="00967B87" w:rsidRDefault="0046518A" w:rsidP="00683113">
            <w:pPr>
              <w:spacing w:after="0" w:line="240" w:lineRule="auto"/>
              <w:jc w:val="center"/>
              <w:rPr>
                <w:rFonts w:ascii="Times New Roman" w:eastAsia="Times New Roman" w:hAnsi="Times New Roman" w:cs="Times New Roman"/>
                <w:i/>
                <w:iCs/>
                <w:color w:val="000000"/>
                <w:sz w:val="20"/>
                <w:szCs w:val="20"/>
              </w:rPr>
            </w:pPr>
            <w:r w:rsidRPr="00967B87">
              <w:rPr>
                <w:rFonts w:ascii="Times New Roman" w:eastAsia="Times New Roman" w:hAnsi="Times New Roman" w:cs="Times New Roman"/>
                <w:i/>
                <w:iCs/>
                <w:color w:val="000000"/>
                <w:sz w:val="20"/>
                <w:szCs w:val="20"/>
              </w:rPr>
              <w:t>Statewide Population of High Schools</w:t>
            </w:r>
          </w:p>
        </w:tc>
      </w:tr>
      <w:tr w:rsidR="0046518A" w:rsidRPr="00967B87" w14:paraId="4B3FEA1A" w14:textId="77777777" w:rsidTr="00683113">
        <w:trPr>
          <w:trHeight w:val="264"/>
          <w:jc w:val="center"/>
        </w:trPr>
        <w:tc>
          <w:tcPr>
            <w:tcW w:w="1940" w:type="dxa"/>
            <w:tcBorders>
              <w:top w:val="nil"/>
              <w:left w:val="nil"/>
              <w:bottom w:val="nil"/>
              <w:right w:val="nil"/>
            </w:tcBorders>
            <w:shd w:val="clear" w:color="auto" w:fill="auto"/>
            <w:vAlign w:val="center"/>
            <w:hideMark/>
          </w:tcPr>
          <w:p w14:paraId="3E9839F0"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Total Enrollment</w:t>
            </w:r>
          </w:p>
        </w:tc>
        <w:tc>
          <w:tcPr>
            <w:tcW w:w="780" w:type="dxa"/>
            <w:tcBorders>
              <w:top w:val="nil"/>
              <w:left w:val="nil"/>
              <w:bottom w:val="nil"/>
              <w:right w:val="nil"/>
            </w:tcBorders>
            <w:shd w:val="clear" w:color="auto" w:fill="auto"/>
            <w:vAlign w:val="center"/>
            <w:hideMark/>
          </w:tcPr>
          <w:p w14:paraId="70F3701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466</w:t>
            </w:r>
          </w:p>
        </w:tc>
        <w:tc>
          <w:tcPr>
            <w:tcW w:w="740" w:type="dxa"/>
            <w:tcBorders>
              <w:top w:val="nil"/>
              <w:left w:val="nil"/>
              <w:bottom w:val="nil"/>
              <w:right w:val="nil"/>
            </w:tcBorders>
            <w:shd w:val="clear" w:color="auto" w:fill="auto"/>
            <w:vAlign w:val="center"/>
            <w:hideMark/>
          </w:tcPr>
          <w:p w14:paraId="461F521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388.96</w:t>
            </w:r>
          </w:p>
        </w:tc>
        <w:tc>
          <w:tcPr>
            <w:tcW w:w="660" w:type="dxa"/>
            <w:tcBorders>
              <w:top w:val="nil"/>
              <w:left w:val="nil"/>
              <w:bottom w:val="nil"/>
              <w:right w:val="nil"/>
            </w:tcBorders>
            <w:shd w:val="clear" w:color="auto" w:fill="auto"/>
            <w:noWrap/>
            <w:vAlign w:val="bottom"/>
            <w:hideMark/>
          </w:tcPr>
          <w:p w14:paraId="3A9DC17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552.89</w:t>
            </w:r>
          </w:p>
        </w:tc>
        <w:tc>
          <w:tcPr>
            <w:tcW w:w="560" w:type="dxa"/>
            <w:tcBorders>
              <w:top w:val="nil"/>
              <w:left w:val="nil"/>
              <w:bottom w:val="nil"/>
              <w:right w:val="nil"/>
            </w:tcBorders>
            <w:shd w:val="clear" w:color="auto" w:fill="auto"/>
            <w:noWrap/>
            <w:vAlign w:val="bottom"/>
            <w:hideMark/>
          </w:tcPr>
          <w:p w14:paraId="5114663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21</w:t>
            </w:r>
          </w:p>
        </w:tc>
        <w:tc>
          <w:tcPr>
            <w:tcW w:w="560" w:type="dxa"/>
            <w:tcBorders>
              <w:top w:val="nil"/>
              <w:left w:val="nil"/>
              <w:bottom w:val="nil"/>
              <w:right w:val="nil"/>
            </w:tcBorders>
            <w:shd w:val="clear" w:color="auto" w:fill="auto"/>
            <w:noWrap/>
            <w:vAlign w:val="bottom"/>
            <w:hideMark/>
          </w:tcPr>
          <w:p w14:paraId="16A1763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3778</w:t>
            </w:r>
          </w:p>
        </w:tc>
      </w:tr>
      <w:tr w:rsidR="0046518A" w:rsidRPr="00967B87" w14:paraId="57E47B2A" w14:textId="77777777" w:rsidTr="00683113">
        <w:trPr>
          <w:trHeight w:val="264"/>
          <w:jc w:val="center"/>
        </w:trPr>
        <w:tc>
          <w:tcPr>
            <w:tcW w:w="1940" w:type="dxa"/>
            <w:tcBorders>
              <w:top w:val="nil"/>
              <w:left w:val="nil"/>
              <w:bottom w:val="nil"/>
              <w:right w:val="nil"/>
            </w:tcBorders>
            <w:shd w:val="clear" w:color="auto" w:fill="auto"/>
            <w:vAlign w:val="center"/>
            <w:hideMark/>
          </w:tcPr>
          <w:p w14:paraId="6E04B90A"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Percent Minority</w:t>
            </w:r>
          </w:p>
        </w:tc>
        <w:tc>
          <w:tcPr>
            <w:tcW w:w="780" w:type="dxa"/>
            <w:tcBorders>
              <w:top w:val="nil"/>
              <w:left w:val="nil"/>
              <w:bottom w:val="nil"/>
              <w:right w:val="nil"/>
            </w:tcBorders>
            <w:shd w:val="clear" w:color="auto" w:fill="auto"/>
            <w:vAlign w:val="center"/>
            <w:hideMark/>
          </w:tcPr>
          <w:p w14:paraId="463BAD6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466</w:t>
            </w:r>
          </w:p>
        </w:tc>
        <w:tc>
          <w:tcPr>
            <w:tcW w:w="740" w:type="dxa"/>
            <w:tcBorders>
              <w:top w:val="nil"/>
              <w:left w:val="nil"/>
              <w:bottom w:val="nil"/>
              <w:right w:val="nil"/>
            </w:tcBorders>
            <w:shd w:val="clear" w:color="auto" w:fill="auto"/>
            <w:vAlign w:val="center"/>
            <w:hideMark/>
          </w:tcPr>
          <w:p w14:paraId="7A78B43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0.44</w:t>
            </w:r>
          </w:p>
        </w:tc>
        <w:tc>
          <w:tcPr>
            <w:tcW w:w="660" w:type="dxa"/>
            <w:tcBorders>
              <w:top w:val="nil"/>
              <w:left w:val="nil"/>
              <w:bottom w:val="nil"/>
              <w:right w:val="nil"/>
            </w:tcBorders>
            <w:shd w:val="clear" w:color="auto" w:fill="auto"/>
            <w:noWrap/>
            <w:vAlign w:val="bottom"/>
            <w:hideMark/>
          </w:tcPr>
          <w:p w14:paraId="03A693B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0.186</w:t>
            </w:r>
          </w:p>
        </w:tc>
        <w:tc>
          <w:tcPr>
            <w:tcW w:w="560" w:type="dxa"/>
            <w:tcBorders>
              <w:top w:val="nil"/>
              <w:left w:val="nil"/>
              <w:bottom w:val="nil"/>
              <w:right w:val="nil"/>
            </w:tcBorders>
            <w:shd w:val="clear" w:color="auto" w:fill="auto"/>
            <w:noWrap/>
            <w:vAlign w:val="bottom"/>
            <w:hideMark/>
          </w:tcPr>
          <w:p w14:paraId="287DEFD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0.048</w:t>
            </w:r>
          </w:p>
        </w:tc>
        <w:tc>
          <w:tcPr>
            <w:tcW w:w="560" w:type="dxa"/>
            <w:tcBorders>
              <w:top w:val="nil"/>
              <w:left w:val="nil"/>
              <w:bottom w:val="nil"/>
              <w:right w:val="nil"/>
            </w:tcBorders>
            <w:shd w:val="clear" w:color="auto" w:fill="auto"/>
            <w:noWrap/>
            <w:vAlign w:val="bottom"/>
            <w:hideMark/>
          </w:tcPr>
          <w:p w14:paraId="026781A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0.996</w:t>
            </w:r>
          </w:p>
        </w:tc>
      </w:tr>
      <w:tr w:rsidR="0046518A" w:rsidRPr="00967B87" w14:paraId="6348AAD3" w14:textId="77777777" w:rsidTr="00683113">
        <w:trPr>
          <w:trHeight w:val="264"/>
          <w:jc w:val="center"/>
        </w:trPr>
        <w:tc>
          <w:tcPr>
            <w:tcW w:w="1940" w:type="dxa"/>
            <w:tcBorders>
              <w:top w:val="nil"/>
              <w:left w:val="nil"/>
              <w:bottom w:val="nil"/>
              <w:right w:val="nil"/>
            </w:tcBorders>
            <w:shd w:val="clear" w:color="auto" w:fill="auto"/>
            <w:vAlign w:val="center"/>
            <w:hideMark/>
          </w:tcPr>
          <w:p w14:paraId="7355E242"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Urban</w:t>
            </w:r>
          </w:p>
        </w:tc>
        <w:tc>
          <w:tcPr>
            <w:tcW w:w="780" w:type="dxa"/>
            <w:tcBorders>
              <w:top w:val="nil"/>
              <w:left w:val="nil"/>
              <w:bottom w:val="nil"/>
              <w:right w:val="nil"/>
            </w:tcBorders>
            <w:shd w:val="clear" w:color="auto" w:fill="auto"/>
            <w:vAlign w:val="center"/>
            <w:hideMark/>
          </w:tcPr>
          <w:p w14:paraId="40D5F35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466</w:t>
            </w:r>
          </w:p>
        </w:tc>
        <w:tc>
          <w:tcPr>
            <w:tcW w:w="740" w:type="dxa"/>
            <w:tcBorders>
              <w:top w:val="nil"/>
              <w:left w:val="nil"/>
              <w:bottom w:val="nil"/>
              <w:right w:val="nil"/>
            </w:tcBorders>
            <w:shd w:val="clear" w:color="auto" w:fill="auto"/>
            <w:vAlign w:val="center"/>
            <w:hideMark/>
          </w:tcPr>
          <w:p w14:paraId="6AE42F4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0.14</w:t>
            </w:r>
          </w:p>
        </w:tc>
        <w:tc>
          <w:tcPr>
            <w:tcW w:w="660" w:type="dxa"/>
            <w:tcBorders>
              <w:top w:val="nil"/>
              <w:left w:val="nil"/>
              <w:bottom w:val="nil"/>
              <w:right w:val="nil"/>
            </w:tcBorders>
            <w:shd w:val="clear" w:color="auto" w:fill="auto"/>
            <w:noWrap/>
            <w:vAlign w:val="bottom"/>
            <w:hideMark/>
          </w:tcPr>
          <w:p w14:paraId="4EF6DA9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0.342</w:t>
            </w:r>
          </w:p>
        </w:tc>
        <w:tc>
          <w:tcPr>
            <w:tcW w:w="560" w:type="dxa"/>
            <w:tcBorders>
              <w:top w:val="nil"/>
              <w:left w:val="nil"/>
              <w:bottom w:val="nil"/>
              <w:right w:val="nil"/>
            </w:tcBorders>
            <w:shd w:val="clear" w:color="auto" w:fill="auto"/>
            <w:noWrap/>
            <w:vAlign w:val="bottom"/>
            <w:hideMark/>
          </w:tcPr>
          <w:p w14:paraId="6F2C890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w:t>
            </w:r>
          </w:p>
        </w:tc>
        <w:tc>
          <w:tcPr>
            <w:tcW w:w="560" w:type="dxa"/>
            <w:tcBorders>
              <w:top w:val="nil"/>
              <w:left w:val="nil"/>
              <w:bottom w:val="nil"/>
              <w:right w:val="nil"/>
            </w:tcBorders>
            <w:shd w:val="clear" w:color="auto" w:fill="auto"/>
            <w:noWrap/>
            <w:vAlign w:val="bottom"/>
            <w:hideMark/>
          </w:tcPr>
          <w:p w14:paraId="1A91B7E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00AE5684" w14:textId="77777777" w:rsidTr="00683113">
        <w:trPr>
          <w:trHeight w:val="264"/>
          <w:jc w:val="center"/>
        </w:trPr>
        <w:tc>
          <w:tcPr>
            <w:tcW w:w="1940" w:type="dxa"/>
            <w:tcBorders>
              <w:top w:val="nil"/>
              <w:left w:val="nil"/>
              <w:bottom w:val="nil"/>
              <w:right w:val="nil"/>
            </w:tcBorders>
            <w:shd w:val="clear" w:color="auto" w:fill="auto"/>
            <w:vAlign w:val="center"/>
            <w:hideMark/>
          </w:tcPr>
          <w:p w14:paraId="75CE4A4C"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FTE Teachers</w:t>
            </w:r>
          </w:p>
        </w:tc>
        <w:tc>
          <w:tcPr>
            <w:tcW w:w="780" w:type="dxa"/>
            <w:tcBorders>
              <w:top w:val="nil"/>
              <w:left w:val="nil"/>
              <w:bottom w:val="nil"/>
              <w:right w:val="nil"/>
            </w:tcBorders>
            <w:shd w:val="clear" w:color="auto" w:fill="auto"/>
            <w:vAlign w:val="center"/>
            <w:hideMark/>
          </w:tcPr>
          <w:p w14:paraId="06054A2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460</w:t>
            </w:r>
          </w:p>
        </w:tc>
        <w:tc>
          <w:tcPr>
            <w:tcW w:w="740" w:type="dxa"/>
            <w:tcBorders>
              <w:top w:val="nil"/>
              <w:left w:val="nil"/>
              <w:bottom w:val="nil"/>
              <w:right w:val="nil"/>
            </w:tcBorders>
            <w:shd w:val="clear" w:color="auto" w:fill="auto"/>
            <w:vAlign w:val="center"/>
            <w:hideMark/>
          </w:tcPr>
          <w:p w14:paraId="13FAC6D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24.09</w:t>
            </w:r>
          </w:p>
        </w:tc>
        <w:tc>
          <w:tcPr>
            <w:tcW w:w="660" w:type="dxa"/>
            <w:tcBorders>
              <w:top w:val="nil"/>
              <w:left w:val="nil"/>
              <w:bottom w:val="nil"/>
              <w:right w:val="nil"/>
            </w:tcBorders>
            <w:shd w:val="clear" w:color="auto" w:fill="auto"/>
            <w:noWrap/>
            <w:vAlign w:val="bottom"/>
            <w:hideMark/>
          </w:tcPr>
          <w:p w14:paraId="16A9CAB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28.59</w:t>
            </w:r>
          </w:p>
        </w:tc>
        <w:tc>
          <w:tcPr>
            <w:tcW w:w="560" w:type="dxa"/>
            <w:tcBorders>
              <w:top w:val="nil"/>
              <w:left w:val="nil"/>
              <w:bottom w:val="nil"/>
              <w:right w:val="nil"/>
            </w:tcBorders>
            <w:shd w:val="clear" w:color="auto" w:fill="auto"/>
            <w:noWrap/>
            <w:vAlign w:val="bottom"/>
            <w:hideMark/>
          </w:tcPr>
          <w:p w14:paraId="0AD2AE5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0.59</w:t>
            </w:r>
          </w:p>
        </w:tc>
        <w:tc>
          <w:tcPr>
            <w:tcW w:w="560" w:type="dxa"/>
            <w:tcBorders>
              <w:top w:val="nil"/>
              <w:left w:val="nil"/>
              <w:bottom w:val="nil"/>
              <w:right w:val="nil"/>
            </w:tcBorders>
            <w:shd w:val="clear" w:color="auto" w:fill="auto"/>
            <w:noWrap/>
            <w:vAlign w:val="bottom"/>
            <w:hideMark/>
          </w:tcPr>
          <w:p w14:paraId="4F76191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194.5</w:t>
            </w:r>
          </w:p>
        </w:tc>
      </w:tr>
      <w:tr w:rsidR="0046518A" w:rsidRPr="00967B87" w14:paraId="4D4EA5FC" w14:textId="77777777" w:rsidTr="00683113">
        <w:trPr>
          <w:trHeight w:val="264"/>
          <w:jc w:val="center"/>
        </w:trPr>
        <w:tc>
          <w:tcPr>
            <w:tcW w:w="1940" w:type="dxa"/>
            <w:tcBorders>
              <w:top w:val="nil"/>
              <w:left w:val="nil"/>
              <w:bottom w:val="nil"/>
              <w:right w:val="nil"/>
            </w:tcBorders>
            <w:shd w:val="clear" w:color="auto" w:fill="auto"/>
            <w:vAlign w:val="center"/>
            <w:hideMark/>
          </w:tcPr>
          <w:p w14:paraId="3B39A56C"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Charter</w:t>
            </w:r>
          </w:p>
        </w:tc>
        <w:tc>
          <w:tcPr>
            <w:tcW w:w="780" w:type="dxa"/>
            <w:tcBorders>
              <w:top w:val="nil"/>
              <w:left w:val="nil"/>
              <w:bottom w:val="nil"/>
              <w:right w:val="nil"/>
            </w:tcBorders>
            <w:shd w:val="clear" w:color="auto" w:fill="auto"/>
            <w:vAlign w:val="center"/>
            <w:hideMark/>
          </w:tcPr>
          <w:p w14:paraId="2D8C052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466</w:t>
            </w:r>
          </w:p>
        </w:tc>
        <w:tc>
          <w:tcPr>
            <w:tcW w:w="740" w:type="dxa"/>
            <w:tcBorders>
              <w:top w:val="nil"/>
              <w:left w:val="nil"/>
              <w:bottom w:val="nil"/>
              <w:right w:val="nil"/>
            </w:tcBorders>
            <w:shd w:val="clear" w:color="auto" w:fill="auto"/>
            <w:vAlign w:val="center"/>
            <w:hideMark/>
          </w:tcPr>
          <w:p w14:paraId="6FAEF4E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0.03</w:t>
            </w:r>
          </w:p>
        </w:tc>
        <w:tc>
          <w:tcPr>
            <w:tcW w:w="660" w:type="dxa"/>
            <w:tcBorders>
              <w:top w:val="nil"/>
              <w:left w:val="nil"/>
              <w:bottom w:val="nil"/>
              <w:right w:val="nil"/>
            </w:tcBorders>
            <w:shd w:val="clear" w:color="auto" w:fill="auto"/>
            <w:noWrap/>
            <w:vAlign w:val="bottom"/>
            <w:hideMark/>
          </w:tcPr>
          <w:p w14:paraId="25F5F0D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0.165</w:t>
            </w:r>
          </w:p>
        </w:tc>
        <w:tc>
          <w:tcPr>
            <w:tcW w:w="560" w:type="dxa"/>
            <w:tcBorders>
              <w:top w:val="nil"/>
              <w:left w:val="nil"/>
              <w:bottom w:val="nil"/>
              <w:right w:val="nil"/>
            </w:tcBorders>
            <w:shd w:val="clear" w:color="auto" w:fill="auto"/>
            <w:noWrap/>
            <w:vAlign w:val="bottom"/>
            <w:hideMark/>
          </w:tcPr>
          <w:p w14:paraId="67249D6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w:t>
            </w:r>
          </w:p>
        </w:tc>
        <w:tc>
          <w:tcPr>
            <w:tcW w:w="560" w:type="dxa"/>
            <w:tcBorders>
              <w:top w:val="nil"/>
              <w:left w:val="nil"/>
              <w:bottom w:val="nil"/>
              <w:right w:val="nil"/>
            </w:tcBorders>
            <w:shd w:val="clear" w:color="auto" w:fill="auto"/>
            <w:noWrap/>
            <w:vAlign w:val="bottom"/>
            <w:hideMark/>
          </w:tcPr>
          <w:p w14:paraId="02B74E9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1089701E" w14:textId="77777777" w:rsidTr="00683113">
        <w:trPr>
          <w:trHeight w:val="264"/>
          <w:jc w:val="center"/>
        </w:trPr>
        <w:tc>
          <w:tcPr>
            <w:tcW w:w="1940" w:type="dxa"/>
            <w:tcBorders>
              <w:top w:val="nil"/>
              <w:left w:val="nil"/>
              <w:bottom w:val="nil"/>
              <w:right w:val="nil"/>
            </w:tcBorders>
            <w:shd w:val="clear" w:color="auto" w:fill="auto"/>
            <w:vAlign w:val="center"/>
            <w:hideMark/>
          </w:tcPr>
          <w:p w14:paraId="5D42980D"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Percent FRL</w:t>
            </w:r>
          </w:p>
        </w:tc>
        <w:tc>
          <w:tcPr>
            <w:tcW w:w="780" w:type="dxa"/>
            <w:tcBorders>
              <w:top w:val="nil"/>
              <w:left w:val="nil"/>
              <w:bottom w:val="nil"/>
              <w:right w:val="nil"/>
            </w:tcBorders>
            <w:shd w:val="clear" w:color="auto" w:fill="auto"/>
            <w:vAlign w:val="center"/>
            <w:hideMark/>
          </w:tcPr>
          <w:p w14:paraId="5ED023F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459</w:t>
            </w:r>
          </w:p>
        </w:tc>
        <w:tc>
          <w:tcPr>
            <w:tcW w:w="740" w:type="dxa"/>
            <w:tcBorders>
              <w:top w:val="nil"/>
              <w:left w:val="nil"/>
              <w:bottom w:val="nil"/>
              <w:right w:val="nil"/>
            </w:tcBorders>
            <w:shd w:val="clear" w:color="auto" w:fill="auto"/>
            <w:vAlign w:val="center"/>
            <w:hideMark/>
          </w:tcPr>
          <w:p w14:paraId="720043C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0.595</w:t>
            </w:r>
          </w:p>
        </w:tc>
        <w:tc>
          <w:tcPr>
            <w:tcW w:w="660" w:type="dxa"/>
            <w:tcBorders>
              <w:top w:val="nil"/>
              <w:left w:val="nil"/>
              <w:bottom w:val="nil"/>
              <w:right w:val="nil"/>
            </w:tcBorders>
            <w:shd w:val="clear" w:color="auto" w:fill="auto"/>
            <w:noWrap/>
            <w:vAlign w:val="bottom"/>
            <w:hideMark/>
          </w:tcPr>
          <w:p w14:paraId="0F35C22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0.184</w:t>
            </w:r>
          </w:p>
        </w:tc>
        <w:tc>
          <w:tcPr>
            <w:tcW w:w="560" w:type="dxa"/>
            <w:tcBorders>
              <w:top w:val="nil"/>
              <w:left w:val="nil"/>
              <w:bottom w:val="nil"/>
              <w:right w:val="nil"/>
            </w:tcBorders>
            <w:shd w:val="clear" w:color="auto" w:fill="auto"/>
            <w:noWrap/>
            <w:vAlign w:val="bottom"/>
            <w:hideMark/>
          </w:tcPr>
          <w:p w14:paraId="1C65176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0.03</w:t>
            </w:r>
          </w:p>
        </w:tc>
        <w:tc>
          <w:tcPr>
            <w:tcW w:w="560" w:type="dxa"/>
            <w:tcBorders>
              <w:top w:val="nil"/>
              <w:left w:val="nil"/>
              <w:bottom w:val="nil"/>
              <w:right w:val="nil"/>
            </w:tcBorders>
            <w:shd w:val="clear" w:color="auto" w:fill="auto"/>
            <w:noWrap/>
            <w:vAlign w:val="bottom"/>
            <w:hideMark/>
          </w:tcPr>
          <w:p w14:paraId="6D3E77DE"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6719AA2A" w14:textId="77777777" w:rsidTr="00683113">
        <w:trPr>
          <w:trHeight w:val="276"/>
          <w:jc w:val="center"/>
        </w:trPr>
        <w:tc>
          <w:tcPr>
            <w:tcW w:w="1940" w:type="dxa"/>
            <w:tcBorders>
              <w:top w:val="nil"/>
              <w:left w:val="nil"/>
              <w:bottom w:val="nil"/>
              <w:right w:val="nil"/>
            </w:tcBorders>
            <w:shd w:val="clear" w:color="auto" w:fill="auto"/>
            <w:vAlign w:val="center"/>
            <w:hideMark/>
          </w:tcPr>
          <w:p w14:paraId="039EFB1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p>
        </w:tc>
        <w:tc>
          <w:tcPr>
            <w:tcW w:w="3300" w:type="dxa"/>
            <w:gridSpan w:val="5"/>
            <w:tcBorders>
              <w:top w:val="nil"/>
              <w:left w:val="nil"/>
              <w:bottom w:val="nil"/>
              <w:right w:val="nil"/>
            </w:tcBorders>
            <w:shd w:val="clear" w:color="auto" w:fill="auto"/>
            <w:vAlign w:val="center"/>
            <w:hideMark/>
          </w:tcPr>
          <w:p w14:paraId="0513E3E0" w14:textId="77777777" w:rsidR="0046518A" w:rsidRPr="00967B87" w:rsidRDefault="0046518A" w:rsidP="00683113">
            <w:pPr>
              <w:spacing w:after="0" w:line="240" w:lineRule="auto"/>
              <w:jc w:val="center"/>
              <w:rPr>
                <w:rFonts w:ascii="Times New Roman" w:eastAsia="Times New Roman" w:hAnsi="Times New Roman" w:cs="Times New Roman"/>
                <w:i/>
                <w:iCs/>
                <w:color w:val="000000"/>
                <w:sz w:val="20"/>
                <w:szCs w:val="20"/>
              </w:rPr>
            </w:pPr>
            <w:r w:rsidRPr="00967B87">
              <w:rPr>
                <w:rFonts w:ascii="Times New Roman" w:eastAsia="Times New Roman" w:hAnsi="Times New Roman" w:cs="Times New Roman"/>
                <w:i/>
                <w:iCs/>
                <w:color w:val="000000"/>
                <w:sz w:val="20"/>
                <w:szCs w:val="20"/>
              </w:rPr>
              <w:t>Survey Sample High Schools</w:t>
            </w:r>
          </w:p>
        </w:tc>
      </w:tr>
      <w:tr w:rsidR="0046518A" w:rsidRPr="00967B87" w14:paraId="52D7DC54" w14:textId="77777777" w:rsidTr="00683113">
        <w:trPr>
          <w:trHeight w:val="264"/>
          <w:jc w:val="center"/>
        </w:trPr>
        <w:tc>
          <w:tcPr>
            <w:tcW w:w="1940" w:type="dxa"/>
            <w:tcBorders>
              <w:top w:val="nil"/>
              <w:left w:val="nil"/>
              <w:bottom w:val="nil"/>
              <w:right w:val="nil"/>
            </w:tcBorders>
            <w:shd w:val="clear" w:color="auto" w:fill="auto"/>
            <w:vAlign w:val="center"/>
            <w:hideMark/>
          </w:tcPr>
          <w:p w14:paraId="5EA20A63"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Total Enrollment</w:t>
            </w:r>
          </w:p>
        </w:tc>
        <w:tc>
          <w:tcPr>
            <w:tcW w:w="780" w:type="dxa"/>
            <w:tcBorders>
              <w:top w:val="nil"/>
              <w:left w:val="nil"/>
              <w:bottom w:val="nil"/>
              <w:right w:val="nil"/>
            </w:tcBorders>
            <w:shd w:val="clear" w:color="auto" w:fill="auto"/>
            <w:vAlign w:val="center"/>
            <w:hideMark/>
          </w:tcPr>
          <w:p w14:paraId="09755ED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nil"/>
              <w:right w:val="nil"/>
            </w:tcBorders>
            <w:shd w:val="clear" w:color="auto" w:fill="auto"/>
            <w:vAlign w:val="center"/>
            <w:hideMark/>
          </w:tcPr>
          <w:p w14:paraId="76C4470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574.16</w:t>
            </w:r>
          </w:p>
        </w:tc>
        <w:tc>
          <w:tcPr>
            <w:tcW w:w="660" w:type="dxa"/>
            <w:tcBorders>
              <w:top w:val="nil"/>
              <w:left w:val="nil"/>
              <w:bottom w:val="nil"/>
              <w:right w:val="nil"/>
            </w:tcBorders>
            <w:shd w:val="clear" w:color="auto" w:fill="auto"/>
            <w:noWrap/>
            <w:vAlign w:val="bottom"/>
            <w:hideMark/>
          </w:tcPr>
          <w:p w14:paraId="62E4D69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659.25</w:t>
            </w:r>
          </w:p>
        </w:tc>
        <w:tc>
          <w:tcPr>
            <w:tcW w:w="560" w:type="dxa"/>
            <w:tcBorders>
              <w:top w:val="nil"/>
              <w:left w:val="nil"/>
              <w:bottom w:val="nil"/>
              <w:right w:val="nil"/>
            </w:tcBorders>
            <w:shd w:val="clear" w:color="auto" w:fill="auto"/>
            <w:noWrap/>
            <w:vAlign w:val="bottom"/>
            <w:hideMark/>
          </w:tcPr>
          <w:p w14:paraId="000947F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24</w:t>
            </w:r>
          </w:p>
        </w:tc>
        <w:tc>
          <w:tcPr>
            <w:tcW w:w="560" w:type="dxa"/>
            <w:tcBorders>
              <w:top w:val="nil"/>
              <w:left w:val="nil"/>
              <w:bottom w:val="nil"/>
              <w:right w:val="nil"/>
            </w:tcBorders>
            <w:shd w:val="clear" w:color="auto" w:fill="auto"/>
            <w:noWrap/>
            <w:vAlign w:val="bottom"/>
            <w:hideMark/>
          </w:tcPr>
          <w:p w14:paraId="7F1B3BF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3489</w:t>
            </w:r>
          </w:p>
        </w:tc>
      </w:tr>
      <w:tr w:rsidR="0046518A" w:rsidRPr="00967B87" w14:paraId="526B00D7" w14:textId="77777777" w:rsidTr="00683113">
        <w:trPr>
          <w:trHeight w:val="264"/>
          <w:jc w:val="center"/>
        </w:trPr>
        <w:tc>
          <w:tcPr>
            <w:tcW w:w="1940" w:type="dxa"/>
            <w:tcBorders>
              <w:top w:val="nil"/>
              <w:left w:val="nil"/>
              <w:bottom w:val="nil"/>
              <w:right w:val="nil"/>
            </w:tcBorders>
            <w:shd w:val="clear" w:color="auto" w:fill="auto"/>
            <w:vAlign w:val="center"/>
            <w:hideMark/>
          </w:tcPr>
          <w:p w14:paraId="3E2C5E27"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Percent Minority</w:t>
            </w:r>
          </w:p>
        </w:tc>
        <w:tc>
          <w:tcPr>
            <w:tcW w:w="780" w:type="dxa"/>
            <w:tcBorders>
              <w:top w:val="nil"/>
              <w:left w:val="nil"/>
              <w:bottom w:val="nil"/>
              <w:right w:val="nil"/>
            </w:tcBorders>
            <w:shd w:val="clear" w:color="auto" w:fill="auto"/>
            <w:vAlign w:val="center"/>
            <w:hideMark/>
          </w:tcPr>
          <w:p w14:paraId="4724DDA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nil"/>
              <w:right w:val="nil"/>
            </w:tcBorders>
            <w:shd w:val="clear" w:color="auto" w:fill="auto"/>
            <w:vAlign w:val="center"/>
            <w:hideMark/>
          </w:tcPr>
          <w:p w14:paraId="6C572CB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0.45</w:t>
            </w:r>
          </w:p>
        </w:tc>
        <w:tc>
          <w:tcPr>
            <w:tcW w:w="660" w:type="dxa"/>
            <w:tcBorders>
              <w:top w:val="nil"/>
              <w:left w:val="nil"/>
              <w:bottom w:val="nil"/>
              <w:right w:val="nil"/>
            </w:tcBorders>
            <w:shd w:val="clear" w:color="auto" w:fill="auto"/>
            <w:noWrap/>
            <w:vAlign w:val="bottom"/>
            <w:hideMark/>
          </w:tcPr>
          <w:p w14:paraId="675AA63E"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0.173</w:t>
            </w:r>
          </w:p>
        </w:tc>
        <w:tc>
          <w:tcPr>
            <w:tcW w:w="560" w:type="dxa"/>
            <w:tcBorders>
              <w:top w:val="nil"/>
              <w:left w:val="nil"/>
              <w:bottom w:val="nil"/>
              <w:right w:val="nil"/>
            </w:tcBorders>
            <w:shd w:val="clear" w:color="auto" w:fill="auto"/>
            <w:noWrap/>
            <w:vAlign w:val="bottom"/>
            <w:hideMark/>
          </w:tcPr>
          <w:p w14:paraId="1BA882D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0.056</w:t>
            </w:r>
          </w:p>
        </w:tc>
        <w:tc>
          <w:tcPr>
            <w:tcW w:w="560" w:type="dxa"/>
            <w:tcBorders>
              <w:top w:val="nil"/>
              <w:left w:val="nil"/>
              <w:bottom w:val="nil"/>
              <w:right w:val="nil"/>
            </w:tcBorders>
            <w:shd w:val="clear" w:color="auto" w:fill="auto"/>
            <w:noWrap/>
            <w:vAlign w:val="bottom"/>
            <w:hideMark/>
          </w:tcPr>
          <w:p w14:paraId="2AB08F0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0.916</w:t>
            </w:r>
          </w:p>
        </w:tc>
      </w:tr>
      <w:tr w:rsidR="0046518A" w:rsidRPr="00967B87" w14:paraId="6F88F40B" w14:textId="77777777" w:rsidTr="00683113">
        <w:trPr>
          <w:trHeight w:val="264"/>
          <w:jc w:val="center"/>
        </w:trPr>
        <w:tc>
          <w:tcPr>
            <w:tcW w:w="1940" w:type="dxa"/>
            <w:tcBorders>
              <w:top w:val="nil"/>
              <w:left w:val="nil"/>
              <w:bottom w:val="nil"/>
              <w:right w:val="nil"/>
            </w:tcBorders>
            <w:shd w:val="clear" w:color="auto" w:fill="auto"/>
            <w:vAlign w:val="center"/>
            <w:hideMark/>
          </w:tcPr>
          <w:p w14:paraId="6E0C0C06"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Urban</w:t>
            </w:r>
          </w:p>
        </w:tc>
        <w:tc>
          <w:tcPr>
            <w:tcW w:w="780" w:type="dxa"/>
            <w:tcBorders>
              <w:top w:val="nil"/>
              <w:left w:val="nil"/>
              <w:bottom w:val="nil"/>
              <w:right w:val="nil"/>
            </w:tcBorders>
            <w:shd w:val="clear" w:color="auto" w:fill="auto"/>
            <w:vAlign w:val="center"/>
            <w:hideMark/>
          </w:tcPr>
          <w:p w14:paraId="5F362CC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nil"/>
              <w:right w:val="nil"/>
            </w:tcBorders>
            <w:shd w:val="clear" w:color="auto" w:fill="auto"/>
            <w:vAlign w:val="center"/>
            <w:hideMark/>
          </w:tcPr>
          <w:p w14:paraId="3C61A09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0.18</w:t>
            </w:r>
          </w:p>
        </w:tc>
        <w:tc>
          <w:tcPr>
            <w:tcW w:w="660" w:type="dxa"/>
            <w:tcBorders>
              <w:top w:val="nil"/>
              <w:left w:val="nil"/>
              <w:bottom w:val="nil"/>
              <w:right w:val="nil"/>
            </w:tcBorders>
            <w:shd w:val="clear" w:color="auto" w:fill="auto"/>
            <w:noWrap/>
            <w:vAlign w:val="bottom"/>
            <w:hideMark/>
          </w:tcPr>
          <w:p w14:paraId="085AC52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0.381</w:t>
            </w:r>
          </w:p>
        </w:tc>
        <w:tc>
          <w:tcPr>
            <w:tcW w:w="560" w:type="dxa"/>
            <w:tcBorders>
              <w:top w:val="nil"/>
              <w:left w:val="nil"/>
              <w:bottom w:val="nil"/>
              <w:right w:val="nil"/>
            </w:tcBorders>
            <w:shd w:val="clear" w:color="auto" w:fill="auto"/>
            <w:noWrap/>
            <w:vAlign w:val="bottom"/>
            <w:hideMark/>
          </w:tcPr>
          <w:p w14:paraId="1D4B470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w:t>
            </w:r>
          </w:p>
        </w:tc>
        <w:tc>
          <w:tcPr>
            <w:tcW w:w="560" w:type="dxa"/>
            <w:tcBorders>
              <w:top w:val="nil"/>
              <w:left w:val="nil"/>
              <w:bottom w:val="nil"/>
              <w:right w:val="nil"/>
            </w:tcBorders>
            <w:shd w:val="clear" w:color="auto" w:fill="auto"/>
            <w:noWrap/>
            <w:vAlign w:val="bottom"/>
            <w:hideMark/>
          </w:tcPr>
          <w:p w14:paraId="6BEFF4A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7F29B0C1" w14:textId="77777777" w:rsidTr="00683113">
        <w:trPr>
          <w:trHeight w:val="264"/>
          <w:jc w:val="center"/>
        </w:trPr>
        <w:tc>
          <w:tcPr>
            <w:tcW w:w="1940" w:type="dxa"/>
            <w:tcBorders>
              <w:top w:val="nil"/>
              <w:left w:val="nil"/>
              <w:bottom w:val="nil"/>
              <w:right w:val="nil"/>
            </w:tcBorders>
            <w:shd w:val="clear" w:color="auto" w:fill="auto"/>
            <w:vAlign w:val="center"/>
            <w:hideMark/>
          </w:tcPr>
          <w:p w14:paraId="74073A50"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FTE Teachers</w:t>
            </w:r>
          </w:p>
        </w:tc>
        <w:tc>
          <w:tcPr>
            <w:tcW w:w="780" w:type="dxa"/>
            <w:tcBorders>
              <w:top w:val="nil"/>
              <w:left w:val="nil"/>
              <w:bottom w:val="nil"/>
              <w:right w:val="nil"/>
            </w:tcBorders>
            <w:shd w:val="clear" w:color="auto" w:fill="auto"/>
            <w:vAlign w:val="center"/>
            <w:hideMark/>
          </w:tcPr>
          <w:p w14:paraId="5454F3B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nil"/>
              <w:right w:val="nil"/>
            </w:tcBorders>
            <w:shd w:val="clear" w:color="auto" w:fill="auto"/>
            <w:vAlign w:val="center"/>
            <w:hideMark/>
          </w:tcPr>
          <w:p w14:paraId="5A15A50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33.97</w:t>
            </w:r>
          </w:p>
        </w:tc>
        <w:tc>
          <w:tcPr>
            <w:tcW w:w="660" w:type="dxa"/>
            <w:tcBorders>
              <w:top w:val="nil"/>
              <w:left w:val="nil"/>
              <w:bottom w:val="nil"/>
              <w:right w:val="nil"/>
            </w:tcBorders>
            <w:shd w:val="clear" w:color="auto" w:fill="auto"/>
            <w:noWrap/>
            <w:vAlign w:val="bottom"/>
            <w:hideMark/>
          </w:tcPr>
          <w:p w14:paraId="0B69656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33.776</w:t>
            </w:r>
          </w:p>
        </w:tc>
        <w:tc>
          <w:tcPr>
            <w:tcW w:w="560" w:type="dxa"/>
            <w:tcBorders>
              <w:top w:val="nil"/>
              <w:left w:val="nil"/>
              <w:bottom w:val="nil"/>
              <w:right w:val="nil"/>
            </w:tcBorders>
            <w:shd w:val="clear" w:color="auto" w:fill="auto"/>
            <w:noWrap/>
            <w:vAlign w:val="bottom"/>
            <w:hideMark/>
          </w:tcPr>
          <w:p w14:paraId="6562C73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w:t>
            </w:r>
          </w:p>
        </w:tc>
        <w:tc>
          <w:tcPr>
            <w:tcW w:w="560" w:type="dxa"/>
            <w:tcBorders>
              <w:top w:val="nil"/>
              <w:left w:val="nil"/>
              <w:bottom w:val="nil"/>
              <w:right w:val="nil"/>
            </w:tcBorders>
            <w:shd w:val="clear" w:color="auto" w:fill="auto"/>
            <w:noWrap/>
            <w:vAlign w:val="bottom"/>
            <w:hideMark/>
          </w:tcPr>
          <w:p w14:paraId="1980D9A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43CADFDA" w14:textId="77777777" w:rsidTr="00683113">
        <w:trPr>
          <w:trHeight w:val="264"/>
          <w:jc w:val="center"/>
        </w:trPr>
        <w:tc>
          <w:tcPr>
            <w:tcW w:w="1940" w:type="dxa"/>
            <w:tcBorders>
              <w:top w:val="nil"/>
              <w:left w:val="nil"/>
              <w:bottom w:val="nil"/>
              <w:right w:val="nil"/>
            </w:tcBorders>
            <w:shd w:val="clear" w:color="auto" w:fill="auto"/>
            <w:vAlign w:val="center"/>
            <w:hideMark/>
          </w:tcPr>
          <w:p w14:paraId="7D6ECFF3"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 xml:space="preserve"> Charters</w:t>
            </w:r>
          </w:p>
        </w:tc>
        <w:tc>
          <w:tcPr>
            <w:tcW w:w="780" w:type="dxa"/>
            <w:tcBorders>
              <w:top w:val="nil"/>
              <w:left w:val="nil"/>
              <w:bottom w:val="nil"/>
              <w:right w:val="nil"/>
            </w:tcBorders>
            <w:shd w:val="clear" w:color="auto" w:fill="auto"/>
            <w:vAlign w:val="center"/>
            <w:hideMark/>
          </w:tcPr>
          <w:p w14:paraId="1F2C969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nil"/>
              <w:right w:val="nil"/>
            </w:tcBorders>
            <w:shd w:val="clear" w:color="auto" w:fill="auto"/>
            <w:vAlign w:val="center"/>
            <w:hideMark/>
          </w:tcPr>
          <w:p w14:paraId="0C99D55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0.01</w:t>
            </w:r>
          </w:p>
        </w:tc>
        <w:tc>
          <w:tcPr>
            <w:tcW w:w="660" w:type="dxa"/>
            <w:tcBorders>
              <w:top w:val="nil"/>
              <w:left w:val="nil"/>
              <w:bottom w:val="nil"/>
              <w:right w:val="nil"/>
            </w:tcBorders>
            <w:shd w:val="clear" w:color="auto" w:fill="auto"/>
            <w:noWrap/>
            <w:vAlign w:val="bottom"/>
            <w:hideMark/>
          </w:tcPr>
          <w:p w14:paraId="0499D36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0.109</w:t>
            </w:r>
          </w:p>
        </w:tc>
        <w:tc>
          <w:tcPr>
            <w:tcW w:w="560" w:type="dxa"/>
            <w:tcBorders>
              <w:top w:val="nil"/>
              <w:left w:val="nil"/>
              <w:bottom w:val="nil"/>
              <w:right w:val="nil"/>
            </w:tcBorders>
            <w:shd w:val="clear" w:color="auto" w:fill="auto"/>
            <w:noWrap/>
            <w:vAlign w:val="bottom"/>
            <w:hideMark/>
          </w:tcPr>
          <w:p w14:paraId="1C4EFE3E"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w:t>
            </w:r>
          </w:p>
        </w:tc>
        <w:tc>
          <w:tcPr>
            <w:tcW w:w="560" w:type="dxa"/>
            <w:tcBorders>
              <w:top w:val="nil"/>
              <w:left w:val="nil"/>
              <w:bottom w:val="nil"/>
              <w:right w:val="nil"/>
            </w:tcBorders>
            <w:shd w:val="clear" w:color="auto" w:fill="auto"/>
            <w:noWrap/>
            <w:vAlign w:val="bottom"/>
            <w:hideMark/>
          </w:tcPr>
          <w:p w14:paraId="1D7C476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w:t>
            </w:r>
          </w:p>
        </w:tc>
      </w:tr>
      <w:tr w:rsidR="0046518A" w:rsidRPr="00967B87" w14:paraId="3EE5ED67" w14:textId="77777777" w:rsidTr="00683113">
        <w:trPr>
          <w:trHeight w:val="264"/>
          <w:jc w:val="center"/>
        </w:trPr>
        <w:tc>
          <w:tcPr>
            <w:tcW w:w="1940" w:type="dxa"/>
            <w:tcBorders>
              <w:top w:val="nil"/>
              <w:left w:val="nil"/>
              <w:bottom w:val="single" w:sz="4" w:space="0" w:color="auto"/>
              <w:right w:val="nil"/>
            </w:tcBorders>
            <w:shd w:val="clear" w:color="auto" w:fill="auto"/>
            <w:vAlign w:val="center"/>
            <w:hideMark/>
          </w:tcPr>
          <w:p w14:paraId="58FA8DF4"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Percent FRL</w:t>
            </w:r>
          </w:p>
        </w:tc>
        <w:tc>
          <w:tcPr>
            <w:tcW w:w="780" w:type="dxa"/>
            <w:tcBorders>
              <w:top w:val="nil"/>
              <w:left w:val="nil"/>
              <w:bottom w:val="single" w:sz="4" w:space="0" w:color="auto"/>
              <w:right w:val="nil"/>
            </w:tcBorders>
            <w:shd w:val="clear" w:color="auto" w:fill="auto"/>
            <w:vAlign w:val="center"/>
            <w:hideMark/>
          </w:tcPr>
          <w:p w14:paraId="1F24A8B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134</w:t>
            </w:r>
          </w:p>
        </w:tc>
        <w:tc>
          <w:tcPr>
            <w:tcW w:w="740" w:type="dxa"/>
            <w:tcBorders>
              <w:top w:val="nil"/>
              <w:left w:val="nil"/>
              <w:bottom w:val="single" w:sz="4" w:space="0" w:color="auto"/>
              <w:right w:val="nil"/>
            </w:tcBorders>
            <w:shd w:val="clear" w:color="auto" w:fill="auto"/>
            <w:vAlign w:val="center"/>
            <w:hideMark/>
          </w:tcPr>
          <w:p w14:paraId="5C69AE4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0.553</w:t>
            </w:r>
          </w:p>
        </w:tc>
        <w:tc>
          <w:tcPr>
            <w:tcW w:w="660" w:type="dxa"/>
            <w:tcBorders>
              <w:top w:val="nil"/>
              <w:left w:val="nil"/>
              <w:bottom w:val="single" w:sz="4" w:space="0" w:color="auto"/>
              <w:right w:val="nil"/>
            </w:tcBorders>
            <w:shd w:val="clear" w:color="auto" w:fill="auto"/>
            <w:noWrap/>
            <w:vAlign w:val="bottom"/>
            <w:hideMark/>
          </w:tcPr>
          <w:p w14:paraId="5D50ABC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0.175</w:t>
            </w:r>
          </w:p>
        </w:tc>
        <w:tc>
          <w:tcPr>
            <w:tcW w:w="560" w:type="dxa"/>
            <w:tcBorders>
              <w:top w:val="nil"/>
              <w:left w:val="nil"/>
              <w:bottom w:val="single" w:sz="4" w:space="0" w:color="auto"/>
              <w:right w:val="nil"/>
            </w:tcBorders>
            <w:shd w:val="clear" w:color="auto" w:fill="auto"/>
            <w:noWrap/>
            <w:vAlign w:val="bottom"/>
            <w:hideMark/>
          </w:tcPr>
          <w:p w14:paraId="7ADB733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0.071</w:t>
            </w:r>
          </w:p>
        </w:tc>
        <w:tc>
          <w:tcPr>
            <w:tcW w:w="560" w:type="dxa"/>
            <w:tcBorders>
              <w:top w:val="nil"/>
              <w:left w:val="nil"/>
              <w:bottom w:val="single" w:sz="4" w:space="0" w:color="auto"/>
              <w:right w:val="nil"/>
            </w:tcBorders>
            <w:shd w:val="clear" w:color="auto" w:fill="auto"/>
            <w:noWrap/>
            <w:vAlign w:val="bottom"/>
            <w:hideMark/>
          </w:tcPr>
          <w:p w14:paraId="4FDF26F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0.985</w:t>
            </w:r>
          </w:p>
        </w:tc>
      </w:tr>
    </w:tbl>
    <w:p w14:paraId="15D159F1" w14:textId="77777777" w:rsidR="0046518A" w:rsidRPr="005B2DFB" w:rsidRDefault="0046518A" w:rsidP="0046518A">
      <w:pPr>
        <w:rPr>
          <w:rFonts w:ascii="Times New Roman" w:hAnsi="Times New Roman" w:cs="Times New Roman"/>
          <w:sz w:val="24"/>
          <w:szCs w:val="24"/>
        </w:rPr>
      </w:pPr>
      <w:r w:rsidRPr="005B2DFB">
        <w:rPr>
          <w:rFonts w:ascii="Times New Roman" w:hAnsi="Times New Roman" w:cs="Times New Roman"/>
          <w:sz w:val="24"/>
          <w:szCs w:val="24"/>
        </w:rPr>
        <w:tab/>
      </w:r>
    </w:p>
    <w:p w14:paraId="1BECE8BF" w14:textId="646632B3" w:rsidR="0046518A" w:rsidRDefault="0046518A" w:rsidP="0046518A">
      <w:pPr>
        <w:rPr>
          <w:rFonts w:ascii="Times New Roman" w:hAnsi="Times New Roman" w:cs="Times New Roman"/>
          <w:sz w:val="24"/>
          <w:szCs w:val="24"/>
        </w:rPr>
      </w:pPr>
      <w:r w:rsidRPr="005B2DFB">
        <w:rPr>
          <w:rFonts w:ascii="Times New Roman" w:hAnsi="Times New Roman" w:cs="Times New Roman"/>
          <w:sz w:val="24"/>
          <w:szCs w:val="24"/>
        </w:rPr>
        <w:t xml:space="preserve">The average high school in the state enrolled almost 400 students while the average high school in the survey sample enrolled over 550 students. Additionally, the average number of FTE teachers across the state is 24 whole in the sample the average is 34. These variables suggest that the sample slightly overrepresents larger schools. On the other characteristics, however, the survey sample matches the statewide population of high schools. For example, the average high school in Oklahoma enrolled 44 percent non-white and 59 percent FRL students and the sample of high schools enrolled 45 percent non-white and 55 percent FRL students. </w:t>
      </w:r>
    </w:p>
    <w:p w14:paraId="3FB3F37D" w14:textId="7590E2EA" w:rsidR="009D5924" w:rsidRDefault="009D5924">
      <w:pPr>
        <w:rPr>
          <w:rFonts w:ascii="Times New Roman" w:hAnsi="Times New Roman" w:cs="Times New Roman"/>
          <w:sz w:val="24"/>
          <w:szCs w:val="24"/>
        </w:rPr>
      </w:pPr>
      <w:r>
        <w:rPr>
          <w:rFonts w:ascii="Times New Roman" w:hAnsi="Times New Roman" w:cs="Times New Roman"/>
          <w:sz w:val="24"/>
          <w:szCs w:val="24"/>
        </w:rPr>
        <w:br w:type="page"/>
      </w:r>
    </w:p>
    <w:p w14:paraId="525E2969" w14:textId="77777777" w:rsidR="009D5924" w:rsidRPr="0037798F" w:rsidRDefault="009D5924" w:rsidP="0046518A">
      <w:pPr>
        <w:rPr>
          <w:rFonts w:ascii="Times New Roman" w:hAnsi="Times New Roman" w:cs="Times New Roman"/>
          <w:sz w:val="24"/>
          <w:szCs w:val="24"/>
        </w:rPr>
      </w:pPr>
    </w:p>
    <w:p w14:paraId="423DFCE9" w14:textId="1FBA555A" w:rsidR="0046518A" w:rsidRPr="005B2DFB" w:rsidRDefault="0046518A" w:rsidP="0046518A">
      <w:pPr>
        <w:spacing w:after="0" w:line="240" w:lineRule="auto"/>
        <w:jc w:val="center"/>
        <w:rPr>
          <w:rFonts w:ascii="Times New Roman" w:eastAsia="Times New Roman" w:hAnsi="Times New Roman" w:cs="Times New Roman"/>
          <w:b/>
          <w:color w:val="000000"/>
          <w:sz w:val="24"/>
          <w:szCs w:val="24"/>
        </w:rPr>
      </w:pPr>
      <w:r w:rsidRPr="005B2DFB">
        <w:rPr>
          <w:rFonts w:ascii="Times New Roman" w:eastAsia="Times New Roman" w:hAnsi="Times New Roman" w:cs="Times New Roman"/>
          <w:b/>
          <w:color w:val="000000"/>
          <w:sz w:val="24"/>
          <w:szCs w:val="24"/>
        </w:rPr>
        <w:t>Appendix</w:t>
      </w:r>
      <w:r w:rsidR="001A4B16">
        <w:rPr>
          <w:rFonts w:ascii="Times New Roman" w:eastAsia="Times New Roman" w:hAnsi="Times New Roman" w:cs="Times New Roman"/>
          <w:b/>
          <w:color w:val="000000"/>
          <w:sz w:val="24"/>
          <w:szCs w:val="24"/>
        </w:rPr>
        <w:t xml:space="preserve"> Table</w:t>
      </w:r>
      <w:r w:rsidRPr="005B2DFB">
        <w:rPr>
          <w:rFonts w:ascii="Times New Roman" w:eastAsia="Times New Roman" w:hAnsi="Times New Roman" w:cs="Times New Roman"/>
          <w:b/>
          <w:color w:val="000000"/>
          <w:sz w:val="24"/>
          <w:szCs w:val="24"/>
        </w:rPr>
        <w:t xml:space="preserve"> </w:t>
      </w:r>
      <w:r w:rsidR="001A4B16">
        <w:rPr>
          <w:rFonts w:ascii="Times New Roman" w:eastAsia="Times New Roman" w:hAnsi="Times New Roman" w:cs="Times New Roman"/>
          <w:b/>
          <w:color w:val="000000"/>
          <w:sz w:val="24"/>
          <w:szCs w:val="24"/>
        </w:rPr>
        <w:t>4-</w:t>
      </w:r>
      <w:r w:rsidRPr="005B2DFB">
        <w:rPr>
          <w:rFonts w:ascii="Times New Roman" w:eastAsia="Times New Roman" w:hAnsi="Times New Roman" w:cs="Times New Roman"/>
          <w:b/>
          <w:color w:val="000000"/>
          <w:sz w:val="24"/>
          <w:szCs w:val="24"/>
        </w:rPr>
        <w:t>C</w:t>
      </w:r>
      <w:r w:rsidR="001A4B16">
        <w:rPr>
          <w:rFonts w:ascii="Times New Roman" w:eastAsia="Times New Roman" w:hAnsi="Times New Roman" w:cs="Times New Roman"/>
          <w:b/>
          <w:color w:val="000000"/>
          <w:sz w:val="24"/>
          <w:szCs w:val="24"/>
        </w:rPr>
        <w:t>1</w:t>
      </w:r>
      <w:r w:rsidRPr="005B2DFB">
        <w:rPr>
          <w:rFonts w:ascii="Times New Roman" w:eastAsia="Times New Roman" w:hAnsi="Times New Roman" w:cs="Times New Roman"/>
          <w:b/>
          <w:color w:val="000000"/>
          <w:sz w:val="24"/>
          <w:szCs w:val="24"/>
        </w:rPr>
        <w:t>: Comparison of Results with Alternative Measurement</w:t>
      </w:r>
    </w:p>
    <w:tbl>
      <w:tblPr>
        <w:tblW w:w="7950" w:type="dxa"/>
        <w:tblLook w:val="04A0" w:firstRow="1" w:lastRow="0" w:firstColumn="1" w:lastColumn="0" w:noHBand="0" w:noVBand="1"/>
      </w:tblPr>
      <w:tblGrid>
        <w:gridCol w:w="3744"/>
        <w:gridCol w:w="2103"/>
        <w:gridCol w:w="2103"/>
      </w:tblGrid>
      <w:tr w:rsidR="0046518A" w:rsidRPr="00967B87" w14:paraId="3E1E22AB" w14:textId="77777777" w:rsidTr="00683113">
        <w:trPr>
          <w:trHeight w:val="792"/>
        </w:trPr>
        <w:tc>
          <w:tcPr>
            <w:tcW w:w="3744" w:type="dxa"/>
            <w:tcBorders>
              <w:top w:val="nil"/>
              <w:left w:val="nil"/>
              <w:bottom w:val="nil"/>
              <w:right w:val="nil"/>
            </w:tcBorders>
            <w:shd w:val="clear" w:color="auto" w:fill="auto"/>
            <w:noWrap/>
            <w:vAlign w:val="bottom"/>
            <w:hideMark/>
          </w:tcPr>
          <w:p w14:paraId="5F1C4C49" w14:textId="77777777" w:rsidR="0046518A" w:rsidRPr="00967B87" w:rsidRDefault="0046518A" w:rsidP="00683113">
            <w:pPr>
              <w:spacing w:after="0" w:line="240" w:lineRule="auto"/>
              <w:rPr>
                <w:rFonts w:ascii="Times New Roman" w:eastAsia="Times New Roman" w:hAnsi="Times New Roman" w:cs="Times New Roman"/>
                <w:sz w:val="20"/>
                <w:szCs w:val="24"/>
              </w:rPr>
            </w:pPr>
          </w:p>
        </w:tc>
        <w:tc>
          <w:tcPr>
            <w:tcW w:w="2103" w:type="dxa"/>
            <w:tcBorders>
              <w:top w:val="nil"/>
              <w:left w:val="nil"/>
              <w:bottom w:val="nil"/>
              <w:right w:val="nil"/>
            </w:tcBorders>
            <w:shd w:val="clear" w:color="auto" w:fill="auto"/>
            <w:vAlign w:val="bottom"/>
            <w:hideMark/>
          </w:tcPr>
          <w:p w14:paraId="5BA77DF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Model 1: % of Total Enrollment Accessing Oklahoma's Promise</w:t>
            </w:r>
          </w:p>
        </w:tc>
        <w:tc>
          <w:tcPr>
            <w:tcW w:w="2103" w:type="dxa"/>
            <w:tcBorders>
              <w:top w:val="nil"/>
              <w:left w:val="nil"/>
              <w:bottom w:val="nil"/>
              <w:right w:val="nil"/>
            </w:tcBorders>
          </w:tcPr>
          <w:p w14:paraId="4398205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Model 2: % of FRL Enrollment Accessing Oklahoma’s Promise</w:t>
            </w:r>
          </w:p>
        </w:tc>
      </w:tr>
      <w:tr w:rsidR="0046518A" w:rsidRPr="00967B87" w14:paraId="12AB37E3" w14:textId="77777777" w:rsidTr="00683113">
        <w:trPr>
          <w:trHeight w:val="276"/>
        </w:trPr>
        <w:tc>
          <w:tcPr>
            <w:tcW w:w="3744" w:type="dxa"/>
            <w:tcBorders>
              <w:top w:val="single" w:sz="4" w:space="0" w:color="auto"/>
              <w:left w:val="nil"/>
              <w:bottom w:val="nil"/>
              <w:right w:val="nil"/>
            </w:tcBorders>
            <w:shd w:val="clear" w:color="auto" w:fill="auto"/>
            <w:noWrap/>
            <w:vAlign w:val="bottom"/>
            <w:hideMark/>
          </w:tcPr>
          <w:p w14:paraId="2524CB45" w14:textId="77777777" w:rsidR="0046518A" w:rsidRPr="00967B87" w:rsidRDefault="0046518A" w:rsidP="00683113">
            <w:pPr>
              <w:spacing w:after="0" w:line="240" w:lineRule="auto"/>
              <w:rPr>
                <w:rFonts w:ascii="Times New Roman" w:eastAsia="Times New Roman" w:hAnsi="Times New Roman" w:cs="Times New Roman"/>
                <w:i/>
                <w:iCs/>
                <w:color w:val="000000"/>
                <w:sz w:val="20"/>
                <w:szCs w:val="24"/>
              </w:rPr>
            </w:pPr>
            <w:r w:rsidRPr="00967B87">
              <w:rPr>
                <w:rFonts w:ascii="Times New Roman" w:eastAsia="Times New Roman" w:hAnsi="Times New Roman" w:cs="Times New Roman"/>
                <w:i/>
                <w:iCs/>
                <w:color w:val="000000"/>
                <w:sz w:val="20"/>
                <w:szCs w:val="24"/>
              </w:rPr>
              <w:t>Role Perception</w:t>
            </w:r>
          </w:p>
        </w:tc>
        <w:tc>
          <w:tcPr>
            <w:tcW w:w="2103" w:type="dxa"/>
            <w:tcBorders>
              <w:top w:val="single" w:sz="4" w:space="0" w:color="auto"/>
              <w:left w:val="nil"/>
              <w:bottom w:val="nil"/>
              <w:right w:val="nil"/>
            </w:tcBorders>
            <w:shd w:val="clear" w:color="auto" w:fill="auto"/>
            <w:noWrap/>
            <w:vAlign w:val="bottom"/>
            <w:hideMark/>
          </w:tcPr>
          <w:p w14:paraId="0F96E50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 </w:t>
            </w:r>
          </w:p>
        </w:tc>
        <w:tc>
          <w:tcPr>
            <w:tcW w:w="2103" w:type="dxa"/>
            <w:tcBorders>
              <w:top w:val="single" w:sz="4" w:space="0" w:color="auto"/>
              <w:left w:val="nil"/>
              <w:bottom w:val="nil"/>
              <w:right w:val="nil"/>
            </w:tcBorders>
          </w:tcPr>
          <w:p w14:paraId="2ADD9BB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r>
      <w:tr w:rsidR="0046518A" w:rsidRPr="00967B87" w14:paraId="21441F82" w14:textId="77777777" w:rsidTr="00683113">
        <w:trPr>
          <w:trHeight w:val="264"/>
        </w:trPr>
        <w:tc>
          <w:tcPr>
            <w:tcW w:w="3744" w:type="dxa"/>
            <w:tcBorders>
              <w:top w:val="nil"/>
              <w:left w:val="nil"/>
              <w:bottom w:val="nil"/>
              <w:right w:val="nil"/>
            </w:tcBorders>
            <w:shd w:val="clear" w:color="auto" w:fill="auto"/>
            <w:noWrap/>
            <w:vAlign w:val="bottom"/>
            <w:hideMark/>
          </w:tcPr>
          <w:p w14:paraId="4D8BBDBB" w14:textId="70DCCCE7" w:rsidR="0046518A" w:rsidRPr="00967B87" w:rsidRDefault="001A4B16" w:rsidP="00683113">
            <w:pPr>
              <w:spacing w:after="0" w:line="240" w:lineRule="auto"/>
              <w:ind w:firstLineChars="100" w:firstLine="20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Support Role</w:t>
            </w:r>
          </w:p>
        </w:tc>
        <w:tc>
          <w:tcPr>
            <w:tcW w:w="2103" w:type="dxa"/>
            <w:tcBorders>
              <w:top w:val="nil"/>
              <w:left w:val="nil"/>
              <w:bottom w:val="nil"/>
              <w:right w:val="nil"/>
            </w:tcBorders>
            <w:shd w:val="clear" w:color="auto" w:fill="auto"/>
            <w:noWrap/>
            <w:vAlign w:val="bottom"/>
            <w:hideMark/>
          </w:tcPr>
          <w:p w14:paraId="04FA869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0.023***</w:t>
            </w:r>
          </w:p>
        </w:tc>
        <w:tc>
          <w:tcPr>
            <w:tcW w:w="2103" w:type="dxa"/>
            <w:tcBorders>
              <w:top w:val="nil"/>
              <w:left w:val="nil"/>
              <w:bottom w:val="nil"/>
              <w:right w:val="nil"/>
            </w:tcBorders>
            <w:shd w:val="clear" w:color="auto" w:fill="auto"/>
            <w:vAlign w:val="bottom"/>
          </w:tcPr>
          <w:p w14:paraId="1A0A895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0.022</w:t>
            </w:r>
          </w:p>
        </w:tc>
      </w:tr>
      <w:tr w:rsidR="0046518A" w:rsidRPr="00967B87" w14:paraId="1CEF7F1B" w14:textId="77777777" w:rsidTr="00683113">
        <w:trPr>
          <w:trHeight w:val="264"/>
        </w:trPr>
        <w:tc>
          <w:tcPr>
            <w:tcW w:w="3744" w:type="dxa"/>
            <w:tcBorders>
              <w:top w:val="nil"/>
              <w:left w:val="nil"/>
              <w:bottom w:val="nil"/>
              <w:right w:val="nil"/>
            </w:tcBorders>
            <w:shd w:val="clear" w:color="auto" w:fill="auto"/>
            <w:noWrap/>
            <w:vAlign w:val="bottom"/>
            <w:hideMark/>
          </w:tcPr>
          <w:p w14:paraId="4D79819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496D3CA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(0.007)</w:t>
            </w:r>
          </w:p>
        </w:tc>
        <w:tc>
          <w:tcPr>
            <w:tcW w:w="2103" w:type="dxa"/>
            <w:tcBorders>
              <w:top w:val="nil"/>
              <w:left w:val="nil"/>
              <w:bottom w:val="nil"/>
              <w:right w:val="nil"/>
            </w:tcBorders>
            <w:shd w:val="clear" w:color="auto" w:fill="auto"/>
            <w:vAlign w:val="bottom"/>
          </w:tcPr>
          <w:p w14:paraId="7EBC680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(0.021)</w:t>
            </w:r>
          </w:p>
        </w:tc>
      </w:tr>
      <w:tr w:rsidR="0046518A" w:rsidRPr="00967B87" w14:paraId="05F840E0" w14:textId="77777777" w:rsidTr="00683113">
        <w:trPr>
          <w:trHeight w:val="264"/>
        </w:trPr>
        <w:tc>
          <w:tcPr>
            <w:tcW w:w="3744" w:type="dxa"/>
            <w:tcBorders>
              <w:top w:val="nil"/>
              <w:left w:val="nil"/>
              <w:right w:val="nil"/>
            </w:tcBorders>
            <w:shd w:val="clear" w:color="auto" w:fill="auto"/>
            <w:noWrap/>
            <w:vAlign w:val="bottom"/>
            <w:hideMark/>
          </w:tcPr>
          <w:p w14:paraId="2AEBE8E1" w14:textId="74BAF811" w:rsidR="0046518A" w:rsidRPr="00967B87" w:rsidRDefault="001A4B16" w:rsidP="00683113">
            <w:pPr>
              <w:spacing w:after="0" w:line="240" w:lineRule="auto"/>
              <w:ind w:firstLineChars="100" w:firstLine="20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Compliance Role</w:t>
            </w:r>
          </w:p>
        </w:tc>
        <w:tc>
          <w:tcPr>
            <w:tcW w:w="2103" w:type="dxa"/>
            <w:tcBorders>
              <w:top w:val="nil"/>
              <w:left w:val="nil"/>
              <w:bottom w:val="nil"/>
              <w:right w:val="nil"/>
            </w:tcBorders>
            <w:shd w:val="clear" w:color="auto" w:fill="auto"/>
            <w:noWrap/>
            <w:vAlign w:val="bottom"/>
            <w:hideMark/>
          </w:tcPr>
          <w:p w14:paraId="3751D0D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-0.018**</w:t>
            </w:r>
          </w:p>
        </w:tc>
        <w:tc>
          <w:tcPr>
            <w:tcW w:w="2103" w:type="dxa"/>
            <w:tcBorders>
              <w:top w:val="nil"/>
              <w:left w:val="nil"/>
              <w:bottom w:val="nil"/>
              <w:right w:val="nil"/>
            </w:tcBorders>
            <w:shd w:val="clear" w:color="auto" w:fill="auto"/>
            <w:vAlign w:val="bottom"/>
          </w:tcPr>
          <w:p w14:paraId="58C4839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-0.034*</w:t>
            </w:r>
          </w:p>
        </w:tc>
      </w:tr>
      <w:tr w:rsidR="0046518A" w:rsidRPr="00967B87" w14:paraId="4D01B5A0" w14:textId="77777777" w:rsidTr="00683113">
        <w:trPr>
          <w:trHeight w:val="264"/>
        </w:trPr>
        <w:tc>
          <w:tcPr>
            <w:tcW w:w="3744" w:type="dxa"/>
            <w:tcBorders>
              <w:top w:val="nil"/>
              <w:left w:val="nil"/>
              <w:right w:val="nil"/>
            </w:tcBorders>
            <w:shd w:val="clear" w:color="auto" w:fill="auto"/>
            <w:noWrap/>
            <w:vAlign w:val="bottom"/>
            <w:hideMark/>
          </w:tcPr>
          <w:p w14:paraId="1FDD73C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0DAF0E5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(0.007)</w:t>
            </w:r>
          </w:p>
        </w:tc>
        <w:tc>
          <w:tcPr>
            <w:tcW w:w="2103" w:type="dxa"/>
            <w:tcBorders>
              <w:top w:val="nil"/>
              <w:left w:val="nil"/>
              <w:bottom w:val="nil"/>
              <w:right w:val="nil"/>
            </w:tcBorders>
            <w:shd w:val="clear" w:color="auto" w:fill="auto"/>
            <w:vAlign w:val="bottom"/>
          </w:tcPr>
          <w:p w14:paraId="0FC67EF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(0.019)</w:t>
            </w:r>
          </w:p>
        </w:tc>
      </w:tr>
      <w:tr w:rsidR="0046518A" w:rsidRPr="00967B87" w14:paraId="502556D2" w14:textId="77777777" w:rsidTr="00683113">
        <w:trPr>
          <w:trHeight w:val="264"/>
        </w:trPr>
        <w:tc>
          <w:tcPr>
            <w:tcW w:w="3744" w:type="dxa"/>
            <w:tcBorders>
              <w:top w:val="nil"/>
              <w:left w:val="nil"/>
              <w:right w:val="nil"/>
            </w:tcBorders>
            <w:shd w:val="clear" w:color="auto" w:fill="auto"/>
            <w:noWrap/>
            <w:vAlign w:val="bottom"/>
            <w:hideMark/>
          </w:tcPr>
          <w:p w14:paraId="55A1AA8B"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Information Dissemination Role</w:t>
            </w:r>
          </w:p>
        </w:tc>
        <w:tc>
          <w:tcPr>
            <w:tcW w:w="2103" w:type="dxa"/>
            <w:tcBorders>
              <w:top w:val="nil"/>
              <w:left w:val="nil"/>
              <w:bottom w:val="nil"/>
              <w:right w:val="nil"/>
            </w:tcBorders>
            <w:shd w:val="clear" w:color="auto" w:fill="auto"/>
            <w:noWrap/>
            <w:vAlign w:val="bottom"/>
            <w:hideMark/>
          </w:tcPr>
          <w:p w14:paraId="3618742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0.000</w:t>
            </w:r>
          </w:p>
        </w:tc>
        <w:tc>
          <w:tcPr>
            <w:tcW w:w="2103" w:type="dxa"/>
            <w:tcBorders>
              <w:top w:val="nil"/>
              <w:left w:val="nil"/>
              <w:bottom w:val="nil"/>
              <w:right w:val="nil"/>
            </w:tcBorders>
            <w:shd w:val="clear" w:color="auto" w:fill="auto"/>
            <w:vAlign w:val="bottom"/>
          </w:tcPr>
          <w:p w14:paraId="632CFE5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-0.017</w:t>
            </w:r>
          </w:p>
        </w:tc>
      </w:tr>
      <w:tr w:rsidR="0046518A" w:rsidRPr="00967B87" w14:paraId="394C2886" w14:textId="77777777" w:rsidTr="00683113">
        <w:trPr>
          <w:trHeight w:val="264"/>
        </w:trPr>
        <w:tc>
          <w:tcPr>
            <w:tcW w:w="3744" w:type="dxa"/>
            <w:tcBorders>
              <w:top w:val="nil"/>
              <w:left w:val="nil"/>
              <w:right w:val="nil"/>
            </w:tcBorders>
            <w:shd w:val="clear" w:color="auto" w:fill="auto"/>
            <w:noWrap/>
            <w:vAlign w:val="bottom"/>
            <w:hideMark/>
          </w:tcPr>
          <w:p w14:paraId="4380979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374586B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(0.006)</w:t>
            </w:r>
          </w:p>
        </w:tc>
        <w:tc>
          <w:tcPr>
            <w:tcW w:w="2103" w:type="dxa"/>
            <w:tcBorders>
              <w:top w:val="nil"/>
              <w:left w:val="nil"/>
              <w:bottom w:val="nil"/>
              <w:right w:val="nil"/>
            </w:tcBorders>
            <w:shd w:val="clear" w:color="auto" w:fill="auto"/>
            <w:vAlign w:val="bottom"/>
          </w:tcPr>
          <w:p w14:paraId="014E70D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(0.018)</w:t>
            </w:r>
          </w:p>
        </w:tc>
      </w:tr>
      <w:tr w:rsidR="0046518A" w:rsidRPr="00967B87" w14:paraId="23AB04B2" w14:textId="77777777" w:rsidTr="00683113">
        <w:trPr>
          <w:trHeight w:val="276"/>
        </w:trPr>
        <w:tc>
          <w:tcPr>
            <w:tcW w:w="3744" w:type="dxa"/>
            <w:tcBorders>
              <w:left w:val="nil"/>
              <w:bottom w:val="nil"/>
              <w:right w:val="nil"/>
            </w:tcBorders>
            <w:shd w:val="clear" w:color="auto" w:fill="auto"/>
            <w:noWrap/>
            <w:vAlign w:val="bottom"/>
            <w:hideMark/>
          </w:tcPr>
          <w:p w14:paraId="39BB618A" w14:textId="77777777" w:rsidR="0046518A" w:rsidRPr="00967B87" w:rsidRDefault="0046518A" w:rsidP="00683113">
            <w:pPr>
              <w:spacing w:after="0" w:line="240" w:lineRule="auto"/>
              <w:rPr>
                <w:rFonts w:ascii="Times New Roman" w:eastAsia="Times New Roman" w:hAnsi="Times New Roman" w:cs="Times New Roman"/>
                <w:i/>
                <w:iCs/>
                <w:color w:val="000000"/>
                <w:sz w:val="20"/>
                <w:szCs w:val="24"/>
              </w:rPr>
            </w:pPr>
            <w:r w:rsidRPr="00967B87">
              <w:rPr>
                <w:rFonts w:ascii="Times New Roman" w:eastAsia="Times New Roman" w:hAnsi="Times New Roman" w:cs="Times New Roman"/>
                <w:i/>
                <w:iCs/>
                <w:color w:val="000000"/>
                <w:sz w:val="20"/>
                <w:szCs w:val="24"/>
              </w:rPr>
              <w:t>Individual Controls</w:t>
            </w:r>
          </w:p>
        </w:tc>
        <w:tc>
          <w:tcPr>
            <w:tcW w:w="2103" w:type="dxa"/>
            <w:tcBorders>
              <w:left w:val="nil"/>
              <w:bottom w:val="nil"/>
              <w:right w:val="nil"/>
            </w:tcBorders>
            <w:shd w:val="clear" w:color="auto" w:fill="auto"/>
            <w:noWrap/>
            <w:vAlign w:val="bottom"/>
            <w:hideMark/>
          </w:tcPr>
          <w:p w14:paraId="6499CDA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 </w:t>
            </w:r>
          </w:p>
        </w:tc>
        <w:tc>
          <w:tcPr>
            <w:tcW w:w="2103" w:type="dxa"/>
            <w:tcBorders>
              <w:left w:val="nil"/>
              <w:bottom w:val="nil"/>
              <w:right w:val="nil"/>
            </w:tcBorders>
          </w:tcPr>
          <w:p w14:paraId="7B73C72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r>
      <w:tr w:rsidR="0046518A" w:rsidRPr="00967B87" w14:paraId="78F1F6AE" w14:textId="77777777" w:rsidTr="00683113">
        <w:trPr>
          <w:trHeight w:val="264"/>
        </w:trPr>
        <w:tc>
          <w:tcPr>
            <w:tcW w:w="3744" w:type="dxa"/>
            <w:tcBorders>
              <w:top w:val="nil"/>
              <w:left w:val="nil"/>
              <w:bottom w:val="nil"/>
              <w:right w:val="nil"/>
            </w:tcBorders>
            <w:shd w:val="clear" w:color="auto" w:fill="auto"/>
            <w:noWrap/>
            <w:vAlign w:val="bottom"/>
            <w:hideMark/>
          </w:tcPr>
          <w:p w14:paraId="72DFF40E"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White</w:t>
            </w:r>
          </w:p>
        </w:tc>
        <w:tc>
          <w:tcPr>
            <w:tcW w:w="2103" w:type="dxa"/>
            <w:tcBorders>
              <w:top w:val="nil"/>
              <w:left w:val="nil"/>
              <w:bottom w:val="nil"/>
              <w:right w:val="nil"/>
            </w:tcBorders>
            <w:shd w:val="clear" w:color="auto" w:fill="auto"/>
            <w:noWrap/>
            <w:vAlign w:val="bottom"/>
            <w:hideMark/>
          </w:tcPr>
          <w:p w14:paraId="14A2C3A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-0.003</w:t>
            </w:r>
          </w:p>
        </w:tc>
        <w:tc>
          <w:tcPr>
            <w:tcW w:w="2103" w:type="dxa"/>
            <w:tcBorders>
              <w:top w:val="nil"/>
              <w:left w:val="nil"/>
              <w:bottom w:val="nil"/>
              <w:right w:val="nil"/>
            </w:tcBorders>
            <w:shd w:val="clear" w:color="auto" w:fill="auto"/>
            <w:vAlign w:val="bottom"/>
          </w:tcPr>
          <w:p w14:paraId="4338E69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-0.005</w:t>
            </w:r>
          </w:p>
        </w:tc>
      </w:tr>
      <w:tr w:rsidR="0046518A" w:rsidRPr="00967B87" w14:paraId="0522BB5E" w14:textId="77777777" w:rsidTr="00683113">
        <w:trPr>
          <w:trHeight w:val="264"/>
        </w:trPr>
        <w:tc>
          <w:tcPr>
            <w:tcW w:w="3744" w:type="dxa"/>
            <w:tcBorders>
              <w:top w:val="nil"/>
              <w:left w:val="nil"/>
              <w:bottom w:val="nil"/>
              <w:right w:val="nil"/>
            </w:tcBorders>
            <w:shd w:val="clear" w:color="auto" w:fill="auto"/>
            <w:noWrap/>
            <w:vAlign w:val="bottom"/>
            <w:hideMark/>
          </w:tcPr>
          <w:p w14:paraId="75915F4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6501208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(0.009)</w:t>
            </w:r>
          </w:p>
        </w:tc>
        <w:tc>
          <w:tcPr>
            <w:tcW w:w="2103" w:type="dxa"/>
            <w:tcBorders>
              <w:top w:val="nil"/>
              <w:left w:val="nil"/>
              <w:bottom w:val="nil"/>
              <w:right w:val="nil"/>
            </w:tcBorders>
            <w:shd w:val="clear" w:color="auto" w:fill="auto"/>
            <w:vAlign w:val="bottom"/>
          </w:tcPr>
          <w:p w14:paraId="774AA18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(0.024)</w:t>
            </w:r>
          </w:p>
        </w:tc>
      </w:tr>
      <w:tr w:rsidR="0046518A" w:rsidRPr="00967B87" w14:paraId="5E87BCC5" w14:textId="77777777" w:rsidTr="00683113">
        <w:trPr>
          <w:trHeight w:val="264"/>
        </w:trPr>
        <w:tc>
          <w:tcPr>
            <w:tcW w:w="3744" w:type="dxa"/>
            <w:tcBorders>
              <w:top w:val="nil"/>
              <w:left w:val="nil"/>
              <w:bottom w:val="nil"/>
              <w:right w:val="nil"/>
            </w:tcBorders>
            <w:shd w:val="clear" w:color="auto" w:fill="auto"/>
            <w:noWrap/>
            <w:vAlign w:val="bottom"/>
            <w:hideMark/>
          </w:tcPr>
          <w:p w14:paraId="207AAF09"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Education</w:t>
            </w:r>
          </w:p>
        </w:tc>
        <w:tc>
          <w:tcPr>
            <w:tcW w:w="2103" w:type="dxa"/>
            <w:tcBorders>
              <w:top w:val="nil"/>
              <w:left w:val="nil"/>
              <w:bottom w:val="nil"/>
              <w:right w:val="nil"/>
            </w:tcBorders>
            <w:shd w:val="clear" w:color="auto" w:fill="auto"/>
            <w:noWrap/>
            <w:vAlign w:val="bottom"/>
            <w:hideMark/>
          </w:tcPr>
          <w:p w14:paraId="1D99B45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-0.010</w:t>
            </w:r>
          </w:p>
        </w:tc>
        <w:tc>
          <w:tcPr>
            <w:tcW w:w="2103" w:type="dxa"/>
            <w:tcBorders>
              <w:top w:val="nil"/>
              <w:left w:val="nil"/>
              <w:bottom w:val="nil"/>
              <w:right w:val="nil"/>
            </w:tcBorders>
            <w:shd w:val="clear" w:color="auto" w:fill="auto"/>
            <w:vAlign w:val="bottom"/>
          </w:tcPr>
          <w:p w14:paraId="2CA8B07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-0.027</w:t>
            </w:r>
          </w:p>
        </w:tc>
      </w:tr>
      <w:tr w:rsidR="0046518A" w:rsidRPr="00967B87" w14:paraId="4B243C73" w14:textId="77777777" w:rsidTr="00683113">
        <w:trPr>
          <w:trHeight w:val="264"/>
        </w:trPr>
        <w:tc>
          <w:tcPr>
            <w:tcW w:w="3744" w:type="dxa"/>
            <w:tcBorders>
              <w:top w:val="nil"/>
              <w:left w:val="nil"/>
              <w:bottom w:val="nil"/>
              <w:right w:val="nil"/>
            </w:tcBorders>
            <w:shd w:val="clear" w:color="auto" w:fill="auto"/>
            <w:noWrap/>
            <w:vAlign w:val="bottom"/>
            <w:hideMark/>
          </w:tcPr>
          <w:p w14:paraId="1861BA1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782CED1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(0.014)</w:t>
            </w:r>
          </w:p>
        </w:tc>
        <w:tc>
          <w:tcPr>
            <w:tcW w:w="2103" w:type="dxa"/>
            <w:tcBorders>
              <w:top w:val="nil"/>
              <w:left w:val="nil"/>
              <w:bottom w:val="nil"/>
              <w:right w:val="nil"/>
            </w:tcBorders>
            <w:shd w:val="clear" w:color="auto" w:fill="auto"/>
            <w:vAlign w:val="bottom"/>
          </w:tcPr>
          <w:p w14:paraId="6E90FC1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(0.028)</w:t>
            </w:r>
          </w:p>
        </w:tc>
      </w:tr>
      <w:tr w:rsidR="0046518A" w:rsidRPr="00967B87" w14:paraId="5BC5E183" w14:textId="77777777" w:rsidTr="00683113">
        <w:trPr>
          <w:trHeight w:val="264"/>
        </w:trPr>
        <w:tc>
          <w:tcPr>
            <w:tcW w:w="3744" w:type="dxa"/>
            <w:tcBorders>
              <w:top w:val="nil"/>
              <w:left w:val="nil"/>
              <w:bottom w:val="nil"/>
              <w:right w:val="nil"/>
            </w:tcBorders>
            <w:shd w:val="clear" w:color="auto" w:fill="auto"/>
            <w:noWrap/>
            <w:vAlign w:val="bottom"/>
            <w:hideMark/>
          </w:tcPr>
          <w:p w14:paraId="482FDADF"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Conservative</w:t>
            </w:r>
          </w:p>
        </w:tc>
        <w:tc>
          <w:tcPr>
            <w:tcW w:w="2103" w:type="dxa"/>
            <w:tcBorders>
              <w:top w:val="nil"/>
              <w:left w:val="nil"/>
              <w:bottom w:val="nil"/>
              <w:right w:val="nil"/>
            </w:tcBorders>
            <w:shd w:val="clear" w:color="auto" w:fill="auto"/>
            <w:noWrap/>
            <w:vAlign w:val="bottom"/>
            <w:hideMark/>
          </w:tcPr>
          <w:p w14:paraId="6EEC87B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0.010</w:t>
            </w:r>
          </w:p>
        </w:tc>
        <w:tc>
          <w:tcPr>
            <w:tcW w:w="2103" w:type="dxa"/>
            <w:tcBorders>
              <w:top w:val="nil"/>
              <w:left w:val="nil"/>
              <w:bottom w:val="nil"/>
              <w:right w:val="nil"/>
            </w:tcBorders>
            <w:shd w:val="clear" w:color="auto" w:fill="auto"/>
            <w:vAlign w:val="bottom"/>
          </w:tcPr>
          <w:p w14:paraId="031F1DC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0.049</w:t>
            </w:r>
          </w:p>
        </w:tc>
      </w:tr>
      <w:tr w:rsidR="0046518A" w:rsidRPr="00967B87" w14:paraId="0B0C7A18" w14:textId="77777777" w:rsidTr="00683113">
        <w:trPr>
          <w:trHeight w:val="264"/>
        </w:trPr>
        <w:tc>
          <w:tcPr>
            <w:tcW w:w="3744" w:type="dxa"/>
            <w:tcBorders>
              <w:top w:val="nil"/>
              <w:left w:val="nil"/>
              <w:bottom w:val="nil"/>
              <w:right w:val="nil"/>
            </w:tcBorders>
            <w:shd w:val="clear" w:color="auto" w:fill="auto"/>
            <w:noWrap/>
            <w:vAlign w:val="bottom"/>
            <w:hideMark/>
          </w:tcPr>
          <w:p w14:paraId="51693B5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4D16D79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(0.007)</w:t>
            </w:r>
          </w:p>
        </w:tc>
        <w:tc>
          <w:tcPr>
            <w:tcW w:w="2103" w:type="dxa"/>
            <w:tcBorders>
              <w:top w:val="nil"/>
              <w:left w:val="nil"/>
              <w:bottom w:val="nil"/>
              <w:right w:val="nil"/>
            </w:tcBorders>
            <w:shd w:val="clear" w:color="auto" w:fill="auto"/>
            <w:vAlign w:val="bottom"/>
          </w:tcPr>
          <w:p w14:paraId="0059AB4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(0.026)</w:t>
            </w:r>
          </w:p>
        </w:tc>
      </w:tr>
      <w:tr w:rsidR="0046518A" w:rsidRPr="00967B87" w14:paraId="054CD16A" w14:textId="77777777" w:rsidTr="00683113">
        <w:trPr>
          <w:trHeight w:val="264"/>
        </w:trPr>
        <w:tc>
          <w:tcPr>
            <w:tcW w:w="3744" w:type="dxa"/>
            <w:tcBorders>
              <w:top w:val="nil"/>
              <w:left w:val="nil"/>
              <w:bottom w:val="nil"/>
              <w:right w:val="nil"/>
            </w:tcBorders>
            <w:shd w:val="clear" w:color="auto" w:fill="auto"/>
            <w:noWrap/>
            <w:vAlign w:val="bottom"/>
            <w:hideMark/>
          </w:tcPr>
          <w:p w14:paraId="78B4A024"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Republican</w:t>
            </w:r>
          </w:p>
        </w:tc>
        <w:tc>
          <w:tcPr>
            <w:tcW w:w="2103" w:type="dxa"/>
            <w:tcBorders>
              <w:top w:val="nil"/>
              <w:left w:val="nil"/>
              <w:bottom w:val="nil"/>
              <w:right w:val="nil"/>
            </w:tcBorders>
            <w:shd w:val="clear" w:color="auto" w:fill="auto"/>
            <w:noWrap/>
            <w:vAlign w:val="bottom"/>
            <w:hideMark/>
          </w:tcPr>
          <w:p w14:paraId="447080D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-0.021**</w:t>
            </w:r>
          </w:p>
        </w:tc>
        <w:tc>
          <w:tcPr>
            <w:tcW w:w="2103" w:type="dxa"/>
            <w:tcBorders>
              <w:top w:val="nil"/>
              <w:left w:val="nil"/>
              <w:bottom w:val="nil"/>
              <w:right w:val="nil"/>
            </w:tcBorders>
            <w:shd w:val="clear" w:color="auto" w:fill="auto"/>
            <w:vAlign w:val="bottom"/>
          </w:tcPr>
          <w:p w14:paraId="2B0BF89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-0.060*</w:t>
            </w:r>
          </w:p>
        </w:tc>
      </w:tr>
      <w:tr w:rsidR="0046518A" w:rsidRPr="00967B87" w14:paraId="4E03979C" w14:textId="77777777" w:rsidTr="00683113">
        <w:trPr>
          <w:trHeight w:val="264"/>
        </w:trPr>
        <w:tc>
          <w:tcPr>
            <w:tcW w:w="3744" w:type="dxa"/>
            <w:tcBorders>
              <w:top w:val="nil"/>
              <w:left w:val="nil"/>
              <w:bottom w:val="nil"/>
              <w:right w:val="nil"/>
            </w:tcBorders>
            <w:shd w:val="clear" w:color="auto" w:fill="auto"/>
            <w:noWrap/>
            <w:vAlign w:val="bottom"/>
            <w:hideMark/>
          </w:tcPr>
          <w:p w14:paraId="6F0A7C1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00475B1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(0.008)</w:t>
            </w:r>
          </w:p>
        </w:tc>
        <w:tc>
          <w:tcPr>
            <w:tcW w:w="2103" w:type="dxa"/>
            <w:tcBorders>
              <w:top w:val="nil"/>
              <w:left w:val="nil"/>
              <w:bottom w:val="nil"/>
              <w:right w:val="nil"/>
            </w:tcBorders>
            <w:shd w:val="clear" w:color="auto" w:fill="auto"/>
            <w:vAlign w:val="bottom"/>
          </w:tcPr>
          <w:p w14:paraId="4C7F62F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(0.034)</w:t>
            </w:r>
          </w:p>
        </w:tc>
      </w:tr>
      <w:tr w:rsidR="0046518A" w:rsidRPr="00967B87" w14:paraId="1E9F37E6" w14:textId="77777777" w:rsidTr="00683113">
        <w:trPr>
          <w:trHeight w:val="264"/>
        </w:trPr>
        <w:tc>
          <w:tcPr>
            <w:tcW w:w="3744" w:type="dxa"/>
            <w:tcBorders>
              <w:top w:val="nil"/>
              <w:left w:val="nil"/>
              <w:bottom w:val="nil"/>
              <w:right w:val="nil"/>
            </w:tcBorders>
            <w:shd w:val="clear" w:color="auto" w:fill="auto"/>
            <w:noWrap/>
            <w:vAlign w:val="bottom"/>
            <w:hideMark/>
          </w:tcPr>
          <w:p w14:paraId="7ADC1EA6"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 xml:space="preserve">Promise Knowledge </w:t>
            </w:r>
          </w:p>
        </w:tc>
        <w:tc>
          <w:tcPr>
            <w:tcW w:w="2103" w:type="dxa"/>
            <w:tcBorders>
              <w:top w:val="nil"/>
              <w:left w:val="nil"/>
              <w:bottom w:val="nil"/>
              <w:right w:val="nil"/>
            </w:tcBorders>
            <w:shd w:val="clear" w:color="auto" w:fill="auto"/>
            <w:noWrap/>
            <w:vAlign w:val="bottom"/>
            <w:hideMark/>
          </w:tcPr>
          <w:p w14:paraId="6990C47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-0.007*</w:t>
            </w:r>
          </w:p>
        </w:tc>
        <w:tc>
          <w:tcPr>
            <w:tcW w:w="2103" w:type="dxa"/>
            <w:tcBorders>
              <w:top w:val="nil"/>
              <w:left w:val="nil"/>
              <w:bottom w:val="nil"/>
              <w:right w:val="nil"/>
            </w:tcBorders>
            <w:shd w:val="clear" w:color="auto" w:fill="auto"/>
            <w:vAlign w:val="bottom"/>
          </w:tcPr>
          <w:p w14:paraId="71CE9E6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-0.010</w:t>
            </w:r>
          </w:p>
        </w:tc>
      </w:tr>
      <w:tr w:rsidR="0046518A" w:rsidRPr="00967B87" w14:paraId="6132672D" w14:textId="77777777" w:rsidTr="00683113">
        <w:trPr>
          <w:trHeight w:val="264"/>
        </w:trPr>
        <w:tc>
          <w:tcPr>
            <w:tcW w:w="3744" w:type="dxa"/>
            <w:tcBorders>
              <w:top w:val="nil"/>
              <w:left w:val="nil"/>
              <w:bottom w:val="nil"/>
              <w:right w:val="nil"/>
            </w:tcBorders>
            <w:shd w:val="clear" w:color="auto" w:fill="auto"/>
            <w:noWrap/>
            <w:vAlign w:val="bottom"/>
            <w:hideMark/>
          </w:tcPr>
          <w:p w14:paraId="5D3036D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1DB3B59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(0.004)</w:t>
            </w:r>
          </w:p>
        </w:tc>
        <w:tc>
          <w:tcPr>
            <w:tcW w:w="2103" w:type="dxa"/>
            <w:tcBorders>
              <w:top w:val="nil"/>
              <w:left w:val="nil"/>
              <w:bottom w:val="nil"/>
              <w:right w:val="nil"/>
            </w:tcBorders>
            <w:shd w:val="clear" w:color="auto" w:fill="auto"/>
            <w:vAlign w:val="bottom"/>
          </w:tcPr>
          <w:p w14:paraId="124AF8A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(0.008)</w:t>
            </w:r>
          </w:p>
        </w:tc>
      </w:tr>
      <w:tr w:rsidR="0046518A" w:rsidRPr="00967B87" w14:paraId="545712D6" w14:textId="77777777" w:rsidTr="00683113">
        <w:trPr>
          <w:trHeight w:val="264"/>
        </w:trPr>
        <w:tc>
          <w:tcPr>
            <w:tcW w:w="3744" w:type="dxa"/>
            <w:tcBorders>
              <w:top w:val="nil"/>
              <w:left w:val="nil"/>
              <w:bottom w:val="nil"/>
              <w:right w:val="nil"/>
            </w:tcBorders>
            <w:shd w:val="clear" w:color="auto" w:fill="auto"/>
            <w:noWrap/>
            <w:vAlign w:val="bottom"/>
            <w:hideMark/>
          </w:tcPr>
          <w:p w14:paraId="65AD05E2"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Years in Position</w:t>
            </w:r>
          </w:p>
        </w:tc>
        <w:tc>
          <w:tcPr>
            <w:tcW w:w="2103" w:type="dxa"/>
            <w:tcBorders>
              <w:top w:val="nil"/>
              <w:left w:val="nil"/>
              <w:bottom w:val="nil"/>
              <w:right w:val="nil"/>
            </w:tcBorders>
            <w:shd w:val="clear" w:color="auto" w:fill="auto"/>
            <w:noWrap/>
            <w:vAlign w:val="bottom"/>
            <w:hideMark/>
          </w:tcPr>
          <w:p w14:paraId="39C7957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0.003</w:t>
            </w:r>
          </w:p>
        </w:tc>
        <w:tc>
          <w:tcPr>
            <w:tcW w:w="2103" w:type="dxa"/>
            <w:tcBorders>
              <w:top w:val="nil"/>
              <w:left w:val="nil"/>
              <w:bottom w:val="nil"/>
              <w:right w:val="nil"/>
            </w:tcBorders>
            <w:shd w:val="clear" w:color="auto" w:fill="auto"/>
            <w:vAlign w:val="bottom"/>
          </w:tcPr>
          <w:p w14:paraId="38BD61A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0.006</w:t>
            </w:r>
          </w:p>
        </w:tc>
      </w:tr>
      <w:tr w:rsidR="0046518A" w:rsidRPr="00967B87" w14:paraId="6B519193" w14:textId="77777777" w:rsidTr="00683113">
        <w:trPr>
          <w:trHeight w:val="264"/>
        </w:trPr>
        <w:tc>
          <w:tcPr>
            <w:tcW w:w="3744" w:type="dxa"/>
            <w:tcBorders>
              <w:top w:val="nil"/>
              <w:left w:val="nil"/>
              <w:bottom w:val="nil"/>
              <w:right w:val="nil"/>
            </w:tcBorders>
            <w:shd w:val="clear" w:color="auto" w:fill="auto"/>
            <w:noWrap/>
            <w:vAlign w:val="bottom"/>
            <w:hideMark/>
          </w:tcPr>
          <w:p w14:paraId="2B7A822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15E0911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(0.004)</w:t>
            </w:r>
          </w:p>
        </w:tc>
        <w:tc>
          <w:tcPr>
            <w:tcW w:w="2103" w:type="dxa"/>
            <w:tcBorders>
              <w:top w:val="nil"/>
              <w:left w:val="nil"/>
              <w:bottom w:val="nil"/>
              <w:right w:val="nil"/>
            </w:tcBorders>
            <w:shd w:val="clear" w:color="auto" w:fill="auto"/>
            <w:vAlign w:val="bottom"/>
          </w:tcPr>
          <w:p w14:paraId="632A5D7E"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(0.009)</w:t>
            </w:r>
          </w:p>
        </w:tc>
      </w:tr>
      <w:tr w:rsidR="0046518A" w:rsidRPr="00967B87" w14:paraId="0D54B29B" w14:textId="77777777" w:rsidTr="00683113">
        <w:trPr>
          <w:trHeight w:val="264"/>
        </w:trPr>
        <w:tc>
          <w:tcPr>
            <w:tcW w:w="3744" w:type="dxa"/>
            <w:tcBorders>
              <w:top w:val="nil"/>
              <w:left w:val="nil"/>
              <w:bottom w:val="nil"/>
              <w:right w:val="nil"/>
            </w:tcBorders>
            <w:shd w:val="clear" w:color="auto" w:fill="auto"/>
            <w:noWrap/>
            <w:vAlign w:val="bottom"/>
            <w:hideMark/>
          </w:tcPr>
          <w:p w14:paraId="334A9656"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Perceived Support from Administration</w:t>
            </w:r>
          </w:p>
        </w:tc>
        <w:tc>
          <w:tcPr>
            <w:tcW w:w="2103" w:type="dxa"/>
            <w:tcBorders>
              <w:top w:val="nil"/>
              <w:left w:val="nil"/>
              <w:bottom w:val="nil"/>
              <w:right w:val="nil"/>
            </w:tcBorders>
            <w:shd w:val="clear" w:color="auto" w:fill="auto"/>
            <w:noWrap/>
            <w:vAlign w:val="bottom"/>
            <w:hideMark/>
          </w:tcPr>
          <w:p w14:paraId="4F76244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0.009</w:t>
            </w:r>
          </w:p>
        </w:tc>
        <w:tc>
          <w:tcPr>
            <w:tcW w:w="2103" w:type="dxa"/>
            <w:tcBorders>
              <w:top w:val="nil"/>
              <w:left w:val="nil"/>
              <w:bottom w:val="nil"/>
              <w:right w:val="nil"/>
            </w:tcBorders>
            <w:shd w:val="clear" w:color="auto" w:fill="auto"/>
            <w:vAlign w:val="bottom"/>
          </w:tcPr>
          <w:p w14:paraId="025B8D9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0.029**</w:t>
            </w:r>
          </w:p>
        </w:tc>
      </w:tr>
      <w:tr w:rsidR="0046518A" w:rsidRPr="00967B87" w14:paraId="744CDD8C" w14:textId="77777777" w:rsidTr="00683113">
        <w:trPr>
          <w:trHeight w:val="264"/>
        </w:trPr>
        <w:tc>
          <w:tcPr>
            <w:tcW w:w="3744" w:type="dxa"/>
            <w:tcBorders>
              <w:top w:val="nil"/>
              <w:left w:val="nil"/>
              <w:bottom w:val="nil"/>
              <w:right w:val="nil"/>
            </w:tcBorders>
            <w:shd w:val="clear" w:color="auto" w:fill="auto"/>
            <w:noWrap/>
            <w:vAlign w:val="bottom"/>
            <w:hideMark/>
          </w:tcPr>
          <w:p w14:paraId="05548D6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17C054A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(0.006)</w:t>
            </w:r>
          </w:p>
        </w:tc>
        <w:tc>
          <w:tcPr>
            <w:tcW w:w="2103" w:type="dxa"/>
            <w:tcBorders>
              <w:top w:val="nil"/>
              <w:left w:val="nil"/>
              <w:bottom w:val="nil"/>
              <w:right w:val="nil"/>
            </w:tcBorders>
            <w:shd w:val="clear" w:color="auto" w:fill="auto"/>
            <w:vAlign w:val="bottom"/>
          </w:tcPr>
          <w:p w14:paraId="487CBC3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(0.014)</w:t>
            </w:r>
          </w:p>
        </w:tc>
      </w:tr>
      <w:tr w:rsidR="0046518A" w:rsidRPr="00967B87" w14:paraId="409589D6" w14:textId="77777777" w:rsidTr="00683113">
        <w:trPr>
          <w:trHeight w:val="264"/>
        </w:trPr>
        <w:tc>
          <w:tcPr>
            <w:tcW w:w="3744" w:type="dxa"/>
            <w:tcBorders>
              <w:top w:val="nil"/>
              <w:left w:val="nil"/>
              <w:bottom w:val="nil"/>
              <w:right w:val="nil"/>
            </w:tcBorders>
            <w:shd w:val="clear" w:color="auto" w:fill="auto"/>
            <w:noWrap/>
            <w:vAlign w:val="bottom"/>
            <w:hideMark/>
          </w:tcPr>
          <w:p w14:paraId="43DC28B7"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High Discretion</w:t>
            </w:r>
          </w:p>
        </w:tc>
        <w:tc>
          <w:tcPr>
            <w:tcW w:w="2103" w:type="dxa"/>
            <w:tcBorders>
              <w:top w:val="nil"/>
              <w:left w:val="nil"/>
              <w:bottom w:val="nil"/>
              <w:right w:val="nil"/>
            </w:tcBorders>
            <w:shd w:val="clear" w:color="auto" w:fill="auto"/>
            <w:noWrap/>
            <w:vAlign w:val="bottom"/>
            <w:hideMark/>
          </w:tcPr>
          <w:p w14:paraId="7012BAD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0.002</w:t>
            </w:r>
          </w:p>
        </w:tc>
        <w:tc>
          <w:tcPr>
            <w:tcW w:w="2103" w:type="dxa"/>
            <w:tcBorders>
              <w:top w:val="nil"/>
              <w:left w:val="nil"/>
              <w:bottom w:val="nil"/>
              <w:right w:val="nil"/>
            </w:tcBorders>
            <w:shd w:val="clear" w:color="auto" w:fill="auto"/>
            <w:vAlign w:val="bottom"/>
          </w:tcPr>
          <w:p w14:paraId="1996931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0.015</w:t>
            </w:r>
          </w:p>
        </w:tc>
      </w:tr>
      <w:tr w:rsidR="0046518A" w:rsidRPr="00967B87" w14:paraId="7A1454D4" w14:textId="77777777" w:rsidTr="00683113">
        <w:trPr>
          <w:trHeight w:val="264"/>
        </w:trPr>
        <w:tc>
          <w:tcPr>
            <w:tcW w:w="3744" w:type="dxa"/>
            <w:tcBorders>
              <w:top w:val="nil"/>
              <w:left w:val="nil"/>
              <w:bottom w:val="nil"/>
              <w:right w:val="nil"/>
            </w:tcBorders>
            <w:shd w:val="clear" w:color="auto" w:fill="auto"/>
            <w:noWrap/>
            <w:vAlign w:val="bottom"/>
            <w:hideMark/>
          </w:tcPr>
          <w:p w14:paraId="43D59E3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7523D57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(0.007)</w:t>
            </w:r>
          </w:p>
        </w:tc>
        <w:tc>
          <w:tcPr>
            <w:tcW w:w="2103" w:type="dxa"/>
            <w:tcBorders>
              <w:top w:val="nil"/>
              <w:left w:val="nil"/>
              <w:bottom w:val="nil"/>
              <w:right w:val="nil"/>
            </w:tcBorders>
            <w:shd w:val="clear" w:color="auto" w:fill="auto"/>
            <w:vAlign w:val="bottom"/>
          </w:tcPr>
          <w:p w14:paraId="7AC1DBA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(0.019)</w:t>
            </w:r>
          </w:p>
        </w:tc>
      </w:tr>
      <w:tr w:rsidR="0046518A" w:rsidRPr="00967B87" w14:paraId="1F0AC06F" w14:textId="77777777" w:rsidTr="00683113">
        <w:trPr>
          <w:trHeight w:val="264"/>
        </w:trPr>
        <w:tc>
          <w:tcPr>
            <w:tcW w:w="3744" w:type="dxa"/>
            <w:tcBorders>
              <w:top w:val="nil"/>
              <w:left w:val="nil"/>
              <w:bottom w:val="nil"/>
              <w:right w:val="nil"/>
            </w:tcBorders>
            <w:shd w:val="clear" w:color="auto" w:fill="auto"/>
            <w:noWrap/>
            <w:vAlign w:val="bottom"/>
            <w:hideMark/>
          </w:tcPr>
          <w:p w14:paraId="79074E03"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 of Students Able to Meet With</w:t>
            </w:r>
          </w:p>
        </w:tc>
        <w:tc>
          <w:tcPr>
            <w:tcW w:w="2103" w:type="dxa"/>
            <w:tcBorders>
              <w:top w:val="nil"/>
              <w:left w:val="nil"/>
              <w:bottom w:val="nil"/>
              <w:right w:val="nil"/>
            </w:tcBorders>
            <w:shd w:val="clear" w:color="auto" w:fill="auto"/>
            <w:noWrap/>
            <w:vAlign w:val="bottom"/>
            <w:hideMark/>
          </w:tcPr>
          <w:p w14:paraId="2848B2D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0.001***</w:t>
            </w:r>
          </w:p>
        </w:tc>
        <w:tc>
          <w:tcPr>
            <w:tcW w:w="2103" w:type="dxa"/>
            <w:tcBorders>
              <w:top w:val="nil"/>
              <w:left w:val="nil"/>
              <w:bottom w:val="nil"/>
              <w:right w:val="nil"/>
            </w:tcBorders>
            <w:shd w:val="clear" w:color="auto" w:fill="auto"/>
            <w:vAlign w:val="bottom"/>
          </w:tcPr>
          <w:p w14:paraId="0800BACB"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0.001***</w:t>
            </w:r>
          </w:p>
        </w:tc>
      </w:tr>
      <w:tr w:rsidR="0046518A" w:rsidRPr="00967B87" w14:paraId="2287B524" w14:textId="77777777" w:rsidTr="00683113">
        <w:trPr>
          <w:trHeight w:val="264"/>
        </w:trPr>
        <w:tc>
          <w:tcPr>
            <w:tcW w:w="3744" w:type="dxa"/>
            <w:tcBorders>
              <w:top w:val="nil"/>
              <w:left w:val="nil"/>
              <w:bottom w:val="nil"/>
              <w:right w:val="nil"/>
            </w:tcBorders>
            <w:shd w:val="clear" w:color="auto" w:fill="auto"/>
            <w:noWrap/>
            <w:vAlign w:val="bottom"/>
            <w:hideMark/>
          </w:tcPr>
          <w:p w14:paraId="7A852F1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626DBF6E"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(0.0001)</w:t>
            </w:r>
          </w:p>
        </w:tc>
        <w:tc>
          <w:tcPr>
            <w:tcW w:w="2103" w:type="dxa"/>
            <w:tcBorders>
              <w:top w:val="nil"/>
              <w:left w:val="nil"/>
              <w:bottom w:val="nil"/>
              <w:right w:val="nil"/>
            </w:tcBorders>
            <w:shd w:val="clear" w:color="auto" w:fill="auto"/>
            <w:vAlign w:val="bottom"/>
          </w:tcPr>
          <w:p w14:paraId="2755D2E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(0.0003)</w:t>
            </w:r>
          </w:p>
        </w:tc>
      </w:tr>
      <w:tr w:rsidR="0046518A" w:rsidRPr="00967B87" w14:paraId="4EC78A4E" w14:textId="77777777" w:rsidTr="00683113">
        <w:trPr>
          <w:trHeight w:val="264"/>
        </w:trPr>
        <w:tc>
          <w:tcPr>
            <w:tcW w:w="3744" w:type="dxa"/>
            <w:tcBorders>
              <w:top w:val="nil"/>
              <w:left w:val="nil"/>
              <w:bottom w:val="nil"/>
              <w:right w:val="nil"/>
            </w:tcBorders>
            <w:shd w:val="clear" w:color="auto" w:fill="auto"/>
            <w:noWrap/>
            <w:vAlign w:val="bottom"/>
            <w:hideMark/>
          </w:tcPr>
          <w:p w14:paraId="4B3CF0C8"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 of Time Spent on College Preparation</w:t>
            </w:r>
          </w:p>
        </w:tc>
        <w:tc>
          <w:tcPr>
            <w:tcW w:w="2103" w:type="dxa"/>
            <w:tcBorders>
              <w:top w:val="nil"/>
              <w:left w:val="nil"/>
              <w:bottom w:val="nil"/>
              <w:right w:val="nil"/>
            </w:tcBorders>
            <w:shd w:val="clear" w:color="auto" w:fill="auto"/>
            <w:noWrap/>
            <w:vAlign w:val="bottom"/>
            <w:hideMark/>
          </w:tcPr>
          <w:p w14:paraId="7BEE062A"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0.000</w:t>
            </w:r>
          </w:p>
        </w:tc>
        <w:tc>
          <w:tcPr>
            <w:tcW w:w="2103" w:type="dxa"/>
            <w:tcBorders>
              <w:top w:val="nil"/>
              <w:left w:val="nil"/>
              <w:bottom w:val="nil"/>
              <w:right w:val="nil"/>
            </w:tcBorders>
            <w:shd w:val="clear" w:color="auto" w:fill="auto"/>
            <w:vAlign w:val="bottom"/>
          </w:tcPr>
          <w:p w14:paraId="756F6D7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0.001</w:t>
            </w:r>
          </w:p>
        </w:tc>
      </w:tr>
      <w:tr w:rsidR="0046518A" w:rsidRPr="00967B87" w14:paraId="40F965CA" w14:textId="77777777" w:rsidTr="00683113">
        <w:trPr>
          <w:trHeight w:val="264"/>
        </w:trPr>
        <w:tc>
          <w:tcPr>
            <w:tcW w:w="3744" w:type="dxa"/>
            <w:tcBorders>
              <w:top w:val="nil"/>
              <w:left w:val="nil"/>
              <w:bottom w:val="nil"/>
              <w:right w:val="nil"/>
            </w:tcBorders>
            <w:shd w:val="clear" w:color="auto" w:fill="auto"/>
            <w:noWrap/>
            <w:vAlign w:val="bottom"/>
            <w:hideMark/>
          </w:tcPr>
          <w:p w14:paraId="5811B9F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3B17F43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(0.0002)</w:t>
            </w:r>
          </w:p>
        </w:tc>
        <w:tc>
          <w:tcPr>
            <w:tcW w:w="2103" w:type="dxa"/>
            <w:tcBorders>
              <w:top w:val="nil"/>
              <w:left w:val="nil"/>
              <w:bottom w:val="nil"/>
              <w:right w:val="nil"/>
            </w:tcBorders>
            <w:shd w:val="clear" w:color="auto" w:fill="auto"/>
            <w:vAlign w:val="bottom"/>
          </w:tcPr>
          <w:p w14:paraId="2101111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(0.0004)</w:t>
            </w:r>
          </w:p>
        </w:tc>
      </w:tr>
      <w:tr w:rsidR="0046518A" w:rsidRPr="00967B87" w14:paraId="464979F3" w14:textId="77777777" w:rsidTr="00683113">
        <w:trPr>
          <w:trHeight w:val="198"/>
        </w:trPr>
        <w:tc>
          <w:tcPr>
            <w:tcW w:w="3744" w:type="dxa"/>
            <w:tcBorders>
              <w:top w:val="nil"/>
              <w:left w:val="nil"/>
              <w:bottom w:val="nil"/>
              <w:right w:val="nil"/>
            </w:tcBorders>
            <w:shd w:val="clear" w:color="auto" w:fill="auto"/>
            <w:noWrap/>
            <w:vAlign w:val="bottom"/>
            <w:hideMark/>
          </w:tcPr>
          <w:p w14:paraId="3AC2C655" w14:textId="77777777" w:rsidR="0046518A" w:rsidRPr="00967B87" w:rsidRDefault="0046518A" w:rsidP="00683113">
            <w:pPr>
              <w:spacing w:after="0" w:line="240" w:lineRule="auto"/>
              <w:rPr>
                <w:rFonts w:ascii="Times New Roman" w:eastAsia="Times New Roman" w:hAnsi="Times New Roman" w:cs="Times New Roman"/>
                <w:i/>
                <w:iCs/>
                <w:color w:val="000000"/>
                <w:sz w:val="20"/>
                <w:szCs w:val="24"/>
              </w:rPr>
            </w:pPr>
            <w:r w:rsidRPr="00967B87">
              <w:rPr>
                <w:rFonts w:ascii="Times New Roman" w:eastAsia="Times New Roman" w:hAnsi="Times New Roman" w:cs="Times New Roman"/>
                <w:i/>
                <w:iCs/>
                <w:color w:val="000000"/>
                <w:sz w:val="20"/>
                <w:szCs w:val="24"/>
              </w:rPr>
              <w:t>School Level Controls</w:t>
            </w:r>
          </w:p>
        </w:tc>
        <w:tc>
          <w:tcPr>
            <w:tcW w:w="2103" w:type="dxa"/>
            <w:tcBorders>
              <w:top w:val="nil"/>
              <w:left w:val="nil"/>
              <w:bottom w:val="nil"/>
              <w:right w:val="nil"/>
            </w:tcBorders>
            <w:shd w:val="clear" w:color="auto" w:fill="auto"/>
            <w:noWrap/>
            <w:vAlign w:val="bottom"/>
            <w:hideMark/>
          </w:tcPr>
          <w:p w14:paraId="5D3F7D73" w14:textId="77777777" w:rsidR="0046518A" w:rsidRPr="00967B87" w:rsidRDefault="0046518A" w:rsidP="00683113">
            <w:pPr>
              <w:spacing w:after="0" w:line="240" w:lineRule="auto"/>
              <w:rPr>
                <w:rFonts w:ascii="Times New Roman" w:eastAsia="Times New Roman" w:hAnsi="Times New Roman" w:cs="Times New Roman"/>
                <w:i/>
                <w:iCs/>
                <w:color w:val="000000"/>
                <w:sz w:val="20"/>
                <w:szCs w:val="24"/>
              </w:rPr>
            </w:pPr>
          </w:p>
        </w:tc>
        <w:tc>
          <w:tcPr>
            <w:tcW w:w="2103" w:type="dxa"/>
            <w:tcBorders>
              <w:top w:val="nil"/>
              <w:left w:val="nil"/>
              <w:bottom w:val="nil"/>
              <w:right w:val="nil"/>
            </w:tcBorders>
          </w:tcPr>
          <w:p w14:paraId="67BC850F" w14:textId="77777777" w:rsidR="0046518A" w:rsidRPr="00967B87" w:rsidRDefault="0046518A" w:rsidP="00683113">
            <w:pPr>
              <w:spacing w:after="0" w:line="240" w:lineRule="auto"/>
              <w:rPr>
                <w:rFonts w:ascii="Times New Roman" w:eastAsia="Times New Roman" w:hAnsi="Times New Roman" w:cs="Times New Roman"/>
                <w:i/>
                <w:iCs/>
                <w:color w:val="000000"/>
                <w:sz w:val="20"/>
                <w:szCs w:val="24"/>
              </w:rPr>
            </w:pPr>
          </w:p>
        </w:tc>
      </w:tr>
      <w:tr w:rsidR="0046518A" w:rsidRPr="00967B87" w14:paraId="5397AF4E" w14:textId="77777777" w:rsidTr="00683113">
        <w:trPr>
          <w:trHeight w:val="264"/>
        </w:trPr>
        <w:tc>
          <w:tcPr>
            <w:tcW w:w="3744" w:type="dxa"/>
            <w:tcBorders>
              <w:top w:val="nil"/>
              <w:left w:val="nil"/>
              <w:bottom w:val="nil"/>
              <w:right w:val="nil"/>
            </w:tcBorders>
            <w:shd w:val="clear" w:color="auto" w:fill="auto"/>
            <w:noWrap/>
            <w:vAlign w:val="bottom"/>
            <w:hideMark/>
          </w:tcPr>
          <w:p w14:paraId="0BD82F87"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School Family Income Comparison</w:t>
            </w:r>
          </w:p>
        </w:tc>
        <w:tc>
          <w:tcPr>
            <w:tcW w:w="2103" w:type="dxa"/>
            <w:tcBorders>
              <w:top w:val="nil"/>
              <w:left w:val="nil"/>
              <w:bottom w:val="nil"/>
              <w:right w:val="nil"/>
            </w:tcBorders>
            <w:shd w:val="clear" w:color="auto" w:fill="auto"/>
            <w:noWrap/>
            <w:vAlign w:val="bottom"/>
            <w:hideMark/>
          </w:tcPr>
          <w:p w14:paraId="7FA4161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-0.009*</w:t>
            </w:r>
          </w:p>
        </w:tc>
        <w:tc>
          <w:tcPr>
            <w:tcW w:w="2103" w:type="dxa"/>
            <w:tcBorders>
              <w:top w:val="nil"/>
              <w:left w:val="nil"/>
              <w:bottom w:val="nil"/>
              <w:right w:val="nil"/>
            </w:tcBorders>
            <w:shd w:val="clear" w:color="auto" w:fill="auto"/>
            <w:vAlign w:val="bottom"/>
          </w:tcPr>
          <w:p w14:paraId="54F1996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-0.0289**</w:t>
            </w:r>
          </w:p>
        </w:tc>
      </w:tr>
      <w:tr w:rsidR="0046518A" w:rsidRPr="00967B87" w14:paraId="681A5FF2" w14:textId="77777777" w:rsidTr="00683113">
        <w:trPr>
          <w:trHeight w:val="264"/>
        </w:trPr>
        <w:tc>
          <w:tcPr>
            <w:tcW w:w="3744" w:type="dxa"/>
            <w:tcBorders>
              <w:top w:val="nil"/>
              <w:left w:val="nil"/>
              <w:bottom w:val="nil"/>
              <w:right w:val="nil"/>
            </w:tcBorders>
            <w:shd w:val="clear" w:color="auto" w:fill="auto"/>
            <w:noWrap/>
            <w:vAlign w:val="bottom"/>
            <w:hideMark/>
          </w:tcPr>
          <w:p w14:paraId="7D2D32D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4A03D3A5"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(0.004)</w:t>
            </w:r>
          </w:p>
        </w:tc>
        <w:tc>
          <w:tcPr>
            <w:tcW w:w="2103" w:type="dxa"/>
            <w:tcBorders>
              <w:top w:val="nil"/>
              <w:left w:val="nil"/>
              <w:bottom w:val="nil"/>
              <w:right w:val="nil"/>
            </w:tcBorders>
            <w:shd w:val="clear" w:color="auto" w:fill="auto"/>
            <w:vAlign w:val="bottom"/>
          </w:tcPr>
          <w:p w14:paraId="0FDB38B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(0.0125)</w:t>
            </w:r>
          </w:p>
        </w:tc>
      </w:tr>
      <w:tr w:rsidR="0046518A" w:rsidRPr="00967B87" w14:paraId="5B3CEEC7" w14:textId="77777777" w:rsidTr="00683113">
        <w:trPr>
          <w:trHeight w:val="264"/>
        </w:trPr>
        <w:tc>
          <w:tcPr>
            <w:tcW w:w="3744" w:type="dxa"/>
            <w:tcBorders>
              <w:top w:val="nil"/>
              <w:left w:val="nil"/>
              <w:bottom w:val="nil"/>
              <w:right w:val="nil"/>
            </w:tcBorders>
            <w:shd w:val="clear" w:color="auto" w:fill="auto"/>
            <w:noWrap/>
            <w:vAlign w:val="bottom"/>
            <w:hideMark/>
          </w:tcPr>
          <w:p w14:paraId="56DFC6F7"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Partner with Nonprofits</w:t>
            </w:r>
          </w:p>
        </w:tc>
        <w:tc>
          <w:tcPr>
            <w:tcW w:w="2103" w:type="dxa"/>
            <w:tcBorders>
              <w:top w:val="nil"/>
              <w:left w:val="nil"/>
              <w:bottom w:val="nil"/>
              <w:right w:val="nil"/>
            </w:tcBorders>
            <w:shd w:val="clear" w:color="auto" w:fill="auto"/>
            <w:noWrap/>
            <w:vAlign w:val="bottom"/>
            <w:hideMark/>
          </w:tcPr>
          <w:p w14:paraId="61E0DBD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-0.018*</w:t>
            </w:r>
          </w:p>
        </w:tc>
        <w:tc>
          <w:tcPr>
            <w:tcW w:w="2103" w:type="dxa"/>
            <w:tcBorders>
              <w:top w:val="nil"/>
              <w:left w:val="nil"/>
              <w:bottom w:val="nil"/>
              <w:right w:val="nil"/>
            </w:tcBorders>
            <w:shd w:val="clear" w:color="auto" w:fill="auto"/>
            <w:vAlign w:val="bottom"/>
          </w:tcPr>
          <w:p w14:paraId="0A5E35A7"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-0.0404*</w:t>
            </w:r>
          </w:p>
        </w:tc>
      </w:tr>
      <w:tr w:rsidR="0046518A" w:rsidRPr="00967B87" w14:paraId="4F9E6B05" w14:textId="77777777" w:rsidTr="00683113">
        <w:trPr>
          <w:trHeight w:val="264"/>
        </w:trPr>
        <w:tc>
          <w:tcPr>
            <w:tcW w:w="3744" w:type="dxa"/>
            <w:tcBorders>
              <w:top w:val="nil"/>
              <w:left w:val="nil"/>
              <w:bottom w:val="nil"/>
              <w:right w:val="nil"/>
            </w:tcBorders>
            <w:shd w:val="clear" w:color="auto" w:fill="auto"/>
            <w:noWrap/>
            <w:vAlign w:val="bottom"/>
            <w:hideMark/>
          </w:tcPr>
          <w:p w14:paraId="4BA1417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0458CDF8"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(0.009)</w:t>
            </w:r>
          </w:p>
        </w:tc>
        <w:tc>
          <w:tcPr>
            <w:tcW w:w="2103" w:type="dxa"/>
            <w:tcBorders>
              <w:top w:val="nil"/>
              <w:left w:val="nil"/>
              <w:bottom w:val="nil"/>
              <w:right w:val="nil"/>
            </w:tcBorders>
            <w:shd w:val="clear" w:color="auto" w:fill="auto"/>
            <w:vAlign w:val="bottom"/>
          </w:tcPr>
          <w:p w14:paraId="5DE259D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(0.0227)</w:t>
            </w:r>
          </w:p>
        </w:tc>
      </w:tr>
      <w:tr w:rsidR="0046518A" w:rsidRPr="00967B87" w14:paraId="5A48D20D" w14:textId="77777777" w:rsidTr="00683113">
        <w:trPr>
          <w:trHeight w:val="264"/>
        </w:trPr>
        <w:tc>
          <w:tcPr>
            <w:tcW w:w="3744" w:type="dxa"/>
            <w:tcBorders>
              <w:top w:val="nil"/>
              <w:left w:val="nil"/>
              <w:bottom w:val="nil"/>
              <w:right w:val="nil"/>
            </w:tcBorders>
            <w:shd w:val="clear" w:color="auto" w:fill="auto"/>
            <w:noWrap/>
            <w:vAlign w:val="bottom"/>
            <w:hideMark/>
          </w:tcPr>
          <w:p w14:paraId="0B7C82B3" w14:textId="77777777" w:rsidR="0046518A" w:rsidRPr="00967B87" w:rsidRDefault="0046518A" w:rsidP="00683113">
            <w:pPr>
              <w:spacing w:after="0" w:line="240" w:lineRule="auto"/>
              <w:ind w:firstLineChars="100" w:firstLine="200"/>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Percent FRL Enrollment</w:t>
            </w:r>
          </w:p>
        </w:tc>
        <w:tc>
          <w:tcPr>
            <w:tcW w:w="2103" w:type="dxa"/>
            <w:tcBorders>
              <w:top w:val="nil"/>
              <w:left w:val="nil"/>
              <w:bottom w:val="nil"/>
              <w:right w:val="nil"/>
            </w:tcBorders>
            <w:shd w:val="clear" w:color="auto" w:fill="auto"/>
            <w:noWrap/>
            <w:vAlign w:val="bottom"/>
            <w:hideMark/>
          </w:tcPr>
          <w:p w14:paraId="42AEC560"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0.040</w:t>
            </w:r>
          </w:p>
        </w:tc>
        <w:tc>
          <w:tcPr>
            <w:tcW w:w="2103" w:type="dxa"/>
            <w:tcBorders>
              <w:top w:val="nil"/>
              <w:left w:val="nil"/>
              <w:bottom w:val="nil"/>
              <w:right w:val="nil"/>
            </w:tcBorders>
            <w:shd w:val="clear" w:color="auto" w:fill="auto"/>
            <w:vAlign w:val="bottom"/>
          </w:tcPr>
          <w:p w14:paraId="45D6BE21"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-0.414***</w:t>
            </w:r>
          </w:p>
        </w:tc>
      </w:tr>
      <w:tr w:rsidR="0046518A" w:rsidRPr="00967B87" w14:paraId="3A966EF5" w14:textId="77777777" w:rsidTr="00683113">
        <w:trPr>
          <w:trHeight w:val="264"/>
        </w:trPr>
        <w:tc>
          <w:tcPr>
            <w:tcW w:w="3744" w:type="dxa"/>
            <w:tcBorders>
              <w:top w:val="nil"/>
              <w:left w:val="nil"/>
              <w:bottom w:val="nil"/>
              <w:right w:val="nil"/>
            </w:tcBorders>
            <w:shd w:val="clear" w:color="auto" w:fill="auto"/>
            <w:noWrap/>
            <w:vAlign w:val="bottom"/>
            <w:hideMark/>
          </w:tcPr>
          <w:p w14:paraId="36AF234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77EA0DF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(0.0258)</w:t>
            </w:r>
          </w:p>
        </w:tc>
        <w:tc>
          <w:tcPr>
            <w:tcW w:w="2103" w:type="dxa"/>
            <w:tcBorders>
              <w:top w:val="nil"/>
              <w:left w:val="nil"/>
              <w:bottom w:val="nil"/>
              <w:right w:val="nil"/>
            </w:tcBorders>
            <w:shd w:val="clear" w:color="auto" w:fill="auto"/>
            <w:vAlign w:val="bottom"/>
          </w:tcPr>
          <w:p w14:paraId="6927E55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(0.0568)</w:t>
            </w:r>
          </w:p>
        </w:tc>
      </w:tr>
      <w:tr w:rsidR="0046518A" w:rsidRPr="00967B87" w14:paraId="154D2385" w14:textId="77777777" w:rsidTr="00683113">
        <w:trPr>
          <w:trHeight w:val="264"/>
        </w:trPr>
        <w:tc>
          <w:tcPr>
            <w:tcW w:w="3744" w:type="dxa"/>
            <w:tcBorders>
              <w:top w:val="nil"/>
              <w:left w:val="nil"/>
              <w:bottom w:val="nil"/>
              <w:right w:val="nil"/>
            </w:tcBorders>
            <w:shd w:val="clear" w:color="auto" w:fill="auto"/>
            <w:noWrap/>
            <w:vAlign w:val="bottom"/>
            <w:hideMark/>
          </w:tcPr>
          <w:p w14:paraId="382B8EDC" w14:textId="77777777" w:rsidR="0046518A" w:rsidRPr="00967B87" w:rsidRDefault="0046518A" w:rsidP="00683113">
            <w:pPr>
              <w:spacing w:after="0" w:line="240" w:lineRule="auto"/>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Constant</w:t>
            </w:r>
          </w:p>
        </w:tc>
        <w:tc>
          <w:tcPr>
            <w:tcW w:w="2103" w:type="dxa"/>
            <w:tcBorders>
              <w:top w:val="nil"/>
              <w:left w:val="nil"/>
              <w:bottom w:val="nil"/>
              <w:right w:val="nil"/>
            </w:tcBorders>
            <w:shd w:val="clear" w:color="auto" w:fill="auto"/>
            <w:noWrap/>
            <w:vAlign w:val="bottom"/>
            <w:hideMark/>
          </w:tcPr>
          <w:p w14:paraId="7A14704D"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0.174*</w:t>
            </w:r>
          </w:p>
        </w:tc>
        <w:tc>
          <w:tcPr>
            <w:tcW w:w="2103" w:type="dxa"/>
            <w:tcBorders>
              <w:top w:val="nil"/>
              <w:left w:val="nil"/>
              <w:bottom w:val="nil"/>
              <w:right w:val="nil"/>
            </w:tcBorders>
            <w:shd w:val="clear" w:color="auto" w:fill="auto"/>
            <w:vAlign w:val="bottom"/>
          </w:tcPr>
          <w:p w14:paraId="7D2526C4"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0.600***</w:t>
            </w:r>
          </w:p>
        </w:tc>
      </w:tr>
      <w:tr w:rsidR="0046518A" w:rsidRPr="00967B87" w14:paraId="4AF87C19" w14:textId="77777777" w:rsidTr="00683113">
        <w:trPr>
          <w:trHeight w:val="264"/>
        </w:trPr>
        <w:tc>
          <w:tcPr>
            <w:tcW w:w="3744" w:type="dxa"/>
            <w:tcBorders>
              <w:top w:val="nil"/>
              <w:left w:val="nil"/>
              <w:bottom w:val="nil"/>
              <w:right w:val="nil"/>
            </w:tcBorders>
            <w:shd w:val="clear" w:color="auto" w:fill="auto"/>
            <w:noWrap/>
            <w:vAlign w:val="bottom"/>
            <w:hideMark/>
          </w:tcPr>
          <w:p w14:paraId="4B58519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p>
        </w:tc>
        <w:tc>
          <w:tcPr>
            <w:tcW w:w="2103" w:type="dxa"/>
            <w:tcBorders>
              <w:top w:val="nil"/>
              <w:left w:val="nil"/>
              <w:bottom w:val="nil"/>
              <w:right w:val="nil"/>
            </w:tcBorders>
            <w:shd w:val="clear" w:color="auto" w:fill="auto"/>
            <w:noWrap/>
            <w:vAlign w:val="bottom"/>
            <w:hideMark/>
          </w:tcPr>
          <w:p w14:paraId="163F41D6"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(0.0891)</w:t>
            </w:r>
          </w:p>
        </w:tc>
        <w:tc>
          <w:tcPr>
            <w:tcW w:w="2103" w:type="dxa"/>
            <w:tcBorders>
              <w:top w:val="nil"/>
              <w:left w:val="nil"/>
              <w:bottom w:val="nil"/>
              <w:right w:val="nil"/>
            </w:tcBorders>
            <w:shd w:val="clear" w:color="auto" w:fill="auto"/>
            <w:vAlign w:val="bottom"/>
          </w:tcPr>
          <w:p w14:paraId="13CD6DC3"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hAnsi="Times New Roman" w:cs="Times New Roman"/>
                <w:sz w:val="20"/>
                <w:szCs w:val="24"/>
              </w:rPr>
              <w:t>(0.185)</w:t>
            </w:r>
          </w:p>
        </w:tc>
      </w:tr>
      <w:tr w:rsidR="0046518A" w:rsidRPr="00967B87" w14:paraId="0E354272" w14:textId="77777777" w:rsidTr="00683113">
        <w:trPr>
          <w:trHeight w:val="264"/>
        </w:trPr>
        <w:tc>
          <w:tcPr>
            <w:tcW w:w="3744" w:type="dxa"/>
            <w:tcBorders>
              <w:top w:val="nil"/>
              <w:left w:val="nil"/>
              <w:bottom w:val="nil"/>
              <w:right w:val="nil"/>
            </w:tcBorders>
            <w:shd w:val="clear" w:color="auto" w:fill="auto"/>
            <w:noWrap/>
            <w:vAlign w:val="bottom"/>
            <w:hideMark/>
          </w:tcPr>
          <w:p w14:paraId="39BDB601" w14:textId="77777777" w:rsidR="0046518A" w:rsidRPr="00967B87" w:rsidRDefault="0046518A" w:rsidP="00683113">
            <w:pPr>
              <w:spacing w:after="0" w:line="240" w:lineRule="auto"/>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Observations</w:t>
            </w:r>
          </w:p>
        </w:tc>
        <w:tc>
          <w:tcPr>
            <w:tcW w:w="2103" w:type="dxa"/>
            <w:tcBorders>
              <w:top w:val="nil"/>
              <w:left w:val="nil"/>
              <w:bottom w:val="nil"/>
              <w:right w:val="nil"/>
            </w:tcBorders>
            <w:shd w:val="clear" w:color="auto" w:fill="auto"/>
            <w:noWrap/>
            <w:vAlign w:val="bottom"/>
            <w:hideMark/>
          </w:tcPr>
          <w:p w14:paraId="3DFC25EC"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167</w:t>
            </w:r>
          </w:p>
        </w:tc>
        <w:tc>
          <w:tcPr>
            <w:tcW w:w="2103" w:type="dxa"/>
            <w:tcBorders>
              <w:top w:val="nil"/>
              <w:left w:val="nil"/>
              <w:bottom w:val="nil"/>
              <w:right w:val="nil"/>
            </w:tcBorders>
          </w:tcPr>
          <w:p w14:paraId="0D47953F"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4"/>
              </w:rPr>
            </w:pPr>
            <w:r w:rsidRPr="00967B87">
              <w:rPr>
                <w:rFonts w:ascii="Times New Roman" w:eastAsia="Times New Roman" w:hAnsi="Times New Roman" w:cs="Times New Roman"/>
                <w:color w:val="000000"/>
                <w:sz w:val="20"/>
                <w:szCs w:val="24"/>
              </w:rPr>
              <w:t>167</w:t>
            </w:r>
          </w:p>
        </w:tc>
      </w:tr>
      <w:tr w:rsidR="0046518A" w:rsidRPr="00967B87" w14:paraId="38598B3C" w14:textId="77777777" w:rsidTr="00683113">
        <w:trPr>
          <w:trHeight w:val="264"/>
        </w:trPr>
        <w:tc>
          <w:tcPr>
            <w:tcW w:w="3744" w:type="dxa"/>
            <w:tcBorders>
              <w:top w:val="nil"/>
              <w:left w:val="nil"/>
              <w:bottom w:val="single" w:sz="4" w:space="0" w:color="auto"/>
              <w:right w:val="nil"/>
            </w:tcBorders>
            <w:shd w:val="clear" w:color="auto" w:fill="auto"/>
            <w:noWrap/>
            <w:vAlign w:val="bottom"/>
            <w:hideMark/>
          </w:tcPr>
          <w:p w14:paraId="2C42B781" w14:textId="77777777" w:rsidR="0046518A" w:rsidRPr="00967B87" w:rsidRDefault="0046518A" w:rsidP="00683113">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R-squared</w:t>
            </w:r>
          </w:p>
        </w:tc>
        <w:tc>
          <w:tcPr>
            <w:tcW w:w="2103" w:type="dxa"/>
            <w:tcBorders>
              <w:top w:val="nil"/>
              <w:left w:val="nil"/>
              <w:bottom w:val="single" w:sz="4" w:space="0" w:color="auto"/>
              <w:right w:val="nil"/>
            </w:tcBorders>
            <w:shd w:val="clear" w:color="auto" w:fill="auto"/>
            <w:noWrap/>
            <w:vAlign w:val="bottom"/>
            <w:hideMark/>
          </w:tcPr>
          <w:p w14:paraId="16868A29"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0.247</w:t>
            </w:r>
          </w:p>
        </w:tc>
        <w:tc>
          <w:tcPr>
            <w:tcW w:w="2103" w:type="dxa"/>
            <w:tcBorders>
              <w:top w:val="nil"/>
              <w:left w:val="nil"/>
              <w:bottom w:val="single" w:sz="4" w:space="0" w:color="auto"/>
              <w:right w:val="nil"/>
            </w:tcBorders>
          </w:tcPr>
          <w:p w14:paraId="426F0682" w14:textId="77777777" w:rsidR="0046518A" w:rsidRPr="00967B87" w:rsidRDefault="0046518A" w:rsidP="00683113">
            <w:pPr>
              <w:spacing w:after="0" w:line="240" w:lineRule="auto"/>
              <w:jc w:val="center"/>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0.432</w:t>
            </w:r>
          </w:p>
        </w:tc>
      </w:tr>
    </w:tbl>
    <w:p w14:paraId="5E3F46C0" w14:textId="77777777" w:rsidR="0046518A" w:rsidRPr="00967B87" w:rsidRDefault="0046518A" w:rsidP="0046518A">
      <w:pPr>
        <w:spacing w:after="0" w:line="240" w:lineRule="auto"/>
        <w:rPr>
          <w:rFonts w:ascii="Times New Roman" w:eastAsia="Times New Roman" w:hAnsi="Times New Roman" w:cs="Times New Roman"/>
          <w:color w:val="000000"/>
          <w:sz w:val="20"/>
          <w:szCs w:val="20"/>
        </w:rPr>
      </w:pPr>
      <w:r w:rsidRPr="00967B87">
        <w:rPr>
          <w:rFonts w:ascii="Times New Roman" w:eastAsia="Times New Roman" w:hAnsi="Times New Roman" w:cs="Times New Roman"/>
          <w:color w:val="000000"/>
          <w:sz w:val="20"/>
          <w:szCs w:val="20"/>
        </w:rPr>
        <w:t>Robust standard errors in parentheses clustered at the school level;  *** p&lt;0.01, ** p&lt;0.05, * p&lt;0.1</w:t>
      </w:r>
    </w:p>
    <w:p w14:paraId="3C8A184E"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18D33909"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7A3FD9CB"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7E93448B"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72B975D0"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4FE9AD5D" w14:textId="77777777" w:rsidR="0046518A" w:rsidRPr="005B2DFB" w:rsidRDefault="0046518A" w:rsidP="0046518A">
      <w:pPr>
        <w:spacing w:after="0" w:line="240" w:lineRule="auto"/>
        <w:jc w:val="center"/>
        <w:rPr>
          <w:rFonts w:ascii="Times New Roman" w:eastAsia="Times New Roman" w:hAnsi="Times New Roman" w:cs="Times New Roman"/>
          <w:b/>
          <w:color w:val="000000"/>
          <w:sz w:val="24"/>
          <w:szCs w:val="24"/>
        </w:rPr>
      </w:pPr>
      <w:r w:rsidRPr="005B2DFB">
        <w:rPr>
          <w:rFonts w:ascii="Times New Roman" w:eastAsia="Times New Roman" w:hAnsi="Times New Roman" w:cs="Times New Roman"/>
          <w:b/>
          <w:color w:val="000000"/>
          <w:sz w:val="24"/>
          <w:szCs w:val="24"/>
        </w:rPr>
        <w:t>Appendix D: Breakdown of Role Perception Variables</w:t>
      </w:r>
    </w:p>
    <w:p w14:paraId="52ACABEA" w14:textId="77777777" w:rsidR="0046518A" w:rsidRPr="005B2DFB" w:rsidRDefault="0046518A" w:rsidP="0046518A">
      <w:pPr>
        <w:spacing w:after="0" w:line="240" w:lineRule="auto"/>
        <w:rPr>
          <w:rFonts w:ascii="Times New Roman" w:eastAsia="Times New Roman" w:hAnsi="Times New Roman" w:cs="Times New Roman"/>
          <w:b/>
          <w:color w:val="000000"/>
          <w:sz w:val="24"/>
          <w:szCs w:val="24"/>
        </w:rPr>
      </w:pPr>
    </w:p>
    <w:p w14:paraId="454C15C3" w14:textId="49594D46"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 xml:space="preserve">Table </w:t>
      </w:r>
      <w:r w:rsidR="00D403E5">
        <w:rPr>
          <w:rFonts w:ascii="Times New Roman" w:eastAsia="Times New Roman" w:hAnsi="Times New Roman" w:cs="Times New Roman"/>
          <w:color w:val="000000"/>
          <w:sz w:val="24"/>
          <w:szCs w:val="24"/>
        </w:rPr>
        <w:t>4-</w:t>
      </w:r>
      <w:r w:rsidRPr="005B2DFB">
        <w:rPr>
          <w:rFonts w:ascii="Times New Roman" w:eastAsia="Times New Roman" w:hAnsi="Times New Roman" w:cs="Times New Roman"/>
          <w:color w:val="000000"/>
          <w:sz w:val="24"/>
          <w:szCs w:val="24"/>
        </w:rPr>
        <w:t>D1. N for Each Combination of Roles</w:t>
      </w:r>
    </w:p>
    <w:tbl>
      <w:tblPr>
        <w:tblW w:w="5490" w:type="dxa"/>
        <w:jc w:val="center"/>
        <w:tblCellMar>
          <w:left w:w="0" w:type="dxa"/>
          <w:right w:w="0" w:type="dxa"/>
        </w:tblCellMar>
        <w:tblLook w:val="04A0" w:firstRow="1" w:lastRow="0" w:firstColumn="1" w:lastColumn="0" w:noHBand="0" w:noVBand="1"/>
      </w:tblPr>
      <w:tblGrid>
        <w:gridCol w:w="2790"/>
        <w:gridCol w:w="2700"/>
      </w:tblGrid>
      <w:tr w:rsidR="0046518A" w:rsidRPr="005B2DFB" w14:paraId="6E9BC513" w14:textId="77777777" w:rsidTr="00683113">
        <w:trPr>
          <w:trHeight w:val="156"/>
          <w:jc w:val="center"/>
        </w:trPr>
        <w:tc>
          <w:tcPr>
            <w:tcW w:w="2790" w:type="dxa"/>
            <w:tcBorders>
              <w:top w:val="single" w:sz="18" w:space="0" w:color="000000"/>
              <w:left w:val="nil"/>
              <w:bottom w:val="nil"/>
              <w:right w:val="nil"/>
            </w:tcBorders>
            <w:shd w:val="clear" w:color="auto" w:fill="auto"/>
            <w:tcMar>
              <w:top w:w="15" w:type="dxa"/>
              <w:left w:w="108" w:type="dxa"/>
              <w:bottom w:w="0" w:type="dxa"/>
              <w:right w:w="108" w:type="dxa"/>
            </w:tcMar>
            <w:vAlign w:val="center"/>
            <w:hideMark/>
          </w:tcPr>
          <w:p w14:paraId="12EBA6F2"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All Roles</w:t>
            </w:r>
          </w:p>
        </w:tc>
        <w:tc>
          <w:tcPr>
            <w:tcW w:w="2700" w:type="dxa"/>
            <w:tcBorders>
              <w:top w:val="single" w:sz="18" w:space="0" w:color="000000"/>
              <w:left w:val="nil"/>
              <w:bottom w:val="nil"/>
              <w:right w:val="nil"/>
            </w:tcBorders>
            <w:shd w:val="clear" w:color="auto" w:fill="auto"/>
            <w:tcMar>
              <w:top w:w="15" w:type="dxa"/>
              <w:left w:w="108" w:type="dxa"/>
              <w:bottom w:w="0" w:type="dxa"/>
              <w:right w:w="108" w:type="dxa"/>
            </w:tcMar>
            <w:vAlign w:val="center"/>
            <w:hideMark/>
          </w:tcPr>
          <w:p w14:paraId="757041DE"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47</w:t>
            </w:r>
          </w:p>
        </w:tc>
      </w:tr>
      <w:tr w:rsidR="0046518A" w:rsidRPr="005B2DFB" w14:paraId="2229F0C2" w14:textId="77777777" w:rsidTr="00683113">
        <w:trPr>
          <w:trHeight w:val="264"/>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68E46B9A"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Support Only</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1E00DCF9"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43</w:t>
            </w:r>
          </w:p>
        </w:tc>
      </w:tr>
      <w:tr w:rsidR="0046518A" w:rsidRPr="005B2DFB" w14:paraId="5EB6157F" w14:textId="77777777" w:rsidTr="00683113">
        <w:trPr>
          <w:trHeight w:val="165"/>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3E061413"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Compliance Only</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0A3CEF54"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23</w:t>
            </w:r>
          </w:p>
        </w:tc>
      </w:tr>
      <w:tr w:rsidR="0046518A" w:rsidRPr="005B2DFB" w14:paraId="79ECE848" w14:textId="77777777" w:rsidTr="00683113">
        <w:trPr>
          <w:trHeight w:val="84"/>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0A639AE2"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Information Only</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2A39793D"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23</w:t>
            </w:r>
          </w:p>
        </w:tc>
      </w:tr>
      <w:tr w:rsidR="0046518A" w:rsidRPr="005B2DFB" w14:paraId="47080D7A" w14:textId="77777777" w:rsidTr="00683113">
        <w:trPr>
          <w:trHeight w:val="192"/>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10980B2B"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Support &amp; Compliance</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33F13196"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8</w:t>
            </w:r>
          </w:p>
        </w:tc>
      </w:tr>
      <w:tr w:rsidR="0046518A" w:rsidRPr="005B2DFB" w14:paraId="1E704488" w14:textId="77777777" w:rsidTr="00683113">
        <w:trPr>
          <w:trHeight w:val="102"/>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1AF9CDD3"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Support &amp; Information</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7C59DC95"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6</w:t>
            </w:r>
          </w:p>
        </w:tc>
      </w:tr>
      <w:tr w:rsidR="0046518A" w:rsidRPr="005B2DFB" w14:paraId="49A7DA81" w14:textId="77777777" w:rsidTr="00683113">
        <w:trPr>
          <w:trHeight w:val="120"/>
          <w:jc w:val="center"/>
        </w:trPr>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5401C762"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Compliance &amp; Information</w:t>
            </w:r>
          </w:p>
        </w:tc>
        <w:tc>
          <w:tcPr>
            <w:tcW w:w="2700" w:type="dxa"/>
            <w:tcBorders>
              <w:top w:val="nil"/>
              <w:left w:val="nil"/>
              <w:bottom w:val="nil"/>
              <w:right w:val="nil"/>
            </w:tcBorders>
            <w:shd w:val="clear" w:color="auto" w:fill="auto"/>
            <w:tcMar>
              <w:top w:w="15" w:type="dxa"/>
              <w:left w:w="108" w:type="dxa"/>
              <w:bottom w:w="0" w:type="dxa"/>
              <w:right w:w="108" w:type="dxa"/>
            </w:tcMar>
            <w:vAlign w:val="center"/>
            <w:hideMark/>
          </w:tcPr>
          <w:p w14:paraId="634ADA5C"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6</w:t>
            </w:r>
          </w:p>
        </w:tc>
      </w:tr>
      <w:tr w:rsidR="0046518A" w:rsidRPr="005B2DFB" w14:paraId="3627AC1A" w14:textId="77777777" w:rsidTr="00683113">
        <w:trPr>
          <w:trHeight w:val="53"/>
          <w:jc w:val="center"/>
        </w:trPr>
        <w:tc>
          <w:tcPr>
            <w:tcW w:w="2790" w:type="dxa"/>
            <w:tcBorders>
              <w:top w:val="nil"/>
              <w:left w:val="nil"/>
              <w:bottom w:val="single" w:sz="18" w:space="0" w:color="000000"/>
              <w:right w:val="nil"/>
            </w:tcBorders>
            <w:shd w:val="clear" w:color="auto" w:fill="auto"/>
            <w:tcMar>
              <w:top w:w="15" w:type="dxa"/>
              <w:left w:w="108" w:type="dxa"/>
              <w:bottom w:w="0" w:type="dxa"/>
              <w:right w:w="108" w:type="dxa"/>
            </w:tcMar>
            <w:vAlign w:val="center"/>
            <w:hideMark/>
          </w:tcPr>
          <w:p w14:paraId="477673F5"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None</w:t>
            </w:r>
          </w:p>
        </w:tc>
        <w:tc>
          <w:tcPr>
            <w:tcW w:w="2700" w:type="dxa"/>
            <w:tcBorders>
              <w:top w:val="nil"/>
              <w:left w:val="nil"/>
              <w:bottom w:val="single" w:sz="18" w:space="0" w:color="000000"/>
              <w:right w:val="nil"/>
            </w:tcBorders>
            <w:shd w:val="clear" w:color="auto" w:fill="auto"/>
            <w:tcMar>
              <w:top w:w="15" w:type="dxa"/>
              <w:left w:w="108" w:type="dxa"/>
              <w:bottom w:w="0" w:type="dxa"/>
              <w:right w:w="108" w:type="dxa"/>
            </w:tcMar>
            <w:vAlign w:val="center"/>
            <w:hideMark/>
          </w:tcPr>
          <w:p w14:paraId="264B69D4" w14:textId="77777777" w:rsidR="0046518A" w:rsidRPr="005B2DFB" w:rsidRDefault="0046518A" w:rsidP="00683113">
            <w:pPr>
              <w:spacing w:after="0" w:line="240" w:lineRule="auto"/>
              <w:jc w:val="cente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t>11</w:t>
            </w:r>
          </w:p>
        </w:tc>
      </w:tr>
    </w:tbl>
    <w:p w14:paraId="2B02433A" w14:textId="77777777" w:rsidR="0046518A" w:rsidRPr="005B2DFB" w:rsidRDefault="0046518A" w:rsidP="0046518A">
      <w:pPr>
        <w:spacing w:after="0" w:line="240" w:lineRule="auto"/>
        <w:jc w:val="center"/>
        <w:rPr>
          <w:rFonts w:ascii="Times New Roman" w:eastAsia="Times New Roman" w:hAnsi="Times New Roman" w:cs="Times New Roman"/>
          <w:color w:val="000000"/>
          <w:sz w:val="24"/>
          <w:szCs w:val="24"/>
        </w:rPr>
      </w:pPr>
    </w:p>
    <w:p w14:paraId="10D9E37C" w14:textId="77777777" w:rsidR="0046518A" w:rsidRPr="005B2DFB" w:rsidRDefault="0046518A" w:rsidP="0046518A">
      <w:pPr>
        <w:rPr>
          <w:rFonts w:ascii="Times New Roman" w:eastAsia="Times New Roman" w:hAnsi="Times New Roman" w:cs="Times New Roman"/>
          <w:color w:val="000000"/>
          <w:sz w:val="24"/>
          <w:szCs w:val="24"/>
        </w:rPr>
      </w:pPr>
      <w:r w:rsidRPr="005B2DFB">
        <w:rPr>
          <w:rFonts w:ascii="Times New Roman" w:eastAsia="Times New Roman" w:hAnsi="Times New Roman" w:cs="Times New Roman"/>
          <w:color w:val="000000"/>
          <w:sz w:val="24"/>
          <w:szCs w:val="24"/>
        </w:rPr>
        <w:br w:type="page"/>
      </w:r>
    </w:p>
    <w:p w14:paraId="11F8D69B" w14:textId="05DC661E" w:rsidR="0046518A" w:rsidRPr="005B2DFB" w:rsidRDefault="0046518A" w:rsidP="0046518A">
      <w:pPr>
        <w:jc w:val="center"/>
        <w:rPr>
          <w:rFonts w:ascii="Times New Roman" w:eastAsia="Times New Roman" w:hAnsi="Times New Roman" w:cs="Times New Roman"/>
          <w:b/>
          <w:color w:val="000000"/>
          <w:sz w:val="24"/>
          <w:szCs w:val="24"/>
        </w:rPr>
      </w:pPr>
      <w:r w:rsidRPr="005B2DFB">
        <w:rPr>
          <w:rFonts w:ascii="Times New Roman" w:eastAsia="Times New Roman" w:hAnsi="Times New Roman" w:cs="Times New Roman"/>
          <w:b/>
          <w:color w:val="000000"/>
          <w:sz w:val="24"/>
          <w:szCs w:val="24"/>
        </w:rPr>
        <w:lastRenderedPageBreak/>
        <w:t>Appendix E. Measurement of Control Variables</w:t>
      </w:r>
    </w:p>
    <w:p w14:paraId="124DA186" w14:textId="734637D4" w:rsidR="0046518A" w:rsidRDefault="0046518A" w:rsidP="0046518A">
      <w:pPr>
        <w:pStyle w:val="CommentText"/>
        <w:ind w:firstLine="720"/>
        <w:rPr>
          <w:rFonts w:ascii="Times New Roman" w:hAnsi="Times New Roman" w:cs="Times New Roman"/>
          <w:sz w:val="24"/>
          <w:szCs w:val="24"/>
        </w:rPr>
      </w:pPr>
      <w:r w:rsidRPr="005B2DFB">
        <w:rPr>
          <w:rFonts w:ascii="Times New Roman" w:hAnsi="Times New Roman" w:cs="Times New Roman"/>
          <w:sz w:val="24"/>
          <w:szCs w:val="24"/>
        </w:rPr>
        <w:t xml:space="preserve">The perceived support from school administration for the efforts by the SLB on behalf of students applying for the Promise program captures the first key determinant of street-level action—communication by administration. Next, we account for organizational implementation factors by including measures of the perceived level of discretion as well as whether the school has any partnerships with community organizations. These variables capture the variation in the delegation of discretion to the front-line as well as the variation across schools in the use of collaboration to increase capacity </w:t>
      </w:r>
      <w:r w:rsidRPr="005B2DFB">
        <w:rPr>
          <w:rFonts w:ascii="Times New Roman" w:hAnsi="Times New Roman" w:cs="Times New Roman"/>
          <w:sz w:val="24"/>
          <w:szCs w:val="24"/>
        </w:rPr>
        <w:fldChar w:fldCharType="begin"/>
      </w:r>
      <w:r w:rsidRPr="005B2DFB">
        <w:rPr>
          <w:rFonts w:ascii="Times New Roman" w:hAnsi="Times New Roman" w:cs="Times New Roman"/>
          <w:sz w:val="24"/>
          <w:szCs w:val="24"/>
        </w:rPr>
        <w:instrText xml:space="preserve"> ADDIN ZOTERO_ITEM CSL_CITATION {"citationID":"9UP4LiNh","properties":{"formattedCitation":"(Lynn, Heinrich, and Hill 2001)","plainCitation":"(Lynn, Heinrich, and Hill 2001)","noteIndex":0},"citationItems":[{"id":2055,"uris":["http://zotero.org/groups/385054/items/9ZA6UZP3"],"uri":["http://zotero.org/groups/385054/items/9ZA6UZP3"],"itemData":{"id":2055,"type":"book","title":"Improving Governance: A New Logic for Empirical Research","publisher":"Georgetown University Press","publisher-place":"Washington, DC","source":"catalog.lib.ou.edu Library Catalog","event-place":"Washington, DC","abstract":"Pages: viii, 212 p\n: Washington, D.C. : Georgetown University Press, c2001\n: viii, 212 p. : ill. ; 24 cm\nSeries: ([American governance and public policy series])\n: Series statement from jacket\nSeries: American governance and public policy","ISBN":"0-87840-852-5","call-number":"JF 1338 .A2 L85 2001","shortTitle":"Improving Governance","author":[{"family":"Lynn","given":"Laurence E."},{"family":"Heinrich","given":"Carolyn J."},{"family":"Hill","given":"Carolyn J."}],"issued":{"date-parts":[["2001"]]}}}],"schema":"https://github.com/citation-style-language/schema/raw/master/csl-citation.json"} </w:instrText>
      </w:r>
      <w:r w:rsidRPr="005B2DFB">
        <w:rPr>
          <w:rFonts w:ascii="Times New Roman" w:hAnsi="Times New Roman" w:cs="Times New Roman"/>
          <w:sz w:val="24"/>
          <w:szCs w:val="24"/>
        </w:rPr>
        <w:fldChar w:fldCharType="separate"/>
      </w:r>
      <w:r w:rsidRPr="005B2DFB">
        <w:rPr>
          <w:rFonts w:ascii="Times New Roman" w:hAnsi="Times New Roman" w:cs="Times New Roman"/>
          <w:sz w:val="24"/>
          <w:szCs w:val="24"/>
        </w:rPr>
        <w:t>(Lynn, Heinrich, and Hill 2001)</w:t>
      </w:r>
      <w:r w:rsidRPr="005B2DFB">
        <w:rPr>
          <w:rFonts w:ascii="Times New Roman" w:hAnsi="Times New Roman" w:cs="Times New Roman"/>
          <w:sz w:val="24"/>
          <w:szCs w:val="24"/>
        </w:rPr>
        <w:fldChar w:fldCharType="end"/>
      </w:r>
      <w:r w:rsidRPr="005B2DFB">
        <w:rPr>
          <w:rFonts w:ascii="Times New Roman" w:hAnsi="Times New Roman" w:cs="Times New Roman"/>
          <w:sz w:val="24"/>
          <w:szCs w:val="24"/>
        </w:rPr>
        <w:t>. To account for the third element—values, knowledge, and attitudes of the SLB—we incorporate a measure of the SLB’s familiarity with the eligibility requirements in the promise program, how long the SLB has been working at the school, political ideology and political party identification. Finally, we incorporate contextual factors by including measures of the perceived average family income at the school, the percentage of students that the SLB is able to meet with one-on-one, and the percentage of their time spent on student college preparation activities as a representation of workload.</w:t>
      </w:r>
    </w:p>
    <w:p w14:paraId="67D8C34A" w14:textId="26714FA5" w:rsidR="00D403E5" w:rsidRPr="005B2DFB" w:rsidRDefault="00D403E5" w:rsidP="00D403E5">
      <w:pPr>
        <w:pStyle w:val="CommentText"/>
        <w:rPr>
          <w:rFonts w:ascii="Times New Roman" w:hAnsi="Times New Roman" w:cs="Times New Roman"/>
          <w:sz w:val="24"/>
          <w:szCs w:val="24"/>
        </w:rPr>
      </w:pPr>
      <w:r>
        <w:rPr>
          <w:rFonts w:ascii="Times New Roman" w:hAnsi="Times New Roman" w:cs="Times New Roman"/>
          <w:sz w:val="24"/>
          <w:szCs w:val="24"/>
        </w:rPr>
        <w:t>Table 4-E1. Measurement of Control Variables</w:t>
      </w:r>
    </w:p>
    <w:tbl>
      <w:tblPr>
        <w:tblW w:w="8972" w:type="dxa"/>
        <w:jc w:val="center"/>
        <w:tblCellMar>
          <w:left w:w="0" w:type="dxa"/>
          <w:right w:w="0" w:type="dxa"/>
        </w:tblCellMar>
        <w:tblLook w:val="04A0" w:firstRow="1" w:lastRow="0" w:firstColumn="1" w:lastColumn="0" w:noHBand="0" w:noVBand="1"/>
        <w:tblCaption w:val=""/>
        <w:tblDescription w:val=""/>
      </w:tblPr>
      <w:tblGrid>
        <w:gridCol w:w="1180"/>
        <w:gridCol w:w="1259"/>
        <w:gridCol w:w="5038"/>
        <w:gridCol w:w="1495"/>
      </w:tblGrid>
      <w:tr w:rsidR="0046518A" w:rsidRPr="00284C07" w14:paraId="664FCBE7" w14:textId="77777777" w:rsidTr="00284C07">
        <w:trPr>
          <w:trHeight w:val="432"/>
          <w:jc w:val="center"/>
        </w:trPr>
        <w:tc>
          <w:tcPr>
            <w:tcW w:w="1180" w:type="dxa"/>
            <w:tcBorders>
              <w:bottom w:val="single" w:sz="12" w:space="0" w:color="auto"/>
            </w:tcBorders>
            <w:vAlign w:val="center"/>
          </w:tcPr>
          <w:p w14:paraId="473A4169" w14:textId="77777777" w:rsidR="0046518A" w:rsidRPr="00284C07" w:rsidRDefault="0046518A" w:rsidP="00967B87">
            <w:pPr>
              <w:spacing w:after="0" w:line="240" w:lineRule="auto"/>
              <w:jc w:val="center"/>
              <w:rPr>
                <w:rFonts w:ascii="Times New Roman" w:eastAsia="Times New Roman" w:hAnsi="Times New Roman" w:cs="Times New Roman"/>
                <w:b/>
                <w:bCs/>
                <w:color w:val="000000"/>
                <w:sz w:val="18"/>
              </w:rPr>
            </w:pPr>
            <w:r w:rsidRPr="00284C07">
              <w:rPr>
                <w:rFonts w:ascii="Times New Roman" w:eastAsia="Times New Roman" w:hAnsi="Times New Roman" w:cs="Times New Roman"/>
                <w:b/>
                <w:bCs/>
                <w:color w:val="000000"/>
                <w:sz w:val="18"/>
              </w:rPr>
              <w:t>Concept</w:t>
            </w:r>
          </w:p>
        </w:tc>
        <w:tc>
          <w:tcPr>
            <w:tcW w:w="1259" w:type="dxa"/>
            <w:tcBorders>
              <w:bottom w:val="single" w:sz="12" w:space="0" w:color="auto"/>
            </w:tcBorders>
            <w:tcMar>
              <w:top w:w="80" w:type="dxa"/>
              <w:left w:w="80" w:type="dxa"/>
              <w:bottom w:w="80" w:type="dxa"/>
              <w:right w:w="80" w:type="dxa"/>
            </w:tcMar>
            <w:vAlign w:val="center"/>
          </w:tcPr>
          <w:p w14:paraId="20EC27AC" w14:textId="77777777" w:rsidR="0046518A" w:rsidRPr="00284C07" w:rsidRDefault="0046518A" w:rsidP="00967B87">
            <w:pPr>
              <w:spacing w:after="0" w:line="240" w:lineRule="auto"/>
              <w:jc w:val="center"/>
              <w:rPr>
                <w:rFonts w:ascii="Times New Roman" w:eastAsia="Times New Roman" w:hAnsi="Times New Roman" w:cs="Times New Roman"/>
                <w:b/>
                <w:bCs/>
                <w:color w:val="000000"/>
                <w:sz w:val="18"/>
              </w:rPr>
            </w:pPr>
            <w:r w:rsidRPr="00284C07">
              <w:rPr>
                <w:rFonts w:ascii="Times New Roman" w:eastAsia="Times New Roman" w:hAnsi="Times New Roman" w:cs="Times New Roman"/>
                <w:b/>
                <w:bCs/>
                <w:color w:val="000000"/>
                <w:sz w:val="18"/>
              </w:rPr>
              <w:t>Variable</w:t>
            </w:r>
          </w:p>
        </w:tc>
        <w:tc>
          <w:tcPr>
            <w:tcW w:w="5038" w:type="dxa"/>
            <w:tcBorders>
              <w:bottom w:val="single" w:sz="12" w:space="0" w:color="auto"/>
            </w:tcBorders>
            <w:tcMar>
              <w:top w:w="80" w:type="dxa"/>
              <w:left w:w="80" w:type="dxa"/>
              <w:bottom w:w="80" w:type="dxa"/>
              <w:right w:w="80" w:type="dxa"/>
            </w:tcMar>
            <w:vAlign w:val="center"/>
          </w:tcPr>
          <w:p w14:paraId="1EBAB2C0" w14:textId="77777777" w:rsidR="0046518A" w:rsidRPr="00284C07" w:rsidRDefault="0046518A" w:rsidP="00967B87">
            <w:pPr>
              <w:spacing w:after="0" w:line="240" w:lineRule="auto"/>
              <w:jc w:val="center"/>
              <w:rPr>
                <w:rFonts w:ascii="Times New Roman" w:eastAsia="Times New Roman" w:hAnsi="Times New Roman" w:cs="Times New Roman"/>
                <w:b/>
                <w:bCs/>
                <w:color w:val="000000"/>
                <w:sz w:val="18"/>
              </w:rPr>
            </w:pPr>
            <w:r w:rsidRPr="00284C07">
              <w:rPr>
                <w:rFonts w:ascii="Times New Roman" w:eastAsia="Times New Roman" w:hAnsi="Times New Roman" w:cs="Times New Roman"/>
                <w:b/>
                <w:bCs/>
                <w:color w:val="000000"/>
                <w:sz w:val="18"/>
              </w:rPr>
              <w:t>Question Wording</w:t>
            </w:r>
          </w:p>
        </w:tc>
        <w:tc>
          <w:tcPr>
            <w:tcW w:w="1495" w:type="dxa"/>
            <w:tcBorders>
              <w:bottom w:val="single" w:sz="12" w:space="0" w:color="auto"/>
            </w:tcBorders>
            <w:vAlign w:val="center"/>
          </w:tcPr>
          <w:p w14:paraId="7B682B3D" w14:textId="77777777" w:rsidR="0046518A" w:rsidRPr="00284C07" w:rsidRDefault="0046518A" w:rsidP="00967B87">
            <w:pPr>
              <w:spacing w:after="0" w:line="240" w:lineRule="auto"/>
              <w:jc w:val="center"/>
              <w:rPr>
                <w:rFonts w:ascii="Times New Roman" w:eastAsia="Times New Roman" w:hAnsi="Times New Roman" w:cs="Times New Roman"/>
                <w:b/>
                <w:bCs/>
                <w:color w:val="000000"/>
                <w:sz w:val="18"/>
              </w:rPr>
            </w:pPr>
            <w:r w:rsidRPr="00284C07">
              <w:rPr>
                <w:rFonts w:ascii="Times New Roman" w:eastAsia="Times New Roman" w:hAnsi="Times New Roman" w:cs="Times New Roman"/>
                <w:b/>
                <w:bCs/>
                <w:color w:val="000000"/>
                <w:sz w:val="18"/>
              </w:rPr>
              <w:t>Measurement</w:t>
            </w:r>
          </w:p>
        </w:tc>
      </w:tr>
      <w:tr w:rsidR="0046518A" w:rsidRPr="00284C07" w14:paraId="6C66BC31" w14:textId="77777777" w:rsidTr="00284C07">
        <w:trPr>
          <w:trHeight w:val="1184"/>
          <w:jc w:val="center"/>
        </w:trPr>
        <w:tc>
          <w:tcPr>
            <w:tcW w:w="1180" w:type="dxa"/>
            <w:tcBorders>
              <w:top w:val="single" w:sz="4" w:space="0" w:color="auto"/>
            </w:tcBorders>
            <w:vAlign w:val="center"/>
          </w:tcPr>
          <w:p w14:paraId="1E4E49CB" w14:textId="77777777" w:rsidR="0046518A" w:rsidRPr="00284C07" w:rsidRDefault="0046518A" w:rsidP="00967B87">
            <w:pPr>
              <w:spacing w:after="0" w:line="240" w:lineRule="auto"/>
              <w:jc w:val="center"/>
              <w:rPr>
                <w:rFonts w:ascii="Times New Roman" w:eastAsia="Times New Roman" w:hAnsi="Times New Roman" w:cs="Times New Roman"/>
                <w:bCs/>
                <w:color w:val="000000"/>
                <w:sz w:val="18"/>
              </w:rPr>
            </w:pPr>
            <w:r w:rsidRPr="00284C07">
              <w:rPr>
                <w:rFonts w:ascii="Times New Roman" w:eastAsia="Times New Roman" w:hAnsi="Times New Roman" w:cs="Times New Roman"/>
                <w:bCs/>
                <w:color w:val="000000"/>
                <w:sz w:val="18"/>
              </w:rPr>
              <w:t>Communication by administration on prioritization</w:t>
            </w:r>
          </w:p>
        </w:tc>
        <w:tc>
          <w:tcPr>
            <w:tcW w:w="1259" w:type="dxa"/>
            <w:tcBorders>
              <w:top w:val="single" w:sz="4" w:space="0" w:color="auto"/>
            </w:tcBorders>
            <w:tcMar>
              <w:top w:w="80" w:type="dxa"/>
              <w:left w:w="80" w:type="dxa"/>
              <w:bottom w:w="80" w:type="dxa"/>
              <w:right w:w="80" w:type="dxa"/>
            </w:tcMar>
            <w:vAlign w:val="center"/>
          </w:tcPr>
          <w:p w14:paraId="3C71A14D" w14:textId="77777777" w:rsidR="0046518A" w:rsidRPr="00284C07" w:rsidRDefault="0046518A" w:rsidP="00967B87">
            <w:pPr>
              <w:spacing w:after="0" w:line="240" w:lineRule="auto"/>
              <w:jc w:val="center"/>
              <w:rPr>
                <w:rFonts w:ascii="Times New Roman" w:eastAsia="Times New Roman" w:hAnsi="Times New Roman" w:cs="Times New Roman"/>
                <w:bCs/>
                <w:color w:val="000000"/>
                <w:sz w:val="18"/>
              </w:rPr>
            </w:pPr>
            <w:r w:rsidRPr="00284C07">
              <w:rPr>
                <w:rFonts w:ascii="Times New Roman" w:eastAsia="Times New Roman" w:hAnsi="Times New Roman" w:cs="Times New Roman"/>
                <w:bCs/>
                <w:color w:val="000000"/>
                <w:sz w:val="18"/>
              </w:rPr>
              <w:t>Support from Administration</w:t>
            </w:r>
          </w:p>
        </w:tc>
        <w:tc>
          <w:tcPr>
            <w:tcW w:w="5038" w:type="dxa"/>
            <w:tcBorders>
              <w:top w:val="single" w:sz="4" w:space="0" w:color="auto"/>
            </w:tcBorders>
            <w:tcMar>
              <w:top w:w="80" w:type="dxa"/>
              <w:left w:w="80" w:type="dxa"/>
              <w:bottom w:w="80" w:type="dxa"/>
              <w:right w:w="80" w:type="dxa"/>
            </w:tcMar>
            <w:vAlign w:val="center"/>
          </w:tcPr>
          <w:p w14:paraId="6E45D56C"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Is your school administration supportive of your efforts on behalf of students applying for the Oklahoma's Promise program?</w:t>
            </w:r>
          </w:p>
        </w:tc>
        <w:tc>
          <w:tcPr>
            <w:tcW w:w="1495" w:type="dxa"/>
            <w:tcBorders>
              <w:top w:val="single" w:sz="4" w:space="0" w:color="auto"/>
            </w:tcBorders>
            <w:vAlign w:val="center"/>
          </w:tcPr>
          <w:p w14:paraId="081970E5"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 xml:space="preserve">4 – Very much so </w:t>
            </w:r>
          </w:p>
          <w:p w14:paraId="530CC0F4"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3 – Somewhat</w:t>
            </w:r>
          </w:p>
          <w:p w14:paraId="2B534096"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2 – Not really</w:t>
            </w:r>
          </w:p>
          <w:p w14:paraId="33E17C35"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1 – Not at all</w:t>
            </w:r>
          </w:p>
        </w:tc>
      </w:tr>
      <w:tr w:rsidR="0046518A" w:rsidRPr="00284C07" w14:paraId="6E986045" w14:textId="77777777" w:rsidTr="00284C07">
        <w:trPr>
          <w:trHeight w:val="1184"/>
          <w:jc w:val="center"/>
        </w:trPr>
        <w:tc>
          <w:tcPr>
            <w:tcW w:w="1180" w:type="dxa"/>
            <w:vAlign w:val="center"/>
          </w:tcPr>
          <w:p w14:paraId="3C4E93D2" w14:textId="77777777" w:rsidR="0046518A" w:rsidRPr="00284C07" w:rsidRDefault="0046518A" w:rsidP="00967B87">
            <w:pPr>
              <w:spacing w:after="0" w:line="240" w:lineRule="auto"/>
              <w:jc w:val="center"/>
              <w:rPr>
                <w:rFonts w:ascii="Times New Roman" w:eastAsia="Times New Roman" w:hAnsi="Times New Roman" w:cs="Times New Roman"/>
                <w:bCs/>
                <w:color w:val="000000"/>
                <w:sz w:val="18"/>
              </w:rPr>
            </w:pPr>
            <w:r w:rsidRPr="00284C07">
              <w:rPr>
                <w:rFonts w:ascii="Times New Roman" w:eastAsia="Times New Roman" w:hAnsi="Times New Roman" w:cs="Times New Roman"/>
                <w:bCs/>
                <w:color w:val="000000"/>
                <w:sz w:val="18"/>
              </w:rPr>
              <w:t>Organizational Implementation Factors</w:t>
            </w:r>
          </w:p>
        </w:tc>
        <w:tc>
          <w:tcPr>
            <w:tcW w:w="1259" w:type="dxa"/>
            <w:tcMar>
              <w:top w:w="80" w:type="dxa"/>
              <w:left w:w="80" w:type="dxa"/>
              <w:bottom w:w="80" w:type="dxa"/>
              <w:right w:w="80" w:type="dxa"/>
            </w:tcMar>
            <w:vAlign w:val="center"/>
          </w:tcPr>
          <w:p w14:paraId="2D89A80C" w14:textId="77777777" w:rsidR="0046518A" w:rsidRPr="00284C07" w:rsidRDefault="0046518A" w:rsidP="00967B87">
            <w:pPr>
              <w:spacing w:after="0" w:line="240" w:lineRule="auto"/>
              <w:jc w:val="center"/>
              <w:rPr>
                <w:rFonts w:ascii="Times New Roman" w:eastAsia="Times New Roman" w:hAnsi="Times New Roman" w:cs="Times New Roman"/>
                <w:bCs/>
                <w:color w:val="000000"/>
                <w:sz w:val="18"/>
              </w:rPr>
            </w:pPr>
            <w:r w:rsidRPr="00284C07">
              <w:rPr>
                <w:rFonts w:ascii="Times New Roman" w:eastAsia="Times New Roman" w:hAnsi="Times New Roman" w:cs="Times New Roman"/>
                <w:bCs/>
                <w:color w:val="000000"/>
                <w:sz w:val="18"/>
              </w:rPr>
              <w:t>High Discretion</w:t>
            </w:r>
          </w:p>
        </w:tc>
        <w:tc>
          <w:tcPr>
            <w:tcW w:w="5038" w:type="dxa"/>
            <w:tcMar>
              <w:top w:w="80" w:type="dxa"/>
              <w:left w:w="80" w:type="dxa"/>
              <w:bottom w:w="80" w:type="dxa"/>
              <w:right w:w="80" w:type="dxa"/>
            </w:tcMar>
            <w:vAlign w:val="center"/>
          </w:tcPr>
          <w:p w14:paraId="15009626"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To what extent do you feel you have the authority and flexibility to strategize and make decisions in each of your roles?</w:t>
            </w:r>
          </w:p>
          <w:p w14:paraId="528CF5B6" w14:textId="77777777" w:rsidR="0046518A" w:rsidRPr="00284C07" w:rsidRDefault="0046518A" w:rsidP="00967B87">
            <w:pPr>
              <w:pStyle w:val="ListParagraph"/>
              <w:numPr>
                <w:ilvl w:val="0"/>
                <w:numId w:val="9"/>
              </w:num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High discretion: I make almost all decisions with regard to how I perform my role</w:t>
            </w:r>
          </w:p>
          <w:p w14:paraId="04BB3305" w14:textId="77777777" w:rsidR="0046518A" w:rsidRPr="00284C07" w:rsidRDefault="0046518A" w:rsidP="00967B87">
            <w:pPr>
              <w:pStyle w:val="ListParagraph"/>
              <w:numPr>
                <w:ilvl w:val="0"/>
                <w:numId w:val="9"/>
              </w:num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Some discretion: I work in partnership with upper administration to determine how to best perform my role</w:t>
            </w:r>
          </w:p>
          <w:p w14:paraId="1CA0E983" w14:textId="77777777" w:rsidR="0046518A" w:rsidRPr="00284C07" w:rsidRDefault="0046518A" w:rsidP="00967B87">
            <w:pPr>
              <w:pStyle w:val="ListParagraph"/>
              <w:numPr>
                <w:ilvl w:val="0"/>
                <w:numId w:val="9"/>
              </w:num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No discretion: I perform my role based solely on instructions received from upper administration</w:t>
            </w:r>
          </w:p>
          <w:p w14:paraId="642AFDE3" w14:textId="77777777" w:rsidR="0046518A" w:rsidRPr="00284C07" w:rsidRDefault="0046518A" w:rsidP="00967B87">
            <w:pPr>
              <w:spacing w:after="0" w:line="240" w:lineRule="auto"/>
              <w:rPr>
                <w:rFonts w:ascii="Times New Roman" w:eastAsia="Calibri" w:hAnsi="Times New Roman" w:cs="Times New Roman"/>
                <w:sz w:val="18"/>
              </w:rPr>
            </w:pPr>
          </w:p>
        </w:tc>
        <w:tc>
          <w:tcPr>
            <w:tcW w:w="1495" w:type="dxa"/>
            <w:vAlign w:val="center"/>
          </w:tcPr>
          <w:p w14:paraId="605AC940"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1 – High discretion</w:t>
            </w:r>
          </w:p>
          <w:p w14:paraId="15E789A6"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Calibri" w:hAnsi="Times New Roman" w:cs="Times New Roman"/>
                <w:sz w:val="18"/>
              </w:rPr>
              <w:t>0 – Some discretion; No discretion</w:t>
            </w:r>
          </w:p>
        </w:tc>
      </w:tr>
      <w:tr w:rsidR="0046518A" w:rsidRPr="00284C07" w14:paraId="1013C937" w14:textId="77777777" w:rsidTr="00284C07">
        <w:trPr>
          <w:trHeight w:val="449"/>
          <w:jc w:val="center"/>
        </w:trPr>
        <w:tc>
          <w:tcPr>
            <w:tcW w:w="1180" w:type="dxa"/>
            <w:vAlign w:val="center"/>
          </w:tcPr>
          <w:p w14:paraId="66B23565"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Organizational Implementation Factors</w:t>
            </w:r>
          </w:p>
        </w:tc>
        <w:tc>
          <w:tcPr>
            <w:tcW w:w="1259" w:type="dxa"/>
            <w:tcMar>
              <w:top w:w="80" w:type="dxa"/>
              <w:left w:w="80" w:type="dxa"/>
              <w:bottom w:w="80" w:type="dxa"/>
              <w:right w:w="80" w:type="dxa"/>
            </w:tcMar>
            <w:vAlign w:val="center"/>
          </w:tcPr>
          <w:p w14:paraId="5DB7471F"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Partner with Nonprofits</w:t>
            </w:r>
          </w:p>
        </w:tc>
        <w:tc>
          <w:tcPr>
            <w:tcW w:w="5038" w:type="dxa"/>
            <w:tcMar>
              <w:top w:w="80" w:type="dxa"/>
              <w:left w:w="80" w:type="dxa"/>
              <w:bottom w:w="80" w:type="dxa"/>
              <w:right w:w="80" w:type="dxa"/>
            </w:tcMar>
            <w:vAlign w:val="bottom"/>
          </w:tcPr>
          <w:p w14:paraId="5B304B86" w14:textId="77777777" w:rsidR="0046518A" w:rsidRPr="00284C07" w:rsidRDefault="0046518A" w:rsidP="00967B87">
            <w:pPr>
              <w:spacing w:line="240" w:lineRule="auto"/>
              <w:rPr>
                <w:rFonts w:ascii="Times New Roman" w:eastAsia="Times New Roman" w:hAnsi="Times New Roman" w:cs="Times New Roman"/>
                <w:sz w:val="18"/>
              </w:rPr>
            </w:pPr>
            <w:r w:rsidRPr="00284C07">
              <w:rPr>
                <w:rFonts w:ascii="Times New Roman" w:eastAsia="Times New Roman" w:hAnsi="Times New Roman" w:cs="Times New Roman"/>
                <w:sz w:val="18"/>
              </w:rPr>
              <w:t>Does your school partner with any community organizations (such as churches or local non-profits) to help with college preparation?</w:t>
            </w:r>
          </w:p>
        </w:tc>
        <w:tc>
          <w:tcPr>
            <w:tcW w:w="1495" w:type="dxa"/>
            <w:vAlign w:val="bottom"/>
          </w:tcPr>
          <w:p w14:paraId="66CE36A8" w14:textId="77777777" w:rsidR="0046518A" w:rsidRPr="00284C07" w:rsidRDefault="0046518A" w:rsidP="00967B87">
            <w:pPr>
              <w:spacing w:after="0" w:line="240" w:lineRule="auto"/>
              <w:rPr>
                <w:rFonts w:ascii="Times New Roman" w:eastAsia="Calibri" w:hAnsi="Times New Roman" w:cs="Times New Roman"/>
                <w:sz w:val="18"/>
              </w:rPr>
            </w:pPr>
            <w:r w:rsidRPr="00284C07">
              <w:rPr>
                <w:rFonts w:ascii="Times New Roman" w:eastAsia="Times New Roman" w:hAnsi="Times New Roman" w:cs="Times New Roman"/>
                <w:color w:val="000000"/>
                <w:sz w:val="18"/>
              </w:rPr>
              <w:t>1 – Yes</w:t>
            </w:r>
            <w:r w:rsidRPr="00284C07">
              <w:rPr>
                <w:rFonts w:ascii="Times New Roman" w:eastAsia="Times New Roman" w:hAnsi="Times New Roman" w:cs="Times New Roman"/>
                <w:color w:val="000000"/>
                <w:sz w:val="18"/>
              </w:rPr>
              <w:br/>
              <w:t xml:space="preserve">0 – No </w:t>
            </w:r>
            <w:r w:rsidRPr="00284C07">
              <w:rPr>
                <w:rFonts w:ascii="Times New Roman" w:eastAsia="Times New Roman" w:hAnsi="Times New Roman" w:cs="Times New Roman"/>
                <w:color w:val="000000"/>
                <w:sz w:val="18"/>
              </w:rPr>
              <w:br/>
            </w:r>
          </w:p>
        </w:tc>
      </w:tr>
      <w:tr w:rsidR="0046518A" w:rsidRPr="00284C07" w14:paraId="04EE1D15" w14:textId="77777777" w:rsidTr="00284C07">
        <w:trPr>
          <w:trHeight w:val="449"/>
          <w:jc w:val="center"/>
        </w:trPr>
        <w:tc>
          <w:tcPr>
            <w:tcW w:w="1180" w:type="dxa"/>
            <w:vAlign w:val="center"/>
          </w:tcPr>
          <w:p w14:paraId="621AF1F5"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Knowledge &amp; Attitudes about Tasks</w:t>
            </w:r>
          </w:p>
        </w:tc>
        <w:tc>
          <w:tcPr>
            <w:tcW w:w="1259" w:type="dxa"/>
            <w:tcMar>
              <w:top w:w="80" w:type="dxa"/>
              <w:left w:w="80" w:type="dxa"/>
              <w:bottom w:w="80" w:type="dxa"/>
              <w:right w:w="80" w:type="dxa"/>
            </w:tcMar>
            <w:vAlign w:val="center"/>
          </w:tcPr>
          <w:p w14:paraId="3EC13FF0"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Promise Knowledge</w:t>
            </w:r>
          </w:p>
        </w:tc>
        <w:tc>
          <w:tcPr>
            <w:tcW w:w="5038" w:type="dxa"/>
            <w:tcMar>
              <w:top w:w="80" w:type="dxa"/>
              <w:left w:w="80" w:type="dxa"/>
              <w:bottom w:w="80" w:type="dxa"/>
              <w:right w:w="80" w:type="dxa"/>
            </w:tcMar>
            <w:vAlign w:val="bottom"/>
          </w:tcPr>
          <w:p w14:paraId="16BE9E4D" w14:textId="77777777" w:rsidR="0046518A" w:rsidRPr="00284C07" w:rsidRDefault="0046518A" w:rsidP="00967B87">
            <w:pPr>
              <w:spacing w:line="240" w:lineRule="auto"/>
              <w:rPr>
                <w:rFonts w:ascii="Times New Roman" w:eastAsia="Times New Roman" w:hAnsi="Times New Roman" w:cs="Times New Roman"/>
                <w:sz w:val="18"/>
              </w:rPr>
            </w:pPr>
            <w:r w:rsidRPr="00284C07">
              <w:rPr>
                <w:rFonts w:ascii="Times New Roman" w:eastAsia="Times New Roman" w:hAnsi="Times New Roman" w:cs="Times New Roman"/>
                <w:sz w:val="18"/>
              </w:rPr>
              <w:t xml:space="preserve">On a scale from 0 to 10, where 0 means </w:t>
            </w:r>
            <w:r w:rsidRPr="00284C07">
              <w:rPr>
                <w:rFonts w:ascii="Times New Roman" w:eastAsia="Times New Roman" w:hAnsi="Times New Roman" w:cs="Times New Roman"/>
                <w:b/>
                <w:i/>
                <w:sz w:val="18"/>
                <w:u w:val="single"/>
              </w:rPr>
              <w:t>not at all confident</w:t>
            </w:r>
            <w:r w:rsidRPr="00284C07">
              <w:rPr>
                <w:rFonts w:ascii="Times New Roman" w:eastAsia="Times New Roman" w:hAnsi="Times New Roman" w:cs="Times New Roman"/>
                <w:sz w:val="18"/>
              </w:rPr>
              <w:t xml:space="preserve"> and 10 means </w:t>
            </w:r>
            <w:r w:rsidRPr="00284C07">
              <w:rPr>
                <w:rFonts w:ascii="Times New Roman" w:eastAsia="Times New Roman" w:hAnsi="Times New Roman" w:cs="Times New Roman"/>
                <w:b/>
                <w:i/>
                <w:sz w:val="18"/>
                <w:u w:val="single"/>
              </w:rPr>
              <w:t>very confident</w:t>
            </w:r>
            <w:r w:rsidRPr="00284C07">
              <w:rPr>
                <w:rFonts w:ascii="Times New Roman" w:eastAsia="Times New Roman" w:hAnsi="Times New Roman" w:cs="Times New Roman"/>
                <w:sz w:val="18"/>
              </w:rPr>
              <w:t>, how confident are you in your knowledge of the eligibility requirements for the Oklahoma's Promise scholarship program?</w:t>
            </w:r>
          </w:p>
        </w:tc>
        <w:tc>
          <w:tcPr>
            <w:tcW w:w="1495" w:type="dxa"/>
            <w:vAlign w:val="center"/>
          </w:tcPr>
          <w:p w14:paraId="29CBA7B9" w14:textId="77777777" w:rsidR="0046518A" w:rsidRPr="00284C07" w:rsidRDefault="0046518A" w:rsidP="00967B87">
            <w:pPr>
              <w:spacing w:after="0" w:line="240" w:lineRule="auto"/>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10 – Very Confident</w:t>
            </w:r>
            <w:r w:rsidRPr="00284C07">
              <w:rPr>
                <w:rFonts w:ascii="Times New Roman" w:eastAsia="Times New Roman" w:hAnsi="Times New Roman" w:cs="Times New Roman"/>
                <w:color w:val="000000"/>
                <w:sz w:val="18"/>
              </w:rPr>
              <w:br/>
              <w:t>0 – Not at all Confident</w:t>
            </w:r>
          </w:p>
        </w:tc>
      </w:tr>
      <w:tr w:rsidR="0046518A" w:rsidRPr="00284C07" w14:paraId="7A129374" w14:textId="77777777" w:rsidTr="00284C07">
        <w:trPr>
          <w:trHeight w:val="449"/>
          <w:jc w:val="center"/>
        </w:trPr>
        <w:tc>
          <w:tcPr>
            <w:tcW w:w="1180" w:type="dxa"/>
            <w:tcBorders>
              <w:bottom w:val="single" w:sz="4" w:space="0" w:color="auto"/>
            </w:tcBorders>
            <w:vAlign w:val="center"/>
          </w:tcPr>
          <w:p w14:paraId="3DDE5CEF"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Contextual Factors</w:t>
            </w:r>
          </w:p>
        </w:tc>
        <w:tc>
          <w:tcPr>
            <w:tcW w:w="1259" w:type="dxa"/>
            <w:tcBorders>
              <w:bottom w:val="single" w:sz="4" w:space="0" w:color="auto"/>
            </w:tcBorders>
            <w:tcMar>
              <w:top w:w="80" w:type="dxa"/>
              <w:left w:w="80" w:type="dxa"/>
              <w:bottom w:w="80" w:type="dxa"/>
              <w:right w:w="80" w:type="dxa"/>
            </w:tcMar>
            <w:vAlign w:val="center"/>
          </w:tcPr>
          <w:p w14:paraId="16A02068" w14:textId="77777777" w:rsidR="0046518A" w:rsidRPr="00284C07" w:rsidRDefault="0046518A" w:rsidP="00967B87">
            <w:pPr>
              <w:spacing w:after="0" w:line="240" w:lineRule="auto"/>
              <w:jc w:val="center"/>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School Family Income Comparison</w:t>
            </w:r>
          </w:p>
        </w:tc>
        <w:tc>
          <w:tcPr>
            <w:tcW w:w="5038" w:type="dxa"/>
            <w:tcBorders>
              <w:bottom w:val="single" w:sz="4" w:space="0" w:color="auto"/>
            </w:tcBorders>
            <w:tcMar>
              <w:top w:w="80" w:type="dxa"/>
              <w:left w:w="80" w:type="dxa"/>
              <w:bottom w:w="80" w:type="dxa"/>
              <w:right w:w="80" w:type="dxa"/>
            </w:tcMar>
            <w:vAlign w:val="center"/>
          </w:tcPr>
          <w:p w14:paraId="1807F89F" w14:textId="77777777" w:rsidR="0046518A" w:rsidRPr="00284C07" w:rsidRDefault="0046518A" w:rsidP="00967B87">
            <w:pPr>
              <w:spacing w:line="240" w:lineRule="auto"/>
              <w:rPr>
                <w:rFonts w:ascii="Times New Roman" w:eastAsia="Times New Roman" w:hAnsi="Times New Roman" w:cs="Times New Roman"/>
                <w:sz w:val="18"/>
              </w:rPr>
            </w:pPr>
            <w:r w:rsidRPr="00284C07">
              <w:rPr>
                <w:rFonts w:ascii="Times New Roman" w:hAnsi="Times New Roman" w:cs="Times New Roman"/>
                <w:bCs/>
                <w:sz w:val="18"/>
              </w:rPr>
              <w:t>When compared to other schools in your community, do you think the average income of families at your school is lower, higher, or about the same?</w:t>
            </w:r>
          </w:p>
        </w:tc>
        <w:tc>
          <w:tcPr>
            <w:tcW w:w="1495" w:type="dxa"/>
            <w:tcBorders>
              <w:bottom w:val="single" w:sz="4" w:space="0" w:color="auto"/>
            </w:tcBorders>
            <w:vAlign w:val="bottom"/>
          </w:tcPr>
          <w:p w14:paraId="04D9A024" w14:textId="77777777" w:rsidR="0046518A" w:rsidRPr="00284C07" w:rsidRDefault="0046518A" w:rsidP="00967B87">
            <w:pPr>
              <w:autoSpaceDE w:val="0"/>
              <w:autoSpaceDN w:val="0"/>
              <w:adjustRightInd w:val="0"/>
              <w:spacing w:after="0" w:line="240" w:lineRule="auto"/>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1 – Much higher</w:t>
            </w:r>
            <w:r w:rsidRPr="00284C07">
              <w:rPr>
                <w:rFonts w:ascii="Times New Roman" w:eastAsia="Times New Roman" w:hAnsi="Times New Roman" w:cs="Times New Roman"/>
                <w:color w:val="000000"/>
                <w:sz w:val="18"/>
              </w:rPr>
              <w:br/>
              <w:t>2 – Somewhat higher</w:t>
            </w:r>
            <w:r w:rsidRPr="00284C07">
              <w:rPr>
                <w:rFonts w:ascii="Times New Roman" w:eastAsia="Times New Roman" w:hAnsi="Times New Roman" w:cs="Times New Roman"/>
                <w:color w:val="000000"/>
                <w:sz w:val="18"/>
              </w:rPr>
              <w:br/>
              <w:t>3 – About the same</w:t>
            </w:r>
            <w:r w:rsidRPr="00284C07">
              <w:rPr>
                <w:rFonts w:ascii="Times New Roman" w:eastAsia="Times New Roman" w:hAnsi="Times New Roman" w:cs="Times New Roman"/>
                <w:color w:val="000000"/>
                <w:sz w:val="18"/>
              </w:rPr>
              <w:br/>
              <w:t>4 – Somewhat lower</w:t>
            </w:r>
          </w:p>
          <w:p w14:paraId="2BE13748" w14:textId="77777777" w:rsidR="0046518A" w:rsidRPr="00284C07" w:rsidRDefault="0046518A" w:rsidP="00967B87">
            <w:pPr>
              <w:spacing w:after="0" w:line="240" w:lineRule="auto"/>
              <w:rPr>
                <w:rFonts w:ascii="Times New Roman" w:eastAsia="Times New Roman" w:hAnsi="Times New Roman" w:cs="Times New Roman"/>
                <w:color w:val="000000"/>
                <w:sz w:val="18"/>
              </w:rPr>
            </w:pPr>
            <w:r w:rsidRPr="00284C07">
              <w:rPr>
                <w:rFonts w:ascii="Times New Roman" w:eastAsia="Times New Roman" w:hAnsi="Times New Roman" w:cs="Times New Roman"/>
                <w:color w:val="000000"/>
                <w:sz w:val="18"/>
              </w:rPr>
              <w:t>5 – Much lower</w:t>
            </w:r>
          </w:p>
        </w:tc>
      </w:tr>
    </w:tbl>
    <w:p w14:paraId="07557CAE" w14:textId="3B90BB95" w:rsidR="00683113" w:rsidRDefault="00683113" w:rsidP="00967B87">
      <w:pPr>
        <w:spacing w:line="480" w:lineRule="auto"/>
        <w:rPr>
          <w:rFonts w:ascii="Times New Roman" w:hAnsi="Times New Roman" w:cs="Times New Roman"/>
          <w:sz w:val="24"/>
          <w:szCs w:val="24"/>
        </w:rPr>
      </w:pPr>
    </w:p>
    <w:p w14:paraId="7C5E4AC3" w14:textId="7426F5DB" w:rsidR="009D5924" w:rsidRPr="009D5924" w:rsidRDefault="009D5924" w:rsidP="00C836DA">
      <w:pPr>
        <w:spacing w:line="480" w:lineRule="auto"/>
        <w:jc w:val="center"/>
        <w:rPr>
          <w:rFonts w:ascii="Times New Roman" w:hAnsi="Times New Roman" w:cs="Times New Roman"/>
          <w:b/>
          <w:sz w:val="36"/>
          <w:szCs w:val="36"/>
        </w:rPr>
      </w:pPr>
      <w:r w:rsidRPr="009D5924">
        <w:rPr>
          <w:rFonts w:ascii="Times New Roman" w:hAnsi="Times New Roman" w:cs="Times New Roman"/>
          <w:b/>
          <w:sz w:val="36"/>
          <w:szCs w:val="36"/>
        </w:rPr>
        <w:lastRenderedPageBreak/>
        <w:t xml:space="preserve">Chapter 5: </w:t>
      </w:r>
      <w:r w:rsidR="00711564">
        <w:rPr>
          <w:rFonts w:ascii="Times New Roman" w:hAnsi="Times New Roman" w:cs="Times New Roman"/>
          <w:b/>
          <w:sz w:val="36"/>
          <w:szCs w:val="36"/>
        </w:rPr>
        <w:t>How Policy Design Shapes Beneficiary Populations and Student Outcomes</w:t>
      </w:r>
      <w:r w:rsidR="000A2F17">
        <w:rPr>
          <w:rFonts w:ascii="Times New Roman" w:hAnsi="Times New Roman" w:cs="Times New Roman"/>
          <w:b/>
          <w:sz w:val="36"/>
          <w:szCs w:val="36"/>
        </w:rPr>
        <w:t>: An Examination of Tuition-free College Programs in Oklahoma</w:t>
      </w:r>
    </w:p>
    <w:p w14:paraId="14CE0927" w14:textId="3AD115E6" w:rsidR="009C5D07" w:rsidRDefault="00387F55" w:rsidP="00967B87">
      <w:pPr>
        <w:spacing w:line="480" w:lineRule="auto"/>
        <w:rPr>
          <w:rFonts w:ascii="Times New Roman" w:hAnsi="Times New Roman" w:cs="Times New Roman"/>
          <w:sz w:val="24"/>
          <w:szCs w:val="24"/>
        </w:rPr>
      </w:pPr>
      <w:r>
        <w:rPr>
          <w:rFonts w:ascii="Times New Roman" w:hAnsi="Times New Roman" w:cs="Times New Roman"/>
          <w:sz w:val="24"/>
          <w:szCs w:val="24"/>
        </w:rPr>
        <w:t xml:space="preserve">So far, Chapter 3 and 4 have explored the </w:t>
      </w:r>
      <w:r w:rsidR="005A2337">
        <w:rPr>
          <w:rFonts w:ascii="Times New Roman" w:hAnsi="Times New Roman" w:cs="Times New Roman"/>
          <w:sz w:val="24"/>
          <w:szCs w:val="24"/>
        </w:rPr>
        <w:t xml:space="preserve">first two linkages in Figure </w:t>
      </w:r>
      <w:r w:rsidR="006C5B03">
        <w:rPr>
          <w:rFonts w:ascii="Times New Roman" w:hAnsi="Times New Roman" w:cs="Times New Roman"/>
          <w:sz w:val="24"/>
          <w:szCs w:val="24"/>
        </w:rPr>
        <w:t>5-1</w:t>
      </w:r>
      <w:r w:rsidR="005A2337">
        <w:rPr>
          <w:rFonts w:ascii="Times New Roman" w:hAnsi="Times New Roman" w:cs="Times New Roman"/>
          <w:sz w:val="24"/>
          <w:szCs w:val="24"/>
        </w:rPr>
        <w:t xml:space="preserve">, </w:t>
      </w:r>
      <w:r w:rsidR="00A05580">
        <w:rPr>
          <w:rFonts w:ascii="Times New Roman" w:hAnsi="Times New Roman" w:cs="Times New Roman"/>
          <w:sz w:val="24"/>
          <w:szCs w:val="24"/>
        </w:rPr>
        <w:t>demonstrating the importance of politics and administration</w:t>
      </w:r>
      <w:r w:rsidR="005A2337">
        <w:rPr>
          <w:rFonts w:ascii="Times New Roman" w:hAnsi="Times New Roman" w:cs="Times New Roman"/>
          <w:sz w:val="24"/>
          <w:szCs w:val="24"/>
        </w:rPr>
        <w:t xml:space="preserve"> in college promise policy</w:t>
      </w:r>
      <w:r>
        <w:rPr>
          <w:rFonts w:ascii="Times New Roman" w:hAnsi="Times New Roman" w:cs="Times New Roman"/>
          <w:sz w:val="24"/>
          <w:szCs w:val="24"/>
        </w:rPr>
        <w:t xml:space="preserve">. </w:t>
      </w:r>
      <w:r w:rsidR="009C5D07">
        <w:rPr>
          <w:rFonts w:ascii="Times New Roman" w:hAnsi="Times New Roman" w:cs="Times New Roman"/>
          <w:sz w:val="24"/>
          <w:szCs w:val="24"/>
        </w:rPr>
        <w:t xml:space="preserve">Chapter 3 called attention to the connection between politics in shaping politically feasible statutory designs and Chapter 4 highlighted the importance of street-level bureaucrats in translating politically constrained designs into program access. </w:t>
      </w:r>
      <w:r w:rsidR="00A05580">
        <w:rPr>
          <w:rFonts w:ascii="Times New Roman" w:hAnsi="Times New Roman" w:cs="Times New Roman"/>
          <w:sz w:val="24"/>
          <w:szCs w:val="24"/>
        </w:rPr>
        <w:t xml:space="preserve">However, the question still remains as to how variation in statutory design shapes outcomes. Afterall, even if the </w:t>
      </w:r>
      <w:r w:rsidR="005A2337">
        <w:rPr>
          <w:rFonts w:ascii="Times New Roman" w:hAnsi="Times New Roman" w:cs="Times New Roman"/>
          <w:sz w:val="24"/>
          <w:szCs w:val="24"/>
        </w:rPr>
        <w:t xml:space="preserve">policy is politically feasible and bureaucrats use discretion in ways that facilitate program access, a program can still fail to accomplish its goals. </w:t>
      </w:r>
    </w:p>
    <w:p w14:paraId="59D6A36C" w14:textId="551F84FD" w:rsidR="009C5D07" w:rsidRPr="005B2DFB" w:rsidRDefault="009C5D07" w:rsidP="009C5D07">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t xml:space="preserve">Figure </w:t>
      </w:r>
      <w:r w:rsidR="006C5B03">
        <w:rPr>
          <w:rFonts w:ascii="Times New Roman" w:hAnsi="Times New Roman" w:cs="Times New Roman"/>
          <w:sz w:val="24"/>
          <w:szCs w:val="24"/>
        </w:rPr>
        <w:t>5-</w:t>
      </w:r>
      <w:r w:rsidRPr="005B2DFB">
        <w:rPr>
          <w:rFonts w:ascii="Times New Roman" w:hAnsi="Times New Roman" w:cs="Times New Roman"/>
          <w:sz w:val="24"/>
          <w:szCs w:val="24"/>
        </w:rPr>
        <w:t xml:space="preserve">1. </w:t>
      </w:r>
      <w:r w:rsidR="006C5B03">
        <w:rPr>
          <w:rFonts w:ascii="Times New Roman" w:hAnsi="Times New Roman" w:cs="Times New Roman"/>
          <w:sz w:val="24"/>
          <w:szCs w:val="24"/>
        </w:rPr>
        <w:t>The Instrumental Pathway: How Statutory Designs Impact Outcomes</w:t>
      </w:r>
    </w:p>
    <w:p w14:paraId="1A483D87" w14:textId="77777777" w:rsidR="009C5D07" w:rsidRPr="005B2DFB" w:rsidRDefault="009C5D07" w:rsidP="009C5D07">
      <w:pPr>
        <w:spacing w:after="0" w:line="240" w:lineRule="auto"/>
        <w:textAlignment w:val="center"/>
        <w:rPr>
          <w:rFonts w:ascii="Times New Roman" w:eastAsia="Times New Roman" w:hAnsi="Times New Roman" w:cs="Times New Roman"/>
          <w:sz w:val="24"/>
          <w:szCs w:val="24"/>
        </w:rPr>
      </w:pPr>
    </w:p>
    <w:p w14:paraId="606D2EF8" w14:textId="77777777" w:rsidR="009C5D07" w:rsidRPr="005B2DFB" w:rsidRDefault="009C5D07" w:rsidP="009C5D07">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7AFD282" wp14:editId="0F2BAD15">
                <wp:simplePos x="0" y="0"/>
                <wp:positionH relativeFrom="column">
                  <wp:posOffset>4678680</wp:posOffset>
                </wp:positionH>
                <wp:positionV relativeFrom="paragraph">
                  <wp:posOffset>1383030</wp:posOffset>
                </wp:positionV>
                <wp:extent cx="281940" cy="419100"/>
                <wp:effectExtent l="0" t="38100" r="41910" b="57150"/>
                <wp:wrapNone/>
                <wp:docPr id="45" name="Arrow: Right 45"/>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7668D6" id="Arrow: Right 45" o:spid="_x0000_s1026" type="#_x0000_t13" style="position:absolute;margin-left:368.4pt;margin-top:108.9pt;width:22.2pt;height:33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99BA8AB" wp14:editId="03A257C8">
                <wp:simplePos x="0" y="0"/>
                <wp:positionH relativeFrom="column">
                  <wp:posOffset>3048000</wp:posOffset>
                </wp:positionH>
                <wp:positionV relativeFrom="paragraph">
                  <wp:posOffset>1390650</wp:posOffset>
                </wp:positionV>
                <wp:extent cx="281940" cy="419100"/>
                <wp:effectExtent l="0" t="38100" r="41910" b="57150"/>
                <wp:wrapNone/>
                <wp:docPr id="46" name="Arrow: Right 46"/>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C506F7" id="Arrow: Right 46" o:spid="_x0000_s1026" type="#_x0000_t13" style="position:absolute;margin-left:240pt;margin-top:109.5pt;width:22.2pt;height:33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060E34DA" wp14:editId="6A0E5494">
                <wp:simplePos x="0" y="0"/>
                <wp:positionH relativeFrom="column">
                  <wp:posOffset>1417320</wp:posOffset>
                </wp:positionH>
                <wp:positionV relativeFrom="paragraph">
                  <wp:posOffset>1436370</wp:posOffset>
                </wp:positionV>
                <wp:extent cx="281940" cy="419100"/>
                <wp:effectExtent l="0" t="38100" r="41910" b="57150"/>
                <wp:wrapNone/>
                <wp:docPr id="47" name="Arrow: Right 47"/>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A814DF" id="Arrow: Right 47" o:spid="_x0000_s1026" type="#_x0000_t13" style="position:absolute;margin-left:111.6pt;margin-top:113.1pt;width:22.2pt;height:33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" adj="10800" fillcolor="black [3213]" strokecolor="black [3213]" strokeweight="1pt"/>
            </w:pict>
          </mc:Fallback>
        </mc:AlternateContent>
      </w:r>
      <w:r w:rsidRPr="005B2DFB">
        <w:rPr>
          <w:rFonts w:ascii="Times New Roman" w:hAnsi="Times New Roman" w:cs="Times New Roman"/>
          <w:noProof/>
          <w:sz w:val="24"/>
          <w:szCs w:val="24"/>
        </w:rPr>
        <w:drawing>
          <wp:inline distT="0" distB="0" distL="0" distR="0" wp14:anchorId="42CF933F" wp14:editId="53845D0A">
            <wp:extent cx="6339840" cy="3200400"/>
            <wp:effectExtent l="0" t="0" r="3810" b="0"/>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5F0787C3" w14:textId="77777777" w:rsidR="00122643" w:rsidRDefault="00122643" w:rsidP="00967B87">
      <w:pPr>
        <w:spacing w:line="480" w:lineRule="auto"/>
        <w:rPr>
          <w:rFonts w:ascii="Times New Roman" w:hAnsi="Times New Roman" w:cs="Times New Roman"/>
          <w:sz w:val="24"/>
          <w:szCs w:val="24"/>
        </w:rPr>
      </w:pPr>
    </w:p>
    <w:p w14:paraId="742389CA" w14:textId="24940EC6" w:rsidR="00987635" w:rsidRPr="00747C4F" w:rsidRDefault="009C5D07" w:rsidP="00747C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this chapter, I leverage two unique datasets to explore three different local tuition-free college initiatives in Oklahoma—Tulsa Achieves, Ticket to Rose, and OKCGo. </w:t>
      </w:r>
      <w:r w:rsidR="00987635">
        <w:rPr>
          <w:rFonts w:ascii="Times New Roman" w:hAnsi="Times New Roman" w:cs="Times New Roman"/>
          <w:sz w:val="24"/>
          <w:szCs w:val="24"/>
        </w:rPr>
        <w:t xml:space="preserve">First, I demonstrate how statutory designs have shaped the beneficiary populations in these programs, </w:t>
      </w:r>
      <w:r w:rsidR="00B30AE9">
        <w:rPr>
          <w:rFonts w:ascii="Times New Roman" w:hAnsi="Times New Roman" w:cs="Times New Roman"/>
          <w:sz w:val="24"/>
          <w:szCs w:val="24"/>
        </w:rPr>
        <w:t xml:space="preserve">along with an analysis of changes in student populations at the colleges affected over time. Second, I </w:t>
      </w:r>
      <w:r w:rsidR="00B30AE9" w:rsidRPr="00747C4F">
        <w:rPr>
          <w:rFonts w:ascii="Times New Roman" w:hAnsi="Times New Roman" w:cs="Times New Roman"/>
          <w:sz w:val="24"/>
          <w:szCs w:val="24"/>
        </w:rPr>
        <w:t xml:space="preserve">explore the impacts that one of the policies—Tulsa Achieves—has on student retention, GPA, and graduation rates. </w:t>
      </w:r>
    </w:p>
    <w:p w14:paraId="0E301CFF" w14:textId="70BE2EBC" w:rsidR="00B30AE9" w:rsidRPr="00747C4F" w:rsidRDefault="00B30AE9" w:rsidP="00747C4F">
      <w:pPr>
        <w:spacing w:after="0" w:line="480" w:lineRule="auto"/>
        <w:rPr>
          <w:rFonts w:ascii="Times New Roman" w:hAnsi="Times New Roman" w:cs="Times New Roman"/>
          <w:b/>
          <w:sz w:val="24"/>
          <w:szCs w:val="24"/>
        </w:rPr>
      </w:pPr>
      <w:r w:rsidRPr="00747C4F">
        <w:rPr>
          <w:rFonts w:ascii="Times New Roman" w:hAnsi="Times New Roman" w:cs="Times New Roman"/>
          <w:b/>
          <w:sz w:val="24"/>
          <w:szCs w:val="24"/>
        </w:rPr>
        <w:t xml:space="preserve">How does Policy Design affect Beneficiaries? </w:t>
      </w:r>
    </w:p>
    <w:p w14:paraId="2C5AB327" w14:textId="6950ECE5" w:rsidR="006A5DDE" w:rsidRPr="00747C4F" w:rsidRDefault="00747C4F" w:rsidP="006A5DDE">
      <w:pPr>
        <w:spacing w:after="0" w:line="480" w:lineRule="auto"/>
        <w:rPr>
          <w:rFonts w:ascii="Times New Roman" w:hAnsi="Times New Roman" w:cs="Times New Roman"/>
          <w:sz w:val="24"/>
          <w:szCs w:val="24"/>
        </w:rPr>
      </w:pPr>
      <w:r w:rsidRPr="00747C4F">
        <w:rPr>
          <w:rFonts w:ascii="Times New Roman" w:hAnsi="Times New Roman" w:cs="Times New Roman"/>
          <w:sz w:val="24"/>
          <w:szCs w:val="24"/>
        </w:rPr>
        <w:tab/>
      </w:r>
      <w:r>
        <w:rPr>
          <w:rFonts w:ascii="Times New Roman" w:hAnsi="Times New Roman" w:cs="Times New Roman"/>
          <w:sz w:val="24"/>
          <w:szCs w:val="24"/>
        </w:rPr>
        <w:t xml:space="preserve">Before presenting the evidence on the beneficiary populations of each tuition-free college program in Oklahoma, </w:t>
      </w:r>
      <w:r w:rsidR="000A2F17">
        <w:rPr>
          <w:rFonts w:ascii="Times New Roman" w:hAnsi="Times New Roman" w:cs="Times New Roman"/>
          <w:sz w:val="24"/>
          <w:szCs w:val="24"/>
        </w:rPr>
        <w:t xml:space="preserve">it is necessary to understand the statutory design of each policy included in this chapter. </w:t>
      </w:r>
      <w:r w:rsidR="00223013">
        <w:rPr>
          <w:rFonts w:ascii="Times New Roman" w:hAnsi="Times New Roman" w:cs="Times New Roman"/>
          <w:sz w:val="24"/>
          <w:szCs w:val="24"/>
        </w:rPr>
        <w:t xml:space="preserve">Table </w:t>
      </w:r>
      <w:r w:rsidR="006D2F8C">
        <w:rPr>
          <w:rFonts w:ascii="Times New Roman" w:hAnsi="Times New Roman" w:cs="Times New Roman"/>
          <w:sz w:val="24"/>
          <w:szCs w:val="24"/>
        </w:rPr>
        <w:t>5-1</w:t>
      </w:r>
      <w:r w:rsidR="00223013">
        <w:rPr>
          <w:rFonts w:ascii="Times New Roman" w:hAnsi="Times New Roman" w:cs="Times New Roman"/>
          <w:sz w:val="24"/>
          <w:szCs w:val="24"/>
        </w:rPr>
        <w:t xml:space="preserve"> below summarizes the main policy design details in each policy. </w:t>
      </w:r>
      <w:r w:rsidR="006A5DDE">
        <w:rPr>
          <w:rFonts w:ascii="Times New Roman" w:hAnsi="Times New Roman" w:cs="Times New Roman"/>
          <w:sz w:val="24"/>
          <w:szCs w:val="24"/>
        </w:rPr>
        <w:t>First, is t</w:t>
      </w:r>
      <w:r w:rsidR="006A5DDE" w:rsidRPr="00747C4F">
        <w:rPr>
          <w:rFonts w:ascii="Times New Roman" w:hAnsi="Times New Roman" w:cs="Times New Roman"/>
          <w:sz w:val="24"/>
          <w:szCs w:val="24"/>
        </w:rPr>
        <w:t>he Tulsa Achieves program</w:t>
      </w:r>
      <w:r w:rsidR="006A5DDE">
        <w:rPr>
          <w:rFonts w:ascii="Times New Roman" w:hAnsi="Times New Roman" w:cs="Times New Roman"/>
          <w:sz w:val="24"/>
          <w:szCs w:val="24"/>
        </w:rPr>
        <w:t>, which</w:t>
      </w:r>
      <w:r w:rsidR="006A5DDE" w:rsidRPr="00747C4F">
        <w:rPr>
          <w:rFonts w:ascii="Times New Roman" w:hAnsi="Times New Roman" w:cs="Times New Roman"/>
          <w:sz w:val="24"/>
          <w:szCs w:val="24"/>
        </w:rPr>
        <w:t xml:space="preserve"> is a place-based tuition-free community college program established in 2007. All students graduating from a high school in Tulsa County receive</w:t>
      </w:r>
      <w:r w:rsidR="00BC7563">
        <w:rPr>
          <w:rFonts w:ascii="Times New Roman" w:hAnsi="Times New Roman" w:cs="Times New Roman"/>
          <w:sz w:val="24"/>
          <w:szCs w:val="24"/>
        </w:rPr>
        <w:t xml:space="preserve"> last-dollar aid covering the cost of tuition and fees</w:t>
      </w:r>
      <w:r w:rsidR="006A5DDE" w:rsidRPr="00747C4F">
        <w:rPr>
          <w:rFonts w:ascii="Times New Roman" w:hAnsi="Times New Roman" w:cs="Times New Roman"/>
          <w:sz w:val="24"/>
          <w:szCs w:val="24"/>
        </w:rPr>
        <w:t xml:space="preserve"> at Tulsa Community College</w:t>
      </w:r>
      <w:r w:rsidR="009F3BF0">
        <w:rPr>
          <w:rFonts w:ascii="Times New Roman" w:hAnsi="Times New Roman" w:cs="Times New Roman"/>
          <w:sz w:val="24"/>
          <w:szCs w:val="24"/>
        </w:rPr>
        <w:t xml:space="preserve"> (TCC)</w:t>
      </w:r>
      <w:r w:rsidR="006A5DDE" w:rsidRPr="00747C4F">
        <w:rPr>
          <w:rFonts w:ascii="Times New Roman" w:hAnsi="Times New Roman" w:cs="Times New Roman"/>
          <w:sz w:val="24"/>
          <w:szCs w:val="24"/>
        </w:rPr>
        <w:t xml:space="preserve"> if they meet the </w:t>
      </w:r>
      <w:r w:rsidR="00BC7563">
        <w:rPr>
          <w:rFonts w:ascii="Times New Roman" w:hAnsi="Times New Roman" w:cs="Times New Roman"/>
          <w:sz w:val="24"/>
          <w:szCs w:val="24"/>
        </w:rPr>
        <w:t xml:space="preserve">eligibility </w:t>
      </w:r>
      <w:r w:rsidR="006A5DDE" w:rsidRPr="00747C4F">
        <w:rPr>
          <w:rFonts w:ascii="Times New Roman" w:hAnsi="Times New Roman" w:cs="Times New Roman"/>
          <w:sz w:val="24"/>
          <w:szCs w:val="24"/>
        </w:rPr>
        <w:t xml:space="preserve">requirements. </w:t>
      </w:r>
      <w:r w:rsidR="00BC7563">
        <w:rPr>
          <w:rFonts w:ascii="Times New Roman" w:hAnsi="Times New Roman" w:cs="Times New Roman"/>
          <w:sz w:val="24"/>
          <w:szCs w:val="24"/>
        </w:rPr>
        <w:t>The last-dollar structure</w:t>
      </w:r>
      <w:r w:rsidR="006A5DDE" w:rsidRPr="00747C4F">
        <w:rPr>
          <w:rFonts w:ascii="Times New Roman" w:hAnsi="Times New Roman" w:cs="Times New Roman"/>
          <w:sz w:val="24"/>
          <w:szCs w:val="24"/>
        </w:rPr>
        <w:t xml:space="preserve"> means </w:t>
      </w:r>
      <w:r w:rsidR="00BC7563">
        <w:rPr>
          <w:rFonts w:ascii="Times New Roman" w:hAnsi="Times New Roman" w:cs="Times New Roman"/>
          <w:sz w:val="24"/>
          <w:szCs w:val="24"/>
        </w:rPr>
        <w:t>that</w:t>
      </w:r>
      <w:r w:rsidR="006A5DDE" w:rsidRPr="00747C4F">
        <w:rPr>
          <w:rFonts w:ascii="Times New Roman" w:hAnsi="Times New Roman" w:cs="Times New Roman"/>
          <w:sz w:val="24"/>
          <w:szCs w:val="24"/>
        </w:rPr>
        <w:t xml:space="preserve"> students must use all other grants and scholarships </w:t>
      </w:r>
      <w:r w:rsidR="00BC7563">
        <w:rPr>
          <w:rFonts w:ascii="Times New Roman" w:hAnsi="Times New Roman" w:cs="Times New Roman"/>
          <w:sz w:val="24"/>
          <w:szCs w:val="24"/>
        </w:rPr>
        <w:t xml:space="preserve">before the </w:t>
      </w:r>
      <w:r w:rsidR="006A5DDE" w:rsidRPr="00747C4F">
        <w:rPr>
          <w:rFonts w:ascii="Times New Roman" w:hAnsi="Times New Roman" w:cs="Times New Roman"/>
          <w:sz w:val="24"/>
          <w:szCs w:val="24"/>
        </w:rPr>
        <w:t xml:space="preserve">Tulsa Achieves program </w:t>
      </w:r>
      <w:r w:rsidR="00BC7563">
        <w:rPr>
          <w:rFonts w:ascii="Times New Roman" w:hAnsi="Times New Roman" w:cs="Times New Roman"/>
          <w:sz w:val="24"/>
          <w:szCs w:val="24"/>
        </w:rPr>
        <w:t xml:space="preserve">kicks in to </w:t>
      </w:r>
      <w:r w:rsidR="006A5DDE" w:rsidRPr="00747C4F">
        <w:rPr>
          <w:rFonts w:ascii="Times New Roman" w:hAnsi="Times New Roman" w:cs="Times New Roman"/>
          <w:sz w:val="24"/>
          <w:szCs w:val="24"/>
        </w:rPr>
        <w:t>cover</w:t>
      </w:r>
      <w:r w:rsidR="00BC7563">
        <w:rPr>
          <w:rFonts w:ascii="Times New Roman" w:hAnsi="Times New Roman" w:cs="Times New Roman"/>
          <w:sz w:val="24"/>
          <w:szCs w:val="24"/>
        </w:rPr>
        <w:t xml:space="preserve"> any</w:t>
      </w:r>
      <w:r w:rsidR="006A5DDE" w:rsidRPr="00747C4F">
        <w:rPr>
          <w:rFonts w:ascii="Times New Roman" w:hAnsi="Times New Roman" w:cs="Times New Roman"/>
          <w:sz w:val="24"/>
          <w:szCs w:val="24"/>
        </w:rPr>
        <w:t xml:space="preserve"> expenses left in tuition and fees.</w:t>
      </w:r>
      <w:r w:rsidR="00BC7563">
        <w:rPr>
          <w:rFonts w:ascii="Times New Roman" w:hAnsi="Times New Roman" w:cs="Times New Roman"/>
          <w:sz w:val="24"/>
          <w:szCs w:val="24"/>
        </w:rPr>
        <w:t xml:space="preserve"> </w:t>
      </w:r>
      <w:r w:rsidR="00476A98">
        <w:rPr>
          <w:rFonts w:ascii="Times New Roman" w:hAnsi="Times New Roman" w:cs="Times New Roman"/>
          <w:sz w:val="24"/>
          <w:szCs w:val="24"/>
        </w:rPr>
        <w:t xml:space="preserve">In terms of initial eligibility requirements, </w:t>
      </w:r>
      <w:r w:rsidR="00BC7563">
        <w:rPr>
          <w:rFonts w:ascii="Times New Roman" w:hAnsi="Times New Roman" w:cs="Times New Roman"/>
          <w:sz w:val="24"/>
          <w:szCs w:val="24"/>
        </w:rPr>
        <w:t xml:space="preserve">Tulsa Achieves </w:t>
      </w:r>
      <w:r w:rsidR="00476A98">
        <w:rPr>
          <w:rFonts w:ascii="Times New Roman" w:hAnsi="Times New Roman" w:cs="Times New Roman"/>
          <w:sz w:val="24"/>
          <w:szCs w:val="24"/>
        </w:rPr>
        <w:t>requires</w:t>
      </w:r>
      <w:r w:rsidR="00BC7563">
        <w:rPr>
          <w:rFonts w:ascii="Times New Roman" w:hAnsi="Times New Roman" w:cs="Times New Roman"/>
          <w:sz w:val="24"/>
          <w:szCs w:val="24"/>
        </w:rPr>
        <w:t xml:space="preserve"> a minimum high school GPA of 2.0</w:t>
      </w:r>
      <w:r w:rsidR="00476A98">
        <w:rPr>
          <w:rFonts w:ascii="Times New Roman" w:hAnsi="Times New Roman" w:cs="Times New Roman"/>
          <w:sz w:val="24"/>
          <w:szCs w:val="24"/>
        </w:rPr>
        <w:t xml:space="preserve"> and requires that students complete the FAFSA.</w:t>
      </w:r>
      <w:r w:rsidR="006A5DDE" w:rsidRPr="00747C4F">
        <w:rPr>
          <w:rFonts w:ascii="Times New Roman" w:hAnsi="Times New Roman" w:cs="Times New Roman"/>
          <w:sz w:val="24"/>
          <w:szCs w:val="24"/>
        </w:rPr>
        <w:t xml:space="preserve"> </w:t>
      </w:r>
      <w:r w:rsidR="00476A98">
        <w:rPr>
          <w:rFonts w:ascii="Times New Roman" w:hAnsi="Times New Roman" w:cs="Times New Roman"/>
          <w:sz w:val="24"/>
          <w:szCs w:val="24"/>
        </w:rPr>
        <w:t>The next program,</w:t>
      </w:r>
      <w:r w:rsidR="006A5DDE" w:rsidRPr="00747C4F">
        <w:rPr>
          <w:rFonts w:ascii="Times New Roman" w:hAnsi="Times New Roman" w:cs="Times New Roman"/>
          <w:sz w:val="24"/>
          <w:szCs w:val="24"/>
        </w:rPr>
        <w:t xml:space="preserve"> OKCGo</w:t>
      </w:r>
      <w:r w:rsidR="00476A98">
        <w:rPr>
          <w:rFonts w:ascii="Times New Roman" w:hAnsi="Times New Roman" w:cs="Times New Roman"/>
          <w:sz w:val="24"/>
          <w:szCs w:val="24"/>
        </w:rPr>
        <w:t>,</w:t>
      </w:r>
      <w:r w:rsidR="006A5DDE" w:rsidRPr="00747C4F">
        <w:rPr>
          <w:rFonts w:ascii="Times New Roman" w:hAnsi="Times New Roman" w:cs="Times New Roman"/>
          <w:sz w:val="24"/>
          <w:szCs w:val="24"/>
        </w:rPr>
        <w:t xml:space="preserve"> is a </w:t>
      </w:r>
      <w:r w:rsidR="00476A98">
        <w:rPr>
          <w:rFonts w:ascii="Times New Roman" w:hAnsi="Times New Roman" w:cs="Times New Roman"/>
          <w:sz w:val="24"/>
          <w:szCs w:val="24"/>
        </w:rPr>
        <w:t>last-dollar</w:t>
      </w:r>
      <w:r w:rsidR="006A5DDE" w:rsidRPr="00747C4F">
        <w:rPr>
          <w:rFonts w:ascii="Times New Roman" w:hAnsi="Times New Roman" w:cs="Times New Roman"/>
          <w:sz w:val="24"/>
          <w:szCs w:val="24"/>
        </w:rPr>
        <w:t xml:space="preserve"> tuition-free community college policy for students attending high schools in the Oklahoma City Metropolitan Area first established in 1999. All students graduating from the set of high schools eligible for the program can receive last-dollar aid to attend Oklahoma City Community College (OCCC). </w:t>
      </w:r>
      <w:r w:rsidR="00476A98">
        <w:rPr>
          <w:rFonts w:ascii="Times New Roman" w:hAnsi="Times New Roman" w:cs="Times New Roman"/>
          <w:sz w:val="24"/>
          <w:szCs w:val="24"/>
        </w:rPr>
        <w:t xml:space="preserve">Unlike the Tulsa Achieves program, OKCGo does not require students to graduate with a minimum high school GPA. </w:t>
      </w:r>
    </w:p>
    <w:p w14:paraId="37BCAC6D" w14:textId="77777777" w:rsidR="006A5DDE" w:rsidRDefault="006A5DDE" w:rsidP="00B43287">
      <w:pPr>
        <w:spacing w:after="0" w:line="480" w:lineRule="auto"/>
        <w:rPr>
          <w:rFonts w:ascii="Times New Roman" w:hAnsi="Times New Roman" w:cs="Times New Roman"/>
          <w:sz w:val="24"/>
          <w:szCs w:val="24"/>
        </w:rPr>
      </w:pPr>
    </w:p>
    <w:p w14:paraId="3F6C616F" w14:textId="2AE51E4F" w:rsidR="009B47B9" w:rsidRDefault="009B47B9" w:rsidP="006A5DDE">
      <w:pPr>
        <w:rPr>
          <w:rFonts w:ascii="Times New Roman" w:hAnsi="Times New Roman" w:cs="Times New Roman"/>
          <w:sz w:val="24"/>
          <w:szCs w:val="24"/>
        </w:rPr>
        <w:sectPr w:rsidR="009B47B9" w:rsidSect="004A260C">
          <w:headerReference w:type="default" r:id="rId55"/>
          <w:pgSz w:w="12240" w:h="15840"/>
          <w:pgMar w:top="1440" w:right="1440" w:bottom="1440" w:left="1440" w:header="720" w:footer="720" w:gutter="0"/>
          <w:pgNumType w:start="1"/>
          <w:cols w:space="720"/>
          <w:docGrid w:linePitch="360"/>
        </w:sectPr>
      </w:pPr>
    </w:p>
    <w:p w14:paraId="5AF10318" w14:textId="2DF3491C" w:rsidR="00B362A3" w:rsidRDefault="002E147A" w:rsidP="00B4328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4F6953">
        <w:rPr>
          <w:rFonts w:ascii="Times New Roman" w:hAnsi="Times New Roman" w:cs="Times New Roman"/>
          <w:sz w:val="24"/>
          <w:szCs w:val="24"/>
        </w:rPr>
        <w:t>5-1</w:t>
      </w:r>
      <w:r>
        <w:rPr>
          <w:rFonts w:ascii="Times New Roman" w:hAnsi="Times New Roman" w:cs="Times New Roman"/>
          <w:sz w:val="24"/>
          <w:szCs w:val="24"/>
        </w:rPr>
        <w:t xml:space="preserve">. Comparison of Policy Design in Oklahoma Tuition-free College Policies </w:t>
      </w:r>
    </w:p>
    <w:tbl>
      <w:tblPr>
        <w:tblStyle w:val="TableGrid"/>
        <w:tblW w:w="134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3"/>
        <w:gridCol w:w="1172"/>
        <w:gridCol w:w="1538"/>
        <w:gridCol w:w="1038"/>
        <w:gridCol w:w="1312"/>
        <w:gridCol w:w="1592"/>
        <w:gridCol w:w="1854"/>
        <w:gridCol w:w="3691"/>
      </w:tblGrid>
      <w:tr w:rsidR="00F414A3" w:rsidRPr="00183FC0" w14:paraId="3CB2AABE" w14:textId="77777777" w:rsidTr="00645F66">
        <w:trPr>
          <w:trHeight w:val="840"/>
          <w:jc w:val="center"/>
        </w:trPr>
        <w:tc>
          <w:tcPr>
            <w:tcW w:w="1213" w:type="dxa"/>
            <w:tcBorders>
              <w:bottom w:val="single" w:sz="12" w:space="0" w:color="auto"/>
            </w:tcBorders>
            <w:vAlign w:val="center"/>
            <w:hideMark/>
          </w:tcPr>
          <w:p w14:paraId="0E666216" w14:textId="5A67C085"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Policy</w:t>
            </w:r>
          </w:p>
        </w:tc>
        <w:tc>
          <w:tcPr>
            <w:tcW w:w="1172" w:type="dxa"/>
            <w:tcBorders>
              <w:bottom w:val="single" w:sz="12" w:space="0" w:color="auto"/>
            </w:tcBorders>
            <w:vAlign w:val="center"/>
          </w:tcPr>
          <w:p w14:paraId="7C9D9C64" w14:textId="2AB2B871"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Eligible Colleges</w:t>
            </w:r>
          </w:p>
        </w:tc>
        <w:tc>
          <w:tcPr>
            <w:tcW w:w="1538" w:type="dxa"/>
            <w:tcBorders>
              <w:bottom w:val="single" w:sz="12" w:space="0" w:color="auto"/>
            </w:tcBorders>
            <w:vAlign w:val="center"/>
            <w:hideMark/>
          </w:tcPr>
          <w:p w14:paraId="08CD9966" w14:textId="38E3220A"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Year Implemented</w:t>
            </w:r>
          </w:p>
        </w:tc>
        <w:tc>
          <w:tcPr>
            <w:tcW w:w="1038" w:type="dxa"/>
            <w:tcBorders>
              <w:bottom w:val="single" w:sz="12" w:space="0" w:color="auto"/>
            </w:tcBorders>
            <w:vAlign w:val="center"/>
          </w:tcPr>
          <w:p w14:paraId="0AA3467F" w14:textId="6C6A4897"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Financial Aid Structure</w:t>
            </w:r>
          </w:p>
        </w:tc>
        <w:tc>
          <w:tcPr>
            <w:tcW w:w="1312" w:type="dxa"/>
            <w:tcBorders>
              <w:bottom w:val="single" w:sz="12" w:space="0" w:color="auto"/>
            </w:tcBorders>
            <w:vAlign w:val="center"/>
          </w:tcPr>
          <w:p w14:paraId="190D3667" w14:textId="00E1C086" w:rsidR="00F414A3" w:rsidRPr="00183FC0" w:rsidRDefault="00F414A3" w:rsidP="00F414A3">
            <w:pPr>
              <w:jc w:val="center"/>
              <w:rPr>
                <w:rFonts w:ascii="Times New Roman" w:hAnsi="Times New Roman" w:cs="Times New Roman"/>
                <w:b/>
                <w:bCs/>
                <w:sz w:val="20"/>
                <w:szCs w:val="20"/>
              </w:rPr>
            </w:pPr>
            <w:r>
              <w:rPr>
                <w:rFonts w:ascii="Times New Roman" w:hAnsi="Times New Roman" w:cs="Times New Roman"/>
                <w:b/>
                <w:bCs/>
                <w:sz w:val="20"/>
                <w:szCs w:val="20"/>
              </w:rPr>
              <w:t>Expenses Covered</w:t>
            </w:r>
          </w:p>
        </w:tc>
        <w:tc>
          <w:tcPr>
            <w:tcW w:w="1592" w:type="dxa"/>
            <w:tcBorders>
              <w:bottom w:val="single" w:sz="12" w:space="0" w:color="auto"/>
            </w:tcBorders>
            <w:vAlign w:val="center"/>
          </w:tcPr>
          <w:p w14:paraId="42BE6B6E" w14:textId="7C1DA9EF"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Geography</w:t>
            </w:r>
          </w:p>
        </w:tc>
        <w:tc>
          <w:tcPr>
            <w:tcW w:w="1854" w:type="dxa"/>
            <w:tcBorders>
              <w:bottom w:val="single" w:sz="12" w:space="0" w:color="auto"/>
            </w:tcBorders>
            <w:vAlign w:val="center"/>
            <w:hideMark/>
          </w:tcPr>
          <w:p w14:paraId="52828265" w14:textId="11CB63C0"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Eligibility Requirements</w:t>
            </w:r>
          </w:p>
        </w:tc>
        <w:tc>
          <w:tcPr>
            <w:tcW w:w="3691" w:type="dxa"/>
            <w:tcBorders>
              <w:bottom w:val="single" w:sz="12" w:space="0" w:color="auto"/>
            </w:tcBorders>
            <w:vAlign w:val="center"/>
            <w:hideMark/>
          </w:tcPr>
          <w:p w14:paraId="73D13A33" w14:textId="1131D662" w:rsidR="00F414A3" w:rsidRPr="00183FC0" w:rsidRDefault="00F414A3" w:rsidP="00F414A3">
            <w:pPr>
              <w:jc w:val="center"/>
              <w:rPr>
                <w:rFonts w:ascii="Times New Roman" w:hAnsi="Times New Roman" w:cs="Times New Roman"/>
                <w:b/>
                <w:bCs/>
                <w:sz w:val="20"/>
                <w:szCs w:val="20"/>
              </w:rPr>
            </w:pPr>
            <w:r w:rsidRPr="00183FC0">
              <w:rPr>
                <w:rFonts w:ascii="Times New Roman" w:hAnsi="Times New Roman" w:cs="Times New Roman"/>
                <w:b/>
                <w:bCs/>
                <w:sz w:val="20"/>
                <w:szCs w:val="20"/>
              </w:rPr>
              <w:t>Requirements for Maintaining Eligibility</w:t>
            </w:r>
          </w:p>
        </w:tc>
      </w:tr>
      <w:tr w:rsidR="00F414A3" w:rsidRPr="00183FC0" w14:paraId="41D45A56" w14:textId="77777777" w:rsidTr="00645F66">
        <w:trPr>
          <w:trHeight w:val="1995"/>
          <w:jc w:val="center"/>
        </w:trPr>
        <w:tc>
          <w:tcPr>
            <w:tcW w:w="1213" w:type="dxa"/>
            <w:tcBorders>
              <w:top w:val="single" w:sz="12" w:space="0" w:color="auto"/>
            </w:tcBorders>
            <w:vAlign w:val="center"/>
            <w:hideMark/>
          </w:tcPr>
          <w:p w14:paraId="2D4D0A60" w14:textId="77777777"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Tulsa Achieves</w:t>
            </w:r>
          </w:p>
        </w:tc>
        <w:tc>
          <w:tcPr>
            <w:tcW w:w="1172" w:type="dxa"/>
            <w:tcBorders>
              <w:top w:val="single" w:sz="12" w:space="0" w:color="auto"/>
            </w:tcBorders>
            <w:vAlign w:val="center"/>
          </w:tcPr>
          <w:p w14:paraId="32B665B4" w14:textId="7C403DC4"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Tulsa Community College</w:t>
            </w:r>
          </w:p>
        </w:tc>
        <w:tc>
          <w:tcPr>
            <w:tcW w:w="1538" w:type="dxa"/>
            <w:tcBorders>
              <w:top w:val="single" w:sz="12" w:space="0" w:color="auto"/>
            </w:tcBorders>
            <w:vAlign w:val="center"/>
            <w:hideMark/>
          </w:tcPr>
          <w:p w14:paraId="7F93C60F" w14:textId="4585A276"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2007</w:t>
            </w:r>
          </w:p>
        </w:tc>
        <w:tc>
          <w:tcPr>
            <w:tcW w:w="1038" w:type="dxa"/>
            <w:tcBorders>
              <w:top w:val="single" w:sz="12" w:space="0" w:color="auto"/>
            </w:tcBorders>
            <w:vAlign w:val="center"/>
          </w:tcPr>
          <w:p w14:paraId="4AB4B90D" w14:textId="15F5AA4D" w:rsidR="00F414A3" w:rsidRPr="00183FC0" w:rsidRDefault="00F414A3" w:rsidP="009B47B9">
            <w:pPr>
              <w:jc w:val="center"/>
              <w:rPr>
                <w:rFonts w:ascii="Times New Roman" w:hAnsi="Times New Roman" w:cs="Times New Roman"/>
                <w:sz w:val="20"/>
                <w:szCs w:val="20"/>
              </w:rPr>
            </w:pPr>
            <w:r w:rsidRPr="00183FC0">
              <w:rPr>
                <w:rFonts w:ascii="Times New Roman" w:hAnsi="Times New Roman" w:cs="Times New Roman"/>
                <w:sz w:val="20"/>
                <w:szCs w:val="20"/>
              </w:rPr>
              <w:t>Last-Dollar</w:t>
            </w:r>
          </w:p>
        </w:tc>
        <w:tc>
          <w:tcPr>
            <w:tcW w:w="1312" w:type="dxa"/>
            <w:tcBorders>
              <w:top w:val="single" w:sz="12" w:space="0" w:color="auto"/>
            </w:tcBorders>
            <w:vAlign w:val="center"/>
          </w:tcPr>
          <w:p w14:paraId="5BB034D2" w14:textId="241F1B8F" w:rsidR="00F414A3" w:rsidRPr="00183FC0" w:rsidRDefault="00F414A3" w:rsidP="00F414A3">
            <w:pPr>
              <w:jc w:val="center"/>
              <w:rPr>
                <w:rFonts w:ascii="Times New Roman" w:hAnsi="Times New Roman" w:cs="Times New Roman"/>
                <w:sz w:val="20"/>
                <w:szCs w:val="20"/>
              </w:rPr>
            </w:pPr>
            <w:r>
              <w:rPr>
                <w:rFonts w:ascii="Times New Roman" w:hAnsi="Times New Roman" w:cs="Times New Roman"/>
                <w:sz w:val="20"/>
                <w:szCs w:val="20"/>
              </w:rPr>
              <w:t>Tuition and Fees</w:t>
            </w:r>
          </w:p>
        </w:tc>
        <w:tc>
          <w:tcPr>
            <w:tcW w:w="1592" w:type="dxa"/>
            <w:tcBorders>
              <w:top w:val="single" w:sz="12" w:space="0" w:color="auto"/>
            </w:tcBorders>
            <w:vAlign w:val="center"/>
          </w:tcPr>
          <w:p w14:paraId="21E1036A" w14:textId="2AECDB92" w:rsidR="00F414A3" w:rsidRPr="00183FC0" w:rsidRDefault="00F414A3" w:rsidP="00193499">
            <w:pPr>
              <w:jc w:val="center"/>
              <w:rPr>
                <w:rFonts w:ascii="Times New Roman" w:hAnsi="Times New Roman" w:cs="Times New Roman"/>
                <w:sz w:val="20"/>
                <w:szCs w:val="20"/>
                <w:u w:val="single"/>
              </w:rPr>
            </w:pPr>
            <w:r w:rsidRPr="00183FC0">
              <w:rPr>
                <w:rFonts w:ascii="Times New Roman" w:hAnsi="Times New Roman" w:cs="Times New Roman"/>
                <w:sz w:val="20"/>
                <w:szCs w:val="20"/>
              </w:rPr>
              <w:t>Students in Tulsa County. For students who don't maintain full residency, Tulsa Achieves covers a percentage of the remaining balance.</w:t>
            </w:r>
            <w:r w:rsidRPr="00E3535F">
              <w:rPr>
                <w:rStyle w:val="FootnoteReference"/>
              </w:rPr>
              <w:footnoteReference w:id="21"/>
            </w:r>
          </w:p>
        </w:tc>
        <w:tc>
          <w:tcPr>
            <w:tcW w:w="1854" w:type="dxa"/>
            <w:tcBorders>
              <w:top w:val="single" w:sz="12" w:space="0" w:color="auto"/>
            </w:tcBorders>
            <w:vAlign w:val="center"/>
            <w:hideMark/>
          </w:tcPr>
          <w:p w14:paraId="6EBC81EA" w14:textId="54F328D9"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legal citizen</w:t>
            </w:r>
          </w:p>
          <w:p w14:paraId="1FBE894E" w14:textId="77777777"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 At least 2.0 high school GPA</w:t>
            </w:r>
          </w:p>
          <w:p w14:paraId="63222EB3" w14:textId="7C4D7DA2"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3) Submit FAFSA</w:t>
            </w:r>
          </w:p>
        </w:tc>
        <w:tc>
          <w:tcPr>
            <w:tcW w:w="3691" w:type="dxa"/>
            <w:tcBorders>
              <w:top w:val="single" w:sz="12" w:space="0" w:color="auto"/>
            </w:tcBorders>
            <w:vAlign w:val="center"/>
            <w:hideMark/>
          </w:tcPr>
          <w:p w14:paraId="4BC6C399" w14:textId="234A97AE"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Maintain good academic standing</w:t>
            </w:r>
            <w:r w:rsidRPr="00E3535F">
              <w:rPr>
                <w:rStyle w:val="FootnoteReference"/>
              </w:rPr>
              <w:footnoteReference w:id="22"/>
            </w:r>
          </w:p>
          <w:p w14:paraId="31666F9B" w14:textId="437D9E6E"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 Complete at least three credit hours with a passing grade each fall and spring semester                                      3) Complete the First Year Experience Seminar                                                            4) Complete 40 hours of volunteer service each year</w:t>
            </w:r>
          </w:p>
        </w:tc>
      </w:tr>
      <w:tr w:rsidR="00F414A3" w:rsidRPr="00183FC0" w14:paraId="1DD92742" w14:textId="77777777" w:rsidTr="00645F66">
        <w:trPr>
          <w:trHeight w:val="980"/>
          <w:jc w:val="center"/>
        </w:trPr>
        <w:tc>
          <w:tcPr>
            <w:tcW w:w="1213" w:type="dxa"/>
            <w:vAlign w:val="center"/>
            <w:hideMark/>
          </w:tcPr>
          <w:p w14:paraId="2ADB7615" w14:textId="77777777"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OKCGo</w:t>
            </w:r>
          </w:p>
        </w:tc>
        <w:tc>
          <w:tcPr>
            <w:tcW w:w="1172" w:type="dxa"/>
            <w:vAlign w:val="center"/>
          </w:tcPr>
          <w:p w14:paraId="36F3399D" w14:textId="09C74E99"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Oklahoma City Community College</w:t>
            </w:r>
          </w:p>
        </w:tc>
        <w:tc>
          <w:tcPr>
            <w:tcW w:w="1538" w:type="dxa"/>
            <w:vAlign w:val="center"/>
            <w:hideMark/>
          </w:tcPr>
          <w:p w14:paraId="404DE08A" w14:textId="1A688641"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1999, expanded in 2008 to Western Heights Schools</w:t>
            </w:r>
          </w:p>
        </w:tc>
        <w:tc>
          <w:tcPr>
            <w:tcW w:w="1038" w:type="dxa"/>
            <w:vAlign w:val="center"/>
          </w:tcPr>
          <w:p w14:paraId="3DF6FAF7" w14:textId="7A1A06BF" w:rsidR="00F414A3" w:rsidRPr="00183FC0" w:rsidRDefault="00F414A3" w:rsidP="009B47B9">
            <w:pPr>
              <w:jc w:val="center"/>
              <w:rPr>
                <w:rFonts w:ascii="Times New Roman" w:hAnsi="Times New Roman" w:cs="Times New Roman"/>
                <w:sz w:val="20"/>
                <w:szCs w:val="20"/>
              </w:rPr>
            </w:pPr>
            <w:r w:rsidRPr="00183FC0">
              <w:rPr>
                <w:rFonts w:ascii="Times New Roman" w:hAnsi="Times New Roman" w:cs="Times New Roman"/>
                <w:sz w:val="20"/>
                <w:szCs w:val="20"/>
              </w:rPr>
              <w:t>Last-Dollar</w:t>
            </w:r>
          </w:p>
        </w:tc>
        <w:tc>
          <w:tcPr>
            <w:tcW w:w="1312" w:type="dxa"/>
            <w:vAlign w:val="center"/>
          </w:tcPr>
          <w:p w14:paraId="725E7041" w14:textId="01F4DE0E" w:rsidR="00F414A3" w:rsidRPr="00183FC0" w:rsidRDefault="00F414A3" w:rsidP="00F414A3">
            <w:pPr>
              <w:jc w:val="center"/>
              <w:rPr>
                <w:rFonts w:ascii="Times New Roman" w:hAnsi="Times New Roman" w:cs="Times New Roman"/>
                <w:sz w:val="20"/>
                <w:szCs w:val="20"/>
              </w:rPr>
            </w:pPr>
            <w:r>
              <w:rPr>
                <w:rFonts w:ascii="Times New Roman" w:hAnsi="Times New Roman" w:cs="Times New Roman"/>
                <w:sz w:val="20"/>
                <w:szCs w:val="20"/>
              </w:rPr>
              <w:t>Tuition and Fees</w:t>
            </w:r>
          </w:p>
        </w:tc>
        <w:tc>
          <w:tcPr>
            <w:tcW w:w="1592" w:type="dxa"/>
            <w:vAlign w:val="center"/>
          </w:tcPr>
          <w:p w14:paraId="60DCF950" w14:textId="11E752C1" w:rsidR="00F414A3" w:rsidRPr="00183FC0" w:rsidRDefault="00F414A3" w:rsidP="00193499">
            <w:pPr>
              <w:jc w:val="center"/>
              <w:rPr>
                <w:rFonts w:ascii="Times New Roman" w:hAnsi="Times New Roman" w:cs="Times New Roman"/>
                <w:sz w:val="20"/>
                <w:szCs w:val="20"/>
                <w:u w:val="single"/>
              </w:rPr>
            </w:pPr>
            <w:r w:rsidRPr="00183FC0">
              <w:rPr>
                <w:rFonts w:ascii="Times New Roman" w:hAnsi="Times New Roman" w:cs="Times New Roman"/>
                <w:sz w:val="20"/>
                <w:szCs w:val="20"/>
              </w:rPr>
              <w:t>Students in any Oklahoma City Public Schools</w:t>
            </w:r>
          </w:p>
        </w:tc>
        <w:tc>
          <w:tcPr>
            <w:tcW w:w="1854" w:type="dxa"/>
            <w:vAlign w:val="center"/>
            <w:hideMark/>
          </w:tcPr>
          <w:p w14:paraId="762AAF28" w14:textId="48CE2636"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legal citizen</w:t>
            </w:r>
          </w:p>
          <w:p w14:paraId="06ABF0F8" w14:textId="7A147FCF" w:rsidR="00F414A3" w:rsidRPr="00183FC0" w:rsidRDefault="00F414A3" w:rsidP="006E4175">
            <w:pPr>
              <w:jc w:val="center"/>
              <w:rPr>
                <w:rFonts w:ascii="Times New Roman" w:hAnsi="Times New Roman" w:cs="Times New Roman"/>
                <w:sz w:val="20"/>
                <w:szCs w:val="20"/>
              </w:rPr>
            </w:pPr>
            <w:r w:rsidRPr="00183FC0">
              <w:rPr>
                <w:rFonts w:ascii="Times New Roman" w:hAnsi="Times New Roman" w:cs="Times New Roman"/>
                <w:sz w:val="20"/>
                <w:szCs w:val="20"/>
              </w:rPr>
              <w:t>2) Submit FAFSA</w:t>
            </w:r>
          </w:p>
        </w:tc>
        <w:tc>
          <w:tcPr>
            <w:tcW w:w="3691" w:type="dxa"/>
            <w:vAlign w:val="center"/>
            <w:hideMark/>
          </w:tcPr>
          <w:p w14:paraId="3FC6E856" w14:textId="45A0D3A5"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Enroll in a minimum of nine credit hours by the Fall semester immediately following high school graduation</w:t>
            </w:r>
          </w:p>
          <w:p w14:paraId="0D47FD9D" w14:textId="3B4077CA"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 Maintain a cumulative retention 2.0 GPA                                                                                  2) Maintain continuous enrollment of at least nine credit hours per semester</w:t>
            </w:r>
          </w:p>
        </w:tc>
      </w:tr>
      <w:tr w:rsidR="00F414A3" w:rsidRPr="00183FC0" w14:paraId="173AB43F" w14:textId="77777777" w:rsidTr="00645F66">
        <w:trPr>
          <w:trHeight w:val="854"/>
          <w:jc w:val="center"/>
        </w:trPr>
        <w:tc>
          <w:tcPr>
            <w:tcW w:w="1213" w:type="dxa"/>
            <w:tcBorders>
              <w:bottom w:val="single" w:sz="12" w:space="0" w:color="auto"/>
            </w:tcBorders>
            <w:vAlign w:val="center"/>
            <w:hideMark/>
          </w:tcPr>
          <w:p w14:paraId="6A52F207" w14:textId="77777777"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Ticket to Rose</w:t>
            </w:r>
          </w:p>
        </w:tc>
        <w:tc>
          <w:tcPr>
            <w:tcW w:w="1172" w:type="dxa"/>
            <w:tcBorders>
              <w:bottom w:val="single" w:sz="12" w:space="0" w:color="auto"/>
            </w:tcBorders>
            <w:vAlign w:val="center"/>
          </w:tcPr>
          <w:p w14:paraId="1B335E3B" w14:textId="38B3633F"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Rose State College</w:t>
            </w:r>
          </w:p>
        </w:tc>
        <w:tc>
          <w:tcPr>
            <w:tcW w:w="1538" w:type="dxa"/>
            <w:tcBorders>
              <w:bottom w:val="single" w:sz="12" w:space="0" w:color="auto"/>
            </w:tcBorders>
            <w:vAlign w:val="center"/>
            <w:hideMark/>
          </w:tcPr>
          <w:p w14:paraId="0B1BDEB2" w14:textId="2BF6193F"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2008, expanded to Choctaw High School in 2010, and Star Spencer in 2013.</w:t>
            </w:r>
          </w:p>
        </w:tc>
        <w:tc>
          <w:tcPr>
            <w:tcW w:w="1038" w:type="dxa"/>
            <w:tcBorders>
              <w:bottom w:val="single" w:sz="12" w:space="0" w:color="auto"/>
            </w:tcBorders>
            <w:vAlign w:val="center"/>
          </w:tcPr>
          <w:p w14:paraId="686D2FFB" w14:textId="3325874C" w:rsidR="00F414A3" w:rsidRPr="00183FC0" w:rsidRDefault="00F414A3" w:rsidP="009B47B9">
            <w:pPr>
              <w:jc w:val="center"/>
              <w:rPr>
                <w:rFonts w:ascii="Times New Roman" w:hAnsi="Times New Roman" w:cs="Times New Roman"/>
                <w:sz w:val="20"/>
                <w:szCs w:val="20"/>
              </w:rPr>
            </w:pPr>
            <w:r w:rsidRPr="00183FC0">
              <w:rPr>
                <w:rFonts w:ascii="Times New Roman" w:hAnsi="Times New Roman" w:cs="Times New Roman"/>
                <w:sz w:val="20"/>
                <w:szCs w:val="20"/>
              </w:rPr>
              <w:t>Last-Dollar</w:t>
            </w:r>
          </w:p>
        </w:tc>
        <w:tc>
          <w:tcPr>
            <w:tcW w:w="1312" w:type="dxa"/>
            <w:tcBorders>
              <w:bottom w:val="single" w:sz="12" w:space="0" w:color="auto"/>
            </w:tcBorders>
            <w:vAlign w:val="center"/>
          </w:tcPr>
          <w:p w14:paraId="670DBFC6" w14:textId="29F77423" w:rsidR="00F414A3" w:rsidRPr="00183FC0" w:rsidRDefault="00F414A3" w:rsidP="00F414A3">
            <w:pPr>
              <w:jc w:val="center"/>
              <w:rPr>
                <w:rFonts w:ascii="Times New Roman" w:hAnsi="Times New Roman" w:cs="Times New Roman"/>
                <w:sz w:val="20"/>
                <w:szCs w:val="20"/>
              </w:rPr>
            </w:pPr>
            <w:r>
              <w:rPr>
                <w:rFonts w:ascii="Times New Roman" w:hAnsi="Times New Roman" w:cs="Times New Roman"/>
                <w:sz w:val="20"/>
                <w:szCs w:val="20"/>
              </w:rPr>
              <w:t>Tuition and Fees</w:t>
            </w:r>
          </w:p>
        </w:tc>
        <w:tc>
          <w:tcPr>
            <w:tcW w:w="1592" w:type="dxa"/>
            <w:tcBorders>
              <w:bottom w:val="single" w:sz="12" w:space="0" w:color="auto"/>
            </w:tcBorders>
            <w:vAlign w:val="center"/>
          </w:tcPr>
          <w:p w14:paraId="76A1A56B" w14:textId="2C056C05" w:rsidR="00F414A3" w:rsidRPr="00183FC0" w:rsidRDefault="00F414A3" w:rsidP="00193499">
            <w:pPr>
              <w:jc w:val="center"/>
              <w:rPr>
                <w:rFonts w:ascii="Times New Roman" w:hAnsi="Times New Roman" w:cs="Times New Roman"/>
                <w:sz w:val="20"/>
                <w:szCs w:val="20"/>
                <w:u w:val="single"/>
              </w:rPr>
            </w:pPr>
            <w:r w:rsidRPr="00183FC0">
              <w:rPr>
                <w:rFonts w:ascii="Times New Roman" w:hAnsi="Times New Roman" w:cs="Times New Roman"/>
                <w:sz w:val="20"/>
                <w:szCs w:val="20"/>
              </w:rPr>
              <w:t>Students in the Carl Albert, Choctaw, Del City, Midwest City, and Star Spencer school districts</w:t>
            </w:r>
          </w:p>
        </w:tc>
        <w:tc>
          <w:tcPr>
            <w:tcW w:w="1854" w:type="dxa"/>
            <w:tcBorders>
              <w:bottom w:val="single" w:sz="12" w:space="0" w:color="auto"/>
            </w:tcBorders>
            <w:vAlign w:val="center"/>
            <w:hideMark/>
          </w:tcPr>
          <w:p w14:paraId="7AF22863" w14:textId="46077F0B"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legal citizen</w:t>
            </w:r>
          </w:p>
          <w:p w14:paraId="3E07C482" w14:textId="28A1A143"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2) At least 2.5 high school GPA</w:t>
            </w:r>
          </w:p>
          <w:p w14:paraId="473B1892" w14:textId="5BB46021"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3) Submit FAFSA</w:t>
            </w:r>
          </w:p>
        </w:tc>
        <w:tc>
          <w:tcPr>
            <w:tcW w:w="3691" w:type="dxa"/>
            <w:tcBorders>
              <w:bottom w:val="single" w:sz="12" w:space="0" w:color="auto"/>
            </w:tcBorders>
            <w:vAlign w:val="center"/>
            <w:hideMark/>
          </w:tcPr>
          <w:p w14:paraId="412A84F0" w14:textId="1F5CAEAA" w:rsidR="00F414A3" w:rsidRPr="00183FC0" w:rsidRDefault="00F414A3" w:rsidP="00193499">
            <w:pPr>
              <w:jc w:val="center"/>
              <w:rPr>
                <w:rFonts w:ascii="Times New Roman" w:hAnsi="Times New Roman" w:cs="Times New Roman"/>
                <w:sz w:val="20"/>
                <w:szCs w:val="20"/>
              </w:rPr>
            </w:pPr>
            <w:r w:rsidRPr="00183FC0">
              <w:rPr>
                <w:rFonts w:ascii="Times New Roman" w:hAnsi="Times New Roman" w:cs="Times New Roman"/>
                <w:sz w:val="20"/>
                <w:szCs w:val="20"/>
              </w:rPr>
              <w:t>1) Students must participate in community service programs</w:t>
            </w:r>
          </w:p>
        </w:tc>
      </w:tr>
    </w:tbl>
    <w:p w14:paraId="29FFF340" w14:textId="663EA72A" w:rsidR="00B362A3" w:rsidRDefault="00B362A3" w:rsidP="00B43287">
      <w:pPr>
        <w:spacing w:after="0" w:line="480" w:lineRule="auto"/>
        <w:rPr>
          <w:rFonts w:ascii="Times New Roman" w:hAnsi="Times New Roman" w:cs="Times New Roman"/>
          <w:sz w:val="24"/>
          <w:szCs w:val="24"/>
        </w:rPr>
      </w:pPr>
    </w:p>
    <w:p w14:paraId="02A1808C" w14:textId="77777777" w:rsidR="009B47B9" w:rsidRDefault="009B47B9">
      <w:pPr>
        <w:rPr>
          <w:rFonts w:ascii="Times New Roman" w:hAnsi="Times New Roman" w:cs="Times New Roman"/>
          <w:sz w:val="24"/>
          <w:szCs w:val="24"/>
        </w:rPr>
        <w:sectPr w:rsidR="009B47B9" w:rsidSect="009B47B9">
          <w:pgSz w:w="15840" w:h="12240" w:orient="landscape"/>
          <w:pgMar w:top="1440" w:right="1440" w:bottom="1440" w:left="1440" w:header="720" w:footer="720" w:gutter="0"/>
          <w:cols w:space="720"/>
          <w:titlePg/>
          <w:docGrid w:linePitch="360"/>
        </w:sectPr>
      </w:pPr>
    </w:p>
    <w:p w14:paraId="7D68900D" w14:textId="5432BE94" w:rsidR="009B47B9" w:rsidRDefault="009B47B9">
      <w:pPr>
        <w:rPr>
          <w:rFonts w:ascii="Times New Roman" w:hAnsi="Times New Roman" w:cs="Times New Roman"/>
          <w:sz w:val="24"/>
          <w:szCs w:val="24"/>
        </w:rPr>
      </w:pPr>
    </w:p>
    <w:p w14:paraId="213DB8DF" w14:textId="3A6696B2" w:rsidR="000C4471" w:rsidRDefault="00B30AE9" w:rsidP="006A5DDE">
      <w:pPr>
        <w:spacing w:after="0" w:line="480" w:lineRule="auto"/>
        <w:ind w:firstLine="720"/>
        <w:rPr>
          <w:rFonts w:ascii="Times New Roman" w:eastAsia="Times New Roman" w:hAnsi="Times New Roman" w:cs="Times New Roman"/>
          <w:color w:val="000000"/>
          <w:sz w:val="24"/>
          <w:szCs w:val="24"/>
        </w:rPr>
      </w:pPr>
      <w:r w:rsidRPr="00747C4F">
        <w:rPr>
          <w:rFonts w:ascii="Times New Roman" w:hAnsi="Times New Roman" w:cs="Times New Roman"/>
          <w:sz w:val="24"/>
          <w:szCs w:val="24"/>
        </w:rPr>
        <w:t xml:space="preserve">Finally, the Ticket to Rose program, first implemented in 2008, provides last-dollar scholarships for students attending four high schools near Oklahoma City to attend Rose State College. While </w:t>
      </w:r>
      <w:r w:rsidRPr="00747C4F">
        <w:rPr>
          <w:rFonts w:ascii="Times New Roman" w:eastAsia="Times New Roman" w:hAnsi="Times New Roman" w:cs="Times New Roman"/>
          <w:color w:val="000000"/>
          <w:sz w:val="24"/>
          <w:szCs w:val="24"/>
        </w:rPr>
        <w:t>the scholarship opened in 2008 for Carl Albert, Del City and Midwest City High School students, it later expanded to Choctaw High School students in 2010, and then Star Spencer in 2013. In order to participate in the program, students must have over a 2.5 GPA in high school</w:t>
      </w:r>
      <w:r w:rsidR="001531C2">
        <w:rPr>
          <w:rFonts w:ascii="Times New Roman" w:eastAsia="Times New Roman" w:hAnsi="Times New Roman" w:cs="Times New Roman"/>
          <w:color w:val="000000"/>
          <w:sz w:val="24"/>
          <w:szCs w:val="24"/>
        </w:rPr>
        <w:t xml:space="preserve"> </w:t>
      </w:r>
      <w:r w:rsidRPr="00747C4F">
        <w:rPr>
          <w:rFonts w:ascii="Times New Roman" w:eastAsia="Times New Roman" w:hAnsi="Times New Roman" w:cs="Times New Roman"/>
          <w:color w:val="000000"/>
          <w:sz w:val="24"/>
          <w:szCs w:val="24"/>
        </w:rPr>
        <w:t xml:space="preserve">and must complete the FAFSA and the application form for Ticket to Rose. </w:t>
      </w:r>
      <w:r w:rsidR="001531C2">
        <w:rPr>
          <w:rFonts w:ascii="Times New Roman" w:eastAsia="Times New Roman" w:hAnsi="Times New Roman" w:cs="Times New Roman"/>
          <w:color w:val="000000"/>
          <w:sz w:val="24"/>
          <w:szCs w:val="24"/>
        </w:rPr>
        <w:t xml:space="preserve">While all of the programs share </w:t>
      </w:r>
      <w:r w:rsidR="00F414A3">
        <w:rPr>
          <w:rFonts w:ascii="Times New Roman" w:eastAsia="Times New Roman" w:hAnsi="Times New Roman" w:cs="Times New Roman"/>
          <w:color w:val="000000"/>
          <w:sz w:val="24"/>
          <w:szCs w:val="24"/>
        </w:rPr>
        <w:t xml:space="preserve">the last-dollar structure, the beneficiary populations </w:t>
      </w:r>
      <w:r w:rsidR="00877863">
        <w:rPr>
          <w:rFonts w:ascii="Times New Roman" w:eastAsia="Times New Roman" w:hAnsi="Times New Roman" w:cs="Times New Roman"/>
          <w:color w:val="000000"/>
          <w:sz w:val="24"/>
          <w:szCs w:val="24"/>
        </w:rPr>
        <w:t xml:space="preserve">are likely to differ based on the local demographics of the school districts eligible for the aid as well as the inclusion or exclusion of merit requirements. </w:t>
      </w:r>
      <w:r w:rsidR="00822B51">
        <w:rPr>
          <w:rFonts w:ascii="Times New Roman" w:eastAsia="Times New Roman" w:hAnsi="Times New Roman" w:cs="Times New Roman"/>
          <w:color w:val="000000"/>
          <w:sz w:val="24"/>
          <w:szCs w:val="24"/>
        </w:rPr>
        <w:t xml:space="preserve">To provide a brief description of the school districts impacted by the tuition-free college policies I summarize the racial/ethnic characteristics and free and reduced lunch enrollment in Table </w:t>
      </w:r>
      <w:r w:rsidR="004F6953">
        <w:rPr>
          <w:rFonts w:ascii="Times New Roman" w:eastAsia="Times New Roman" w:hAnsi="Times New Roman" w:cs="Times New Roman"/>
          <w:color w:val="000000"/>
          <w:sz w:val="24"/>
          <w:szCs w:val="24"/>
        </w:rPr>
        <w:t>5-2</w:t>
      </w:r>
      <w:r w:rsidR="00822B51">
        <w:rPr>
          <w:rFonts w:ascii="Times New Roman" w:eastAsia="Times New Roman" w:hAnsi="Times New Roman" w:cs="Times New Roman"/>
          <w:color w:val="000000"/>
          <w:sz w:val="24"/>
          <w:szCs w:val="24"/>
        </w:rPr>
        <w:t xml:space="preserve"> below. </w:t>
      </w:r>
    </w:p>
    <w:tbl>
      <w:tblPr>
        <w:tblW w:w="7210" w:type="dxa"/>
        <w:jc w:val="center"/>
        <w:tblLook w:val="04A0" w:firstRow="1" w:lastRow="0" w:firstColumn="1" w:lastColumn="0" w:noHBand="0" w:noVBand="1"/>
      </w:tblPr>
      <w:tblGrid>
        <w:gridCol w:w="2136"/>
        <w:gridCol w:w="1372"/>
        <w:gridCol w:w="959"/>
        <w:gridCol w:w="1352"/>
        <w:gridCol w:w="1391"/>
      </w:tblGrid>
      <w:tr w:rsidR="00822B51" w:rsidRPr="00822B51" w14:paraId="7444DFD5" w14:textId="77777777" w:rsidTr="008F3FEB">
        <w:trPr>
          <w:trHeight w:val="672"/>
          <w:jc w:val="center"/>
        </w:trPr>
        <w:tc>
          <w:tcPr>
            <w:tcW w:w="7210" w:type="dxa"/>
            <w:gridSpan w:val="5"/>
            <w:tcBorders>
              <w:top w:val="nil"/>
              <w:left w:val="nil"/>
              <w:bottom w:val="nil"/>
              <w:right w:val="nil"/>
            </w:tcBorders>
            <w:shd w:val="clear" w:color="auto" w:fill="auto"/>
            <w:vAlign w:val="bottom"/>
            <w:hideMark/>
          </w:tcPr>
          <w:p w14:paraId="035BCFF0" w14:textId="0F8751BE"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 xml:space="preserve">Table </w:t>
            </w:r>
            <w:r w:rsidR="004F6953">
              <w:rPr>
                <w:rFonts w:ascii="Palatino Linotype" w:eastAsia="Times New Roman" w:hAnsi="Palatino Linotype" w:cs="Calibri"/>
                <w:color w:val="000000"/>
              </w:rPr>
              <w:t>5-2</w:t>
            </w:r>
            <w:r w:rsidRPr="00822B51">
              <w:rPr>
                <w:rFonts w:ascii="Palatino Linotype" w:eastAsia="Times New Roman" w:hAnsi="Palatino Linotype" w:cs="Calibri"/>
                <w:color w:val="000000"/>
              </w:rPr>
              <w:t>. Comparing the School Districts Impacted by Tuition-Free College Policy (1998-2015)</w:t>
            </w:r>
          </w:p>
        </w:tc>
      </w:tr>
      <w:tr w:rsidR="00822B51" w:rsidRPr="00822B51" w14:paraId="13F64992" w14:textId="77777777" w:rsidTr="008F3FEB">
        <w:trPr>
          <w:trHeight w:val="912"/>
          <w:jc w:val="center"/>
        </w:trPr>
        <w:tc>
          <w:tcPr>
            <w:tcW w:w="2136" w:type="dxa"/>
            <w:tcBorders>
              <w:top w:val="single" w:sz="4" w:space="0" w:color="auto"/>
              <w:left w:val="nil"/>
              <w:bottom w:val="double" w:sz="6" w:space="0" w:color="auto"/>
              <w:right w:val="nil"/>
            </w:tcBorders>
            <w:shd w:val="clear" w:color="auto" w:fill="auto"/>
            <w:noWrap/>
            <w:vAlign w:val="bottom"/>
            <w:hideMark/>
          </w:tcPr>
          <w:p w14:paraId="114BF0AF"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 </w:t>
            </w:r>
          </w:p>
        </w:tc>
        <w:tc>
          <w:tcPr>
            <w:tcW w:w="1372" w:type="dxa"/>
            <w:tcBorders>
              <w:top w:val="single" w:sz="4" w:space="0" w:color="auto"/>
              <w:left w:val="nil"/>
              <w:bottom w:val="double" w:sz="6" w:space="0" w:color="auto"/>
              <w:right w:val="nil"/>
            </w:tcBorders>
            <w:shd w:val="clear" w:color="auto" w:fill="auto"/>
            <w:vAlign w:val="center"/>
            <w:hideMark/>
          </w:tcPr>
          <w:p w14:paraId="295D1842" w14:textId="77777777" w:rsidR="00822B51" w:rsidRPr="00822B51" w:rsidRDefault="00822B51" w:rsidP="00822B51">
            <w:pPr>
              <w:spacing w:after="0" w:line="240" w:lineRule="auto"/>
              <w:jc w:val="center"/>
              <w:rPr>
                <w:rFonts w:ascii="Palatino Linotype" w:eastAsia="Times New Roman" w:hAnsi="Palatino Linotype" w:cs="Calibri"/>
                <w:b/>
                <w:bCs/>
                <w:color w:val="000000"/>
                <w:sz w:val="20"/>
                <w:szCs w:val="20"/>
              </w:rPr>
            </w:pPr>
            <w:r w:rsidRPr="00822B51">
              <w:rPr>
                <w:rFonts w:ascii="Palatino Linotype" w:eastAsia="Times New Roman" w:hAnsi="Palatino Linotype" w:cs="Calibri"/>
                <w:b/>
                <w:bCs/>
                <w:color w:val="000000"/>
                <w:sz w:val="20"/>
                <w:szCs w:val="20"/>
              </w:rPr>
              <w:t>Tulsa Achieves</w:t>
            </w:r>
          </w:p>
        </w:tc>
        <w:tc>
          <w:tcPr>
            <w:tcW w:w="959" w:type="dxa"/>
            <w:tcBorders>
              <w:top w:val="single" w:sz="4" w:space="0" w:color="auto"/>
              <w:left w:val="nil"/>
              <w:bottom w:val="double" w:sz="6" w:space="0" w:color="auto"/>
              <w:right w:val="nil"/>
            </w:tcBorders>
            <w:shd w:val="clear" w:color="auto" w:fill="auto"/>
            <w:vAlign w:val="center"/>
            <w:hideMark/>
          </w:tcPr>
          <w:p w14:paraId="737855AB" w14:textId="77777777" w:rsidR="00822B51" w:rsidRPr="00822B51" w:rsidRDefault="00822B51" w:rsidP="00822B51">
            <w:pPr>
              <w:spacing w:after="0" w:line="240" w:lineRule="auto"/>
              <w:jc w:val="center"/>
              <w:rPr>
                <w:rFonts w:ascii="Palatino Linotype" w:eastAsia="Times New Roman" w:hAnsi="Palatino Linotype" w:cs="Calibri"/>
                <w:b/>
                <w:bCs/>
                <w:color w:val="000000"/>
                <w:sz w:val="20"/>
                <w:szCs w:val="20"/>
              </w:rPr>
            </w:pPr>
            <w:r w:rsidRPr="00822B51">
              <w:rPr>
                <w:rFonts w:ascii="Palatino Linotype" w:eastAsia="Times New Roman" w:hAnsi="Palatino Linotype" w:cs="Calibri"/>
                <w:b/>
                <w:bCs/>
                <w:color w:val="000000"/>
                <w:sz w:val="20"/>
                <w:szCs w:val="20"/>
              </w:rPr>
              <w:t>OKCGo</w:t>
            </w:r>
          </w:p>
        </w:tc>
        <w:tc>
          <w:tcPr>
            <w:tcW w:w="1352" w:type="dxa"/>
            <w:tcBorders>
              <w:top w:val="single" w:sz="4" w:space="0" w:color="auto"/>
              <w:left w:val="nil"/>
              <w:bottom w:val="double" w:sz="6" w:space="0" w:color="auto"/>
              <w:right w:val="nil"/>
            </w:tcBorders>
            <w:shd w:val="clear" w:color="auto" w:fill="auto"/>
            <w:vAlign w:val="center"/>
            <w:hideMark/>
          </w:tcPr>
          <w:p w14:paraId="6A7B7C13" w14:textId="77777777" w:rsidR="00822B51" w:rsidRPr="00822B51" w:rsidRDefault="00822B51" w:rsidP="00822B51">
            <w:pPr>
              <w:spacing w:after="0" w:line="240" w:lineRule="auto"/>
              <w:jc w:val="center"/>
              <w:rPr>
                <w:rFonts w:ascii="Palatino Linotype" w:eastAsia="Times New Roman" w:hAnsi="Palatino Linotype" w:cs="Calibri"/>
                <w:b/>
                <w:bCs/>
                <w:color w:val="000000"/>
                <w:sz w:val="20"/>
                <w:szCs w:val="20"/>
              </w:rPr>
            </w:pPr>
            <w:r w:rsidRPr="00822B51">
              <w:rPr>
                <w:rFonts w:ascii="Palatino Linotype" w:eastAsia="Times New Roman" w:hAnsi="Palatino Linotype" w:cs="Calibri"/>
                <w:b/>
                <w:bCs/>
                <w:color w:val="000000"/>
                <w:sz w:val="20"/>
                <w:szCs w:val="20"/>
              </w:rPr>
              <w:t xml:space="preserve">Ticket to Rose: Choctaw </w:t>
            </w:r>
          </w:p>
        </w:tc>
        <w:tc>
          <w:tcPr>
            <w:tcW w:w="1391" w:type="dxa"/>
            <w:tcBorders>
              <w:top w:val="single" w:sz="4" w:space="0" w:color="auto"/>
              <w:left w:val="nil"/>
              <w:bottom w:val="double" w:sz="6" w:space="0" w:color="auto"/>
              <w:right w:val="nil"/>
            </w:tcBorders>
            <w:shd w:val="clear" w:color="auto" w:fill="auto"/>
            <w:vAlign w:val="center"/>
            <w:hideMark/>
          </w:tcPr>
          <w:p w14:paraId="1E53E7F4" w14:textId="77777777" w:rsidR="00822B51" w:rsidRPr="00822B51" w:rsidRDefault="00822B51" w:rsidP="00822B51">
            <w:pPr>
              <w:spacing w:after="0" w:line="240" w:lineRule="auto"/>
              <w:jc w:val="center"/>
              <w:rPr>
                <w:rFonts w:ascii="Palatino Linotype" w:eastAsia="Times New Roman" w:hAnsi="Palatino Linotype" w:cs="Calibri"/>
                <w:b/>
                <w:bCs/>
                <w:color w:val="000000"/>
                <w:sz w:val="20"/>
                <w:szCs w:val="20"/>
              </w:rPr>
            </w:pPr>
            <w:r w:rsidRPr="00822B51">
              <w:rPr>
                <w:rFonts w:ascii="Palatino Linotype" w:eastAsia="Times New Roman" w:hAnsi="Palatino Linotype" w:cs="Calibri"/>
                <w:b/>
                <w:bCs/>
                <w:color w:val="000000"/>
                <w:sz w:val="20"/>
                <w:szCs w:val="20"/>
              </w:rPr>
              <w:t xml:space="preserve">Ticket to Rose: Midwest City </w:t>
            </w:r>
          </w:p>
        </w:tc>
      </w:tr>
      <w:tr w:rsidR="00822B51" w:rsidRPr="00822B51" w14:paraId="3F58F8B3" w14:textId="77777777" w:rsidTr="008F3FEB">
        <w:trPr>
          <w:trHeight w:val="324"/>
          <w:jc w:val="center"/>
        </w:trPr>
        <w:tc>
          <w:tcPr>
            <w:tcW w:w="2136" w:type="dxa"/>
            <w:tcBorders>
              <w:top w:val="nil"/>
              <w:left w:val="nil"/>
              <w:bottom w:val="nil"/>
              <w:right w:val="nil"/>
            </w:tcBorders>
            <w:shd w:val="clear" w:color="auto" w:fill="auto"/>
            <w:noWrap/>
            <w:vAlign w:val="bottom"/>
            <w:hideMark/>
          </w:tcPr>
          <w:p w14:paraId="6A7115EA"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Percent FRL</w:t>
            </w:r>
          </w:p>
        </w:tc>
        <w:tc>
          <w:tcPr>
            <w:tcW w:w="1372" w:type="dxa"/>
            <w:tcBorders>
              <w:top w:val="nil"/>
              <w:left w:val="nil"/>
              <w:bottom w:val="nil"/>
              <w:right w:val="nil"/>
            </w:tcBorders>
            <w:shd w:val="clear" w:color="auto" w:fill="auto"/>
            <w:noWrap/>
            <w:vAlign w:val="bottom"/>
            <w:hideMark/>
          </w:tcPr>
          <w:p w14:paraId="0F62B4D6"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0.759</w:t>
            </w:r>
          </w:p>
        </w:tc>
        <w:tc>
          <w:tcPr>
            <w:tcW w:w="959" w:type="dxa"/>
            <w:tcBorders>
              <w:top w:val="nil"/>
              <w:left w:val="nil"/>
              <w:bottom w:val="nil"/>
              <w:right w:val="nil"/>
            </w:tcBorders>
            <w:shd w:val="clear" w:color="auto" w:fill="auto"/>
            <w:noWrap/>
            <w:vAlign w:val="bottom"/>
            <w:hideMark/>
          </w:tcPr>
          <w:p w14:paraId="58C02EC3"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0.826</w:t>
            </w:r>
          </w:p>
        </w:tc>
        <w:tc>
          <w:tcPr>
            <w:tcW w:w="1352" w:type="dxa"/>
            <w:tcBorders>
              <w:top w:val="nil"/>
              <w:left w:val="nil"/>
              <w:bottom w:val="nil"/>
              <w:right w:val="nil"/>
            </w:tcBorders>
            <w:shd w:val="clear" w:color="auto" w:fill="auto"/>
            <w:noWrap/>
            <w:vAlign w:val="bottom"/>
            <w:hideMark/>
          </w:tcPr>
          <w:p w14:paraId="5FCED172"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0.309</w:t>
            </w:r>
          </w:p>
        </w:tc>
        <w:tc>
          <w:tcPr>
            <w:tcW w:w="1391" w:type="dxa"/>
            <w:tcBorders>
              <w:top w:val="nil"/>
              <w:left w:val="nil"/>
              <w:bottom w:val="nil"/>
              <w:right w:val="nil"/>
            </w:tcBorders>
            <w:shd w:val="clear" w:color="auto" w:fill="auto"/>
            <w:noWrap/>
            <w:vAlign w:val="bottom"/>
            <w:hideMark/>
          </w:tcPr>
          <w:p w14:paraId="1C45DDC1"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0.559</w:t>
            </w:r>
          </w:p>
        </w:tc>
      </w:tr>
      <w:tr w:rsidR="00822B51" w:rsidRPr="00822B51" w14:paraId="215CD034" w14:textId="77777777" w:rsidTr="008F3FEB">
        <w:trPr>
          <w:trHeight w:val="312"/>
          <w:jc w:val="center"/>
        </w:trPr>
        <w:tc>
          <w:tcPr>
            <w:tcW w:w="2136" w:type="dxa"/>
            <w:tcBorders>
              <w:top w:val="nil"/>
              <w:left w:val="nil"/>
              <w:bottom w:val="nil"/>
              <w:right w:val="nil"/>
            </w:tcBorders>
            <w:shd w:val="clear" w:color="auto" w:fill="auto"/>
            <w:noWrap/>
            <w:vAlign w:val="bottom"/>
            <w:hideMark/>
          </w:tcPr>
          <w:p w14:paraId="5349BEB9"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Percent White</w:t>
            </w:r>
          </w:p>
        </w:tc>
        <w:tc>
          <w:tcPr>
            <w:tcW w:w="1372" w:type="dxa"/>
            <w:tcBorders>
              <w:top w:val="nil"/>
              <w:left w:val="nil"/>
              <w:bottom w:val="nil"/>
              <w:right w:val="nil"/>
            </w:tcBorders>
            <w:shd w:val="clear" w:color="auto" w:fill="auto"/>
            <w:noWrap/>
            <w:vAlign w:val="bottom"/>
            <w:hideMark/>
          </w:tcPr>
          <w:p w14:paraId="4F2694ED"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0.356</w:t>
            </w:r>
          </w:p>
        </w:tc>
        <w:tc>
          <w:tcPr>
            <w:tcW w:w="959" w:type="dxa"/>
            <w:tcBorders>
              <w:top w:val="nil"/>
              <w:left w:val="nil"/>
              <w:bottom w:val="nil"/>
              <w:right w:val="nil"/>
            </w:tcBorders>
            <w:shd w:val="clear" w:color="auto" w:fill="auto"/>
            <w:noWrap/>
            <w:vAlign w:val="bottom"/>
            <w:hideMark/>
          </w:tcPr>
          <w:p w14:paraId="162C1A26"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0.238</w:t>
            </w:r>
          </w:p>
        </w:tc>
        <w:tc>
          <w:tcPr>
            <w:tcW w:w="1352" w:type="dxa"/>
            <w:tcBorders>
              <w:top w:val="nil"/>
              <w:left w:val="nil"/>
              <w:bottom w:val="nil"/>
              <w:right w:val="nil"/>
            </w:tcBorders>
            <w:shd w:val="clear" w:color="auto" w:fill="auto"/>
            <w:noWrap/>
            <w:vAlign w:val="bottom"/>
            <w:hideMark/>
          </w:tcPr>
          <w:p w14:paraId="34F3D34F"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0.756</w:t>
            </w:r>
          </w:p>
        </w:tc>
        <w:tc>
          <w:tcPr>
            <w:tcW w:w="1391" w:type="dxa"/>
            <w:tcBorders>
              <w:top w:val="nil"/>
              <w:left w:val="nil"/>
              <w:bottom w:val="nil"/>
              <w:right w:val="nil"/>
            </w:tcBorders>
            <w:shd w:val="clear" w:color="auto" w:fill="auto"/>
            <w:noWrap/>
            <w:vAlign w:val="bottom"/>
            <w:hideMark/>
          </w:tcPr>
          <w:p w14:paraId="08FE5DB0"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0.523</w:t>
            </w:r>
          </w:p>
        </w:tc>
      </w:tr>
      <w:tr w:rsidR="00822B51" w:rsidRPr="00822B51" w14:paraId="65EB9EB1" w14:textId="77777777" w:rsidTr="008F3FEB">
        <w:trPr>
          <w:trHeight w:val="312"/>
          <w:jc w:val="center"/>
        </w:trPr>
        <w:tc>
          <w:tcPr>
            <w:tcW w:w="2136" w:type="dxa"/>
            <w:tcBorders>
              <w:top w:val="nil"/>
              <w:left w:val="nil"/>
              <w:bottom w:val="nil"/>
              <w:right w:val="nil"/>
            </w:tcBorders>
            <w:shd w:val="clear" w:color="auto" w:fill="auto"/>
            <w:noWrap/>
            <w:vAlign w:val="bottom"/>
            <w:hideMark/>
          </w:tcPr>
          <w:p w14:paraId="00AC1544"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Percent Black</w:t>
            </w:r>
          </w:p>
        </w:tc>
        <w:tc>
          <w:tcPr>
            <w:tcW w:w="1372" w:type="dxa"/>
            <w:tcBorders>
              <w:top w:val="nil"/>
              <w:left w:val="nil"/>
              <w:bottom w:val="nil"/>
              <w:right w:val="nil"/>
            </w:tcBorders>
            <w:shd w:val="clear" w:color="auto" w:fill="auto"/>
            <w:noWrap/>
            <w:vAlign w:val="bottom"/>
            <w:hideMark/>
          </w:tcPr>
          <w:p w14:paraId="64B871EC"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0.327</w:t>
            </w:r>
          </w:p>
        </w:tc>
        <w:tc>
          <w:tcPr>
            <w:tcW w:w="959" w:type="dxa"/>
            <w:tcBorders>
              <w:top w:val="nil"/>
              <w:left w:val="nil"/>
              <w:bottom w:val="nil"/>
              <w:right w:val="nil"/>
            </w:tcBorders>
            <w:shd w:val="clear" w:color="auto" w:fill="auto"/>
            <w:noWrap/>
            <w:vAlign w:val="bottom"/>
            <w:hideMark/>
          </w:tcPr>
          <w:p w14:paraId="12F748A0"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0.314</w:t>
            </w:r>
          </w:p>
        </w:tc>
        <w:tc>
          <w:tcPr>
            <w:tcW w:w="1352" w:type="dxa"/>
            <w:tcBorders>
              <w:top w:val="nil"/>
              <w:left w:val="nil"/>
              <w:bottom w:val="nil"/>
              <w:right w:val="nil"/>
            </w:tcBorders>
            <w:shd w:val="clear" w:color="auto" w:fill="auto"/>
            <w:noWrap/>
            <w:vAlign w:val="bottom"/>
            <w:hideMark/>
          </w:tcPr>
          <w:p w14:paraId="33A9D18E"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0.044</w:t>
            </w:r>
          </w:p>
        </w:tc>
        <w:tc>
          <w:tcPr>
            <w:tcW w:w="1391" w:type="dxa"/>
            <w:tcBorders>
              <w:top w:val="nil"/>
              <w:left w:val="nil"/>
              <w:bottom w:val="nil"/>
              <w:right w:val="nil"/>
            </w:tcBorders>
            <w:shd w:val="clear" w:color="auto" w:fill="auto"/>
            <w:noWrap/>
            <w:vAlign w:val="bottom"/>
            <w:hideMark/>
          </w:tcPr>
          <w:p w14:paraId="14D90D9B"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0.288</w:t>
            </w:r>
          </w:p>
        </w:tc>
      </w:tr>
      <w:tr w:rsidR="00822B51" w:rsidRPr="00822B51" w14:paraId="7D087123" w14:textId="77777777" w:rsidTr="008F3FEB">
        <w:trPr>
          <w:trHeight w:val="312"/>
          <w:jc w:val="center"/>
        </w:trPr>
        <w:tc>
          <w:tcPr>
            <w:tcW w:w="2136" w:type="dxa"/>
            <w:tcBorders>
              <w:top w:val="nil"/>
              <w:left w:val="nil"/>
              <w:bottom w:val="nil"/>
              <w:right w:val="nil"/>
            </w:tcBorders>
            <w:shd w:val="clear" w:color="auto" w:fill="auto"/>
            <w:noWrap/>
            <w:vAlign w:val="bottom"/>
            <w:hideMark/>
          </w:tcPr>
          <w:p w14:paraId="1B33CCA9"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Percent Hispanic</w:t>
            </w:r>
          </w:p>
        </w:tc>
        <w:tc>
          <w:tcPr>
            <w:tcW w:w="1372" w:type="dxa"/>
            <w:tcBorders>
              <w:top w:val="nil"/>
              <w:left w:val="nil"/>
              <w:bottom w:val="nil"/>
              <w:right w:val="nil"/>
            </w:tcBorders>
            <w:shd w:val="clear" w:color="auto" w:fill="auto"/>
            <w:noWrap/>
            <w:vAlign w:val="bottom"/>
            <w:hideMark/>
          </w:tcPr>
          <w:p w14:paraId="2D3F3980"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0.191</w:t>
            </w:r>
          </w:p>
        </w:tc>
        <w:tc>
          <w:tcPr>
            <w:tcW w:w="959" w:type="dxa"/>
            <w:tcBorders>
              <w:top w:val="nil"/>
              <w:left w:val="nil"/>
              <w:bottom w:val="nil"/>
              <w:right w:val="nil"/>
            </w:tcBorders>
            <w:shd w:val="clear" w:color="auto" w:fill="auto"/>
            <w:noWrap/>
            <w:vAlign w:val="bottom"/>
            <w:hideMark/>
          </w:tcPr>
          <w:p w14:paraId="6D8DAFA0"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0.365</w:t>
            </w:r>
          </w:p>
        </w:tc>
        <w:tc>
          <w:tcPr>
            <w:tcW w:w="1352" w:type="dxa"/>
            <w:tcBorders>
              <w:top w:val="nil"/>
              <w:left w:val="nil"/>
              <w:bottom w:val="nil"/>
              <w:right w:val="nil"/>
            </w:tcBorders>
            <w:shd w:val="clear" w:color="auto" w:fill="auto"/>
            <w:noWrap/>
            <w:vAlign w:val="bottom"/>
            <w:hideMark/>
          </w:tcPr>
          <w:p w14:paraId="6F977BF1"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0.041</w:t>
            </w:r>
          </w:p>
        </w:tc>
        <w:tc>
          <w:tcPr>
            <w:tcW w:w="1391" w:type="dxa"/>
            <w:tcBorders>
              <w:top w:val="nil"/>
              <w:left w:val="nil"/>
              <w:bottom w:val="nil"/>
              <w:right w:val="nil"/>
            </w:tcBorders>
            <w:shd w:val="clear" w:color="auto" w:fill="auto"/>
            <w:noWrap/>
            <w:vAlign w:val="bottom"/>
            <w:hideMark/>
          </w:tcPr>
          <w:p w14:paraId="217ABF45"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0.06</w:t>
            </w:r>
          </w:p>
        </w:tc>
      </w:tr>
      <w:tr w:rsidR="00822B51" w:rsidRPr="00822B51" w14:paraId="090360FA" w14:textId="77777777" w:rsidTr="008F3FEB">
        <w:trPr>
          <w:trHeight w:val="312"/>
          <w:jc w:val="center"/>
        </w:trPr>
        <w:tc>
          <w:tcPr>
            <w:tcW w:w="2136" w:type="dxa"/>
            <w:tcBorders>
              <w:top w:val="nil"/>
              <w:left w:val="nil"/>
              <w:bottom w:val="single" w:sz="4" w:space="0" w:color="auto"/>
              <w:right w:val="nil"/>
            </w:tcBorders>
            <w:shd w:val="clear" w:color="auto" w:fill="auto"/>
            <w:noWrap/>
            <w:vAlign w:val="bottom"/>
            <w:hideMark/>
          </w:tcPr>
          <w:p w14:paraId="47E938F6" w14:textId="77777777" w:rsidR="00822B51" w:rsidRPr="00822B51" w:rsidRDefault="00822B51" w:rsidP="00822B51">
            <w:pPr>
              <w:spacing w:after="0" w:line="240" w:lineRule="auto"/>
              <w:rPr>
                <w:rFonts w:ascii="Palatino Linotype" w:eastAsia="Times New Roman" w:hAnsi="Palatino Linotype" w:cs="Calibri"/>
                <w:color w:val="000000"/>
              </w:rPr>
            </w:pPr>
            <w:r w:rsidRPr="00822B51">
              <w:rPr>
                <w:rFonts w:ascii="Palatino Linotype" w:eastAsia="Times New Roman" w:hAnsi="Palatino Linotype" w:cs="Calibri"/>
                <w:color w:val="000000"/>
              </w:rPr>
              <w:t>Percent Native</w:t>
            </w:r>
          </w:p>
        </w:tc>
        <w:tc>
          <w:tcPr>
            <w:tcW w:w="1372" w:type="dxa"/>
            <w:tcBorders>
              <w:top w:val="nil"/>
              <w:left w:val="nil"/>
              <w:bottom w:val="single" w:sz="4" w:space="0" w:color="auto"/>
              <w:right w:val="nil"/>
            </w:tcBorders>
            <w:shd w:val="clear" w:color="auto" w:fill="auto"/>
            <w:noWrap/>
            <w:vAlign w:val="bottom"/>
            <w:hideMark/>
          </w:tcPr>
          <w:p w14:paraId="593B08E9"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0.084</w:t>
            </w:r>
          </w:p>
        </w:tc>
        <w:tc>
          <w:tcPr>
            <w:tcW w:w="959" w:type="dxa"/>
            <w:tcBorders>
              <w:top w:val="nil"/>
              <w:left w:val="nil"/>
              <w:bottom w:val="single" w:sz="4" w:space="0" w:color="auto"/>
              <w:right w:val="nil"/>
            </w:tcBorders>
            <w:shd w:val="clear" w:color="auto" w:fill="auto"/>
            <w:noWrap/>
            <w:vAlign w:val="bottom"/>
            <w:hideMark/>
          </w:tcPr>
          <w:p w14:paraId="48D1C0CA"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0.049</w:t>
            </w:r>
          </w:p>
        </w:tc>
        <w:tc>
          <w:tcPr>
            <w:tcW w:w="1352" w:type="dxa"/>
            <w:tcBorders>
              <w:top w:val="nil"/>
              <w:left w:val="nil"/>
              <w:bottom w:val="single" w:sz="4" w:space="0" w:color="auto"/>
              <w:right w:val="nil"/>
            </w:tcBorders>
            <w:shd w:val="clear" w:color="auto" w:fill="auto"/>
            <w:noWrap/>
            <w:vAlign w:val="bottom"/>
            <w:hideMark/>
          </w:tcPr>
          <w:p w14:paraId="31DDDFAC"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0.121</w:t>
            </w:r>
          </w:p>
        </w:tc>
        <w:tc>
          <w:tcPr>
            <w:tcW w:w="1391" w:type="dxa"/>
            <w:tcBorders>
              <w:top w:val="nil"/>
              <w:left w:val="nil"/>
              <w:bottom w:val="single" w:sz="4" w:space="0" w:color="auto"/>
              <w:right w:val="nil"/>
            </w:tcBorders>
            <w:shd w:val="clear" w:color="auto" w:fill="auto"/>
            <w:noWrap/>
            <w:vAlign w:val="bottom"/>
            <w:hideMark/>
          </w:tcPr>
          <w:p w14:paraId="27DA9E9B" w14:textId="77777777" w:rsidR="00822B51" w:rsidRPr="00822B51" w:rsidRDefault="00822B51" w:rsidP="00822B51">
            <w:pPr>
              <w:spacing w:after="0" w:line="240" w:lineRule="auto"/>
              <w:jc w:val="center"/>
              <w:rPr>
                <w:rFonts w:ascii="Palatino Linotype" w:eastAsia="Times New Roman" w:hAnsi="Palatino Linotype" w:cs="Calibri"/>
                <w:color w:val="000000"/>
              </w:rPr>
            </w:pPr>
            <w:r w:rsidRPr="00822B51">
              <w:rPr>
                <w:rFonts w:ascii="Palatino Linotype" w:eastAsia="Times New Roman" w:hAnsi="Palatino Linotype" w:cs="Calibri"/>
                <w:color w:val="000000"/>
              </w:rPr>
              <w:t>0.085</w:t>
            </w:r>
          </w:p>
        </w:tc>
      </w:tr>
      <w:tr w:rsidR="00822B51" w:rsidRPr="00822B51" w14:paraId="1EAC8773" w14:textId="77777777" w:rsidTr="008F3FEB">
        <w:trPr>
          <w:trHeight w:val="312"/>
          <w:jc w:val="center"/>
        </w:trPr>
        <w:tc>
          <w:tcPr>
            <w:tcW w:w="7210" w:type="dxa"/>
            <w:gridSpan w:val="5"/>
            <w:tcBorders>
              <w:top w:val="nil"/>
              <w:left w:val="nil"/>
              <w:bottom w:val="nil"/>
              <w:right w:val="nil"/>
            </w:tcBorders>
            <w:shd w:val="clear" w:color="auto" w:fill="auto"/>
            <w:noWrap/>
            <w:vAlign w:val="bottom"/>
            <w:hideMark/>
          </w:tcPr>
          <w:p w14:paraId="61AC00EE" w14:textId="2B509887" w:rsidR="00822B51" w:rsidRPr="008F3FEB" w:rsidRDefault="00822B51" w:rsidP="00822B51">
            <w:pPr>
              <w:spacing w:after="0" w:line="240" w:lineRule="auto"/>
              <w:rPr>
                <w:rFonts w:ascii="Palatino Linotype" w:eastAsia="Times New Roman" w:hAnsi="Palatino Linotype" w:cs="Calibri"/>
                <w:i/>
                <w:color w:val="000000"/>
                <w:sz w:val="20"/>
                <w:szCs w:val="20"/>
              </w:rPr>
            </w:pPr>
            <w:r w:rsidRPr="008F3FEB">
              <w:rPr>
                <w:rFonts w:ascii="Palatino Linotype" w:eastAsia="Times New Roman" w:hAnsi="Palatino Linotype" w:cs="Calibri"/>
                <w:i/>
                <w:color w:val="000000"/>
                <w:sz w:val="20"/>
                <w:szCs w:val="20"/>
              </w:rPr>
              <w:t>Note: Data from National Center for Education Statistics</w:t>
            </w:r>
            <w:r w:rsidR="00584037">
              <w:rPr>
                <w:rFonts w:ascii="Palatino Linotype" w:eastAsia="Times New Roman" w:hAnsi="Palatino Linotype" w:cs="Calibri"/>
                <w:i/>
                <w:color w:val="000000"/>
                <w:sz w:val="20"/>
                <w:szCs w:val="20"/>
              </w:rPr>
              <w:t xml:space="preserve"> Common Core Dataset</w:t>
            </w:r>
          </w:p>
        </w:tc>
      </w:tr>
    </w:tbl>
    <w:p w14:paraId="6BD90978" w14:textId="77777777" w:rsidR="008F3FEB" w:rsidRDefault="008F3FEB" w:rsidP="00822B51">
      <w:pPr>
        <w:spacing w:after="0" w:line="480" w:lineRule="auto"/>
        <w:rPr>
          <w:rFonts w:ascii="Times New Roman" w:eastAsia="Times New Roman" w:hAnsi="Times New Roman" w:cs="Times New Roman"/>
          <w:color w:val="000000"/>
          <w:sz w:val="24"/>
          <w:szCs w:val="24"/>
        </w:rPr>
      </w:pPr>
    </w:p>
    <w:p w14:paraId="339F5DAB" w14:textId="1500AE77" w:rsidR="00822B51" w:rsidRPr="006A5DDE" w:rsidRDefault="00822B51" w:rsidP="00822B5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table demonstrates </w:t>
      </w:r>
      <w:r w:rsidR="008F3FEB">
        <w:rPr>
          <w:rFonts w:ascii="Times New Roman" w:eastAsia="Times New Roman" w:hAnsi="Times New Roman" w:cs="Times New Roman"/>
          <w:color w:val="000000"/>
          <w:sz w:val="24"/>
          <w:szCs w:val="24"/>
        </w:rPr>
        <w:t xml:space="preserve">that the school districts vary significantly in the racial/ethnic makeup and the free and reduced lunch enrollment. For instance, while the school districts served by Tulsa Achieves and OKCGo are majority minority, the school districts in the Ticket to Rose program are predominantly white. Moreover, the Tulsa Achieves and OKCGo school districts </w:t>
      </w:r>
      <w:r w:rsidR="00CA6A29">
        <w:rPr>
          <w:rFonts w:ascii="Times New Roman" w:eastAsia="Times New Roman" w:hAnsi="Times New Roman" w:cs="Times New Roman"/>
          <w:color w:val="000000"/>
          <w:sz w:val="24"/>
          <w:szCs w:val="24"/>
        </w:rPr>
        <w:lastRenderedPageBreak/>
        <w:t xml:space="preserve">are made up of 3 in 4 students who are considered low-income enough to qualify for free or reduced priced lunches while the school districts affected by Ticket to Rose are much more affluent. The school district populations provide a proxy for potentially eligible populations but do not capture the students that end up enrolling in and benefitting from the programs, which is described in the next section. </w:t>
      </w:r>
    </w:p>
    <w:p w14:paraId="4A2B36D6" w14:textId="38DC023A" w:rsidR="000C4471" w:rsidRDefault="000C4471" w:rsidP="000C4471">
      <w:pPr>
        <w:spacing w:after="0" w:line="480" w:lineRule="auto"/>
        <w:rPr>
          <w:rFonts w:ascii="Times New Roman" w:hAnsi="Times New Roman" w:cs="Times New Roman"/>
          <w:b/>
          <w:sz w:val="24"/>
          <w:szCs w:val="24"/>
        </w:rPr>
      </w:pPr>
      <w:r w:rsidRPr="000C4471">
        <w:rPr>
          <w:rFonts w:ascii="Times New Roman" w:hAnsi="Times New Roman" w:cs="Times New Roman"/>
          <w:b/>
          <w:sz w:val="24"/>
          <w:szCs w:val="24"/>
        </w:rPr>
        <w:t xml:space="preserve">Who Benefits from These Programs? </w:t>
      </w:r>
    </w:p>
    <w:p w14:paraId="4B20B9B2" w14:textId="6EA69431" w:rsidR="00E3396D" w:rsidRDefault="00981D18" w:rsidP="000C447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Table </w:t>
      </w:r>
      <w:r w:rsidR="000378E2">
        <w:rPr>
          <w:rFonts w:ascii="Times New Roman" w:hAnsi="Times New Roman" w:cs="Times New Roman"/>
          <w:sz w:val="24"/>
          <w:szCs w:val="24"/>
        </w:rPr>
        <w:t>5-3</w:t>
      </w:r>
      <w:r>
        <w:rPr>
          <w:rFonts w:ascii="Times New Roman" w:hAnsi="Times New Roman" w:cs="Times New Roman"/>
          <w:sz w:val="24"/>
          <w:szCs w:val="24"/>
        </w:rPr>
        <w:t xml:space="preserve"> below, I compare the descriptive characteristics of students benefitting from the tuition-free college programs in Oklahoma</w:t>
      </w:r>
      <w:r w:rsidR="00920B56">
        <w:rPr>
          <w:rFonts w:ascii="Times New Roman" w:hAnsi="Times New Roman" w:cs="Times New Roman"/>
          <w:sz w:val="24"/>
          <w:szCs w:val="24"/>
        </w:rPr>
        <w:t xml:space="preserve"> over the years 2012-2015</w:t>
      </w:r>
      <w:r>
        <w:rPr>
          <w:rFonts w:ascii="Times New Roman" w:hAnsi="Times New Roman" w:cs="Times New Roman"/>
          <w:sz w:val="24"/>
          <w:szCs w:val="24"/>
        </w:rPr>
        <w:t xml:space="preserve">. </w:t>
      </w:r>
    </w:p>
    <w:p w14:paraId="3B6BBA2E" w14:textId="0801205F" w:rsidR="00E3396D" w:rsidRPr="00981D18" w:rsidRDefault="00E3396D" w:rsidP="00E3396D">
      <w:pPr>
        <w:spacing w:after="0" w:line="480" w:lineRule="auto"/>
        <w:rPr>
          <w:rFonts w:ascii="Times New Roman" w:hAnsi="Times New Roman" w:cs="Times New Roman"/>
          <w:sz w:val="24"/>
          <w:szCs w:val="24"/>
        </w:rPr>
      </w:pPr>
      <w:r w:rsidRPr="002E36F3">
        <w:rPr>
          <w:rFonts w:ascii="Times New Roman" w:hAnsi="Times New Roman" w:cs="Times New Roman"/>
          <w:b/>
          <w:sz w:val="24"/>
          <w:szCs w:val="24"/>
        </w:rPr>
        <w:t xml:space="preserve">Table </w:t>
      </w:r>
      <w:r w:rsidR="000378E2">
        <w:rPr>
          <w:rFonts w:ascii="Times New Roman" w:hAnsi="Times New Roman" w:cs="Times New Roman"/>
          <w:b/>
          <w:sz w:val="24"/>
          <w:szCs w:val="24"/>
        </w:rPr>
        <w:t>5-3</w:t>
      </w:r>
      <w:r w:rsidRPr="002E36F3">
        <w:rPr>
          <w:rFonts w:ascii="Times New Roman" w:hAnsi="Times New Roman" w:cs="Times New Roman"/>
          <w:b/>
          <w:sz w:val="24"/>
          <w:szCs w:val="24"/>
        </w:rPr>
        <w:t>.</w:t>
      </w:r>
      <w:r>
        <w:rPr>
          <w:rFonts w:ascii="Times New Roman" w:hAnsi="Times New Roman" w:cs="Times New Roman"/>
          <w:sz w:val="24"/>
          <w:szCs w:val="24"/>
        </w:rPr>
        <w:t xml:space="preserve"> Comparing Who Benefits from Oklahoma Tuition-free College Programs (2012-15)</w:t>
      </w:r>
    </w:p>
    <w:tbl>
      <w:tblPr>
        <w:tblW w:w="9360" w:type="dxa"/>
        <w:tblLook w:val="04A0" w:firstRow="1" w:lastRow="0" w:firstColumn="1" w:lastColumn="0" w:noHBand="0" w:noVBand="1"/>
      </w:tblPr>
      <w:tblGrid>
        <w:gridCol w:w="2252"/>
        <w:gridCol w:w="1027"/>
        <w:gridCol w:w="1060"/>
        <w:gridCol w:w="1181"/>
        <w:gridCol w:w="1181"/>
        <w:gridCol w:w="1332"/>
        <w:gridCol w:w="1327"/>
      </w:tblGrid>
      <w:tr w:rsidR="00E3396D" w:rsidRPr="007C0D39" w14:paraId="2D64BEEA" w14:textId="77777777" w:rsidTr="00B97625">
        <w:trPr>
          <w:trHeight w:val="1158"/>
        </w:trPr>
        <w:tc>
          <w:tcPr>
            <w:tcW w:w="2585" w:type="dxa"/>
            <w:tcBorders>
              <w:top w:val="nil"/>
              <w:left w:val="nil"/>
              <w:bottom w:val="double" w:sz="6" w:space="0" w:color="000000"/>
              <w:right w:val="nil"/>
            </w:tcBorders>
            <w:shd w:val="clear" w:color="auto" w:fill="auto"/>
            <w:vAlign w:val="center"/>
            <w:hideMark/>
          </w:tcPr>
          <w:p w14:paraId="2ED23919" w14:textId="77777777" w:rsidR="00E3396D" w:rsidRPr="00F76403" w:rsidRDefault="00E3396D" w:rsidP="00B97625">
            <w:pPr>
              <w:spacing w:after="0" w:line="240" w:lineRule="auto"/>
              <w:rPr>
                <w:rFonts w:ascii="Times New Roman" w:eastAsia="Times New Roman" w:hAnsi="Times New Roman" w:cs="Times New Roman"/>
                <w:sz w:val="18"/>
                <w:szCs w:val="24"/>
              </w:rPr>
            </w:pPr>
          </w:p>
        </w:tc>
        <w:tc>
          <w:tcPr>
            <w:tcW w:w="946" w:type="dxa"/>
            <w:tcBorders>
              <w:top w:val="nil"/>
              <w:left w:val="nil"/>
              <w:bottom w:val="double" w:sz="6" w:space="0" w:color="000000"/>
              <w:right w:val="nil"/>
            </w:tcBorders>
            <w:shd w:val="clear" w:color="auto" w:fill="auto"/>
            <w:vAlign w:val="center"/>
            <w:hideMark/>
          </w:tcPr>
          <w:p w14:paraId="51E54B5F"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All Students</w:t>
            </w:r>
          </w:p>
        </w:tc>
        <w:tc>
          <w:tcPr>
            <w:tcW w:w="1073" w:type="dxa"/>
            <w:tcBorders>
              <w:top w:val="nil"/>
              <w:left w:val="nil"/>
              <w:bottom w:val="double" w:sz="6" w:space="0" w:color="000000"/>
              <w:right w:val="nil"/>
            </w:tcBorders>
            <w:shd w:val="clear" w:color="auto" w:fill="auto"/>
            <w:vAlign w:val="center"/>
            <w:hideMark/>
          </w:tcPr>
          <w:p w14:paraId="64896CCD"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Students at Two-Year Colleges</w:t>
            </w:r>
          </w:p>
        </w:tc>
        <w:tc>
          <w:tcPr>
            <w:tcW w:w="1143" w:type="dxa"/>
            <w:tcBorders>
              <w:top w:val="nil"/>
              <w:left w:val="nil"/>
              <w:bottom w:val="double" w:sz="6" w:space="0" w:color="000000"/>
              <w:right w:val="nil"/>
            </w:tcBorders>
            <w:shd w:val="clear" w:color="auto" w:fill="auto"/>
            <w:vAlign w:val="center"/>
            <w:hideMark/>
          </w:tcPr>
          <w:p w14:paraId="071FE6E4"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Tulsa Achieves Recipients</w:t>
            </w:r>
          </w:p>
        </w:tc>
        <w:tc>
          <w:tcPr>
            <w:tcW w:w="1143" w:type="dxa"/>
            <w:tcBorders>
              <w:top w:val="nil"/>
              <w:left w:val="nil"/>
              <w:bottom w:val="double" w:sz="6" w:space="0" w:color="000000"/>
              <w:right w:val="nil"/>
            </w:tcBorders>
            <w:shd w:val="clear" w:color="auto" w:fill="auto"/>
            <w:vAlign w:val="center"/>
            <w:hideMark/>
          </w:tcPr>
          <w:p w14:paraId="6DE97A50"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OKCGo Recipients</w:t>
            </w:r>
          </w:p>
        </w:tc>
        <w:tc>
          <w:tcPr>
            <w:tcW w:w="1393" w:type="dxa"/>
            <w:tcBorders>
              <w:top w:val="nil"/>
              <w:left w:val="nil"/>
              <w:bottom w:val="double" w:sz="6" w:space="0" w:color="000000"/>
              <w:right w:val="nil"/>
            </w:tcBorders>
            <w:shd w:val="clear" w:color="auto" w:fill="auto"/>
            <w:vAlign w:val="center"/>
            <w:hideMark/>
          </w:tcPr>
          <w:p w14:paraId="310645D3"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Ticket to Rose Recipients</w:t>
            </w:r>
          </w:p>
        </w:tc>
        <w:tc>
          <w:tcPr>
            <w:tcW w:w="1077" w:type="dxa"/>
            <w:tcBorders>
              <w:top w:val="nil"/>
              <w:left w:val="nil"/>
              <w:bottom w:val="double" w:sz="4" w:space="0" w:color="auto"/>
              <w:right w:val="nil"/>
            </w:tcBorders>
            <w:vAlign w:val="center"/>
          </w:tcPr>
          <w:p w14:paraId="58B185BE" w14:textId="77777777" w:rsidR="00E3396D" w:rsidRPr="00D645A0" w:rsidRDefault="00E3396D" w:rsidP="00B97625">
            <w:pPr>
              <w:spacing w:after="0" w:line="240" w:lineRule="auto"/>
              <w:jc w:val="center"/>
              <w:rPr>
                <w:rFonts w:ascii="Palatino Linotype" w:eastAsia="Times New Roman" w:hAnsi="Palatino Linotype" w:cs="Calibri"/>
                <w:b/>
                <w:bCs/>
                <w:color w:val="000000"/>
                <w:sz w:val="20"/>
                <w:szCs w:val="20"/>
              </w:rPr>
            </w:pPr>
            <w:r w:rsidRPr="00D645A0">
              <w:rPr>
                <w:rFonts w:ascii="Palatino Linotype" w:eastAsia="Times New Roman" w:hAnsi="Palatino Linotype" w:cs="Calibri"/>
                <w:b/>
                <w:bCs/>
                <w:color w:val="000000"/>
                <w:sz w:val="20"/>
                <w:szCs w:val="20"/>
              </w:rPr>
              <w:t>Oklahoma’s Promise Recipients</w:t>
            </w:r>
          </w:p>
        </w:tc>
      </w:tr>
      <w:tr w:rsidR="00E3396D" w:rsidRPr="007C0D39" w14:paraId="7A6D576D" w14:textId="77777777" w:rsidTr="00B97625">
        <w:trPr>
          <w:trHeight w:val="312"/>
        </w:trPr>
        <w:tc>
          <w:tcPr>
            <w:tcW w:w="2585" w:type="dxa"/>
            <w:tcBorders>
              <w:top w:val="nil"/>
              <w:left w:val="nil"/>
              <w:bottom w:val="nil"/>
              <w:right w:val="nil"/>
            </w:tcBorders>
            <w:shd w:val="clear" w:color="auto" w:fill="auto"/>
            <w:vAlign w:val="center"/>
            <w:hideMark/>
          </w:tcPr>
          <w:p w14:paraId="0CFCD846"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r w:rsidRPr="00F76403">
              <w:rPr>
                <w:rFonts w:ascii="Palatino Linotype" w:eastAsia="Times New Roman" w:hAnsi="Palatino Linotype" w:cs="Calibri"/>
                <w:b/>
                <w:bCs/>
                <w:color w:val="000000"/>
                <w:sz w:val="18"/>
                <w:szCs w:val="20"/>
              </w:rPr>
              <w:t>Demographics</w:t>
            </w:r>
          </w:p>
        </w:tc>
        <w:tc>
          <w:tcPr>
            <w:tcW w:w="946" w:type="dxa"/>
            <w:tcBorders>
              <w:top w:val="nil"/>
              <w:left w:val="nil"/>
              <w:bottom w:val="nil"/>
              <w:right w:val="nil"/>
            </w:tcBorders>
            <w:shd w:val="clear" w:color="auto" w:fill="auto"/>
            <w:vAlign w:val="center"/>
            <w:hideMark/>
          </w:tcPr>
          <w:p w14:paraId="5B01B0EC"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p>
        </w:tc>
        <w:tc>
          <w:tcPr>
            <w:tcW w:w="1073" w:type="dxa"/>
            <w:tcBorders>
              <w:top w:val="nil"/>
              <w:left w:val="nil"/>
              <w:bottom w:val="nil"/>
              <w:right w:val="nil"/>
            </w:tcBorders>
            <w:shd w:val="clear" w:color="auto" w:fill="auto"/>
            <w:vAlign w:val="center"/>
            <w:hideMark/>
          </w:tcPr>
          <w:p w14:paraId="6AED301D" w14:textId="77777777" w:rsidR="00E3396D" w:rsidRPr="00F76403" w:rsidRDefault="00E3396D" w:rsidP="00B97625">
            <w:pPr>
              <w:spacing w:after="0" w:line="240" w:lineRule="auto"/>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285BB555" w14:textId="77777777" w:rsidR="00E3396D" w:rsidRPr="00F76403" w:rsidRDefault="00E3396D" w:rsidP="00B97625">
            <w:pPr>
              <w:spacing w:after="0" w:line="240" w:lineRule="auto"/>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61484DD3" w14:textId="77777777" w:rsidR="00E3396D" w:rsidRPr="00F76403" w:rsidRDefault="00E3396D" w:rsidP="00B97625">
            <w:pPr>
              <w:spacing w:after="0" w:line="240" w:lineRule="auto"/>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2DDE9097" w14:textId="77777777" w:rsidR="00E3396D" w:rsidRPr="00F76403" w:rsidRDefault="00E3396D" w:rsidP="00B97625">
            <w:pPr>
              <w:spacing w:after="0" w:line="240" w:lineRule="auto"/>
              <w:rPr>
                <w:rFonts w:ascii="Times New Roman" w:eastAsia="Times New Roman" w:hAnsi="Times New Roman" w:cs="Times New Roman"/>
                <w:sz w:val="18"/>
                <w:szCs w:val="20"/>
              </w:rPr>
            </w:pPr>
          </w:p>
        </w:tc>
        <w:tc>
          <w:tcPr>
            <w:tcW w:w="1077" w:type="dxa"/>
            <w:tcBorders>
              <w:top w:val="double" w:sz="4" w:space="0" w:color="auto"/>
              <w:left w:val="nil"/>
              <w:bottom w:val="nil"/>
              <w:right w:val="nil"/>
            </w:tcBorders>
            <w:vAlign w:val="center"/>
          </w:tcPr>
          <w:p w14:paraId="4E5DAAC6"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4EBC7B38" w14:textId="77777777" w:rsidTr="00B97625">
        <w:trPr>
          <w:trHeight w:val="300"/>
        </w:trPr>
        <w:tc>
          <w:tcPr>
            <w:tcW w:w="2585" w:type="dxa"/>
            <w:tcBorders>
              <w:top w:val="nil"/>
              <w:left w:val="nil"/>
              <w:bottom w:val="nil"/>
              <w:right w:val="nil"/>
            </w:tcBorders>
            <w:shd w:val="clear" w:color="auto" w:fill="auto"/>
            <w:vAlign w:val="center"/>
            <w:hideMark/>
          </w:tcPr>
          <w:p w14:paraId="4FBFE735"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Male</w:t>
            </w:r>
          </w:p>
        </w:tc>
        <w:tc>
          <w:tcPr>
            <w:tcW w:w="946" w:type="dxa"/>
            <w:tcBorders>
              <w:top w:val="nil"/>
              <w:left w:val="nil"/>
              <w:bottom w:val="nil"/>
              <w:right w:val="nil"/>
            </w:tcBorders>
            <w:shd w:val="clear" w:color="auto" w:fill="auto"/>
            <w:vAlign w:val="center"/>
            <w:hideMark/>
          </w:tcPr>
          <w:p w14:paraId="1015CAC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0.43</w:t>
            </w:r>
          </w:p>
        </w:tc>
        <w:tc>
          <w:tcPr>
            <w:tcW w:w="1073" w:type="dxa"/>
            <w:tcBorders>
              <w:top w:val="nil"/>
              <w:left w:val="nil"/>
              <w:bottom w:val="nil"/>
              <w:right w:val="nil"/>
            </w:tcBorders>
            <w:shd w:val="clear" w:color="auto" w:fill="auto"/>
            <w:vAlign w:val="center"/>
            <w:hideMark/>
          </w:tcPr>
          <w:p w14:paraId="2F10E4B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0.41</w:t>
            </w:r>
          </w:p>
        </w:tc>
        <w:tc>
          <w:tcPr>
            <w:tcW w:w="1143" w:type="dxa"/>
            <w:tcBorders>
              <w:top w:val="nil"/>
              <w:left w:val="nil"/>
              <w:bottom w:val="nil"/>
              <w:right w:val="nil"/>
            </w:tcBorders>
            <w:shd w:val="clear" w:color="auto" w:fill="auto"/>
            <w:vAlign w:val="center"/>
            <w:hideMark/>
          </w:tcPr>
          <w:p w14:paraId="3622678B"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0.45</w:t>
            </w:r>
          </w:p>
        </w:tc>
        <w:tc>
          <w:tcPr>
            <w:tcW w:w="1143" w:type="dxa"/>
            <w:tcBorders>
              <w:top w:val="nil"/>
              <w:left w:val="nil"/>
              <w:bottom w:val="nil"/>
              <w:right w:val="nil"/>
            </w:tcBorders>
            <w:shd w:val="clear" w:color="auto" w:fill="auto"/>
            <w:vAlign w:val="center"/>
            <w:hideMark/>
          </w:tcPr>
          <w:p w14:paraId="60EB020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0.40</w:t>
            </w:r>
          </w:p>
        </w:tc>
        <w:tc>
          <w:tcPr>
            <w:tcW w:w="1393" w:type="dxa"/>
            <w:tcBorders>
              <w:top w:val="nil"/>
              <w:left w:val="nil"/>
              <w:bottom w:val="nil"/>
              <w:right w:val="nil"/>
            </w:tcBorders>
            <w:shd w:val="clear" w:color="auto" w:fill="auto"/>
            <w:vAlign w:val="center"/>
            <w:hideMark/>
          </w:tcPr>
          <w:p w14:paraId="32B9D22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0.37</w:t>
            </w:r>
          </w:p>
        </w:tc>
        <w:tc>
          <w:tcPr>
            <w:tcW w:w="1077" w:type="dxa"/>
            <w:tcBorders>
              <w:top w:val="nil"/>
              <w:left w:val="nil"/>
              <w:bottom w:val="nil"/>
              <w:right w:val="nil"/>
            </w:tcBorders>
            <w:vAlign w:val="center"/>
          </w:tcPr>
          <w:p w14:paraId="1DBF4B6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0.38</w:t>
            </w:r>
          </w:p>
        </w:tc>
      </w:tr>
      <w:tr w:rsidR="00E3396D" w:rsidRPr="007C0D39" w14:paraId="5361F51C" w14:textId="77777777" w:rsidTr="00B97625">
        <w:trPr>
          <w:trHeight w:val="300"/>
        </w:trPr>
        <w:tc>
          <w:tcPr>
            <w:tcW w:w="2585" w:type="dxa"/>
            <w:tcBorders>
              <w:top w:val="nil"/>
              <w:left w:val="nil"/>
              <w:bottom w:val="nil"/>
              <w:right w:val="nil"/>
            </w:tcBorders>
            <w:shd w:val="clear" w:color="auto" w:fill="auto"/>
            <w:vAlign w:val="center"/>
            <w:hideMark/>
          </w:tcPr>
          <w:p w14:paraId="2FCFF427"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Age</w:t>
            </w:r>
          </w:p>
        </w:tc>
        <w:tc>
          <w:tcPr>
            <w:tcW w:w="946" w:type="dxa"/>
            <w:tcBorders>
              <w:top w:val="nil"/>
              <w:left w:val="nil"/>
              <w:bottom w:val="nil"/>
              <w:right w:val="nil"/>
            </w:tcBorders>
            <w:shd w:val="clear" w:color="auto" w:fill="auto"/>
            <w:vAlign w:val="center"/>
            <w:hideMark/>
          </w:tcPr>
          <w:p w14:paraId="57D649B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25.4</w:t>
            </w:r>
          </w:p>
        </w:tc>
        <w:tc>
          <w:tcPr>
            <w:tcW w:w="1073" w:type="dxa"/>
            <w:tcBorders>
              <w:top w:val="nil"/>
              <w:left w:val="nil"/>
              <w:bottom w:val="nil"/>
              <w:right w:val="nil"/>
            </w:tcBorders>
            <w:shd w:val="clear" w:color="auto" w:fill="auto"/>
            <w:vAlign w:val="center"/>
            <w:hideMark/>
          </w:tcPr>
          <w:p w14:paraId="52D6F19B"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25.8</w:t>
            </w:r>
          </w:p>
        </w:tc>
        <w:tc>
          <w:tcPr>
            <w:tcW w:w="1143" w:type="dxa"/>
            <w:tcBorders>
              <w:top w:val="nil"/>
              <w:left w:val="nil"/>
              <w:bottom w:val="nil"/>
              <w:right w:val="nil"/>
            </w:tcBorders>
            <w:shd w:val="clear" w:color="auto" w:fill="auto"/>
            <w:vAlign w:val="center"/>
            <w:hideMark/>
          </w:tcPr>
          <w:p w14:paraId="1AFFB861"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19.2</w:t>
            </w:r>
          </w:p>
        </w:tc>
        <w:tc>
          <w:tcPr>
            <w:tcW w:w="1143" w:type="dxa"/>
            <w:tcBorders>
              <w:top w:val="nil"/>
              <w:left w:val="nil"/>
              <w:bottom w:val="nil"/>
              <w:right w:val="nil"/>
            </w:tcBorders>
            <w:shd w:val="clear" w:color="auto" w:fill="auto"/>
            <w:vAlign w:val="center"/>
            <w:hideMark/>
          </w:tcPr>
          <w:p w14:paraId="5F51186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19.3</w:t>
            </w:r>
          </w:p>
        </w:tc>
        <w:tc>
          <w:tcPr>
            <w:tcW w:w="1393" w:type="dxa"/>
            <w:tcBorders>
              <w:top w:val="nil"/>
              <w:left w:val="nil"/>
              <w:bottom w:val="nil"/>
              <w:right w:val="nil"/>
            </w:tcBorders>
            <w:shd w:val="clear" w:color="auto" w:fill="auto"/>
            <w:vAlign w:val="center"/>
            <w:hideMark/>
          </w:tcPr>
          <w:p w14:paraId="45215BD1"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19.1</w:t>
            </w:r>
          </w:p>
        </w:tc>
        <w:tc>
          <w:tcPr>
            <w:tcW w:w="1077" w:type="dxa"/>
            <w:tcBorders>
              <w:top w:val="nil"/>
              <w:left w:val="nil"/>
              <w:bottom w:val="nil"/>
              <w:right w:val="nil"/>
            </w:tcBorders>
            <w:vAlign w:val="center"/>
          </w:tcPr>
          <w:p w14:paraId="2BCC3034"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20.28</w:t>
            </w:r>
          </w:p>
        </w:tc>
      </w:tr>
      <w:tr w:rsidR="00E3396D" w:rsidRPr="007C0D39" w14:paraId="01935387" w14:textId="77777777" w:rsidTr="00B97625">
        <w:trPr>
          <w:trHeight w:val="300"/>
        </w:trPr>
        <w:tc>
          <w:tcPr>
            <w:tcW w:w="2585" w:type="dxa"/>
            <w:tcBorders>
              <w:top w:val="nil"/>
              <w:left w:val="nil"/>
              <w:bottom w:val="nil"/>
              <w:right w:val="nil"/>
            </w:tcBorders>
            <w:shd w:val="clear" w:color="auto" w:fill="auto"/>
            <w:vAlign w:val="center"/>
            <w:hideMark/>
          </w:tcPr>
          <w:p w14:paraId="7005122E"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r w:rsidRPr="00F76403">
              <w:rPr>
                <w:rFonts w:ascii="Palatino Linotype" w:eastAsia="Times New Roman" w:hAnsi="Palatino Linotype" w:cs="Calibri"/>
                <w:b/>
                <w:bCs/>
                <w:color w:val="000000"/>
                <w:sz w:val="18"/>
                <w:szCs w:val="20"/>
              </w:rPr>
              <w:t>Race &amp; Ethnicity</w:t>
            </w:r>
          </w:p>
        </w:tc>
        <w:tc>
          <w:tcPr>
            <w:tcW w:w="946" w:type="dxa"/>
            <w:tcBorders>
              <w:top w:val="nil"/>
              <w:left w:val="nil"/>
              <w:bottom w:val="nil"/>
              <w:right w:val="nil"/>
            </w:tcBorders>
            <w:shd w:val="clear" w:color="auto" w:fill="auto"/>
            <w:vAlign w:val="center"/>
            <w:hideMark/>
          </w:tcPr>
          <w:p w14:paraId="0D9754D7"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p>
        </w:tc>
        <w:tc>
          <w:tcPr>
            <w:tcW w:w="1073" w:type="dxa"/>
            <w:tcBorders>
              <w:top w:val="nil"/>
              <w:left w:val="nil"/>
              <w:bottom w:val="nil"/>
              <w:right w:val="nil"/>
            </w:tcBorders>
            <w:shd w:val="clear" w:color="auto" w:fill="auto"/>
            <w:vAlign w:val="center"/>
            <w:hideMark/>
          </w:tcPr>
          <w:p w14:paraId="019E85C4"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397E5285"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3E309980"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697D98FE"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077" w:type="dxa"/>
            <w:tcBorders>
              <w:top w:val="nil"/>
              <w:left w:val="nil"/>
              <w:bottom w:val="nil"/>
              <w:right w:val="nil"/>
            </w:tcBorders>
            <w:vAlign w:val="center"/>
          </w:tcPr>
          <w:p w14:paraId="12632BC8"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7E88F0B1" w14:textId="77777777" w:rsidTr="00B97625">
        <w:trPr>
          <w:trHeight w:val="300"/>
        </w:trPr>
        <w:tc>
          <w:tcPr>
            <w:tcW w:w="2585" w:type="dxa"/>
            <w:tcBorders>
              <w:top w:val="nil"/>
              <w:left w:val="nil"/>
              <w:bottom w:val="nil"/>
              <w:right w:val="nil"/>
            </w:tcBorders>
            <w:shd w:val="clear" w:color="auto" w:fill="auto"/>
            <w:vAlign w:val="center"/>
            <w:hideMark/>
          </w:tcPr>
          <w:p w14:paraId="0BF81A8B"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White</w:t>
            </w:r>
          </w:p>
        </w:tc>
        <w:tc>
          <w:tcPr>
            <w:tcW w:w="946" w:type="dxa"/>
            <w:tcBorders>
              <w:top w:val="nil"/>
              <w:left w:val="nil"/>
              <w:bottom w:val="nil"/>
              <w:right w:val="nil"/>
            </w:tcBorders>
            <w:shd w:val="clear" w:color="auto" w:fill="auto"/>
            <w:vAlign w:val="center"/>
            <w:hideMark/>
          </w:tcPr>
          <w:p w14:paraId="481EF85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0.59</w:t>
            </w:r>
          </w:p>
        </w:tc>
        <w:tc>
          <w:tcPr>
            <w:tcW w:w="1073" w:type="dxa"/>
            <w:tcBorders>
              <w:top w:val="nil"/>
              <w:left w:val="nil"/>
              <w:bottom w:val="nil"/>
              <w:right w:val="nil"/>
            </w:tcBorders>
            <w:shd w:val="clear" w:color="auto" w:fill="auto"/>
            <w:vAlign w:val="center"/>
            <w:hideMark/>
          </w:tcPr>
          <w:p w14:paraId="6729657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0.58</w:t>
            </w:r>
          </w:p>
        </w:tc>
        <w:tc>
          <w:tcPr>
            <w:tcW w:w="1143" w:type="dxa"/>
            <w:tcBorders>
              <w:top w:val="nil"/>
              <w:left w:val="nil"/>
              <w:bottom w:val="nil"/>
              <w:right w:val="nil"/>
            </w:tcBorders>
            <w:shd w:val="clear" w:color="auto" w:fill="auto"/>
            <w:vAlign w:val="center"/>
            <w:hideMark/>
          </w:tcPr>
          <w:p w14:paraId="3A26C8E5"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0.62</w:t>
            </w:r>
          </w:p>
        </w:tc>
        <w:tc>
          <w:tcPr>
            <w:tcW w:w="1143" w:type="dxa"/>
            <w:tcBorders>
              <w:top w:val="nil"/>
              <w:left w:val="nil"/>
              <w:bottom w:val="nil"/>
              <w:right w:val="nil"/>
            </w:tcBorders>
            <w:shd w:val="clear" w:color="auto" w:fill="auto"/>
            <w:vAlign w:val="center"/>
            <w:hideMark/>
          </w:tcPr>
          <w:p w14:paraId="7CF5CF4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0.25</w:t>
            </w:r>
          </w:p>
        </w:tc>
        <w:tc>
          <w:tcPr>
            <w:tcW w:w="1393" w:type="dxa"/>
            <w:tcBorders>
              <w:top w:val="nil"/>
              <w:left w:val="nil"/>
              <w:bottom w:val="nil"/>
              <w:right w:val="nil"/>
            </w:tcBorders>
            <w:shd w:val="clear" w:color="auto" w:fill="auto"/>
            <w:vAlign w:val="center"/>
            <w:hideMark/>
          </w:tcPr>
          <w:p w14:paraId="7D1DF20A"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0.60</w:t>
            </w:r>
          </w:p>
        </w:tc>
        <w:tc>
          <w:tcPr>
            <w:tcW w:w="1077" w:type="dxa"/>
            <w:tcBorders>
              <w:top w:val="nil"/>
              <w:left w:val="nil"/>
              <w:bottom w:val="nil"/>
              <w:right w:val="nil"/>
            </w:tcBorders>
            <w:vAlign w:val="center"/>
          </w:tcPr>
          <w:p w14:paraId="00DB77A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0.54</w:t>
            </w:r>
          </w:p>
        </w:tc>
      </w:tr>
      <w:tr w:rsidR="00E3396D" w:rsidRPr="007C0D39" w14:paraId="5B9D873A" w14:textId="77777777" w:rsidTr="00B97625">
        <w:trPr>
          <w:trHeight w:val="300"/>
        </w:trPr>
        <w:tc>
          <w:tcPr>
            <w:tcW w:w="2585" w:type="dxa"/>
            <w:tcBorders>
              <w:top w:val="nil"/>
              <w:left w:val="nil"/>
              <w:bottom w:val="nil"/>
              <w:right w:val="nil"/>
            </w:tcBorders>
            <w:shd w:val="clear" w:color="auto" w:fill="auto"/>
            <w:vAlign w:val="center"/>
            <w:hideMark/>
          </w:tcPr>
          <w:p w14:paraId="66869FA6" w14:textId="5C67E480"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Black </w:t>
            </w:r>
          </w:p>
        </w:tc>
        <w:tc>
          <w:tcPr>
            <w:tcW w:w="946" w:type="dxa"/>
            <w:tcBorders>
              <w:top w:val="nil"/>
              <w:left w:val="nil"/>
              <w:bottom w:val="nil"/>
              <w:right w:val="nil"/>
            </w:tcBorders>
            <w:shd w:val="clear" w:color="auto" w:fill="auto"/>
            <w:vAlign w:val="center"/>
            <w:hideMark/>
          </w:tcPr>
          <w:p w14:paraId="55A79784"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0.08</w:t>
            </w:r>
          </w:p>
        </w:tc>
        <w:tc>
          <w:tcPr>
            <w:tcW w:w="1073" w:type="dxa"/>
            <w:tcBorders>
              <w:top w:val="nil"/>
              <w:left w:val="nil"/>
              <w:bottom w:val="nil"/>
              <w:right w:val="nil"/>
            </w:tcBorders>
            <w:shd w:val="clear" w:color="auto" w:fill="auto"/>
            <w:vAlign w:val="center"/>
            <w:hideMark/>
          </w:tcPr>
          <w:p w14:paraId="196C989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0.09</w:t>
            </w:r>
          </w:p>
        </w:tc>
        <w:tc>
          <w:tcPr>
            <w:tcW w:w="1143" w:type="dxa"/>
            <w:tcBorders>
              <w:top w:val="nil"/>
              <w:left w:val="nil"/>
              <w:bottom w:val="nil"/>
              <w:right w:val="nil"/>
            </w:tcBorders>
            <w:shd w:val="clear" w:color="auto" w:fill="auto"/>
            <w:vAlign w:val="center"/>
            <w:hideMark/>
          </w:tcPr>
          <w:p w14:paraId="7626B96F"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0.04</w:t>
            </w:r>
          </w:p>
        </w:tc>
        <w:tc>
          <w:tcPr>
            <w:tcW w:w="1143" w:type="dxa"/>
            <w:tcBorders>
              <w:top w:val="nil"/>
              <w:left w:val="nil"/>
              <w:bottom w:val="nil"/>
              <w:right w:val="nil"/>
            </w:tcBorders>
            <w:shd w:val="clear" w:color="auto" w:fill="auto"/>
            <w:vAlign w:val="center"/>
            <w:hideMark/>
          </w:tcPr>
          <w:p w14:paraId="46A4DCB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0.13</w:t>
            </w:r>
          </w:p>
        </w:tc>
        <w:tc>
          <w:tcPr>
            <w:tcW w:w="1393" w:type="dxa"/>
            <w:tcBorders>
              <w:top w:val="nil"/>
              <w:left w:val="nil"/>
              <w:bottom w:val="nil"/>
              <w:right w:val="nil"/>
            </w:tcBorders>
            <w:shd w:val="clear" w:color="auto" w:fill="auto"/>
            <w:vAlign w:val="center"/>
            <w:hideMark/>
          </w:tcPr>
          <w:p w14:paraId="3DB37ECB"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0.08</w:t>
            </w:r>
          </w:p>
        </w:tc>
        <w:tc>
          <w:tcPr>
            <w:tcW w:w="1077" w:type="dxa"/>
            <w:tcBorders>
              <w:top w:val="nil"/>
              <w:left w:val="nil"/>
              <w:bottom w:val="nil"/>
              <w:right w:val="nil"/>
            </w:tcBorders>
            <w:vAlign w:val="center"/>
          </w:tcPr>
          <w:p w14:paraId="2A13FB54"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0.09</w:t>
            </w:r>
          </w:p>
        </w:tc>
      </w:tr>
      <w:tr w:rsidR="00E3396D" w:rsidRPr="007C0D39" w14:paraId="516AB9C1" w14:textId="77777777" w:rsidTr="00B97625">
        <w:trPr>
          <w:trHeight w:val="300"/>
        </w:trPr>
        <w:tc>
          <w:tcPr>
            <w:tcW w:w="2585" w:type="dxa"/>
            <w:tcBorders>
              <w:top w:val="nil"/>
              <w:left w:val="nil"/>
              <w:bottom w:val="nil"/>
              <w:right w:val="nil"/>
            </w:tcBorders>
            <w:shd w:val="clear" w:color="auto" w:fill="auto"/>
            <w:vAlign w:val="center"/>
            <w:hideMark/>
          </w:tcPr>
          <w:p w14:paraId="4559A160"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Native American</w:t>
            </w:r>
          </w:p>
        </w:tc>
        <w:tc>
          <w:tcPr>
            <w:tcW w:w="946" w:type="dxa"/>
            <w:tcBorders>
              <w:top w:val="nil"/>
              <w:left w:val="nil"/>
              <w:bottom w:val="nil"/>
              <w:right w:val="nil"/>
            </w:tcBorders>
            <w:shd w:val="clear" w:color="auto" w:fill="auto"/>
            <w:vAlign w:val="center"/>
            <w:hideMark/>
          </w:tcPr>
          <w:p w14:paraId="1A90A98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0.08</w:t>
            </w:r>
          </w:p>
        </w:tc>
        <w:tc>
          <w:tcPr>
            <w:tcW w:w="1073" w:type="dxa"/>
            <w:tcBorders>
              <w:top w:val="nil"/>
              <w:left w:val="nil"/>
              <w:bottom w:val="nil"/>
              <w:right w:val="nil"/>
            </w:tcBorders>
            <w:shd w:val="clear" w:color="auto" w:fill="auto"/>
            <w:vAlign w:val="center"/>
            <w:hideMark/>
          </w:tcPr>
          <w:p w14:paraId="3AC48F1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0.09</w:t>
            </w:r>
          </w:p>
        </w:tc>
        <w:tc>
          <w:tcPr>
            <w:tcW w:w="1143" w:type="dxa"/>
            <w:tcBorders>
              <w:top w:val="nil"/>
              <w:left w:val="nil"/>
              <w:bottom w:val="nil"/>
              <w:right w:val="nil"/>
            </w:tcBorders>
            <w:shd w:val="clear" w:color="auto" w:fill="auto"/>
            <w:vAlign w:val="center"/>
            <w:hideMark/>
          </w:tcPr>
          <w:p w14:paraId="21B2202D"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0.05</w:t>
            </w:r>
          </w:p>
        </w:tc>
        <w:tc>
          <w:tcPr>
            <w:tcW w:w="1143" w:type="dxa"/>
            <w:tcBorders>
              <w:top w:val="nil"/>
              <w:left w:val="nil"/>
              <w:bottom w:val="nil"/>
              <w:right w:val="nil"/>
            </w:tcBorders>
            <w:shd w:val="clear" w:color="auto" w:fill="auto"/>
            <w:vAlign w:val="center"/>
            <w:hideMark/>
          </w:tcPr>
          <w:p w14:paraId="4989286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0.05</w:t>
            </w:r>
          </w:p>
        </w:tc>
        <w:tc>
          <w:tcPr>
            <w:tcW w:w="1393" w:type="dxa"/>
            <w:tcBorders>
              <w:top w:val="nil"/>
              <w:left w:val="nil"/>
              <w:bottom w:val="nil"/>
              <w:right w:val="nil"/>
            </w:tcBorders>
            <w:shd w:val="clear" w:color="auto" w:fill="auto"/>
            <w:vAlign w:val="center"/>
            <w:hideMark/>
          </w:tcPr>
          <w:p w14:paraId="2DDED66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0.04</w:t>
            </w:r>
          </w:p>
        </w:tc>
        <w:tc>
          <w:tcPr>
            <w:tcW w:w="1077" w:type="dxa"/>
            <w:tcBorders>
              <w:top w:val="nil"/>
              <w:left w:val="nil"/>
              <w:bottom w:val="nil"/>
              <w:right w:val="nil"/>
            </w:tcBorders>
            <w:vAlign w:val="center"/>
          </w:tcPr>
          <w:p w14:paraId="58D3D3A1"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0.10</w:t>
            </w:r>
          </w:p>
        </w:tc>
      </w:tr>
      <w:tr w:rsidR="00E3396D" w:rsidRPr="007C0D39" w14:paraId="6FFB6B14" w14:textId="77777777" w:rsidTr="00B97625">
        <w:trPr>
          <w:trHeight w:val="300"/>
        </w:trPr>
        <w:tc>
          <w:tcPr>
            <w:tcW w:w="2585" w:type="dxa"/>
            <w:tcBorders>
              <w:top w:val="nil"/>
              <w:left w:val="nil"/>
              <w:bottom w:val="nil"/>
              <w:right w:val="nil"/>
            </w:tcBorders>
            <w:shd w:val="clear" w:color="auto" w:fill="auto"/>
            <w:vAlign w:val="center"/>
            <w:hideMark/>
          </w:tcPr>
          <w:p w14:paraId="0664FB08"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Hispanic</w:t>
            </w:r>
          </w:p>
        </w:tc>
        <w:tc>
          <w:tcPr>
            <w:tcW w:w="946" w:type="dxa"/>
            <w:tcBorders>
              <w:top w:val="nil"/>
              <w:left w:val="nil"/>
              <w:bottom w:val="nil"/>
              <w:right w:val="nil"/>
            </w:tcBorders>
            <w:shd w:val="clear" w:color="auto" w:fill="auto"/>
            <w:vAlign w:val="center"/>
            <w:hideMark/>
          </w:tcPr>
          <w:p w14:paraId="6AFF142E"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0.06</w:t>
            </w:r>
          </w:p>
        </w:tc>
        <w:tc>
          <w:tcPr>
            <w:tcW w:w="1073" w:type="dxa"/>
            <w:tcBorders>
              <w:top w:val="nil"/>
              <w:left w:val="nil"/>
              <w:bottom w:val="nil"/>
              <w:right w:val="nil"/>
            </w:tcBorders>
            <w:shd w:val="clear" w:color="auto" w:fill="auto"/>
            <w:vAlign w:val="center"/>
            <w:hideMark/>
          </w:tcPr>
          <w:p w14:paraId="56B6245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0.07</w:t>
            </w:r>
          </w:p>
        </w:tc>
        <w:tc>
          <w:tcPr>
            <w:tcW w:w="1143" w:type="dxa"/>
            <w:tcBorders>
              <w:top w:val="nil"/>
              <w:left w:val="nil"/>
              <w:bottom w:val="nil"/>
              <w:right w:val="nil"/>
            </w:tcBorders>
            <w:shd w:val="clear" w:color="auto" w:fill="auto"/>
            <w:vAlign w:val="center"/>
            <w:hideMark/>
          </w:tcPr>
          <w:p w14:paraId="249D12B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0.08</w:t>
            </w:r>
          </w:p>
        </w:tc>
        <w:tc>
          <w:tcPr>
            <w:tcW w:w="1143" w:type="dxa"/>
            <w:tcBorders>
              <w:top w:val="nil"/>
              <w:left w:val="nil"/>
              <w:bottom w:val="nil"/>
              <w:right w:val="nil"/>
            </w:tcBorders>
            <w:shd w:val="clear" w:color="auto" w:fill="auto"/>
            <w:vAlign w:val="center"/>
            <w:hideMark/>
          </w:tcPr>
          <w:p w14:paraId="38E3F30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0.29</w:t>
            </w:r>
          </w:p>
        </w:tc>
        <w:tc>
          <w:tcPr>
            <w:tcW w:w="1393" w:type="dxa"/>
            <w:tcBorders>
              <w:top w:val="nil"/>
              <w:left w:val="nil"/>
              <w:bottom w:val="nil"/>
              <w:right w:val="nil"/>
            </w:tcBorders>
            <w:shd w:val="clear" w:color="auto" w:fill="auto"/>
            <w:vAlign w:val="center"/>
            <w:hideMark/>
          </w:tcPr>
          <w:p w14:paraId="1BEE8F9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0.07</w:t>
            </w:r>
          </w:p>
        </w:tc>
        <w:tc>
          <w:tcPr>
            <w:tcW w:w="1077" w:type="dxa"/>
            <w:tcBorders>
              <w:top w:val="nil"/>
              <w:left w:val="nil"/>
              <w:bottom w:val="nil"/>
              <w:right w:val="nil"/>
            </w:tcBorders>
            <w:vAlign w:val="center"/>
          </w:tcPr>
          <w:p w14:paraId="2A072AA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0.10</w:t>
            </w:r>
          </w:p>
        </w:tc>
      </w:tr>
      <w:tr w:rsidR="00E3396D" w:rsidRPr="007C0D39" w14:paraId="3BD580AE" w14:textId="77777777" w:rsidTr="00B97625">
        <w:trPr>
          <w:trHeight w:val="300"/>
        </w:trPr>
        <w:tc>
          <w:tcPr>
            <w:tcW w:w="2585" w:type="dxa"/>
            <w:tcBorders>
              <w:top w:val="nil"/>
              <w:left w:val="nil"/>
              <w:bottom w:val="nil"/>
              <w:right w:val="nil"/>
            </w:tcBorders>
            <w:shd w:val="clear" w:color="auto" w:fill="auto"/>
            <w:vAlign w:val="center"/>
            <w:hideMark/>
          </w:tcPr>
          <w:p w14:paraId="1B47E37E" w14:textId="347D7464"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Two Races/Other</w:t>
            </w:r>
          </w:p>
        </w:tc>
        <w:tc>
          <w:tcPr>
            <w:tcW w:w="946" w:type="dxa"/>
            <w:tcBorders>
              <w:top w:val="nil"/>
              <w:left w:val="nil"/>
              <w:bottom w:val="nil"/>
              <w:right w:val="nil"/>
            </w:tcBorders>
            <w:shd w:val="clear" w:color="auto" w:fill="auto"/>
            <w:vAlign w:val="center"/>
            <w:hideMark/>
          </w:tcPr>
          <w:p w14:paraId="2FEF0AC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0.19</w:t>
            </w:r>
          </w:p>
        </w:tc>
        <w:tc>
          <w:tcPr>
            <w:tcW w:w="1073" w:type="dxa"/>
            <w:tcBorders>
              <w:top w:val="nil"/>
              <w:left w:val="nil"/>
              <w:bottom w:val="nil"/>
              <w:right w:val="nil"/>
            </w:tcBorders>
            <w:shd w:val="clear" w:color="auto" w:fill="auto"/>
            <w:vAlign w:val="center"/>
            <w:hideMark/>
          </w:tcPr>
          <w:p w14:paraId="007C4783"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0.18</w:t>
            </w:r>
          </w:p>
        </w:tc>
        <w:tc>
          <w:tcPr>
            <w:tcW w:w="1143" w:type="dxa"/>
            <w:tcBorders>
              <w:top w:val="nil"/>
              <w:left w:val="nil"/>
              <w:bottom w:val="nil"/>
              <w:right w:val="nil"/>
            </w:tcBorders>
            <w:shd w:val="clear" w:color="auto" w:fill="auto"/>
            <w:vAlign w:val="center"/>
            <w:hideMark/>
          </w:tcPr>
          <w:p w14:paraId="3AD0255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0.15</w:t>
            </w:r>
          </w:p>
        </w:tc>
        <w:tc>
          <w:tcPr>
            <w:tcW w:w="1143" w:type="dxa"/>
            <w:tcBorders>
              <w:top w:val="nil"/>
              <w:left w:val="nil"/>
              <w:bottom w:val="nil"/>
              <w:right w:val="nil"/>
            </w:tcBorders>
            <w:shd w:val="clear" w:color="auto" w:fill="auto"/>
            <w:vAlign w:val="center"/>
            <w:hideMark/>
          </w:tcPr>
          <w:p w14:paraId="5E3434CB"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0.13</w:t>
            </w:r>
          </w:p>
        </w:tc>
        <w:tc>
          <w:tcPr>
            <w:tcW w:w="1393" w:type="dxa"/>
            <w:tcBorders>
              <w:top w:val="nil"/>
              <w:left w:val="nil"/>
              <w:bottom w:val="nil"/>
              <w:right w:val="nil"/>
            </w:tcBorders>
            <w:shd w:val="clear" w:color="auto" w:fill="auto"/>
            <w:vAlign w:val="center"/>
            <w:hideMark/>
          </w:tcPr>
          <w:p w14:paraId="13DA470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0.16</w:t>
            </w:r>
          </w:p>
        </w:tc>
        <w:tc>
          <w:tcPr>
            <w:tcW w:w="1077" w:type="dxa"/>
            <w:tcBorders>
              <w:top w:val="nil"/>
              <w:left w:val="nil"/>
              <w:bottom w:val="nil"/>
              <w:right w:val="nil"/>
            </w:tcBorders>
            <w:vAlign w:val="center"/>
          </w:tcPr>
          <w:p w14:paraId="37E3DE5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0.20</w:t>
            </w:r>
          </w:p>
        </w:tc>
      </w:tr>
      <w:tr w:rsidR="00E3396D" w:rsidRPr="007C0D39" w14:paraId="245A6913" w14:textId="77777777" w:rsidTr="00B97625">
        <w:trPr>
          <w:trHeight w:val="300"/>
        </w:trPr>
        <w:tc>
          <w:tcPr>
            <w:tcW w:w="2585" w:type="dxa"/>
            <w:tcBorders>
              <w:top w:val="nil"/>
              <w:left w:val="nil"/>
              <w:bottom w:val="nil"/>
              <w:right w:val="nil"/>
            </w:tcBorders>
            <w:shd w:val="clear" w:color="auto" w:fill="auto"/>
            <w:vAlign w:val="center"/>
            <w:hideMark/>
          </w:tcPr>
          <w:p w14:paraId="08B65B39"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r w:rsidRPr="00F76403">
              <w:rPr>
                <w:rFonts w:ascii="Palatino Linotype" w:eastAsia="Times New Roman" w:hAnsi="Palatino Linotype" w:cs="Calibri"/>
                <w:b/>
                <w:bCs/>
                <w:color w:val="000000"/>
                <w:sz w:val="18"/>
                <w:szCs w:val="20"/>
              </w:rPr>
              <w:t>FAFSA Information</w:t>
            </w:r>
          </w:p>
        </w:tc>
        <w:tc>
          <w:tcPr>
            <w:tcW w:w="946" w:type="dxa"/>
            <w:tcBorders>
              <w:top w:val="nil"/>
              <w:left w:val="nil"/>
              <w:bottom w:val="nil"/>
              <w:right w:val="nil"/>
            </w:tcBorders>
            <w:shd w:val="clear" w:color="auto" w:fill="auto"/>
            <w:vAlign w:val="center"/>
            <w:hideMark/>
          </w:tcPr>
          <w:p w14:paraId="56D63C2C"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p>
        </w:tc>
        <w:tc>
          <w:tcPr>
            <w:tcW w:w="1073" w:type="dxa"/>
            <w:tcBorders>
              <w:top w:val="nil"/>
              <w:left w:val="nil"/>
              <w:bottom w:val="nil"/>
              <w:right w:val="nil"/>
            </w:tcBorders>
            <w:shd w:val="clear" w:color="auto" w:fill="auto"/>
            <w:vAlign w:val="center"/>
            <w:hideMark/>
          </w:tcPr>
          <w:p w14:paraId="73CF531A"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73B3F498"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59BB57A4"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031E0221"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077" w:type="dxa"/>
            <w:tcBorders>
              <w:top w:val="nil"/>
              <w:left w:val="nil"/>
              <w:bottom w:val="nil"/>
              <w:right w:val="nil"/>
            </w:tcBorders>
            <w:vAlign w:val="center"/>
          </w:tcPr>
          <w:p w14:paraId="31444D68"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496D7AAD" w14:textId="77777777" w:rsidTr="00B97625">
        <w:trPr>
          <w:trHeight w:val="300"/>
        </w:trPr>
        <w:tc>
          <w:tcPr>
            <w:tcW w:w="2585" w:type="dxa"/>
            <w:tcBorders>
              <w:top w:val="nil"/>
              <w:left w:val="nil"/>
              <w:bottom w:val="nil"/>
              <w:right w:val="nil"/>
            </w:tcBorders>
            <w:shd w:val="clear" w:color="auto" w:fill="auto"/>
            <w:vAlign w:val="center"/>
            <w:hideMark/>
          </w:tcPr>
          <w:p w14:paraId="3B7DC3A9"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Estimated Family Contribution</w:t>
            </w:r>
          </w:p>
        </w:tc>
        <w:tc>
          <w:tcPr>
            <w:tcW w:w="946" w:type="dxa"/>
            <w:tcBorders>
              <w:top w:val="nil"/>
              <w:left w:val="nil"/>
              <w:bottom w:val="nil"/>
              <w:right w:val="nil"/>
            </w:tcBorders>
            <w:shd w:val="clear" w:color="auto" w:fill="auto"/>
            <w:vAlign w:val="center"/>
            <w:hideMark/>
          </w:tcPr>
          <w:p w14:paraId="62C8085A"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$2,903.58 </w:t>
            </w:r>
          </w:p>
        </w:tc>
        <w:tc>
          <w:tcPr>
            <w:tcW w:w="1073" w:type="dxa"/>
            <w:tcBorders>
              <w:top w:val="nil"/>
              <w:left w:val="nil"/>
              <w:bottom w:val="nil"/>
              <w:right w:val="nil"/>
            </w:tcBorders>
            <w:shd w:val="clear" w:color="auto" w:fill="auto"/>
            <w:vAlign w:val="center"/>
            <w:hideMark/>
          </w:tcPr>
          <w:p w14:paraId="2EF55C5B"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$1,865.17 </w:t>
            </w:r>
          </w:p>
        </w:tc>
        <w:tc>
          <w:tcPr>
            <w:tcW w:w="1143" w:type="dxa"/>
            <w:tcBorders>
              <w:top w:val="nil"/>
              <w:left w:val="nil"/>
              <w:bottom w:val="nil"/>
              <w:right w:val="nil"/>
            </w:tcBorders>
            <w:shd w:val="clear" w:color="auto" w:fill="auto"/>
            <w:vAlign w:val="center"/>
            <w:hideMark/>
          </w:tcPr>
          <w:p w14:paraId="15E4EBF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$10,586.30 </w:t>
            </w:r>
          </w:p>
        </w:tc>
        <w:tc>
          <w:tcPr>
            <w:tcW w:w="1143" w:type="dxa"/>
            <w:tcBorders>
              <w:top w:val="nil"/>
              <w:left w:val="nil"/>
              <w:bottom w:val="nil"/>
              <w:right w:val="nil"/>
            </w:tcBorders>
            <w:shd w:val="clear" w:color="auto" w:fill="auto"/>
            <w:vAlign w:val="center"/>
            <w:hideMark/>
          </w:tcPr>
          <w:p w14:paraId="0A3D6BEE"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$2,075.25 </w:t>
            </w:r>
          </w:p>
        </w:tc>
        <w:tc>
          <w:tcPr>
            <w:tcW w:w="1393" w:type="dxa"/>
            <w:tcBorders>
              <w:top w:val="nil"/>
              <w:left w:val="nil"/>
              <w:bottom w:val="nil"/>
              <w:right w:val="nil"/>
            </w:tcBorders>
            <w:shd w:val="clear" w:color="auto" w:fill="auto"/>
            <w:vAlign w:val="center"/>
            <w:hideMark/>
          </w:tcPr>
          <w:p w14:paraId="71622CF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$10,466.62</w:t>
            </w:r>
          </w:p>
        </w:tc>
        <w:tc>
          <w:tcPr>
            <w:tcW w:w="1077" w:type="dxa"/>
            <w:tcBorders>
              <w:top w:val="nil"/>
              <w:left w:val="nil"/>
              <w:bottom w:val="nil"/>
              <w:right w:val="nil"/>
            </w:tcBorders>
            <w:vAlign w:val="center"/>
          </w:tcPr>
          <w:p w14:paraId="5E64506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$1651.85</w:t>
            </w:r>
          </w:p>
        </w:tc>
      </w:tr>
      <w:tr w:rsidR="00E3396D" w:rsidRPr="007C0D39" w14:paraId="56E9F0C3" w14:textId="77777777" w:rsidTr="00B97625">
        <w:trPr>
          <w:trHeight w:val="300"/>
        </w:trPr>
        <w:tc>
          <w:tcPr>
            <w:tcW w:w="2585" w:type="dxa"/>
            <w:tcBorders>
              <w:top w:val="nil"/>
              <w:left w:val="nil"/>
              <w:bottom w:val="nil"/>
              <w:right w:val="nil"/>
            </w:tcBorders>
            <w:shd w:val="clear" w:color="auto" w:fill="auto"/>
            <w:vAlign w:val="center"/>
            <w:hideMark/>
          </w:tcPr>
          <w:p w14:paraId="080810F9"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r w:rsidRPr="00F76403">
              <w:rPr>
                <w:rFonts w:ascii="Palatino Linotype" w:eastAsia="Times New Roman" w:hAnsi="Palatino Linotype" w:cs="Calibri"/>
                <w:b/>
                <w:bCs/>
                <w:color w:val="000000"/>
                <w:sz w:val="18"/>
                <w:szCs w:val="20"/>
              </w:rPr>
              <w:t>High School Characteristics</w:t>
            </w:r>
          </w:p>
        </w:tc>
        <w:tc>
          <w:tcPr>
            <w:tcW w:w="946" w:type="dxa"/>
            <w:tcBorders>
              <w:top w:val="nil"/>
              <w:left w:val="nil"/>
              <w:bottom w:val="nil"/>
              <w:right w:val="nil"/>
            </w:tcBorders>
            <w:shd w:val="clear" w:color="auto" w:fill="auto"/>
            <w:vAlign w:val="center"/>
            <w:hideMark/>
          </w:tcPr>
          <w:p w14:paraId="387FD6EE"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p>
        </w:tc>
        <w:tc>
          <w:tcPr>
            <w:tcW w:w="1073" w:type="dxa"/>
            <w:tcBorders>
              <w:top w:val="nil"/>
              <w:left w:val="nil"/>
              <w:bottom w:val="nil"/>
              <w:right w:val="nil"/>
            </w:tcBorders>
            <w:shd w:val="clear" w:color="auto" w:fill="auto"/>
            <w:vAlign w:val="center"/>
            <w:hideMark/>
          </w:tcPr>
          <w:p w14:paraId="1B654453"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16FAF228"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34289F61"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15772495"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077" w:type="dxa"/>
            <w:tcBorders>
              <w:top w:val="nil"/>
              <w:left w:val="nil"/>
              <w:bottom w:val="nil"/>
              <w:right w:val="nil"/>
            </w:tcBorders>
            <w:vAlign w:val="center"/>
          </w:tcPr>
          <w:p w14:paraId="16C32187"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1B83F0EB" w14:textId="77777777" w:rsidTr="00B97625">
        <w:trPr>
          <w:trHeight w:val="300"/>
        </w:trPr>
        <w:tc>
          <w:tcPr>
            <w:tcW w:w="2585" w:type="dxa"/>
            <w:tcBorders>
              <w:top w:val="nil"/>
              <w:left w:val="nil"/>
              <w:bottom w:val="nil"/>
              <w:right w:val="nil"/>
            </w:tcBorders>
            <w:shd w:val="clear" w:color="auto" w:fill="auto"/>
            <w:vAlign w:val="center"/>
            <w:hideMark/>
          </w:tcPr>
          <w:p w14:paraId="67C655EF"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GPA</w:t>
            </w:r>
          </w:p>
        </w:tc>
        <w:tc>
          <w:tcPr>
            <w:tcW w:w="946" w:type="dxa"/>
            <w:tcBorders>
              <w:top w:val="nil"/>
              <w:left w:val="nil"/>
              <w:bottom w:val="nil"/>
              <w:right w:val="nil"/>
            </w:tcBorders>
            <w:shd w:val="clear" w:color="auto" w:fill="auto"/>
            <w:vAlign w:val="center"/>
            <w:hideMark/>
          </w:tcPr>
          <w:p w14:paraId="3EDB9DA5"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3.25</w:t>
            </w:r>
          </w:p>
        </w:tc>
        <w:tc>
          <w:tcPr>
            <w:tcW w:w="1073" w:type="dxa"/>
            <w:tcBorders>
              <w:top w:val="nil"/>
              <w:left w:val="nil"/>
              <w:bottom w:val="nil"/>
              <w:right w:val="nil"/>
            </w:tcBorders>
            <w:shd w:val="clear" w:color="auto" w:fill="auto"/>
            <w:vAlign w:val="center"/>
            <w:hideMark/>
          </w:tcPr>
          <w:p w14:paraId="0A3BAB65"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2.79</w:t>
            </w:r>
          </w:p>
        </w:tc>
        <w:tc>
          <w:tcPr>
            <w:tcW w:w="1143" w:type="dxa"/>
            <w:tcBorders>
              <w:top w:val="nil"/>
              <w:left w:val="nil"/>
              <w:bottom w:val="nil"/>
              <w:right w:val="nil"/>
            </w:tcBorders>
            <w:shd w:val="clear" w:color="auto" w:fill="auto"/>
            <w:vAlign w:val="center"/>
            <w:hideMark/>
          </w:tcPr>
          <w:p w14:paraId="2E2AFD1C"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3.14</w:t>
            </w:r>
          </w:p>
        </w:tc>
        <w:tc>
          <w:tcPr>
            <w:tcW w:w="1143" w:type="dxa"/>
            <w:tcBorders>
              <w:top w:val="nil"/>
              <w:left w:val="nil"/>
              <w:bottom w:val="nil"/>
              <w:right w:val="nil"/>
            </w:tcBorders>
            <w:shd w:val="clear" w:color="auto" w:fill="auto"/>
            <w:vAlign w:val="center"/>
            <w:hideMark/>
          </w:tcPr>
          <w:p w14:paraId="423CF69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2.85</w:t>
            </w:r>
          </w:p>
        </w:tc>
        <w:tc>
          <w:tcPr>
            <w:tcW w:w="1393" w:type="dxa"/>
            <w:tcBorders>
              <w:top w:val="nil"/>
              <w:left w:val="nil"/>
              <w:bottom w:val="nil"/>
              <w:right w:val="nil"/>
            </w:tcBorders>
            <w:shd w:val="clear" w:color="auto" w:fill="auto"/>
            <w:vAlign w:val="center"/>
            <w:hideMark/>
          </w:tcPr>
          <w:p w14:paraId="37CCA30C"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3.48</w:t>
            </w:r>
          </w:p>
        </w:tc>
        <w:tc>
          <w:tcPr>
            <w:tcW w:w="1077" w:type="dxa"/>
            <w:tcBorders>
              <w:top w:val="nil"/>
              <w:left w:val="nil"/>
              <w:bottom w:val="nil"/>
              <w:right w:val="nil"/>
            </w:tcBorders>
            <w:vAlign w:val="center"/>
          </w:tcPr>
          <w:p w14:paraId="4097D2EF"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3.41</w:t>
            </w:r>
          </w:p>
        </w:tc>
      </w:tr>
      <w:tr w:rsidR="00E3396D" w:rsidRPr="007C0D39" w14:paraId="78B881A6" w14:textId="77777777" w:rsidTr="00B97625">
        <w:trPr>
          <w:trHeight w:val="300"/>
        </w:trPr>
        <w:tc>
          <w:tcPr>
            <w:tcW w:w="2585" w:type="dxa"/>
            <w:tcBorders>
              <w:top w:val="nil"/>
              <w:left w:val="nil"/>
              <w:bottom w:val="nil"/>
              <w:right w:val="nil"/>
            </w:tcBorders>
            <w:shd w:val="clear" w:color="auto" w:fill="auto"/>
            <w:vAlign w:val="center"/>
            <w:hideMark/>
          </w:tcPr>
          <w:p w14:paraId="2FBE35E6"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Composite ACT score</w:t>
            </w:r>
          </w:p>
        </w:tc>
        <w:tc>
          <w:tcPr>
            <w:tcW w:w="946" w:type="dxa"/>
            <w:tcBorders>
              <w:top w:val="nil"/>
              <w:left w:val="nil"/>
              <w:bottom w:val="nil"/>
              <w:right w:val="nil"/>
            </w:tcBorders>
            <w:shd w:val="clear" w:color="auto" w:fill="auto"/>
            <w:vAlign w:val="center"/>
            <w:hideMark/>
          </w:tcPr>
          <w:p w14:paraId="2F2679D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22.16</w:t>
            </w:r>
          </w:p>
        </w:tc>
        <w:tc>
          <w:tcPr>
            <w:tcW w:w="1073" w:type="dxa"/>
            <w:tcBorders>
              <w:top w:val="nil"/>
              <w:left w:val="nil"/>
              <w:bottom w:val="nil"/>
              <w:right w:val="nil"/>
            </w:tcBorders>
            <w:shd w:val="clear" w:color="auto" w:fill="auto"/>
            <w:vAlign w:val="center"/>
            <w:hideMark/>
          </w:tcPr>
          <w:p w14:paraId="721C28C8"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20.31</w:t>
            </w:r>
          </w:p>
        </w:tc>
        <w:tc>
          <w:tcPr>
            <w:tcW w:w="1143" w:type="dxa"/>
            <w:tcBorders>
              <w:top w:val="nil"/>
              <w:left w:val="nil"/>
              <w:bottom w:val="nil"/>
              <w:right w:val="nil"/>
            </w:tcBorders>
            <w:shd w:val="clear" w:color="auto" w:fill="auto"/>
            <w:vAlign w:val="center"/>
            <w:hideMark/>
          </w:tcPr>
          <w:p w14:paraId="3D55630A"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20.98</w:t>
            </w:r>
          </w:p>
        </w:tc>
        <w:tc>
          <w:tcPr>
            <w:tcW w:w="1143" w:type="dxa"/>
            <w:tcBorders>
              <w:top w:val="nil"/>
              <w:left w:val="nil"/>
              <w:bottom w:val="nil"/>
              <w:right w:val="nil"/>
            </w:tcBorders>
            <w:shd w:val="clear" w:color="auto" w:fill="auto"/>
            <w:vAlign w:val="center"/>
            <w:hideMark/>
          </w:tcPr>
          <w:p w14:paraId="0FC53D25"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18.83</w:t>
            </w:r>
          </w:p>
        </w:tc>
        <w:tc>
          <w:tcPr>
            <w:tcW w:w="1393" w:type="dxa"/>
            <w:tcBorders>
              <w:top w:val="nil"/>
              <w:left w:val="nil"/>
              <w:bottom w:val="nil"/>
              <w:right w:val="nil"/>
            </w:tcBorders>
            <w:shd w:val="clear" w:color="auto" w:fill="auto"/>
            <w:vAlign w:val="center"/>
            <w:hideMark/>
          </w:tcPr>
          <w:p w14:paraId="1CC764FF"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20.77</w:t>
            </w:r>
          </w:p>
        </w:tc>
        <w:tc>
          <w:tcPr>
            <w:tcW w:w="1077" w:type="dxa"/>
            <w:tcBorders>
              <w:top w:val="nil"/>
              <w:left w:val="nil"/>
              <w:bottom w:val="nil"/>
              <w:right w:val="nil"/>
            </w:tcBorders>
            <w:vAlign w:val="center"/>
          </w:tcPr>
          <w:p w14:paraId="287A591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21.63</w:t>
            </w:r>
          </w:p>
        </w:tc>
      </w:tr>
      <w:tr w:rsidR="00E3396D" w:rsidRPr="007C0D39" w14:paraId="016ADFCB" w14:textId="77777777" w:rsidTr="00B97625">
        <w:trPr>
          <w:trHeight w:val="300"/>
        </w:trPr>
        <w:tc>
          <w:tcPr>
            <w:tcW w:w="2585" w:type="dxa"/>
            <w:tcBorders>
              <w:top w:val="nil"/>
              <w:left w:val="nil"/>
              <w:bottom w:val="nil"/>
              <w:right w:val="nil"/>
            </w:tcBorders>
            <w:shd w:val="clear" w:color="auto" w:fill="auto"/>
            <w:vAlign w:val="center"/>
            <w:hideMark/>
          </w:tcPr>
          <w:p w14:paraId="5952A348"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r w:rsidRPr="00F76403">
              <w:rPr>
                <w:rFonts w:ascii="Palatino Linotype" w:eastAsia="Times New Roman" w:hAnsi="Palatino Linotype" w:cs="Calibri"/>
                <w:b/>
                <w:bCs/>
                <w:color w:val="000000"/>
                <w:sz w:val="18"/>
                <w:szCs w:val="20"/>
              </w:rPr>
              <w:t>Financial Aid</w:t>
            </w:r>
          </w:p>
        </w:tc>
        <w:tc>
          <w:tcPr>
            <w:tcW w:w="946" w:type="dxa"/>
            <w:tcBorders>
              <w:top w:val="nil"/>
              <w:left w:val="nil"/>
              <w:bottom w:val="nil"/>
              <w:right w:val="nil"/>
            </w:tcBorders>
            <w:shd w:val="clear" w:color="auto" w:fill="auto"/>
            <w:vAlign w:val="center"/>
            <w:hideMark/>
          </w:tcPr>
          <w:p w14:paraId="524EE33D" w14:textId="77777777" w:rsidR="00E3396D" w:rsidRPr="00F76403" w:rsidRDefault="00E3396D" w:rsidP="00B97625">
            <w:pPr>
              <w:spacing w:after="0" w:line="240" w:lineRule="auto"/>
              <w:rPr>
                <w:rFonts w:ascii="Palatino Linotype" w:eastAsia="Times New Roman" w:hAnsi="Palatino Linotype" w:cs="Calibri"/>
                <w:b/>
                <w:bCs/>
                <w:color w:val="000000"/>
                <w:sz w:val="18"/>
                <w:szCs w:val="20"/>
              </w:rPr>
            </w:pPr>
          </w:p>
        </w:tc>
        <w:tc>
          <w:tcPr>
            <w:tcW w:w="1073" w:type="dxa"/>
            <w:tcBorders>
              <w:top w:val="nil"/>
              <w:left w:val="nil"/>
              <w:bottom w:val="nil"/>
              <w:right w:val="nil"/>
            </w:tcBorders>
            <w:shd w:val="clear" w:color="auto" w:fill="auto"/>
            <w:vAlign w:val="center"/>
            <w:hideMark/>
          </w:tcPr>
          <w:p w14:paraId="37706C15"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6EEF420F"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6BC630E2"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2D4E3C9F"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077" w:type="dxa"/>
            <w:tcBorders>
              <w:top w:val="nil"/>
              <w:left w:val="nil"/>
              <w:bottom w:val="nil"/>
              <w:right w:val="nil"/>
            </w:tcBorders>
            <w:vAlign w:val="center"/>
          </w:tcPr>
          <w:p w14:paraId="2D78769B"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14753144" w14:textId="77777777" w:rsidTr="00B97625">
        <w:trPr>
          <w:trHeight w:val="300"/>
        </w:trPr>
        <w:tc>
          <w:tcPr>
            <w:tcW w:w="2585" w:type="dxa"/>
            <w:tcBorders>
              <w:top w:val="nil"/>
              <w:left w:val="nil"/>
              <w:bottom w:val="nil"/>
              <w:right w:val="nil"/>
            </w:tcBorders>
            <w:shd w:val="clear" w:color="auto" w:fill="auto"/>
            <w:vAlign w:val="center"/>
            <w:hideMark/>
          </w:tcPr>
          <w:p w14:paraId="7C182D28"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Pell recipients</w:t>
            </w:r>
          </w:p>
        </w:tc>
        <w:tc>
          <w:tcPr>
            <w:tcW w:w="946" w:type="dxa"/>
            <w:tcBorders>
              <w:top w:val="nil"/>
              <w:left w:val="nil"/>
              <w:bottom w:val="nil"/>
              <w:right w:val="nil"/>
            </w:tcBorders>
            <w:shd w:val="clear" w:color="auto" w:fill="auto"/>
            <w:vAlign w:val="center"/>
            <w:hideMark/>
          </w:tcPr>
          <w:p w14:paraId="4689638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0.42</w:t>
            </w:r>
          </w:p>
        </w:tc>
        <w:tc>
          <w:tcPr>
            <w:tcW w:w="1073" w:type="dxa"/>
            <w:tcBorders>
              <w:top w:val="nil"/>
              <w:left w:val="nil"/>
              <w:bottom w:val="nil"/>
              <w:right w:val="nil"/>
            </w:tcBorders>
            <w:shd w:val="clear" w:color="auto" w:fill="auto"/>
            <w:vAlign w:val="center"/>
            <w:hideMark/>
          </w:tcPr>
          <w:p w14:paraId="1FBAF035"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0.57</w:t>
            </w:r>
          </w:p>
        </w:tc>
        <w:tc>
          <w:tcPr>
            <w:tcW w:w="1143" w:type="dxa"/>
            <w:tcBorders>
              <w:top w:val="nil"/>
              <w:left w:val="nil"/>
              <w:bottom w:val="nil"/>
              <w:right w:val="nil"/>
            </w:tcBorders>
            <w:shd w:val="clear" w:color="auto" w:fill="auto"/>
            <w:vAlign w:val="center"/>
            <w:hideMark/>
          </w:tcPr>
          <w:p w14:paraId="619DD86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0.08</w:t>
            </w:r>
          </w:p>
        </w:tc>
        <w:tc>
          <w:tcPr>
            <w:tcW w:w="1143" w:type="dxa"/>
            <w:tcBorders>
              <w:top w:val="nil"/>
              <w:left w:val="nil"/>
              <w:bottom w:val="nil"/>
              <w:right w:val="nil"/>
            </w:tcBorders>
            <w:shd w:val="clear" w:color="auto" w:fill="auto"/>
            <w:vAlign w:val="center"/>
            <w:hideMark/>
          </w:tcPr>
          <w:p w14:paraId="7F83B544"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0.52</w:t>
            </w:r>
          </w:p>
        </w:tc>
        <w:tc>
          <w:tcPr>
            <w:tcW w:w="1393" w:type="dxa"/>
            <w:tcBorders>
              <w:top w:val="nil"/>
              <w:left w:val="nil"/>
              <w:bottom w:val="nil"/>
              <w:right w:val="nil"/>
            </w:tcBorders>
            <w:shd w:val="clear" w:color="auto" w:fill="auto"/>
            <w:vAlign w:val="center"/>
            <w:hideMark/>
          </w:tcPr>
          <w:p w14:paraId="7ACDE75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0.09</w:t>
            </w:r>
          </w:p>
        </w:tc>
        <w:tc>
          <w:tcPr>
            <w:tcW w:w="1077" w:type="dxa"/>
            <w:tcBorders>
              <w:top w:val="nil"/>
              <w:left w:val="nil"/>
              <w:bottom w:val="nil"/>
              <w:right w:val="nil"/>
            </w:tcBorders>
            <w:vAlign w:val="center"/>
          </w:tcPr>
          <w:p w14:paraId="4830D55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0.63</w:t>
            </w:r>
          </w:p>
        </w:tc>
      </w:tr>
      <w:tr w:rsidR="00E3396D" w:rsidRPr="007C0D39" w14:paraId="49512E05" w14:textId="77777777" w:rsidTr="00B97625">
        <w:trPr>
          <w:trHeight w:val="300"/>
        </w:trPr>
        <w:tc>
          <w:tcPr>
            <w:tcW w:w="2585" w:type="dxa"/>
            <w:tcBorders>
              <w:top w:val="nil"/>
              <w:left w:val="nil"/>
              <w:bottom w:val="nil"/>
              <w:right w:val="nil"/>
            </w:tcBorders>
            <w:shd w:val="clear" w:color="auto" w:fill="auto"/>
            <w:vAlign w:val="center"/>
            <w:hideMark/>
          </w:tcPr>
          <w:p w14:paraId="6EEFBC31"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OK Promise recipients</w:t>
            </w:r>
          </w:p>
        </w:tc>
        <w:tc>
          <w:tcPr>
            <w:tcW w:w="946" w:type="dxa"/>
            <w:tcBorders>
              <w:top w:val="nil"/>
              <w:left w:val="nil"/>
              <w:bottom w:val="nil"/>
              <w:right w:val="nil"/>
            </w:tcBorders>
            <w:shd w:val="clear" w:color="auto" w:fill="auto"/>
            <w:vAlign w:val="center"/>
            <w:hideMark/>
          </w:tcPr>
          <w:p w14:paraId="7E13905E"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0.13</w:t>
            </w:r>
          </w:p>
        </w:tc>
        <w:tc>
          <w:tcPr>
            <w:tcW w:w="1073" w:type="dxa"/>
            <w:tcBorders>
              <w:top w:val="nil"/>
              <w:left w:val="nil"/>
              <w:bottom w:val="nil"/>
              <w:right w:val="nil"/>
            </w:tcBorders>
            <w:shd w:val="clear" w:color="auto" w:fill="auto"/>
            <w:vAlign w:val="center"/>
            <w:hideMark/>
          </w:tcPr>
          <w:p w14:paraId="4F966DFE"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0.12</w:t>
            </w:r>
          </w:p>
        </w:tc>
        <w:tc>
          <w:tcPr>
            <w:tcW w:w="1143" w:type="dxa"/>
            <w:tcBorders>
              <w:top w:val="nil"/>
              <w:left w:val="nil"/>
              <w:bottom w:val="nil"/>
              <w:right w:val="nil"/>
            </w:tcBorders>
            <w:shd w:val="clear" w:color="auto" w:fill="auto"/>
            <w:vAlign w:val="center"/>
            <w:hideMark/>
          </w:tcPr>
          <w:p w14:paraId="59068F4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0.06</w:t>
            </w:r>
          </w:p>
        </w:tc>
        <w:tc>
          <w:tcPr>
            <w:tcW w:w="1143" w:type="dxa"/>
            <w:tcBorders>
              <w:top w:val="nil"/>
              <w:left w:val="nil"/>
              <w:bottom w:val="nil"/>
              <w:right w:val="nil"/>
            </w:tcBorders>
            <w:shd w:val="clear" w:color="auto" w:fill="auto"/>
            <w:vAlign w:val="center"/>
            <w:hideMark/>
          </w:tcPr>
          <w:p w14:paraId="6BB26C41"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0.29</w:t>
            </w:r>
          </w:p>
        </w:tc>
        <w:tc>
          <w:tcPr>
            <w:tcW w:w="1393" w:type="dxa"/>
            <w:tcBorders>
              <w:top w:val="nil"/>
              <w:left w:val="nil"/>
              <w:bottom w:val="nil"/>
              <w:right w:val="nil"/>
            </w:tcBorders>
            <w:shd w:val="clear" w:color="auto" w:fill="auto"/>
            <w:vAlign w:val="center"/>
            <w:hideMark/>
          </w:tcPr>
          <w:p w14:paraId="36EFE9EF"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0.03</w:t>
            </w:r>
          </w:p>
        </w:tc>
        <w:tc>
          <w:tcPr>
            <w:tcW w:w="1077" w:type="dxa"/>
            <w:tcBorders>
              <w:top w:val="nil"/>
              <w:left w:val="nil"/>
              <w:bottom w:val="nil"/>
              <w:right w:val="nil"/>
            </w:tcBorders>
            <w:vAlign w:val="center"/>
          </w:tcPr>
          <w:p w14:paraId="2CEE3417"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w:t>
            </w:r>
          </w:p>
        </w:tc>
      </w:tr>
      <w:tr w:rsidR="00E3396D" w:rsidRPr="007C0D39" w14:paraId="17A03BBC" w14:textId="77777777" w:rsidTr="00B97625">
        <w:trPr>
          <w:trHeight w:val="300"/>
        </w:trPr>
        <w:tc>
          <w:tcPr>
            <w:tcW w:w="2585" w:type="dxa"/>
            <w:tcBorders>
              <w:top w:val="nil"/>
              <w:left w:val="nil"/>
              <w:bottom w:val="nil"/>
              <w:right w:val="nil"/>
            </w:tcBorders>
            <w:shd w:val="clear" w:color="auto" w:fill="auto"/>
            <w:vAlign w:val="center"/>
            <w:hideMark/>
          </w:tcPr>
          <w:p w14:paraId="4A5F6396" w14:textId="77777777" w:rsidR="00E3396D" w:rsidRPr="00F76403" w:rsidRDefault="00E3396D" w:rsidP="00B97625">
            <w:pPr>
              <w:spacing w:after="0" w:line="240" w:lineRule="auto"/>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 xml:space="preserve">   OTAG recipients</w:t>
            </w:r>
          </w:p>
        </w:tc>
        <w:tc>
          <w:tcPr>
            <w:tcW w:w="946" w:type="dxa"/>
            <w:tcBorders>
              <w:top w:val="nil"/>
              <w:left w:val="nil"/>
              <w:bottom w:val="nil"/>
              <w:right w:val="nil"/>
            </w:tcBorders>
            <w:shd w:val="clear" w:color="auto" w:fill="auto"/>
            <w:vAlign w:val="center"/>
            <w:hideMark/>
          </w:tcPr>
          <w:p w14:paraId="487C4F4D"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0.12</w:t>
            </w:r>
          </w:p>
        </w:tc>
        <w:tc>
          <w:tcPr>
            <w:tcW w:w="1073" w:type="dxa"/>
            <w:tcBorders>
              <w:top w:val="nil"/>
              <w:left w:val="nil"/>
              <w:bottom w:val="nil"/>
              <w:right w:val="nil"/>
            </w:tcBorders>
            <w:shd w:val="clear" w:color="auto" w:fill="auto"/>
            <w:vAlign w:val="center"/>
            <w:hideMark/>
          </w:tcPr>
          <w:p w14:paraId="63FB26B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0.14</w:t>
            </w:r>
          </w:p>
        </w:tc>
        <w:tc>
          <w:tcPr>
            <w:tcW w:w="1143" w:type="dxa"/>
            <w:tcBorders>
              <w:top w:val="nil"/>
              <w:left w:val="nil"/>
              <w:bottom w:val="nil"/>
              <w:right w:val="nil"/>
            </w:tcBorders>
            <w:shd w:val="clear" w:color="auto" w:fill="auto"/>
            <w:vAlign w:val="center"/>
            <w:hideMark/>
          </w:tcPr>
          <w:p w14:paraId="35085FD1"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0.004</w:t>
            </w:r>
          </w:p>
        </w:tc>
        <w:tc>
          <w:tcPr>
            <w:tcW w:w="1143" w:type="dxa"/>
            <w:tcBorders>
              <w:top w:val="nil"/>
              <w:left w:val="nil"/>
              <w:bottom w:val="nil"/>
              <w:right w:val="nil"/>
            </w:tcBorders>
            <w:shd w:val="clear" w:color="auto" w:fill="auto"/>
            <w:vAlign w:val="center"/>
            <w:hideMark/>
          </w:tcPr>
          <w:p w14:paraId="1D50B70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0.18</w:t>
            </w:r>
          </w:p>
        </w:tc>
        <w:tc>
          <w:tcPr>
            <w:tcW w:w="1393" w:type="dxa"/>
            <w:tcBorders>
              <w:top w:val="nil"/>
              <w:left w:val="nil"/>
              <w:bottom w:val="nil"/>
              <w:right w:val="nil"/>
            </w:tcBorders>
            <w:shd w:val="clear" w:color="auto" w:fill="auto"/>
            <w:vAlign w:val="center"/>
            <w:hideMark/>
          </w:tcPr>
          <w:p w14:paraId="3C8998A6"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0.001</w:t>
            </w:r>
          </w:p>
        </w:tc>
        <w:tc>
          <w:tcPr>
            <w:tcW w:w="1077" w:type="dxa"/>
            <w:tcBorders>
              <w:top w:val="nil"/>
              <w:left w:val="nil"/>
              <w:bottom w:val="nil"/>
              <w:right w:val="nil"/>
            </w:tcBorders>
            <w:vAlign w:val="center"/>
          </w:tcPr>
          <w:p w14:paraId="05B1F8BE"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0.27</w:t>
            </w:r>
          </w:p>
        </w:tc>
      </w:tr>
      <w:tr w:rsidR="00E3396D" w:rsidRPr="007C0D39" w14:paraId="384572FC" w14:textId="77777777" w:rsidTr="00B97625">
        <w:trPr>
          <w:trHeight w:val="300"/>
        </w:trPr>
        <w:tc>
          <w:tcPr>
            <w:tcW w:w="2585" w:type="dxa"/>
            <w:tcBorders>
              <w:top w:val="nil"/>
              <w:left w:val="nil"/>
              <w:bottom w:val="nil"/>
              <w:right w:val="nil"/>
            </w:tcBorders>
            <w:shd w:val="clear" w:color="auto" w:fill="auto"/>
            <w:vAlign w:val="center"/>
            <w:hideMark/>
          </w:tcPr>
          <w:p w14:paraId="7920634D"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p>
        </w:tc>
        <w:tc>
          <w:tcPr>
            <w:tcW w:w="946" w:type="dxa"/>
            <w:tcBorders>
              <w:top w:val="nil"/>
              <w:left w:val="nil"/>
              <w:bottom w:val="nil"/>
              <w:right w:val="nil"/>
            </w:tcBorders>
            <w:shd w:val="clear" w:color="auto" w:fill="auto"/>
            <w:vAlign w:val="center"/>
            <w:hideMark/>
          </w:tcPr>
          <w:p w14:paraId="6A8E702A" w14:textId="77777777" w:rsidR="00E3396D" w:rsidRPr="00F76403" w:rsidRDefault="00E3396D" w:rsidP="00B97625">
            <w:pPr>
              <w:spacing w:after="0" w:line="240" w:lineRule="auto"/>
              <w:rPr>
                <w:rFonts w:ascii="Times New Roman" w:eastAsia="Times New Roman" w:hAnsi="Times New Roman" w:cs="Times New Roman"/>
                <w:sz w:val="18"/>
                <w:szCs w:val="20"/>
              </w:rPr>
            </w:pPr>
          </w:p>
        </w:tc>
        <w:tc>
          <w:tcPr>
            <w:tcW w:w="1073" w:type="dxa"/>
            <w:tcBorders>
              <w:top w:val="nil"/>
              <w:left w:val="nil"/>
              <w:bottom w:val="nil"/>
              <w:right w:val="nil"/>
            </w:tcBorders>
            <w:shd w:val="clear" w:color="auto" w:fill="auto"/>
            <w:vAlign w:val="center"/>
            <w:hideMark/>
          </w:tcPr>
          <w:p w14:paraId="7571EA60"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2E394D07"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143" w:type="dxa"/>
            <w:tcBorders>
              <w:top w:val="nil"/>
              <w:left w:val="nil"/>
              <w:bottom w:val="nil"/>
              <w:right w:val="nil"/>
            </w:tcBorders>
            <w:shd w:val="clear" w:color="auto" w:fill="auto"/>
            <w:vAlign w:val="center"/>
            <w:hideMark/>
          </w:tcPr>
          <w:p w14:paraId="674CCB99"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393" w:type="dxa"/>
            <w:tcBorders>
              <w:top w:val="nil"/>
              <w:left w:val="nil"/>
              <w:bottom w:val="nil"/>
              <w:right w:val="nil"/>
            </w:tcBorders>
            <w:shd w:val="clear" w:color="auto" w:fill="auto"/>
            <w:vAlign w:val="center"/>
            <w:hideMark/>
          </w:tcPr>
          <w:p w14:paraId="082BA66B"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c>
          <w:tcPr>
            <w:tcW w:w="1077" w:type="dxa"/>
            <w:tcBorders>
              <w:top w:val="nil"/>
              <w:left w:val="nil"/>
              <w:bottom w:val="nil"/>
              <w:right w:val="nil"/>
            </w:tcBorders>
            <w:vAlign w:val="center"/>
          </w:tcPr>
          <w:p w14:paraId="0D9C17B0" w14:textId="77777777" w:rsidR="00E3396D" w:rsidRPr="00F76403" w:rsidRDefault="00E3396D" w:rsidP="00B97625">
            <w:pPr>
              <w:spacing w:after="0" w:line="240" w:lineRule="auto"/>
              <w:jc w:val="center"/>
              <w:rPr>
                <w:rFonts w:ascii="Times New Roman" w:eastAsia="Times New Roman" w:hAnsi="Times New Roman" w:cs="Times New Roman"/>
                <w:sz w:val="18"/>
                <w:szCs w:val="20"/>
              </w:rPr>
            </w:pPr>
          </w:p>
        </w:tc>
      </w:tr>
      <w:tr w:rsidR="00E3396D" w:rsidRPr="007C0D39" w14:paraId="69C3A5FB" w14:textId="77777777" w:rsidTr="00B97625">
        <w:trPr>
          <w:trHeight w:val="312"/>
        </w:trPr>
        <w:tc>
          <w:tcPr>
            <w:tcW w:w="2585" w:type="dxa"/>
            <w:tcBorders>
              <w:top w:val="nil"/>
              <w:left w:val="nil"/>
              <w:bottom w:val="double" w:sz="6" w:space="0" w:color="auto"/>
              <w:right w:val="nil"/>
            </w:tcBorders>
            <w:shd w:val="clear" w:color="auto" w:fill="auto"/>
            <w:vAlign w:val="center"/>
            <w:hideMark/>
          </w:tcPr>
          <w:p w14:paraId="5B59024A"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N</w:t>
            </w:r>
          </w:p>
        </w:tc>
        <w:tc>
          <w:tcPr>
            <w:tcW w:w="946" w:type="dxa"/>
            <w:tcBorders>
              <w:top w:val="nil"/>
              <w:left w:val="nil"/>
              <w:bottom w:val="double" w:sz="6" w:space="0" w:color="auto"/>
              <w:right w:val="nil"/>
            </w:tcBorders>
            <w:shd w:val="clear" w:color="auto" w:fill="auto"/>
            <w:vAlign w:val="center"/>
            <w:hideMark/>
          </w:tcPr>
          <w:p w14:paraId="00B9BB6F"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1,717,531</w:t>
            </w:r>
          </w:p>
        </w:tc>
        <w:tc>
          <w:tcPr>
            <w:tcW w:w="1073" w:type="dxa"/>
            <w:tcBorders>
              <w:top w:val="nil"/>
              <w:left w:val="nil"/>
              <w:bottom w:val="double" w:sz="6" w:space="0" w:color="auto"/>
              <w:right w:val="nil"/>
            </w:tcBorders>
            <w:shd w:val="clear" w:color="auto" w:fill="auto"/>
            <w:vAlign w:val="center"/>
            <w:hideMark/>
          </w:tcPr>
          <w:p w14:paraId="7058500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675,413</w:t>
            </w:r>
          </w:p>
        </w:tc>
        <w:tc>
          <w:tcPr>
            <w:tcW w:w="1143" w:type="dxa"/>
            <w:tcBorders>
              <w:top w:val="nil"/>
              <w:left w:val="nil"/>
              <w:bottom w:val="double" w:sz="6" w:space="0" w:color="auto"/>
              <w:right w:val="nil"/>
            </w:tcBorders>
            <w:shd w:val="clear" w:color="auto" w:fill="auto"/>
            <w:vAlign w:val="center"/>
            <w:hideMark/>
          </w:tcPr>
          <w:p w14:paraId="07036AC0"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14,305</w:t>
            </w:r>
          </w:p>
        </w:tc>
        <w:tc>
          <w:tcPr>
            <w:tcW w:w="1143" w:type="dxa"/>
            <w:tcBorders>
              <w:top w:val="nil"/>
              <w:left w:val="nil"/>
              <w:bottom w:val="double" w:sz="6" w:space="0" w:color="auto"/>
              <w:right w:val="nil"/>
            </w:tcBorders>
            <w:shd w:val="clear" w:color="auto" w:fill="auto"/>
            <w:vAlign w:val="center"/>
            <w:hideMark/>
          </w:tcPr>
          <w:p w14:paraId="292301F9"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2,894</w:t>
            </w:r>
          </w:p>
        </w:tc>
        <w:tc>
          <w:tcPr>
            <w:tcW w:w="1393" w:type="dxa"/>
            <w:tcBorders>
              <w:top w:val="nil"/>
              <w:left w:val="nil"/>
              <w:bottom w:val="double" w:sz="6" w:space="0" w:color="auto"/>
              <w:right w:val="nil"/>
            </w:tcBorders>
            <w:shd w:val="clear" w:color="auto" w:fill="auto"/>
            <w:vAlign w:val="center"/>
            <w:hideMark/>
          </w:tcPr>
          <w:p w14:paraId="3F0F661A"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sidRPr="00F76403">
              <w:rPr>
                <w:rFonts w:ascii="Palatino Linotype" w:eastAsia="Times New Roman" w:hAnsi="Palatino Linotype" w:cs="Calibri"/>
                <w:color w:val="000000"/>
                <w:sz w:val="18"/>
                <w:szCs w:val="20"/>
              </w:rPr>
              <w:t>2,895</w:t>
            </w:r>
          </w:p>
        </w:tc>
        <w:tc>
          <w:tcPr>
            <w:tcW w:w="1077" w:type="dxa"/>
            <w:tcBorders>
              <w:top w:val="nil"/>
              <w:left w:val="nil"/>
              <w:bottom w:val="double" w:sz="6" w:space="0" w:color="auto"/>
              <w:right w:val="nil"/>
            </w:tcBorders>
            <w:vAlign w:val="center"/>
          </w:tcPr>
          <w:p w14:paraId="4CCCD992" w14:textId="77777777" w:rsidR="00E3396D" w:rsidRPr="00F76403" w:rsidRDefault="00E3396D" w:rsidP="00B97625">
            <w:pPr>
              <w:spacing w:after="0" w:line="240" w:lineRule="auto"/>
              <w:jc w:val="center"/>
              <w:rPr>
                <w:rFonts w:ascii="Palatino Linotype" w:eastAsia="Times New Roman" w:hAnsi="Palatino Linotype" w:cs="Calibri"/>
                <w:color w:val="000000"/>
                <w:sz w:val="18"/>
                <w:szCs w:val="20"/>
              </w:rPr>
            </w:pPr>
            <w:r>
              <w:rPr>
                <w:rFonts w:ascii="Palatino Linotype" w:eastAsia="Times New Roman" w:hAnsi="Palatino Linotype" w:cs="Calibri"/>
                <w:color w:val="000000"/>
                <w:sz w:val="18"/>
                <w:szCs w:val="20"/>
              </w:rPr>
              <w:t>144,485</w:t>
            </w:r>
          </w:p>
        </w:tc>
      </w:tr>
    </w:tbl>
    <w:p w14:paraId="72BCCDC8" w14:textId="3E6EF480" w:rsidR="00D645A0" w:rsidRDefault="00981D18" w:rsidP="00D645A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B72460">
        <w:rPr>
          <w:rFonts w:ascii="Times New Roman" w:hAnsi="Times New Roman" w:cs="Times New Roman"/>
          <w:sz w:val="24"/>
          <w:szCs w:val="24"/>
        </w:rPr>
        <w:t>5-3</w:t>
      </w:r>
      <w:r>
        <w:rPr>
          <w:rFonts w:ascii="Times New Roman" w:hAnsi="Times New Roman" w:cs="Times New Roman"/>
          <w:sz w:val="24"/>
          <w:szCs w:val="24"/>
        </w:rPr>
        <w:t xml:space="preserve"> shows that while OKCGo recipients are more likely to be students of color and lower income (have lower estimated family contributions</w:t>
      </w:r>
      <w:r w:rsidR="00D30891">
        <w:rPr>
          <w:rFonts w:ascii="Times New Roman" w:hAnsi="Times New Roman" w:cs="Times New Roman"/>
          <w:sz w:val="24"/>
          <w:szCs w:val="24"/>
        </w:rPr>
        <w:t xml:space="preserve"> and more likely to be Pell grant recipients</w:t>
      </w:r>
      <w:r w:rsidR="002E36F3">
        <w:rPr>
          <w:rFonts w:ascii="Times New Roman" w:hAnsi="Times New Roman" w:cs="Times New Roman"/>
          <w:sz w:val="24"/>
          <w:szCs w:val="24"/>
        </w:rPr>
        <w:t xml:space="preserve">), Tulsa Achieves and Ticket to Rose recipients are on average predominantly white and relatively affluent compared to the average two-year college student across the state. </w:t>
      </w:r>
      <w:r w:rsidR="00920B56">
        <w:rPr>
          <w:rFonts w:ascii="Times New Roman" w:hAnsi="Times New Roman" w:cs="Times New Roman"/>
          <w:sz w:val="24"/>
          <w:szCs w:val="24"/>
        </w:rPr>
        <w:t xml:space="preserve">This is despite </w:t>
      </w:r>
      <w:r w:rsidR="00366409">
        <w:rPr>
          <w:rFonts w:ascii="Times New Roman" w:hAnsi="Times New Roman" w:cs="Times New Roman"/>
          <w:sz w:val="24"/>
          <w:szCs w:val="24"/>
        </w:rPr>
        <w:t xml:space="preserve">Tulsa Achieves and OKCGo serving similar school districts in term of the racial/ethnic makeup and share of free and </w:t>
      </w:r>
      <w:r w:rsidR="002E1A1E">
        <w:rPr>
          <w:rFonts w:ascii="Times New Roman" w:hAnsi="Times New Roman" w:cs="Times New Roman"/>
          <w:sz w:val="24"/>
          <w:szCs w:val="24"/>
        </w:rPr>
        <w:t>reduced-price</w:t>
      </w:r>
      <w:r w:rsidR="00366409">
        <w:rPr>
          <w:rFonts w:ascii="Times New Roman" w:hAnsi="Times New Roman" w:cs="Times New Roman"/>
          <w:sz w:val="24"/>
          <w:szCs w:val="24"/>
        </w:rPr>
        <w:t xml:space="preserve"> lunch students. </w:t>
      </w:r>
      <w:r w:rsidR="002E1A1E">
        <w:rPr>
          <w:rFonts w:ascii="Times New Roman" w:hAnsi="Times New Roman" w:cs="Times New Roman"/>
          <w:sz w:val="24"/>
          <w:szCs w:val="24"/>
        </w:rPr>
        <w:t xml:space="preserve">The main difference in the design of these policies is clearly the inclusion of a merit-requirement in the Tulsa Achieves program, which stipulates that students must graduate with a 2.0 high school GPA in order to be eligible to receive the financial aid. </w:t>
      </w:r>
      <w:r w:rsidR="004719B5">
        <w:rPr>
          <w:rFonts w:ascii="Times New Roman" w:hAnsi="Times New Roman" w:cs="Times New Roman"/>
          <w:sz w:val="24"/>
          <w:szCs w:val="24"/>
        </w:rPr>
        <w:t xml:space="preserve">Therefore, it is possible that the inclusion of merit-requirements in the form of minimum high school GPAs creates a beneficiary population that is higher income and </w:t>
      </w:r>
      <w:r w:rsidR="00D30891">
        <w:rPr>
          <w:rFonts w:ascii="Times New Roman" w:hAnsi="Times New Roman" w:cs="Times New Roman"/>
          <w:sz w:val="24"/>
          <w:szCs w:val="24"/>
        </w:rPr>
        <w:t>less likely to be from racial/ethnic minorities. Moreover, it is worth noting that the beneficiary populations in the OKCGo program and the Ticket to Rose program are substantially smaller.</w:t>
      </w:r>
      <w:r w:rsidR="003F5F90">
        <w:rPr>
          <w:rFonts w:ascii="Times New Roman" w:hAnsi="Times New Roman" w:cs="Times New Roman"/>
          <w:sz w:val="24"/>
          <w:szCs w:val="24"/>
        </w:rPr>
        <w:t xml:space="preserve"> This section makes it clear that the beneficiary populations of tuition-free college policies in Oklahoma are significantly different, partially likely due to policy design differences. The next section explores how the tuition-free college policies shape the student populations attending each college affected. </w:t>
      </w:r>
    </w:p>
    <w:p w14:paraId="30C29DD7" w14:textId="4AB3E74A" w:rsidR="00F76403" w:rsidRPr="00D645A0" w:rsidRDefault="00F76403" w:rsidP="00D645A0">
      <w:pPr>
        <w:spacing w:after="0" w:line="480" w:lineRule="auto"/>
        <w:rPr>
          <w:rFonts w:ascii="Times New Roman" w:hAnsi="Times New Roman" w:cs="Times New Roman"/>
          <w:sz w:val="24"/>
          <w:szCs w:val="24"/>
        </w:rPr>
      </w:pPr>
      <w:r w:rsidRPr="00F76403">
        <w:rPr>
          <w:rFonts w:ascii="Times New Roman" w:hAnsi="Times New Roman" w:cs="Times New Roman"/>
          <w:b/>
          <w:sz w:val="24"/>
          <w:szCs w:val="24"/>
        </w:rPr>
        <w:t>How does Tuition-free College Affect Access? What are the Changes in Student Populations Over Time?</w:t>
      </w:r>
    </w:p>
    <w:p w14:paraId="62F33ECD" w14:textId="77482A08" w:rsidR="008D6267" w:rsidRDefault="003F5F90" w:rsidP="003F5F9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main goals of tuition-free college policies are to expand access to college and increase the number of residents with college degrees. In order to descriptively explore the changes in student populations attending TCC, OCCC and Rose State, I present a series of graphs comparing the student populations before and after the implementation of tuition-free college in both all other two-year colleges in the state and in the college affected by the policy.</w:t>
      </w:r>
      <w:r w:rsidR="008D6267">
        <w:rPr>
          <w:rFonts w:ascii="Times New Roman" w:hAnsi="Times New Roman" w:cs="Times New Roman"/>
          <w:sz w:val="24"/>
          <w:szCs w:val="24"/>
        </w:rPr>
        <w:br w:type="page"/>
      </w:r>
    </w:p>
    <w:p w14:paraId="2EAFE605" w14:textId="44CD81EF" w:rsidR="00C4370E" w:rsidRDefault="00C4370E" w:rsidP="00967B87">
      <w:pPr>
        <w:spacing w:line="480" w:lineRule="auto"/>
        <w:rPr>
          <w:rFonts w:ascii="Times New Roman" w:hAnsi="Times New Roman" w:cs="Times New Roman"/>
          <w:sz w:val="24"/>
          <w:szCs w:val="24"/>
        </w:rPr>
      </w:pPr>
      <w:r w:rsidRPr="00C4370E">
        <w:rPr>
          <w:rFonts w:ascii="Times New Roman" w:hAnsi="Times New Roman" w:cs="Times New Roman"/>
          <w:noProof/>
          <w:sz w:val="24"/>
          <w:szCs w:val="24"/>
        </w:rPr>
        <w:lastRenderedPageBreak/>
        <w:drawing>
          <wp:anchor distT="0" distB="0" distL="114300" distR="114300" simplePos="0" relativeHeight="251711488" behindDoc="1" locked="0" layoutInCell="1" allowOverlap="1" wp14:anchorId="71C80F19" wp14:editId="2629C1CB">
            <wp:simplePos x="0" y="0"/>
            <wp:positionH relativeFrom="margin">
              <wp:posOffset>1028700</wp:posOffset>
            </wp:positionH>
            <wp:positionV relativeFrom="page">
              <wp:posOffset>1082040</wp:posOffset>
            </wp:positionV>
            <wp:extent cx="3817620" cy="2800350"/>
            <wp:effectExtent l="0" t="0" r="0" b="0"/>
            <wp:wrapTight wrapText="bothSides">
              <wp:wrapPolygon edited="0">
                <wp:start x="108" y="147"/>
                <wp:lineTo x="108" y="21306"/>
                <wp:lineTo x="21341" y="21306"/>
                <wp:lineTo x="21341" y="147"/>
                <wp:lineTo x="108" y="147"/>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17620" cy="280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6267">
        <w:rPr>
          <w:rFonts w:ascii="Times New Roman" w:hAnsi="Times New Roman" w:cs="Times New Roman"/>
          <w:sz w:val="24"/>
          <w:szCs w:val="24"/>
        </w:rPr>
        <w:t xml:space="preserve">Figure </w:t>
      </w:r>
      <w:r w:rsidR="000378E2">
        <w:rPr>
          <w:rFonts w:ascii="Times New Roman" w:hAnsi="Times New Roman" w:cs="Times New Roman"/>
          <w:sz w:val="24"/>
          <w:szCs w:val="24"/>
        </w:rPr>
        <w:t>5-2</w:t>
      </w:r>
      <w:r w:rsidR="008D6267">
        <w:rPr>
          <w:rFonts w:ascii="Times New Roman" w:hAnsi="Times New Roman" w:cs="Times New Roman"/>
          <w:sz w:val="24"/>
          <w:szCs w:val="24"/>
        </w:rPr>
        <w:t>. Change in Enrollment Before and After Implementation of Tuition-free College</w:t>
      </w:r>
    </w:p>
    <w:p w14:paraId="468D391B" w14:textId="51E61F61" w:rsidR="00C4370E" w:rsidRDefault="00C4370E" w:rsidP="00967B87">
      <w:pPr>
        <w:spacing w:line="480" w:lineRule="auto"/>
        <w:rPr>
          <w:rFonts w:ascii="Times New Roman" w:hAnsi="Times New Roman" w:cs="Times New Roman"/>
          <w:sz w:val="24"/>
          <w:szCs w:val="24"/>
        </w:rPr>
      </w:pPr>
    </w:p>
    <w:p w14:paraId="0046C16B" w14:textId="0D8502BF" w:rsidR="00E04157" w:rsidRDefault="00E04157" w:rsidP="00967B87">
      <w:pPr>
        <w:spacing w:line="480" w:lineRule="auto"/>
        <w:rPr>
          <w:rFonts w:ascii="Times New Roman" w:hAnsi="Times New Roman" w:cs="Times New Roman"/>
          <w:sz w:val="24"/>
          <w:szCs w:val="24"/>
        </w:rPr>
      </w:pPr>
    </w:p>
    <w:p w14:paraId="2C9D41A3" w14:textId="77777777" w:rsidR="008D6267" w:rsidRDefault="008D6267" w:rsidP="009D5924">
      <w:pPr>
        <w:spacing w:line="480" w:lineRule="auto"/>
        <w:rPr>
          <w:rFonts w:ascii="Times New Roman" w:hAnsi="Times New Roman" w:cs="Times New Roman"/>
          <w:b/>
          <w:sz w:val="36"/>
          <w:szCs w:val="36"/>
        </w:rPr>
      </w:pPr>
    </w:p>
    <w:p w14:paraId="1B3A9111" w14:textId="77777777" w:rsidR="008D6267" w:rsidRDefault="008D6267" w:rsidP="009D5924">
      <w:pPr>
        <w:spacing w:line="480" w:lineRule="auto"/>
        <w:rPr>
          <w:rFonts w:ascii="Times New Roman" w:hAnsi="Times New Roman" w:cs="Times New Roman"/>
          <w:b/>
          <w:sz w:val="36"/>
          <w:szCs w:val="36"/>
        </w:rPr>
      </w:pPr>
    </w:p>
    <w:p w14:paraId="0487C100" w14:textId="72E3DC3E" w:rsidR="008D6267" w:rsidRDefault="008D6267" w:rsidP="009D5924">
      <w:pPr>
        <w:spacing w:line="480" w:lineRule="auto"/>
        <w:rPr>
          <w:rFonts w:ascii="Times New Roman" w:hAnsi="Times New Roman" w:cs="Times New Roman"/>
          <w:b/>
          <w:sz w:val="36"/>
          <w:szCs w:val="36"/>
        </w:rPr>
      </w:pPr>
      <w:r w:rsidRPr="00E04157">
        <w:rPr>
          <w:rFonts w:ascii="Times New Roman" w:hAnsi="Times New Roman" w:cs="Times New Roman"/>
          <w:noProof/>
          <w:sz w:val="24"/>
          <w:szCs w:val="24"/>
        </w:rPr>
        <w:drawing>
          <wp:anchor distT="0" distB="0" distL="114300" distR="114300" simplePos="0" relativeHeight="251726848" behindDoc="1" locked="0" layoutInCell="1" allowOverlap="1" wp14:anchorId="017B86DC" wp14:editId="5B149191">
            <wp:simplePos x="0" y="0"/>
            <wp:positionH relativeFrom="margin">
              <wp:posOffset>1021080</wp:posOffset>
            </wp:positionH>
            <wp:positionV relativeFrom="paragraph">
              <wp:posOffset>139700</wp:posOffset>
            </wp:positionV>
            <wp:extent cx="3801110" cy="2781300"/>
            <wp:effectExtent l="0" t="0" r="0" b="0"/>
            <wp:wrapTight wrapText="bothSides">
              <wp:wrapPolygon edited="0">
                <wp:start x="108" y="148"/>
                <wp:lineTo x="108" y="21304"/>
                <wp:lineTo x="21434" y="21304"/>
                <wp:lineTo x="21434" y="148"/>
                <wp:lineTo x="108" y="148"/>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01110" cy="2781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58B35D" w14:textId="77777777" w:rsidR="008D6267" w:rsidRDefault="008D6267" w:rsidP="009D5924">
      <w:pPr>
        <w:spacing w:line="480" w:lineRule="auto"/>
        <w:rPr>
          <w:rFonts w:ascii="Times New Roman" w:hAnsi="Times New Roman" w:cs="Times New Roman"/>
          <w:b/>
          <w:sz w:val="36"/>
          <w:szCs w:val="36"/>
        </w:rPr>
      </w:pPr>
    </w:p>
    <w:p w14:paraId="21D87178" w14:textId="77777777" w:rsidR="008D6267" w:rsidRDefault="008D6267" w:rsidP="009D5924">
      <w:pPr>
        <w:spacing w:line="480" w:lineRule="auto"/>
        <w:rPr>
          <w:rFonts w:ascii="Times New Roman" w:hAnsi="Times New Roman" w:cs="Times New Roman"/>
          <w:b/>
          <w:sz w:val="36"/>
          <w:szCs w:val="36"/>
        </w:rPr>
      </w:pPr>
    </w:p>
    <w:p w14:paraId="33D14A94" w14:textId="120BDEFB" w:rsidR="008D6267" w:rsidRDefault="008D6267" w:rsidP="009D5924">
      <w:pPr>
        <w:spacing w:line="480" w:lineRule="auto"/>
        <w:rPr>
          <w:rFonts w:ascii="Times New Roman" w:hAnsi="Times New Roman" w:cs="Times New Roman"/>
          <w:b/>
          <w:sz w:val="36"/>
          <w:szCs w:val="36"/>
        </w:rPr>
      </w:pPr>
    </w:p>
    <w:p w14:paraId="114D22F6" w14:textId="2F1F634B" w:rsidR="008D6267" w:rsidRDefault="003F5F90" w:rsidP="009D5924">
      <w:pPr>
        <w:spacing w:line="480" w:lineRule="auto"/>
        <w:rPr>
          <w:rFonts w:ascii="Times New Roman" w:hAnsi="Times New Roman" w:cs="Times New Roman"/>
          <w:b/>
          <w:sz w:val="36"/>
          <w:szCs w:val="36"/>
        </w:rPr>
      </w:pPr>
      <w:r w:rsidRPr="008D6267">
        <w:rPr>
          <w:rFonts w:ascii="Times New Roman" w:hAnsi="Times New Roman" w:cs="Times New Roman"/>
          <w:noProof/>
          <w:sz w:val="24"/>
          <w:szCs w:val="24"/>
        </w:rPr>
        <w:drawing>
          <wp:anchor distT="0" distB="0" distL="114300" distR="114300" simplePos="0" relativeHeight="251713536" behindDoc="1" locked="0" layoutInCell="1" allowOverlap="1" wp14:anchorId="1A4E0143" wp14:editId="4BB7F9C9">
            <wp:simplePos x="0" y="0"/>
            <wp:positionH relativeFrom="margin">
              <wp:posOffset>1021080</wp:posOffset>
            </wp:positionH>
            <wp:positionV relativeFrom="paragraph">
              <wp:posOffset>282575</wp:posOffset>
            </wp:positionV>
            <wp:extent cx="3853180" cy="2819400"/>
            <wp:effectExtent l="0" t="0" r="0" b="0"/>
            <wp:wrapTight wrapText="bothSides">
              <wp:wrapPolygon edited="0">
                <wp:start x="107" y="146"/>
                <wp:lineTo x="107" y="21308"/>
                <wp:lineTo x="21358" y="21308"/>
                <wp:lineTo x="21358" y="146"/>
                <wp:lineTo x="107" y="146"/>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53180" cy="2819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C53750" w14:textId="45536FC4" w:rsidR="008D6267" w:rsidRDefault="008D6267" w:rsidP="009D5924">
      <w:pPr>
        <w:spacing w:line="480" w:lineRule="auto"/>
        <w:rPr>
          <w:rFonts w:ascii="Times New Roman" w:hAnsi="Times New Roman" w:cs="Times New Roman"/>
          <w:b/>
          <w:sz w:val="36"/>
          <w:szCs w:val="36"/>
        </w:rPr>
      </w:pPr>
    </w:p>
    <w:p w14:paraId="7E1009B4" w14:textId="77777777" w:rsidR="008D6267" w:rsidRDefault="008D6267" w:rsidP="009D5924">
      <w:pPr>
        <w:spacing w:line="480" w:lineRule="auto"/>
        <w:rPr>
          <w:rFonts w:ascii="Times New Roman" w:hAnsi="Times New Roman" w:cs="Times New Roman"/>
          <w:b/>
          <w:sz w:val="36"/>
          <w:szCs w:val="36"/>
        </w:rPr>
      </w:pPr>
    </w:p>
    <w:p w14:paraId="719B8ACA" w14:textId="30B872F8" w:rsidR="008D6267" w:rsidRDefault="008D6267" w:rsidP="009D5924">
      <w:pPr>
        <w:spacing w:line="480" w:lineRule="auto"/>
        <w:rPr>
          <w:rFonts w:ascii="Times New Roman" w:hAnsi="Times New Roman" w:cs="Times New Roman"/>
          <w:b/>
          <w:sz w:val="36"/>
          <w:szCs w:val="36"/>
        </w:rPr>
      </w:pPr>
    </w:p>
    <w:p w14:paraId="60B97E3D" w14:textId="77777777" w:rsidR="008D6267" w:rsidRDefault="008D6267" w:rsidP="009D5924">
      <w:pPr>
        <w:spacing w:line="480" w:lineRule="auto"/>
        <w:rPr>
          <w:rFonts w:ascii="Times New Roman" w:hAnsi="Times New Roman" w:cs="Times New Roman"/>
          <w:b/>
          <w:sz w:val="36"/>
          <w:szCs w:val="36"/>
        </w:rPr>
      </w:pPr>
    </w:p>
    <w:p w14:paraId="3CDFADE1" w14:textId="6906CC76" w:rsidR="00BB724A" w:rsidRDefault="00B069F0" w:rsidP="009D5924">
      <w:pPr>
        <w:spacing w:line="480" w:lineRule="auto"/>
        <w:rPr>
          <w:rFonts w:ascii="Times New Roman" w:hAnsi="Times New Roman" w:cs="Times New Roman"/>
          <w:sz w:val="24"/>
          <w:szCs w:val="24"/>
        </w:rPr>
      </w:pPr>
      <w:r w:rsidRPr="00B069F0">
        <w:rPr>
          <w:rFonts w:ascii="Times New Roman" w:hAnsi="Times New Roman" w:cs="Times New Roman"/>
          <w:sz w:val="24"/>
          <w:szCs w:val="24"/>
        </w:rPr>
        <w:lastRenderedPageBreak/>
        <w:t xml:space="preserve">As </w:t>
      </w:r>
      <w:r w:rsidR="000378E2">
        <w:rPr>
          <w:rFonts w:ascii="Times New Roman" w:hAnsi="Times New Roman" w:cs="Times New Roman"/>
          <w:sz w:val="24"/>
          <w:szCs w:val="24"/>
        </w:rPr>
        <w:t>F</w:t>
      </w:r>
      <w:r w:rsidRPr="00B069F0">
        <w:rPr>
          <w:rFonts w:ascii="Times New Roman" w:hAnsi="Times New Roman" w:cs="Times New Roman"/>
          <w:sz w:val="24"/>
          <w:szCs w:val="24"/>
        </w:rPr>
        <w:t xml:space="preserve">igure </w:t>
      </w:r>
      <w:r w:rsidR="000378E2">
        <w:rPr>
          <w:rFonts w:ascii="Times New Roman" w:hAnsi="Times New Roman" w:cs="Times New Roman"/>
          <w:sz w:val="24"/>
          <w:szCs w:val="24"/>
        </w:rPr>
        <w:t>5-2</w:t>
      </w:r>
      <w:r w:rsidRPr="00B069F0">
        <w:rPr>
          <w:rFonts w:ascii="Times New Roman" w:hAnsi="Times New Roman" w:cs="Times New Roman"/>
          <w:sz w:val="24"/>
          <w:szCs w:val="24"/>
        </w:rPr>
        <w:t xml:space="preserve"> demonstrates, </w:t>
      </w:r>
      <w:r>
        <w:rPr>
          <w:rFonts w:ascii="Times New Roman" w:hAnsi="Times New Roman" w:cs="Times New Roman"/>
          <w:sz w:val="24"/>
          <w:szCs w:val="24"/>
        </w:rPr>
        <w:t xml:space="preserve">there are significant increases in the total student population at TCC, OCCC, and Rose State College immediately after the implementation of tuition-free college. However, in the case of Rose State College, this enrollment boost drops off three years after implementation. </w:t>
      </w:r>
      <w:r w:rsidR="0089331D">
        <w:rPr>
          <w:rFonts w:ascii="Times New Roman" w:hAnsi="Times New Roman" w:cs="Times New Roman"/>
          <w:sz w:val="24"/>
          <w:szCs w:val="24"/>
        </w:rPr>
        <w:t xml:space="preserve">This is likely due to the competition that Rose State faces with OCCC </w:t>
      </w:r>
      <w:r w:rsidR="008B6DCB">
        <w:rPr>
          <w:rFonts w:ascii="Times New Roman" w:hAnsi="Times New Roman" w:cs="Times New Roman"/>
          <w:sz w:val="24"/>
          <w:szCs w:val="24"/>
        </w:rPr>
        <w:t xml:space="preserve">and many other colleges such as the University of Oklahoma </w:t>
      </w:r>
      <w:r w:rsidR="0089331D">
        <w:rPr>
          <w:rFonts w:ascii="Times New Roman" w:hAnsi="Times New Roman" w:cs="Times New Roman"/>
          <w:sz w:val="24"/>
          <w:szCs w:val="24"/>
        </w:rPr>
        <w:t>due to the close proximity</w:t>
      </w:r>
      <w:r w:rsidR="008B6DCB">
        <w:rPr>
          <w:rFonts w:ascii="Times New Roman" w:hAnsi="Times New Roman" w:cs="Times New Roman"/>
          <w:sz w:val="24"/>
          <w:szCs w:val="24"/>
        </w:rPr>
        <w:t xml:space="preserve"> to other options</w:t>
      </w:r>
      <w:r w:rsidR="0089331D">
        <w:rPr>
          <w:rFonts w:ascii="Times New Roman" w:hAnsi="Times New Roman" w:cs="Times New Roman"/>
          <w:sz w:val="24"/>
          <w:szCs w:val="24"/>
        </w:rPr>
        <w:t xml:space="preserve">. Moreover, </w:t>
      </w:r>
      <w:r w:rsidR="008B6DCB">
        <w:rPr>
          <w:rFonts w:ascii="Times New Roman" w:hAnsi="Times New Roman" w:cs="Times New Roman"/>
          <w:sz w:val="24"/>
          <w:szCs w:val="24"/>
        </w:rPr>
        <w:t>b</w:t>
      </w:r>
      <w:r w:rsidR="0089331D">
        <w:rPr>
          <w:rFonts w:ascii="Times New Roman" w:hAnsi="Times New Roman" w:cs="Times New Roman"/>
          <w:sz w:val="24"/>
          <w:szCs w:val="24"/>
        </w:rPr>
        <w:t xml:space="preserve">ecause the beneficiaries </w:t>
      </w:r>
      <w:r w:rsidR="008B6DCB">
        <w:rPr>
          <w:rFonts w:ascii="Times New Roman" w:hAnsi="Times New Roman" w:cs="Times New Roman"/>
          <w:sz w:val="24"/>
          <w:szCs w:val="24"/>
        </w:rPr>
        <w:t xml:space="preserve">of Ticket to Rose and the population attending K-12 schools in the local school districts are much more affluent, it is likely that many students choose to not take up the program. These students are likely able to attend research universities like the University of Oklahoma and Oklahoma State University more easily than their counterparts in the Tulsa and Oklahoma City school districts. </w:t>
      </w:r>
    </w:p>
    <w:p w14:paraId="50FBA542" w14:textId="25DBBE16" w:rsidR="008D6267" w:rsidRDefault="00BB724A" w:rsidP="00BB72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should also be noted that TCC and OCCC experience declines from their initial gains in enrollment after the implementation of the tuition-free college program, which might that students are choosing to attend </w:t>
      </w:r>
      <w:r w:rsidR="00AA4D9B">
        <w:rPr>
          <w:rFonts w:ascii="Times New Roman" w:hAnsi="Times New Roman" w:cs="Times New Roman"/>
          <w:sz w:val="24"/>
          <w:szCs w:val="24"/>
        </w:rPr>
        <w:t xml:space="preserve">the community college for one or two years and then transfer to other colleges in the state. This would be a pragmatic option for many students looking to get general education requirements out of the way and then transfer to a four-year college where they can transfer the credits and obtain a </w:t>
      </w:r>
      <w:r w:rsidR="000378E2">
        <w:rPr>
          <w:rFonts w:ascii="Times New Roman" w:hAnsi="Times New Roman" w:cs="Times New Roman"/>
          <w:sz w:val="24"/>
          <w:szCs w:val="24"/>
        </w:rPr>
        <w:t>bachelor’s</w:t>
      </w:r>
      <w:r w:rsidR="00AA4D9B">
        <w:rPr>
          <w:rFonts w:ascii="Times New Roman" w:hAnsi="Times New Roman" w:cs="Times New Roman"/>
          <w:sz w:val="24"/>
          <w:szCs w:val="24"/>
        </w:rPr>
        <w:t xml:space="preserve"> degree. </w:t>
      </w:r>
    </w:p>
    <w:p w14:paraId="752F2662" w14:textId="1A7DB9EB" w:rsidR="00AA4D9B" w:rsidRPr="00B069F0" w:rsidRDefault="00AA4D9B" w:rsidP="00BB72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possibility is that TCC, OCCC, and Rose State experience these initial increases in enrollment and then drop off </w:t>
      </w:r>
      <w:r w:rsidR="001411C7">
        <w:rPr>
          <w:rFonts w:ascii="Times New Roman" w:hAnsi="Times New Roman" w:cs="Times New Roman"/>
          <w:sz w:val="24"/>
          <w:szCs w:val="24"/>
        </w:rPr>
        <w:t xml:space="preserve">because students begin to realize that what is marketed as “free college” is not actually free. </w:t>
      </w:r>
      <w:r w:rsidR="00FC3FD5">
        <w:rPr>
          <w:rFonts w:ascii="Times New Roman" w:hAnsi="Times New Roman" w:cs="Times New Roman"/>
          <w:sz w:val="24"/>
          <w:szCs w:val="24"/>
        </w:rPr>
        <w:t xml:space="preserve">While </w:t>
      </w:r>
      <w:r w:rsidR="001411C7">
        <w:rPr>
          <w:rFonts w:ascii="Times New Roman" w:hAnsi="Times New Roman" w:cs="Times New Roman"/>
          <w:sz w:val="24"/>
          <w:szCs w:val="24"/>
        </w:rPr>
        <w:t>receiving coverage of the tuition and fees expenses ma</w:t>
      </w:r>
      <w:r w:rsidR="00FC3FD5">
        <w:rPr>
          <w:rFonts w:ascii="Times New Roman" w:hAnsi="Times New Roman" w:cs="Times New Roman"/>
          <w:sz w:val="24"/>
          <w:szCs w:val="24"/>
        </w:rPr>
        <w:t xml:space="preserve">y be helpful for students who are ineligible for the Federal Pell grant, students receiving the full Pell grant are not receiving any additional aid from these programs and thus have little incentive to take up the program and attend TCC, OCCC, or Rose State. Moreover, students in the school districts may have watched their friends and family go through the program and realize the </w:t>
      </w:r>
      <w:r w:rsidR="00FC3FD5">
        <w:rPr>
          <w:rFonts w:ascii="Times New Roman" w:hAnsi="Times New Roman" w:cs="Times New Roman"/>
          <w:sz w:val="24"/>
          <w:szCs w:val="24"/>
        </w:rPr>
        <w:lastRenderedPageBreak/>
        <w:t xml:space="preserve">importance of living expenses and opportunity cost of attending classes instead of working on </w:t>
      </w:r>
      <w:r w:rsidR="00842947" w:rsidRPr="002E11AE">
        <w:rPr>
          <w:rFonts w:ascii="Times New Roman" w:hAnsi="Times New Roman" w:cs="Times New Roman"/>
          <w:b/>
          <w:noProof/>
          <w:sz w:val="24"/>
          <w:szCs w:val="24"/>
        </w:rPr>
        <w:drawing>
          <wp:anchor distT="0" distB="0" distL="114300" distR="114300" simplePos="0" relativeHeight="251716608" behindDoc="1" locked="0" layoutInCell="1" allowOverlap="1" wp14:anchorId="08E8BC7E" wp14:editId="0F120D6D">
            <wp:simplePos x="0" y="0"/>
            <wp:positionH relativeFrom="column">
              <wp:posOffset>2781300</wp:posOffset>
            </wp:positionH>
            <wp:positionV relativeFrom="paragraph">
              <wp:posOffset>2768600</wp:posOffset>
            </wp:positionV>
            <wp:extent cx="2862072" cy="2103120"/>
            <wp:effectExtent l="0" t="0" r="0" b="0"/>
            <wp:wrapTight wrapText="bothSides">
              <wp:wrapPolygon edited="0">
                <wp:start x="0" y="0"/>
                <wp:lineTo x="0" y="21326"/>
                <wp:lineTo x="21423" y="21326"/>
                <wp:lineTo x="21423"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947" w:rsidRPr="002E11AE">
        <w:rPr>
          <w:rFonts w:ascii="Times New Roman" w:hAnsi="Times New Roman" w:cs="Times New Roman"/>
          <w:b/>
          <w:noProof/>
          <w:sz w:val="24"/>
          <w:szCs w:val="24"/>
        </w:rPr>
        <w:drawing>
          <wp:anchor distT="0" distB="0" distL="114300" distR="114300" simplePos="0" relativeHeight="251714560" behindDoc="1" locked="0" layoutInCell="1" allowOverlap="1" wp14:anchorId="295D9E16" wp14:editId="4F4EB8DE">
            <wp:simplePos x="0" y="0"/>
            <wp:positionH relativeFrom="column">
              <wp:posOffset>2788920</wp:posOffset>
            </wp:positionH>
            <wp:positionV relativeFrom="paragraph">
              <wp:posOffset>795020</wp:posOffset>
            </wp:positionV>
            <wp:extent cx="2862072" cy="2103120"/>
            <wp:effectExtent l="0" t="0" r="0" b="0"/>
            <wp:wrapTight wrapText="bothSides">
              <wp:wrapPolygon edited="0">
                <wp:start x="0" y="0"/>
                <wp:lineTo x="0" y="21326"/>
                <wp:lineTo x="21423" y="21326"/>
                <wp:lineTo x="21423"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00284C07" w:rsidRPr="002E11AE">
        <w:rPr>
          <w:rFonts w:ascii="Times New Roman" w:hAnsi="Times New Roman" w:cs="Times New Roman"/>
          <w:b/>
          <w:noProof/>
          <w:sz w:val="24"/>
          <w:szCs w:val="24"/>
        </w:rPr>
        <w:drawing>
          <wp:anchor distT="0" distB="0" distL="114300" distR="114300" simplePos="0" relativeHeight="251717632" behindDoc="1" locked="0" layoutInCell="1" allowOverlap="1" wp14:anchorId="5B0D5EF5" wp14:editId="63C81145">
            <wp:simplePos x="0" y="0"/>
            <wp:positionH relativeFrom="margin">
              <wp:align>left</wp:align>
            </wp:positionH>
            <wp:positionV relativeFrom="paragraph">
              <wp:posOffset>2768600</wp:posOffset>
            </wp:positionV>
            <wp:extent cx="2862072" cy="2103120"/>
            <wp:effectExtent l="0" t="0" r="0" b="0"/>
            <wp:wrapTight wrapText="bothSides">
              <wp:wrapPolygon edited="0">
                <wp:start x="0" y="0"/>
                <wp:lineTo x="0" y="21326"/>
                <wp:lineTo x="21423" y="21326"/>
                <wp:lineTo x="21423"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00FC3FD5">
        <w:rPr>
          <w:rFonts w:ascii="Times New Roman" w:hAnsi="Times New Roman" w:cs="Times New Roman"/>
          <w:sz w:val="24"/>
          <w:szCs w:val="24"/>
        </w:rPr>
        <w:t xml:space="preserve">their ability to truly afford college. </w:t>
      </w:r>
    </w:p>
    <w:p w14:paraId="66034165" w14:textId="31CF4AE7" w:rsidR="00FC3FD5" w:rsidRDefault="00D67CF8">
      <w:pPr>
        <w:rPr>
          <w:rFonts w:ascii="Times New Roman" w:hAnsi="Times New Roman" w:cs="Times New Roman"/>
          <w:sz w:val="24"/>
          <w:szCs w:val="24"/>
        </w:rPr>
      </w:pPr>
      <w:r w:rsidRPr="002E11AE">
        <w:rPr>
          <w:rFonts w:ascii="Times New Roman" w:hAnsi="Times New Roman" w:cs="Times New Roman"/>
          <w:b/>
          <w:noProof/>
          <w:sz w:val="24"/>
          <w:szCs w:val="24"/>
        </w:rPr>
        <w:drawing>
          <wp:anchor distT="0" distB="0" distL="114300" distR="114300" simplePos="0" relativeHeight="251715584" behindDoc="1" locked="0" layoutInCell="1" allowOverlap="1" wp14:anchorId="0DD0F136" wp14:editId="368B6A55">
            <wp:simplePos x="0" y="0"/>
            <wp:positionH relativeFrom="column">
              <wp:posOffset>0</wp:posOffset>
            </wp:positionH>
            <wp:positionV relativeFrom="paragraph">
              <wp:posOffset>0</wp:posOffset>
            </wp:positionV>
            <wp:extent cx="2862072" cy="2103120"/>
            <wp:effectExtent l="0" t="0" r="0" b="0"/>
            <wp:wrapTight wrapText="bothSides">
              <wp:wrapPolygon edited="0">
                <wp:start x="0" y="0"/>
                <wp:lineTo x="0" y="21326"/>
                <wp:lineTo x="21423" y="21326"/>
                <wp:lineTo x="2142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11AE">
        <w:rPr>
          <w:rFonts w:ascii="Times New Roman" w:hAnsi="Times New Roman" w:cs="Times New Roman"/>
          <w:b/>
          <w:sz w:val="24"/>
          <w:szCs w:val="24"/>
        </w:rPr>
        <w:t xml:space="preserve">Figure </w:t>
      </w:r>
      <w:r w:rsidR="000378E2">
        <w:rPr>
          <w:rFonts w:ascii="Times New Roman" w:hAnsi="Times New Roman" w:cs="Times New Roman"/>
          <w:b/>
          <w:sz w:val="24"/>
          <w:szCs w:val="24"/>
        </w:rPr>
        <w:t>5-3</w:t>
      </w:r>
      <w:r w:rsidRPr="002E11AE">
        <w:rPr>
          <w:rFonts w:ascii="Times New Roman" w:hAnsi="Times New Roman" w:cs="Times New Roman"/>
          <w:b/>
          <w:sz w:val="24"/>
          <w:szCs w:val="24"/>
        </w:rPr>
        <w:t xml:space="preserve">. </w:t>
      </w:r>
      <w:r w:rsidRPr="002E11AE">
        <w:rPr>
          <w:rFonts w:ascii="Times New Roman" w:hAnsi="Times New Roman" w:cs="Times New Roman"/>
          <w:sz w:val="24"/>
          <w:szCs w:val="24"/>
        </w:rPr>
        <w:t>Changes in Student Population at T</w:t>
      </w:r>
      <w:r w:rsidR="008F37AE">
        <w:rPr>
          <w:rFonts w:ascii="Times New Roman" w:hAnsi="Times New Roman" w:cs="Times New Roman"/>
          <w:sz w:val="24"/>
          <w:szCs w:val="24"/>
        </w:rPr>
        <w:t>ulsa Community College. This figure displays the changes in student populations in other two-year colleges in the state of Oklahoma and in Tulsa Community College before and after the implementation of Tulsa Achieves.</w:t>
      </w:r>
      <w:r w:rsidR="00507752">
        <w:rPr>
          <w:rFonts w:ascii="Times New Roman" w:hAnsi="Times New Roman" w:cs="Times New Roman"/>
          <w:sz w:val="24"/>
          <w:szCs w:val="24"/>
        </w:rPr>
        <w:t xml:space="preserve"> The data for these figures comes from the Delta Cost Dataset. </w:t>
      </w:r>
      <w:r w:rsidR="00420F42">
        <w:rPr>
          <w:rFonts w:ascii="Times New Roman" w:hAnsi="Times New Roman" w:cs="Times New Roman"/>
          <w:sz w:val="24"/>
          <w:szCs w:val="24"/>
        </w:rPr>
        <w:t xml:space="preserve">The Pell grant data is in 2007 dollars. </w:t>
      </w:r>
    </w:p>
    <w:p w14:paraId="77C8F4A2" w14:textId="0CBADAA9" w:rsidR="009F3BF0" w:rsidRDefault="00FC3FD5" w:rsidP="00D563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looking at the changes in overall enrollment is important, it is also </w:t>
      </w:r>
      <w:r w:rsidR="00D563CC">
        <w:rPr>
          <w:rFonts w:ascii="Times New Roman" w:hAnsi="Times New Roman" w:cs="Times New Roman"/>
          <w:sz w:val="24"/>
          <w:szCs w:val="24"/>
        </w:rPr>
        <w:t xml:space="preserve">essential to examine what types of student populations are changing over time at each of the colleges affected. In Figure </w:t>
      </w:r>
      <w:r w:rsidR="00F426D9">
        <w:rPr>
          <w:rFonts w:ascii="Times New Roman" w:hAnsi="Times New Roman" w:cs="Times New Roman"/>
          <w:sz w:val="24"/>
          <w:szCs w:val="24"/>
        </w:rPr>
        <w:t>5-3</w:t>
      </w:r>
      <w:r w:rsidR="00D563CC">
        <w:rPr>
          <w:rFonts w:ascii="Times New Roman" w:hAnsi="Times New Roman" w:cs="Times New Roman"/>
          <w:sz w:val="24"/>
          <w:szCs w:val="24"/>
        </w:rPr>
        <w:t xml:space="preserve"> above, I examine the changes in racial/ethnic and Pell enrollment at TCC over time. </w:t>
      </w:r>
      <w:r w:rsidR="00507752">
        <w:rPr>
          <w:rFonts w:ascii="Times New Roman" w:hAnsi="Times New Roman" w:cs="Times New Roman"/>
          <w:sz w:val="24"/>
          <w:szCs w:val="24"/>
        </w:rPr>
        <w:t xml:space="preserve">This figure demonstrates that the Tulsa Achieves program is associated with a significant increase in the percentage of students identifying as Black or Hispanic and an increase in the enrollment of student receiving the Federal Pell grant. </w:t>
      </w:r>
      <w:r w:rsidR="002A3347">
        <w:rPr>
          <w:rFonts w:ascii="Times New Roman" w:hAnsi="Times New Roman" w:cs="Times New Roman"/>
          <w:sz w:val="24"/>
          <w:szCs w:val="24"/>
        </w:rPr>
        <w:t xml:space="preserve">In terms of magnitude, </w:t>
      </w:r>
      <w:r w:rsidR="00101749">
        <w:rPr>
          <w:rFonts w:ascii="Times New Roman" w:hAnsi="Times New Roman" w:cs="Times New Roman"/>
          <w:sz w:val="24"/>
          <w:szCs w:val="24"/>
        </w:rPr>
        <w:t xml:space="preserve">there was around a two percent increase in the percentage of Black students by 2013, which </w:t>
      </w:r>
      <w:r w:rsidR="00101749">
        <w:rPr>
          <w:rFonts w:ascii="Times New Roman" w:hAnsi="Times New Roman" w:cs="Times New Roman"/>
          <w:sz w:val="24"/>
          <w:szCs w:val="24"/>
        </w:rPr>
        <w:lastRenderedPageBreak/>
        <w:t>declined to a zero percent increase by 2015</w:t>
      </w:r>
      <w:r w:rsidR="007B490F">
        <w:rPr>
          <w:rFonts w:ascii="Times New Roman" w:hAnsi="Times New Roman" w:cs="Times New Roman"/>
          <w:sz w:val="24"/>
          <w:szCs w:val="24"/>
        </w:rPr>
        <w:t xml:space="preserve">. </w:t>
      </w:r>
      <w:r w:rsidR="00F544BF">
        <w:rPr>
          <w:rFonts w:ascii="Times New Roman" w:hAnsi="Times New Roman" w:cs="Times New Roman"/>
          <w:sz w:val="24"/>
          <w:szCs w:val="24"/>
        </w:rPr>
        <w:t xml:space="preserve">For Hispanic students, the share of enrollment grew by approximately four percent by 2015 and there was a corresponding decline in the share of white students of around 15 percent over the post implementation time period. </w:t>
      </w:r>
      <w:r w:rsidR="002A26BE">
        <w:rPr>
          <w:rFonts w:ascii="Times New Roman" w:hAnsi="Times New Roman" w:cs="Times New Roman"/>
          <w:sz w:val="24"/>
          <w:szCs w:val="24"/>
        </w:rPr>
        <w:t xml:space="preserve">This suggests that the </w:t>
      </w:r>
      <w:r w:rsidR="00D515DA">
        <w:rPr>
          <w:rFonts w:ascii="Times New Roman" w:hAnsi="Times New Roman" w:cs="Times New Roman"/>
          <w:sz w:val="24"/>
          <w:szCs w:val="24"/>
        </w:rPr>
        <w:t>Tulsa Achieves program</w:t>
      </w:r>
      <w:r w:rsidR="002A26BE">
        <w:rPr>
          <w:rFonts w:ascii="Times New Roman" w:hAnsi="Times New Roman" w:cs="Times New Roman"/>
          <w:sz w:val="24"/>
          <w:szCs w:val="24"/>
        </w:rPr>
        <w:t xml:space="preserve">, regardless of whether the students take up the Tulsa Achieves policy, </w:t>
      </w:r>
      <w:r w:rsidR="00D515DA">
        <w:rPr>
          <w:rFonts w:ascii="Times New Roman" w:hAnsi="Times New Roman" w:cs="Times New Roman"/>
          <w:sz w:val="24"/>
          <w:szCs w:val="24"/>
        </w:rPr>
        <w:t xml:space="preserve">is associated </w:t>
      </w:r>
      <w:r w:rsidR="002A26BE">
        <w:rPr>
          <w:rFonts w:ascii="Times New Roman" w:hAnsi="Times New Roman" w:cs="Times New Roman"/>
          <w:sz w:val="24"/>
          <w:szCs w:val="24"/>
        </w:rPr>
        <w:t xml:space="preserve">to increases in access for Hispanic students. </w:t>
      </w:r>
      <w:r w:rsidR="00D515DA">
        <w:rPr>
          <w:rFonts w:ascii="Times New Roman" w:hAnsi="Times New Roman" w:cs="Times New Roman"/>
          <w:sz w:val="24"/>
          <w:szCs w:val="24"/>
        </w:rPr>
        <w:t xml:space="preserve">In fact, only 15 percent of Hispanic students </w:t>
      </w:r>
      <w:r w:rsidR="00530ED8">
        <w:rPr>
          <w:rFonts w:ascii="Times New Roman" w:hAnsi="Times New Roman" w:cs="Times New Roman"/>
          <w:sz w:val="24"/>
          <w:szCs w:val="24"/>
        </w:rPr>
        <w:t xml:space="preserve">attending TCC are recipients of Tulsa Achieves, but many may have been impacted by the free college message and found out that they qualify for the Federal Pell grant (which covers the full cost of tuition and fees at TCC)—67 percent of Hispanic students attending TCC during this time period receive the Federal Pell grant.  </w:t>
      </w:r>
      <w:r w:rsidR="006E7723">
        <w:rPr>
          <w:rFonts w:ascii="Times New Roman" w:hAnsi="Times New Roman" w:cs="Times New Roman"/>
          <w:sz w:val="24"/>
          <w:szCs w:val="24"/>
        </w:rPr>
        <w:t>Finally, the increase in the amount of Pell grant money flowing to TCC grew exponentially in the post implementation time period. Going from less than 2 million in Pell grant aid in 2009 to 10 million in 2013</w:t>
      </w:r>
      <w:r w:rsidR="009F3BF0">
        <w:rPr>
          <w:rFonts w:ascii="Times New Roman" w:hAnsi="Times New Roman" w:cs="Times New Roman"/>
          <w:sz w:val="24"/>
          <w:szCs w:val="24"/>
        </w:rPr>
        <w:t>, and around 8 million in 2014 and 2015, it is clear that Tulsa Achieves is associated with many more students attending TCC with Pell support. This indicates that in addition to producing an initial increase in Black enrollment and a steadily increase in Hispanic enrollment, the Tulsa Achieves program is also associated with a greater share of students from low income families attending TCC.</w:t>
      </w:r>
    </w:p>
    <w:p w14:paraId="678595C0" w14:textId="2995D174" w:rsidR="00242FC0" w:rsidRPr="00613BAC" w:rsidRDefault="009F3BF0" w:rsidP="00D563CC">
      <w:pPr>
        <w:spacing w:after="0" w:line="480" w:lineRule="auto"/>
        <w:rPr>
          <w:rFonts w:ascii="Times New Roman" w:hAnsi="Times New Roman" w:cs="Times New Roman"/>
          <w:sz w:val="24"/>
          <w:szCs w:val="24"/>
        </w:rPr>
      </w:pPr>
      <w:r>
        <w:rPr>
          <w:rFonts w:ascii="Times New Roman" w:hAnsi="Times New Roman" w:cs="Times New Roman"/>
          <w:sz w:val="24"/>
          <w:szCs w:val="24"/>
        </w:rPr>
        <w:tab/>
        <w:t>Next, I explore whether the OKCGo program produced similar impacts on racial/ethnic and low-income enrollment</w:t>
      </w:r>
      <w:r w:rsidR="00247D43">
        <w:rPr>
          <w:rFonts w:ascii="Times New Roman" w:hAnsi="Times New Roman" w:cs="Times New Roman"/>
          <w:sz w:val="24"/>
          <w:szCs w:val="24"/>
        </w:rPr>
        <w:t xml:space="preserve"> based on Figure </w:t>
      </w:r>
      <w:r w:rsidR="00F426D9">
        <w:rPr>
          <w:rFonts w:ascii="Times New Roman" w:hAnsi="Times New Roman" w:cs="Times New Roman"/>
          <w:sz w:val="24"/>
          <w:szCs w:val="24"/>
        </w:rPr>
        <w:t>5-4</w:t>
      </w:r>
      <w:r w:rsidR="00247D43">
        <w:rPr>
          <w:rFonts w:ascii="Times New Roman" w:hAnsi="Times New Roman" w:cs="Times New Roman"/>
          <w:sz w:val="24"/>
          <w:szCs w:val="24"/>
        </w:rPr>
        <w:t xml:space="preserve"> below. This figure demonstrates that the percentage of Black students increased along with the share of Hispanic students and Pell grant recipients over the post implementation time period. </w:t>
      </w:r>
      <w:r w:rsidR="00D11977">
        <w:rPr>
          <w:rFonts w:ascii="Times New Roman" w:hAnsi="Times New Roman" w:cs="Times New Roman"/>
          <w:sz w:val="24"/>
          <w:szCs w:val="24"/>
        </w:rPr>
        <w:t>Black student enrollment increased in the first phase of OKCGo from 6 percent to over 8 percent</w:t>
      </w:r>
      <w:r w:rsidR="00613BAC">
        <w:rPr>
          <w:rFonts w:ascii="Times New Roman" w:hAnsi="Times New Roman" w:cs="Times New Roman"/>
          <w:sz w:val="24"/>
          <w:szCs w:val="24"/>
        </w:rPr>
        <w:t>. Then, Black student enrollment increased to over 10 percent but then stabilized back to 8/9 percent by 2015. Hispanic enrollment similarly grew 2 percent from 1999 to 2008 and then experienced a sharp decline in 2011-2013</w:t>
      </w:r>
      <w:r w:rsidR="004B720A">
        <w:rPr>
          <w:rFonts w:ascii="Times New Roman" w:hAnsi="Times New Roman" w:cs="Times New Roman"/>
          <w:sz w:val="24"/>
          <w:szCs w:val="24"/>
        </w:rPr>
        <w:t xml:space="preserve"> only to increase yet again in 2014 and 2015 to over 10 percent. White enrollment, on the other </w:t>
      </w:r>
      <w:r w:rsidR="004B720A">
        <w:rPr>
          <w:rFonts w:ascii="Times New Roman" w:hAnsi="Times New Roman" w:cs="Times New Roman"/>
          <w:sz w:val="24"/>
          <w:szCs w:val="24"/>
        </w:rPr>
        <w:lastRenderedPageBreak/>
        <w:t xml:space="preserve">hand, steadily decreased, mirroring the changes in the other two-year colleges around the state during this time period. </w:t>
      </w:r>
      <w:r w:rsidR="00E5525E">
        <w:rPr>
          <w:rFonts w:ascii="Times New Roman" w:hAnsi="Times New Roman" w:cs="Times New Roman"/>
          <w:sz w:val="24"/>
          <w:szCs w:val="24"/>
        </w:rPr>
        <w:t xml:space="preserve">The Pell enrollment, while steadily increasing along with other two-year </w:t>
      </w:r>
      <w:r w:rsidR="00842947" w:rsidRPr="002E11AE">
        <w:rPr>
          <w:rFonts w:ascii="Times New Roman" w:hAnsi="Times New Roman" w:cs="Times New Roman"/>
          <w:b/>
          <w:noProof/>
          <w:sz w:val="24"/>
          <w:szCs w:val="24"/>
        </w:rPr>
        <w:drawing>
          <wp:anchor distT="0" distB="0" distL="114300" distR="114300" simplePos="0" relativeHeight="251719680" behindDoc="1" locked="0" layoutInCell="1" allowOverlap="1" wp14:anchorId="5257605B" wp14:editId="5023D484">
            <wp:simplePos x="0" y="0"/>
            <wp:positionH relativeFrom="column">
              <wp:posOffset>2816225</wp:posOffset>
            </wp:positionH>
            <wp:positionV relativeFrom="paragraph">
              <wp:posOffset>1028700</wp:posOffset>
            </wp:positionV>
            <wp:extent cx="2862072" cy="2103120"/>
            <wp:effectExtent l="0" t="0" r="0" b="0"/>
            <wp:wrapTight wrapText="bothSides">
              <wp:wrapPolygon edited="0">
                <wp:start x="0" y="0"/>
                <wp:lineTo x="0" y="21326"/>
                <wp:lineTo x="21423" y="21326"/>
                <wp:lineTo x="21423"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F0C" w:rsidRPr="002E11AE">
        <w:rPr>
          <w:rFonts w:ascii="Times New Roman" w:hAnsi="Times New Roman" w:cs="Times New Roman"/>
          <w:b/>
          <w:noProof/>
          <w:sz w:val="24"/>
          <w:szCs w:val="24"/>
        </w:rPr>
        <w:drawing>
          <wp:anchor distT="0" distB="0" distL="114300" distR="114300" simplePos="0" relativeHeight="251721728" behindDoc="1" locked="0" layoutInCell="1" allowOverlap="1" wp14:anchorId="68DFDAFA" wp14:editId="65F40456">
            <wp:simplePos x="0" y="0"/>
            <wp:positionH relativeFrom="column">
              <wp:posOffset>2811780</wp:posOffset>
            </wp:positionH>
            <wp:positionV relativeFrom="paragraph">
              <wp:posOffset>3063240</wp:posOffset>
            </wp:positionV>
            <wp:extent cx="2862072" cy="2103120"/>
            <wp:effectExtent l="0" t="0" r="0" b="0"/>
            <wp:wrapTight wrapText="bothSides">
              <wp:wrapPolygon edited="0">
                <wp:start x="0" y="0"/>
                <wp:lineTo x="0" y="21326"/>
                <wp:lineTo x="21423" y="21326"/>
                <wp:lineTo x="2142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0F0C" w:rsidRPr="002E11AE">
        <w:rPr>
          <w:rFonts w:ascii="Times New Roman" w:hAnsi="Times New Roman" w:cs="Times New Roman"/>
          <w:b/>
          <w:noProof/>
          <w:sz w:val="24"/>
          <w:szCs w:val="24"/>
        </w:rPr>
        <w:drawing>
          <wp:anchor distT="0" distB="0" distL="114300" distR="114300" simplePos="0" relativeHeight="251720704" behindDoc="1" locked="0" layoutInCell="1" allowOverlap="1" wp14:anchorId="66CADBBB" wp14:editId="7D01DABC">
            <wp:simplePos x="0" y="0"/>
            <wp:positionH relativeFrom="margin">
              <wp:align>left</wp:align>
            </wp:positionH>
            <wp:positionV relativeFrom="paragraph">
              <wp:posOffset>3063240</wp:posOffset>
            </wp:positionV>
            <wp:extent cx="2861945" cy="2103120"/>
            <wp:effectExtent l="0" t="0" r="0" b="0"/>
            <wp:wrapTight wrapText="bothSides">
              <wp:wrapPolygon edited="0">
                <wp:start x="0" y="0"/>
                <wp:lineTo x="0" y="21326"/>
                <wp:lineTo x="21423" y="21326"/>
                <wp:lineTo x="21423"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61945"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525E">
        <w:rPr>
          <w:rFonts w:ascii="Times New Roman" w:hAnsi="Times New Roman" w:cs="Times New Roman"/>
          <w:sz w:val="24"/>
          <w:szCs w:val="24"/>
        </w:rPr>
        <w:t xml:space="preserve">colleges over 1999-2008, increased rapidly from 2 million up to over 4 million in 2015. </w:t>
      </w:r>
    </w:p>
    <w:p w14:paraId="60A54E28" w14:textId="4D75C3B8" w:rsidR="00E5525E" w:rsidRDefault="00D67CF8">
      <w:pPr>
        <w:rPr>
          <w:rFonts w:ascii="Times New Roman" w:hAnsi="Times New Roman" w:cs="Times New Roman"/>
          <w:sz w:val="24"/>
          <w:szCs w:val="24"/>
        </w:rPr>
      </w:pPr>
      <w:r w:rsidRPr="002E11AE">
        <w:rPr>
          <w:rFonts w:ascii="Times New Roman" w:hAnsi="Times New Roman" w:cs="Times New Roman"/>
          <w:b/>
          <w:noProof/>
          <w:sz w:val="24"/>
          <w:szCs w:val="24"/>
        </w:rPr>
        <w:drawing>
          <wp:anchor distT="0" distB="0" distL="114300" distR="114300" simplePos="0" relativeHeight="251718656" behindDoc="1" locked="0" layoutInCell="1" allowOverlap="1" wp14:anchorId="451CBD70" wp14:editId="0CD74961">
            <wp:simplePos x="0" y="0"/>
            <wp:positionH relativeFrom="column">
              <wp:posOffset>0</wp:posOffset>
            </wp:positionH>
            <wp:positionV relativeFrom="paragraph">
              <wp:posOffset>0</wp:posOffset>
            </wp:positionV>
            <wp:extent cx="2862072" cy="2103120"/>
            <wp:effectExtent l="0" t="0" r="0" b="0"/>
            <wp:wrapTight wrapText="bothSides">
              <wp:wrapPolygon edited="0">
                <wp:start x="0" y="0"/>
                <wp:lineTo x="0" y="21326"/>
                <wp:lineTo x="21423" y="21326"/>
                <wp:lineTo x="21423"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11AE">
        <w:rPr>
          <w:rFonts w:ascii="Times New Roman" w:hAnsi="Times New Roman" w:cs="Times New Roman"/>
          <w:b/>
          <w:sz w:val="24"/>
          <w:szCs w:val="24"/>
        </w:rPr>
        <w:t xml:space="preserve">Figure </w:t>
      </w:r>
      <w:r w:rsidR="00F426D9">
        <w:rPr>
          <w:rFonts w:ascii="Times New Roman" w:hAnsi="Times New Roman" w:cs="Times New Roman"/>
          <w:b/>
          <w:sz w:val="24"/>
          <w:szCs w:val="24"/>
        </w:rPr>
        <w:t>5-4</w:t>
      </w:r>
      <w:r w:rsidRPr="002E11AE">
        <w:rPr>
          <w:rFonts w:ascii="Times New Roman" w:hAnsi="Times New Roman" w:cs="Times New Roman"/>
          <w:sz w:val="24"/>
          <w:szCs w:val="24"/>
        </w:rPr>
        <w:t>. Changes in Student Population at O</w:t>
      </w:r>
      <w:r w:rsidR="008F37AE">
        <w:rPr>
          <w:rFonts w:ascii="Times New Roman" w:hAnsi="Times New Roman" w:cs="Times New Roman"/>
          <w:sz w:val="24"/>
          <w:szCs w:val="24"/>
        </w:rPr>
        <w:t xml:space="preserve">klahoma City Community College. This figure displays the changes in student populations in other two-year colleges in the state of Oklahoma and in Oklahoma City Community College before and after the implementation of OKCGo. There are two </w:t>
      </w:r>
      <w:r w:rsidR="00DC4EBE">
        <w:rPr>
          <w:rFonts w:ascii="Times New Roman" w:hAnsi="Times New Roman" w:cs="Times New Roman"/>
          <w:sz w:val="24"/>
          <w:szCs w:val="24"/>
        </w:rPr>
        <w:t>years of implementation because the program was expanded in 2008.</w:t>
      </w:r>
      <w:r w:rsidR="00507752" w:rsidRPr="00507752">
        <w:rPr>
          <w:rFonts w:ascii="Times New Roman" w:hAnsi="Times New Roman" w:cs="Times New Roman"/>
          <w:sz w:val="24"/>
          <w:szCs w:val="24"/>
        </w:rPr>
        <w:t xml:space="preserve"> </w:t>
      </w:r>
      <w:r w:rsidR="00507752">
        <w:rPr>
          <w:rFonts w:ascii="Times New Roman" w:hAnsi="Times New Roman" w:cs="Times New Roman"/>
          <w:sz w:val="24"/>
          <w:szCs w:val="24"/>
        </w:rPr>
        <w:t>The data for these figures comes from the Delta Cost Dataset.</w:t>
      </w:r>
      <w:r w:rsidR="00420F42" w:rsidRPr="00420F42">
        <w:rPr>
          <w:rFonts w:ascii="Times New Roman" w:hAnsi="Times New Roman" w:cs="Times New Roman"/>
          <w:sz w:val="24"/>
          <w:szCs w:val="24"/>
        </w:rPr>
        <w:t xml:space="preserve"> </w:t>
      </w:r>
      <w:r w:rsidR="00420F42">
        <w:rPr>
          <w:rFonts w:ascii="Times New Roman" w:hAnsi="Times New Roman" w:cs="Times New Roman"/>
          <w:sz w:val="24"/>
          <w:szCs w:val="24"/>
        </w:rPr>
        <w:t>The Pell grant data is in 2007 dollars.</w:t>
      </w:r>
    </w:p>
    <w:p w14:paraId="1294BC90" w14:textId="47400B59" w:rsidR="00D67CF8" w:rsidRPr="002E11AE" w:rsidRDefault="00284C07" w:rsidP="00B62EDE">
      <w:pPr>
        <w:spacing w:after="0" w:line="480" w:lineRule="auto"/>
        <w:rPr>
          <w:rFonts w:ascii="Times New Roman" w:hAnsi="Times New Roman" w:cs="Times New Roman"/>
          <w:b/>
          <w:sz w:val="24"/>
          <w:szCs w:val="24"/>
        </w:rPr>
      </w:pPr>
      <w:r w:rsidRPr="002E11AE">
        <w:rPr>
          <w:rFonts w:ascii="Times New Roman" w:hAnsi="Times New Roman" w:cs="Times New Roman"/>
          <w:b/>
          <w:noProof/>
          <w:sz w:val="24"/>
          <w:szCs w:val="24"/>
        </w:rPr>
        <w:lastRenderedPageBreak/>
        <w:drawing>
          <wp:anchor distT="0" distB="0" distL="114300" distR="114300" simplePos="0" relativeHeight="251725824" behindDoc="1" locked="0" layoutInCell="1" allowOverlap="1" wp14:anchorId="093A82E1" wp14:editId="141BE2C5">
            <wp:simplePos x="0" y="0"/>
            <wp:positionH relativeFrom="column">
              <wp:posOffset>2788920</wp:posOffset>
            </wp:positionH>
            <wp:positionV relativeFrom="paragraph">
              <wp:posOffset>2697480</wp:posOffset>
            </wp:positionV>
            <wp:extent cx="2862072" cy="2103120"/>
            <wp:effectExtent l="0" t="0" r="0" b="0"/>
            <wp:wrapTight wrapText="bothSides">
              <wp:wrapPolygon edited="0">
                <wp:start x="0" y="0"/>
                <wp:lineTo x="0" y="21326"/>
                <wp:lineTo x="21423" y="21326"/>
                <wp:lineTo x="2142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11AE">
        <w:rPr>
          <w:rFonts w:ascii="Times New Roman" w:hAnsi="Times New Roman" w:cs="Times New Roman"/>
          <w:b/>
          <w:noProof/>
          <w:sz w:val="24"/>
          <w:szCs w:val="24"/>
        </w:rPr>
        <w:drawing>
          <wp:anchor distT="0" distB="0" distL="114300" distR="114300" simplePos="0" relativeHeight="251723776" behindDoc="1" locked="0" layoutInCell="1" allowOverlap="1" wp14:anchorId="786FD79D" wp14:editId="0D3D19D6">
            <wp:simplePos x="0" y="0"/>
            <wp:positionH relativeFrom="column">
              <wp:posOffset>2788920</wp:posOffset>
            </wp:positionH>
            <wp:positionV relativeFrom="paragraph">
              <wp:posOffset>685800</wp:posOffset>
            </wp:positionV>
            <wp:extent cx="2862072" cy="2103120"/>
            <wp:effectExtent l="0" t="0" r="0" b="0"/>
            <wp:wrapTight wrapText="bothSides">
              <wp:wrapPolygon edited="0">
                <wp:start x="0" y="0"/>
                <wp:lineTo x="0" y="21326"/>
                <wp:lineTo x="21423" y="21326"/>
                <wp:lineTo x="21423"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11AE">
        <w:rPr>
          <w:rFonts w:ascii="Times New Roman" w:hAnsi="Times New Roman" w:cs="Times New Roman"/>
          <w:b/>
          <w:noProof/>
          <w:sz w:val="24"/>
          <w:szCs w:val="24"/>
        </w:rPr>
        <w:drawing>
          <wp:anchor distT="0" distB="0" distL="114300" distR="114300" simplePos="0" relativeHeight="251724800" behindDoc="1" locked="0" layoutInCell="1" allowOverlap="1" wp14:anchorId="7189262C" wp14:editId="7B22765A">
            <wp:simplePos x="0" y="0"/>
            <wp:positionH relativeFrom="margin">
              <wp:align>left</wp:align>
            </wp:positionH>
            <wp:positionV relativeFrom="paragraph">
              <wp:posOffset>2720340</wp:posOffset>
            </wp:positionV>
            <wp:extent cx="2862072" cy="2103120"/>
            <wp:effectExtent l="0" t="0" r="0" b="0"/>
            <wp:wrapTight wrapText="bothSides">
              <wp:wrapPolygon edited="0">
                <wp:start x="0" y="0"/>
                <wp:lineTo x="0" y="21326"/>
                <wp:lineTo x="21423" y="21326"/>
                <wp:lineTo x="21423"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525E">
        <w:rPr>
          <w:rFonts w:ascii="Times New Roman" w:hAnsi="Times New Roman" w:cs="Times New Roman"/>
          <w:sz w:val="24"/>
          <w:szCs w:val="24"/>
        </w:rPr>
        <w:tab/>
        <w:t xml:space="preserve">Finally, </w:t>
      </w:r>
      <w:r w:rsidR="00E26AB3">
        <w:rPr>
          <w:rFonts w:ascii="Times New Roman" w:hAnsi="Times New Roman" w:cs="Times New Roman"/>
          <w:sz w:val="24"/>
          <w:szCs w:val="24"/>
        </w:rPr>
        <w:t xml:space="preserve">Figure </w:t>
      </w:r>
      <w:r w:rsidR="00F426D9">
        <w:rPr>
          <w:rFonts w:ascii="Times New Roman" w:hAnsi="Times New Roman" w:cs="Times New Roman"/>
          <w:sz w:val="24"/>
          <w:szCs w:val="24"/>
        </w:rPr>
        <w:t>5-5</w:t>
      </w:r>
      <w:r w:rsidR="00E26AB3">
        <w:rPr>
          <w:rFonts w:ascii="Times New Roman" w:hAnsi="Times New Roman" w:cs="Times New Roman"/>
          <w:sz w:val="24"/>
          <w:szCs w:val="24"/>
        </w:rPr>
        <w:t xml:space="preserve"> below displays the changes in the student population attending Rose State College before and after the implementation of the Ticket to Rose program. </w:t>
      </w:r>
      <w:r w:rsidR="00507752">
        <w:rPr>
          <w:rFonts w:ascii="Times New Roman" w:hAnsi="Times New Roman" w:cs="Times New Roman"/>
          <w:sz w:val="24"/>
          <w:szCs w:val="24"/>
        </w:rPr>
        <w:t xml:space="preserve"> </w:t>
      </w:r>
    </w:p>
    <w:p w14:paraId="7DAD025C" w14:textId="2A39CBB0" w:rsidR="000E68A5" w:rsidRDefault="00E918D4">
      <w:pPr>
        <w:rPr>
          <w:rFonts w:ascii="Times New Roman" w:hAnsi="Times New Roman" w:cs="Times New Roman"/>
          <w:sz w:val="24"/>
          <w:szCs w:val="24"/>
        </w:rPr>
      </w:pPr>
      <w:r w:rsidRPr="002E11AE">
        <w:rPr>
          <w:rFonts w:ascii="Times New Roman" w:hAnsi="Times New Roman" w:cs="Times New Roman"/>
          <w:b/>
          <w:noProof/>
          <w:sz w:val="24"/>
          <w:szCs w:val="24"/>
        </w:rPr>
        <w:drawing>
          <wp:anchor distT="0" distB="0" distL="114300" distR="114300" simplePos="0" relativeHeight="251722752" behindDoc="1" locked="0" layoutInCell="1" allowOverlap="1" wp14:anchorId="37440EE5" wp14:editId="68F522DE">
            <wp:simplePos x="0" y="0"/>
            <wp:positionH relativeFrom="column">
              <wp:posOffset>0</wp:posOffset>
            </wp:positionH>
            <wp:positionV relativeFrom="paragraph">
              <wp:posOffset>0</wp:posOffset>
            </wp:positionV>
            <wp:extent cx="2862072" cy="2103120"/>
            <wp:effectExtent l="0" t="0" r="0" b="0"/>
            <wp:wrapTight wrapText="bothSides">
              <wp:wrapPolygon edited="0">
                <wp:start x="0" y="0"/>
                <wp:lineTo x="0" y="21326"/>
                <wp:lineTo x="21423" y="21326"/>
                <wp:lineTo x="21423"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862072"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11AE">
        <w:rPr>
          <w:rFonts w:ascii="Times New Roman" w:hAnsi="Times New Roman" w:cs="Times New Roman"/>
          <w:b/>
          <w:sz w:val="24"/>
          <w:szCs w:val="24"/>
        </w:rPr>
        <w:t xml:space="preserve">Figure </w:t>
      </w:r>
      <w:r w:rsidR="00F426D9">
        <w:rPr>
          <w:rFonts w:ascii="Times New Roman" w:hAnsi="Times New Roman" w:cs="Times New Roman"/>
          <w:b/>
          <w:sz w:val="24"/>
          <w:szCs w:val="24"/>
        </w:rPr>
        <w:t>5-5</w:t>
      </w:r>
      <w:r w:rsidRPr="002E11AE">
        <w:rPr>
          <w:rFonts w:ascii="Times New Roman" w:hAnsi="Times New Roman" w:cs="Times New Roman"/>
          <w:b/>
          <w:sz w:val="24"/>
          <w:szCs w:val="24"/>
        </w:rPr>
        <w:t xml:space="preserve">. </w:t>
      </w:r>
      <w:r w:rsidRPr="002E11AE">
        <w:rPr>
          <w:rFonts w:ascii="Times New Roman" w:hAnsi="Times New Roman" w:cs="Times New Roman"/>
          <w:sz w:val="24"/>
          <w:szCs w:val="24"/>
        </w:rPr>
        <w:t>Changes in Student Population at Rose State College</w:t>
      </w:r>
      <w:r w:rsidR="00DC4EBE">
        <w:rPr>
          <w:rFonts w:ascii="Times New Roman" w:hAnsi="Times New Roman" w:cs="Times New Roman"/>
          <w:sz w:val="24"/>
          <w:szCs w:val="24"/>
        </w:rPr>
        <w:t>. This figure displays the changes in student populations in other two-year colleges in the state of Oklahoma and in Rose State College before and after the implementation of Ticket to Rose.</w:t>
      </w:r>
      <w:r w:rsidR="00507752" w:rsidRPr="00507752">
        <w:rPr>
          <w:rFonts w:ascii="Times New Roman" w:hAnsi="Times New Roman" w:cs="Times New Roman"/>
          <w:sz w:val="24"/>
          <w:szCs w:val="24"/>
        </w:rPr>
        <w:t xml:space="preserve"> </w:t>
      </w:r>
      <w:r w:rsidR="00507752">
        <w:rPr>
          <w:rFonts w:ascii="Times New Roman" w:hAnsi="Times New Roman" w:cs="Times New Roman"/>
          <w:sz w:val="24"/>
          <w:szCs w:val="24"/>
        </w:rPr>
        <w:t xml:space="preserve">The data for these figures comes from the Delta Cost Dataset. </w:t>
      </w:r>
      <w:r w:rsidR="00420F42">
        <w:rPr>
          <w:rFonts w:ascii="Times New Roman" w:hAnsi="Times New Roman" w:cs="Times New Roman"/>
          <w:sz w:val="24"/>
          <w:szCs w:val="24"/>
        </w:rPr>
        <w:t>The Pell grant data is in 2007 dollars.</w:t>
      </w:r>
    </w:p>
    <w:p w14:paraId="036CD536" w14:textId="5D1E93C7" w:rsidR="000E68A5" w:rsidRDefault="000E68A5" w:rsidP="000E68A5">
      <w:pPr>
        <w:spacing w:line="480" w:lineRule="auto"/>
        <w:rPr>
          <w:rFonts w:ascii="Times New Roman" w:hAnsi="Times New Roman" w:cs="Times New Roman"/>
          <w:sz w:val="24"/>
          <w:szCs w:val="24"/>
        </w:rPr>
      </w:pPr>
      <w:r>
        <w:rPr>
          <w:rFonts w:ascii="Times New Roman" w:hAnsi="Times New Roman" w:cs="Times New Roman"/>
          <w:sz w:val="24"/>
          <w:szCs w:val="24"/>
        </w:rPr>
        <w:tab/>
      </w:r>
      <w:r w:rsidR="004F2B7E">
        <w:rPr>
          <w:rFonts w:ascii="Times New Roman" w:hAnsi="Times New Roman" w:cs="Times New Roman"/>
          <w:sz w:val="24"/>
          <w:szCs w:val="24"/>
        </w:rPr>
        <w:t xml:space="preserve">Figure </w:t>
      </w:r>
      <w:r w:rsidR="00F426D9">
        <w:rPr>
          <w:rFonts w:ascii="Times New Roman" w:hAnsi="Times New Roman" w:cs="Times New Roman"/>
          <w:sz w:val="24"/>
          <w:szCs w:val="24"/>
        </w:rPr>
        <w:t>5-5</w:t>
      </w:r>
      <w:r w:rsidR="004F2B7E">
        <w:rPr>
          <w:rFonts w:ascii="Times New Roman" w:hAnsi="Times New Roman" w:cs="Times New Roman"/>
          <w:sz w:val="24"/>
          <w:szCs w:val="24"/>
        </w:rPr>
        <w:t xml:space="preserve"> above reveals that </w:t>
      </w:r>
      <w:r w:rsidR="0093773D">
        <w:rPr>
          <w:rFonts w:ascii="Times New Roman" w:hAnsi="Times New Roman" w:cs="Times New Roman"/>
          <w:sz w:val="24"/>
          <w:szCs w:val="24"/>
        </w:rPr>
        <w:t xml:space="preserve">the Black enrollment </w:t>
      </w:r>
      <w:r w:rsidR="00EF2009">
        <w:rPr>
          <w:rFonts w:ascii="Times New Roman" w:hAnsi="Times New Roman" w:cs="Times New Roman"/>
          <w:sz w:val="24"/>
          <w:szCs w:val="24"/>
        </w:rPr>
        <w:t xml:space="preserve">increased by around 2-3 percent in the first three years post implementation but then dropped back to around 16 percent, only 1 percent higher than the share of Black enrollment at the start of the program. On the other hand, there was a sharp decline in the percentage of white students immediately after the implementation of Ticket to Rose and an overall 20 percent decrease in the share of white students, although similar declines were occurring at other universities across the state during this time period as well. </w:t>
      </w:r>
      <w:r w:rsidR="00CD0555">
        <w:rPr>
          <w:rFonts w:ascii="Times New Roman" w:hAnsi="Times New Roman" w:cs="Times New Roman"/>
          <w:sz w:val="24"/>
          <w:szCs w:val="24"/>
        </w:rPr>
        <w:t xml:space="preserve">The share of Hispanic students attending Rose State increased by about 2 percent during post </w:t>
      </w:r>
      <w:r w:rsidR="00CD0555">
        <w:rPr>
          <w:rFonts w:ascii="Times New Roman" w:hAnsi="Times New Roman" w:cs="Times New Roman"/>
          <w:sz w:val="24"/>
          <w:szCs w:val="24"/>
        </w:rPr>
        <w:lastRenderedPageBreak/>
        <w:t>implementation years, despite some fluctuation. Finally</w:t>
      </w:r>
      <w:r w:rsidR="00426C63">
        <w:rPr>
          <w:rFonts w:ascii="Times New Roman" w:hAnsi="Times New Roman" w:cs="Times New Roman"/>
          <w:sz w:val="24"/>
          <w:szCs w:val="24"/>
        </w:rPr>
        <w:t xml:space="preserve">, Rose State College started off well below the average Pell dollars in 2008 but ended up above the average </w:t>
      </w:r>
      <w:r w:rsidR="0009596B">
        <w:rPr>
          <w:rFonts w:ascii="Times New Roman" w:hAnsi="Times New Roman" w:cs="Times New Roman"/>
          <w:sz w:val="24"/>
          <w:szCs w:val="24"/>
        </w:rPr>
        <w:t>two-year</w:t>
      </w:r>
      <w:r w:rsidR="00426C63">
        <w:rPr>
          <w:rFonts w:ascii="Times New Roman" w:hAnsi="Times New Roman" w:cs="Times New Roman"/>
          <w:sz w:val="24"/>
          <w:szCs w:val="24"/>
        </w:rPr>
        <w:t xml:space="preserve"> college </w:t>
      </w:r>
      <w:r w:rsidR="0009596B">
        <w:rPr>
          <w:rFonts w:ascii="Times New Roman" w:hAnsi="Times New Roman" w:cs="Times New Roman"/>
          <w:sz w:val="24"/>
          <w:szCs w:val="24"/>
        </w:rPr>
        <w:t xml:space="preserve">in Oklahoma </w:t>
      </w:r>
      <w:r w:rsidR="00426C63">
        <w:rPr>
          <w:rFonts w:ascii="Times New Roman" w:hAnsi="Times New Roman" w:cs="Times New Roman"/>
          <w:sz w:val="24"/>
          <w:szCs w:val="24"/>
        </w:rPr>
        <w:t xml:space="preserve">by 2015. In terms of magnitude, Rose State was bringing in 1.3 million in Pell grant aid in 2008 and by 2015 they were seeing 2.5 million in Pell dollars. </w:t>
      </w:r>
    </w:p>
    <w:p w14:paraId="015F05D8" w14:textId="2C2B9061" w:rsidR="00E75719" w:rsidRPr="00E75719" w:rsidRDefault="00E75719" w:rsidP="000E68A5">
      <w:pPr>
        <w:spacing w:line="480" w:lineRule="auto"/>
        <w:rPr>
          <w:rFonts w:ascii="Times New Roman" w:hAnsi="Times New Roman" w:cs="Times New Roman"/>
          <w:b/>
          <w:sz w:val="24"/>
          <w:szCs w:val="24"/>
        </w:rPr>
      </w:pPr>
      <w:r w:rsidRPr="00E75719">
        <w:rPr>
          <w:rFonts w:ascii="Times New Roman" w:hAnsi="Times New Roman" w:cs="Times New Roman"/>
          <w:b/>
          <w:sz w:val="24"/>
          <w:szCs w:val="24"/>
        </w:rPr>
        <w:t>Summary of the Section</w:t>
      </w:r>
    </w:p>
    <w:p w14:paraId="10A2EB10" w14:textId="3396F6D6" w:rsidR="00A752C7" w:rsidRDefault="00096D81" w:rsidP="000E68A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 this section reveals that the beneficiaries are significantly different across the tuition-free college policies in Oklahoma. However, the changes produced in the proportion of students of color and Pell recipients appears to increase in all three colleges post implementation. Therefore, the effect of tuition-free college may be more than just on those receiving the last-dollar aid but also on the students that were induced to attend these colleges thanks to the simple college affordability message sent by the programs. While these descriptive changes over time are an essential element of better understanding how policy design shapes student outcomes, it is also </w:t>
      </w:r>
      <w:r w:rsidR="00C73F48">
        <w:rPr>
          <w:rFonts w:ascii="Times New Roman" w:hAnsi="Times New Roman" w:cs="Times New Roman"/>
          <w:sz w:val="24"/>
          <w:szCs w:val="24"/>
        </w:rPr>
        <w:t>necessary to take the next step and conduct analysis aimed at revealing the causal impact of tuition-free college policies. In order to conduct this analysis, I requested and obtained institutional data from Tulsa Community College that allows me to implement two quasi-experimental strategies—difference-in-differences and regression discontinuity—that together work to reveal both the local average treatment effect and the average treatment effect of Tulsa Achieves on student outcomes.</w:t>
      </w:r>
      <w:r w:rsidR="00DB7EE4">
        <w:rPr>
          <w:rFonts w:ascii="Times New Roman" w:hAnsi="Times New Roman" w:cs="Times New Roman"/>
          <w:sz w:val="24"/>
          <w:szCs w:val="24"/>
        </w:rPr>
        <w:t xml:space="preserve"> This analysis</w:t>
      </w:r>
      <w:r w:rsidR="00815D63">
        <w:rPr>
          <w:rFonts w:ascii="Times New Roman" w:hAnsi="Times New Roman" w:cs="Times New Roman"/>
          <w:sz w:val="24"/>
          <w:szCs w:val="24"/>
        </w:rPr>
        <w:t xml:space="preserve">, as well as the discussion of policy design and outcomes in other tuition-free college programs, is detailed in the section below. </w:t>
      </w:r>
    </w:p>
    <w:p w14:paraId="41883E1E" w14:textId="77777777" w:rsidR="00E75719" w:rsidRDefault="00E75719" w:rsidP="000E68A5">
      <w:pPr>
        <w:spacing w:line="480" w:lineRule="auto"/>
        <w:rPr>
          <w:rFonts w:ascii="Times New Roman" w:hAnsi="Times New Roman" w:cs="Times New Roman"/>
          <w:sz w:val="24"/>
          <w:szCs w:val="24"/>
        </w:rPr>
      </w:pPr>
    </w:p>
    <w:p w14:paraId="1A992342" w14:textId="77777777" w:rsidR="00370F0C" w:rsidRDefault="00370F0C">
      <w:pPr>
        <w:rPr>
          <w:rFonts w:ascii="Times New Roman" w:hAnsi="Times New Roman" w:cs="Times New Roman"/>
          <w:sz w:val="32"/>
          <w:szCs w:val="24"/>
        </w:rPr>
      </w:pPr>
      <w:r>
        <w:rPr>
          <w:rFonts w:ascii="Times New Roman" w:hAnsi="Times New Roman" w:cs="Times New Roman"/>
          <w:sz w:val="32"/>
          <w:szCs w:val="24"/>
        </w:rPr>
        <w:br w:type="page"/>
      </w:r>
    </w:p>
    <w:p w14:paraId="4866B37E" w14:textId="587BA5EC" w:rsidR="00063F17" w:rsidRPr="00E633D8" w:rsidRDefault="00E2514C" w:rsidP="00E633D8">
      <w:pPr>
        <w:spacing w:line="360" w:lineRule="auto"/>
        <w:jc w:val="center"/>
        <w:rPr>
          <w:rFonts w:ascii="Times New Roman" w:hAnsi="Times New Roman" w:cs="Times New Roman"/>
          <w:sz w:val="32"/>
          <w:szCs w:val="24"/>
        </w:rPr>
      </w:pPr>
      <w:r>
        <w:rPr>
          <w:rFonts w:ascii="Times New Roman" w:hAnsi="Times New Roman" w:cs="Times New Roman"/>
          <w:sz w:val="32"/>
          <w:szCs w:val="24"/>
        </w:rPr>
        <w:lastRenderedPageBreak/>
        <w:t xml:space="preserve">Section 2: </w:t>
      </w:r>
      <w:r w:rsidR="00063F17">
        <w:rPr>
          <w:rFonts w:ascii="Times New Roman" w:hAnsi="Times New Roman" w:cs="Times New Roman"/>
          <w:sz w:val="32"/>
          <w:szCs w:val="24"/>
        </w:rPr>
        <w:t>Crossing the Finish Line: The Effects of Tulsa Achieves on Student Persistence and Degree Completion</w:t>
      </w:r>
    </w:p>
    <w:p w14:paraId="2700BF3E" w14:textId="423EBD1D" w:rsidR="00063F17" w:rsidRDefault="008718A8" w:rsidP="00063F17">
      <w:pPr>
        <w:spacing w:after="0" w:line="240" w:lineRule="auto"/>
        <w:rPr>
          <w:rFonts w:ascii="Times New Roman" w:hAnsi="Times New Roman" w:cs="Times New Roman"/>
          <w:sz w:val="24"/>
          <w:szCs w:val="24"/>
        </w:rPr>
      </w:pPr>
      <w:r>
        <w:rPr>
          <w:rFonts w:ascii="Times New Roman" w:hAnsi="Times New Roman" w:cs="Times New Roman"/>
          <w:b/>
          <w:sz w:val="24"/>
          <w:szCs w:val="24"/>
        </w:rPr>
        <w:t>Abstract</w:t>
      </w:r>
      <w:r w:rsidR="00063F17" w:rsidRPr="004155E9">
        <w:rPr>
          <w:rFonts w:ascii="Times New Roman" w:hAnsi="Times New Roman" w:cs="Times New Roman"/>
          <w:b/>
          <w:sz w:val="24"/>
          <w:szCs w:val="24"/>
        </w:rPr>
        <w:t xml:space="preserve">: </w:t>
      </w:r>
      <w:r w:rsidR="00063F17">
        <w:rPr>
          <w:rFonts w:ascii="Times New Roman" w:hAnsi="Times New Roman" w:cs="Times New Roman"/>
          <w:sz w:val="24"/>
          <w:szCs w:val="24"/>
        </w:rPr>
        <w:t xml:space="preserve">A growing body of work aims to estimate the impact of promise programs, with varying policy designs, on </w:t>
      </w:r>
      <w:r w:rsidR="00063F17" w:rsidRPr="004155E9">
        <w:rPr>
          <w:rFonts w:ascii="Times New Roman" w:hAnsi="Times New Roman" w:cs="Times New Roman"/>
          <w:sz w:val="24"/>
          <w:szCs w:val="24"/>
        </w:rPr>
        <w:t xml:space="preserve">student outcomes (Carruthers and Fox 2016; Andrews, DesJardins, and Ranchhod 2010; Bartik, Hershbein, and Lachowska 2015; Daugherty and Gonzalez 2016). However, </w:t>
      </w:r>
      <w:r w:rsidR="00063F17">
        <w:rPr>
          <w:rFonts w:ascii="Times New Roman" w:hAnsi="Times New Roman" w:cs="Times New Roman"/>
          <w:sz w:val="24"/>
          <w:szCs w:val="24"/>
        </w:rPr>
        <w:t xml:space="preserve">these studies have yet to investigate </w:t>
      </w:r>
      <w:r w:rsidR="00063F17" w:rsidRPr="004155E9">
        <w:rPr>
          <w:rFonts w:ascii="Times New Roman" w:hAnsi="Times New Roman" w:cs="Times New Roman"/>
          <w:sz w:val="24"/>
          <w:szCs w:val="24"/>
        </w:rPr>
        <w:t>how</w:t>
      </w:r>
      <w:r w:rsidR="00063F17">
        <w:rPr>
          <w:rFonts w:ascii="Times New Roman" w:hAnsi="Times New Roman" w:cs="Times New Roman"/>
          <w:sz w:val="24"/>
          <w:szCs w:val="24"/>
        </w:rPr>
        <w:t xml:space="preserve"> a common type of local promise program—a last-dollar, merit-based, and narrow program—</w:t>
      </w:r>
      <w:r w:rsidR="00063F17" w:rsidRPr="004155E9">
        <w:rPr>
          <w:rFonts w:ascii="Times New Roman" w:hAnsi="Times New Roman" w:cs="Times New Roman"/>
          <w:sz w:val="24"/>
          <w:szCs w:val="24"/>
        </w:rPr>
        <w:t xml:space="preserve">will </w:t>
      </w:r>
      <w:r w:rsidR="00063F17">
        <w:rPr>
          <w:rFonts w:ascii="Times New Roman" w:hAnsi="Times New Roman" w:cs="Times New Roman"/>
          <w:sz w:val="24"/>
          <w:szCs w:val="24"/>
        </w:rPr>
        <w:t>shape</w:t>
      </w:r>
      <w:r w:rsidR="00063F17" w:rsidRPr="004155E9">
        <w:rPr>
          <w:rFonts w:ascii="Times New Roman" w:hAnsi="Times New Roman" w:cs="Times New Roman"/>
          <w:sz w:val="24"/>
          <w:szCs w:val="24"/>
        </w:rPr>
        <w:t xml:space="preserve"> student outcomes. In this study, I </w:t>
      </w:r>
      <w:r w:rsidR="00063F17">
        <w:rPr>
          <w:rFonts w:ascii="Times New Roman" w:hAnsi="Times New Roman" w:cs="Times New Roman"/>
          <w:sz w:val="24"/>
          <w:szCs w:val="24"/>
        </w:rPr>
        <w:t xml:space="preserve">estimate the effects of Tulsa Achieves, a narrow, merit-based, last-dollar program, on credit </w:t>
      </w:r>
      <w:r w:rsidR="00063F17" w:rsidRPr="00E633D8">
        <w:rPr>
          <w:rFonts w:ascii="Times New Roman" w:hAnsi="Times New Roman" w:cs="Times New Roman"/>
          <w:sz w:val="24"/>
          <w:szCs w:val="24"/>
        </w:rPr>
        <w:t>accumulation, GPA, and degree attainment. Utilizing a regression discontinuity and difference-in-differences approach, I estimate the local average treatment effect of Tulsa Achieves for students along the high school GPA threshold as well as the average treatment effect based on administrative data from Tulsa Community College (TCC) for 2005-2015 cohorts. The analysis reveals mixed findings, with positive and significant effects on GPA and transfer to four-year colleges in the regression discontinuity analysis and null effects on persistence and completion. On the other hand, the difference-in-differences estimates indicate that Tulsa Achieves eligibility increases credit accumulation, persistence, and the likelihood of graduating with a bachelor’s degree within five years but reduces the likelihood of transferring to a four-year college.  The implications of these findings are discussed in light of the growing interest among state and local officials in implementing promise programs</w:t>
      </w:r>
      <w:r w:rsidR="00063F17">
        <w:rPr>
          <w:rFonts w:ascii="Times New Roman" w:hAnsi="Times New Roman" w:cs="Times New Roman"/>
          <w:sz w:val="24"/>
          <w:szCs w:val="24"/>
        </w:rPr>
        <w:t xml:space="preserve">, and the emerging discussion on the importance of policy design in shaping outcomes. </w:t>
      </w:r>
    </w:p>
    <w:p w14:paraId="62B57886" w14:textId="77777777" w:rsidR="00063F17" w:rsidRPr="004155E9" w:rsidRDefault="00063F17" w:rsidP="00063F17">
      <w:pPr>
        <w:rPr>
          <w:rFonts w:ascii="Times New Roman" w:hAnsi="Times New Roman" w:cs="Times New Roman"/>
          <w:sz w:val="24"/>
          <w:szCs w:val="24"/>
        </w:rPr>
      </w:pPr>
    </w:p>
    <w:p w14:paraId="66DDA610" w14:textId="77777777" w:rsidR="00063F17" w:rsidRPr="004155E9" w:rsidRDefault="00063F17" w:rsidP="00063F17">
      <w:pPr>
        <w:rPr>
          <w:rFonts w:ascii="Times New Roman" w:hAnsi="Times New Roman" w:cs="Times New Roman"/>
          <w:sz w:val="24"/>
          <w:szCs w:val="24"/>
        </w:rPr>
      </w:pPr>
    </w:p>
    <w:p w14:paraId="6038978A" w14:textId="77777777" w:rsidR="00063F17" w:rsidRPr="004155E9" w:rsidRDefault="00063F17" w:rsidP="00063F17">
      <w:pPr>
        <w:rPr>
          <w:rFonts w:ascii="Times New Roman" w:hAnsi="Times New Roman" w:cs="Times New Roman"/>
          <w:b/>
          <w:sz w:val="24"/>
          <w:szCs w:val="24"/>
        </w:rPr>
      </w:pPr>
    </w:p>
    <w:p w14:paraId="761A8044" w14:textId="77777777" w:rsidR="00063F17" w:rsidRDefault="00063F17" w:rsidP="00063F17">
      <w:pPr>
        <w:rPr>
          <w:rFonts w:ascii="Times New Roman" w:hAnsi="Times New Roman" w:cs="Times New Roman"/>
          <w:b/>
          <w:sz w:val="24"/>
          <w:szCs w:val="24"/>
        </w:rPr>
      </w:pPr>
      <w:r>
        <w:rPr>
          <w:rFonts w:ascii="Times New Roman" w:hAnsi="Times New Roman" w:cs="Times New Roman"/>
          <w:b/>
          <w:sz w:val="24"/>
          <w:szCs w:val="24"/>
        </w:rPr>
        <w:br w:type="page"/>
      </w:r>
    </w:p>
    <w:p w14:paraId="71B7A98F" w14:textId="77777777" w:rsidR="00063F17" w:rsidRPr="004155E9" w:rsidRDefault="00063F17" w:rsidP="00063F17">
      <w:pPr>
        <w:spacing w:line="480" w:lineRule="auto"/>
        <w:rPr>
          <w:rFonts w:ascii="Times New Roman" w:hAnsi="Times New Roman" w:cs="Times New Roman"/>
          <w:b/>
          <w:sz w:val="24"/>
          <w:szCs w:val="24"/>
        </w:rPr>
      </w:pPr>
      <w:r w:rsidRPr="004155E9">
        <w:rPr>
          <w:rFonts w:ascii="Times New Roman" w:hAnsi="Times New Roman" w:cs="Times New Roman"/>
          <w:b/>
          <w:sz w:val="24"/>
          <w:szCs w:val="24"/>
        </w:rPr>
        <w:lastRenderedPageBreak/>
        <w:t>Introduction</w:t>
      </w:r>
    </w:p>
    <w:p w14:paraId="2DF0D2B4" w14:textId="77777777" w:rsidR="00063F17" w:rsidRPr="004155E9" w:rsidRDefault="00063F17" w:rsidP="00063F17">
      <w:pPr>
        <w:spacing w:line="480" w:lineRule="auto"/>
        <w:rPr>
          <w:rFonts w:ascii="Times New Roman" w:hAnsi="Times New Roman" w:cs="Times New Roman"/>
          <w:sz w:val="24"/>
          <w:szCs w:val="24"/>
        </w:rPr>
      </w:pPr>
      <w:r w:rsidRPr="004155E9">
        <w:rPr>
          <w:rFonts w:ascii="Times New Roman" w:hAnsi="Times New Roman" w:cs="Times New Roman"/>
          <w:sz w:val="24"/>
          <w:szCs w:val="24"/>
        </w:rPr>
        <w:tab/>
        <w:t>As college costs have skyrocketed and the demand for college degrees steadily increased, state and local leaders have begun implementing a series of promise</w:t>
      </w:r>
      <w:r>
        <w:rPr>
          <w:rFonts w:ascii="Times New Roman" w:hAnsi="Times New Roman" w:cs="Times New Roman"/>
          <w:sz w:val="24"/>
          <w:szCs w:val="24"/>
        </w:rPr>
        <w:t xml:space="preserve"> policies</w:t>
      </w:r>
      <w:r w:rsidRPr="004155E9">
        <w:rPr>
          <w:rFonts w:ascii="Times New Roman" w:hAnsi="Times New Roman" w:cs="Times New Roman"/>
          <w:sz w:val="24"/>
          <w:szCs w:val="24"/>
        </w:rPr>
        <w:t xml:space="preserve">, </w:t>
      </w:r>
      <w:r>
        <w:rPr>
          <w:rFonts w:ascii="Times New Roman" w:hAnsi="Times New Roman" w:cs="Times New Roman"/>
          <w:sz w:val="24"/>
          <w:szCs w:val="24"/>
        </w:rPr>
        <w:t>also known as</w:t>
      </w:r>
      <w:r w:rsidRPr="004155E9">
        <w:rPr>
          <w:rFonts w:ascii="Times New Roman" w:hAnsi="Times New Roman" w:cs="Times New Roman"/>
          <w:sz w:val="24"/>
          <w:szCs w:val="24"/>
        </w:rPr>
        <w:t xml:space="preserve"> tuition-free college</w:t>
      </w:r>
      <w:r>
        <w:rPr>
          <w:rFonts w:ascii="Times New Roman" w:hAnsi="Times New Roman" w:cs="Times New Roman"/>
          <w:sz w:val="24"/>
          <w:szCs w:val="24"/>
        </w:rPr>
        <w:t>,</w:t>
      </w:r>
      <w:r w:rsidRPr="004155E9">
        <w:rPr>
          <w:rFonts w:ascii="Times New Roman" w:hAnsi="Times New Roman" w:cs="Times New Roman"/>
          <w:sz w:val="24"/>
          <w:szCs w:val="24"/>
        </w:rPr>
        <w:t xml:space="preserve"> aimed at increasing college access and affordability. </w:t>
      </w:r>
      <w:r>
        <w:rPr>
          <w:rFonts w:ascii="Times New Roman" w:hAnsi="Times New Roman" w:cs="Times New Roman"/>
          <w:sz w:val="24"/>
          <w:szCs w:val="24"/>
        </w:rPr>
        <w:t xml:space="preserve">While the expansion of these programs has been swift, the accumulation of scholarly evidence on the effects of these programs has lagged behind, leaving policymakers with little evidence to draw upon in the crucial decisions regarding the optimal design and delivery of these programs. The evidence to date has focused on </w:t>
      </w:r>
      <w:r w:rsidRPr="004155E9">
        <w:rPr>
          <w:rFonts w:ascii="Times New Roman" w:hAnsi="Times New Roman" w:cs="Times New Roman"/>
          <w:sz w:val="24"/>
          <w:szCs w:val="24"/>
        </w:rPr>
        <w:t>programs</w:t>
      </w:r>
      <w:r>
        <w:rPr>
          <w:rFonts w:ascii="Times New Roman" w:hAnsi="Times New Roman" w:cs="Times New Roman"/>
          <w:sz w:val="24"/>
          <w:szCs w:val="24"/>
        </w:rPr>
        <w:t>—such as the Kalamazoo promise, Pittsburgh promise, New Haven promise, Knox Achieves, and the El Dorado scholarship—and found</w:t>
      </w:r>
      <w:r w:rsidRPr="004155E9">
        <w:rPr>
          <w:rFonts w:ascii="Times New Roman" w:hAnsi="Times New Roman" w:cs="Times New Roman"/>
          <w:sz w:val="24"/>
          <w:szCs w:val="24"/>
        </w:rPr>
        <w:t xml:space="preserve"> positive impacts </w:t>
      </w:r>
      <w:r>
        <w:rPr>
          <w:rFonts w:ascii="Times New Roman" w:hAnsi="Times New Roman" w:cs="Times New Roman"/>
          <w:sz w:val="24"/>
          <w:szCs w:val="24"/>
        </w:rPr>
        <w:t>on</w:t>
      </w:r>
      <w:r w:rsidRPr="004155E9">
        <w:rPr>
          <w:rFonts w:ascii="Times New Roman" w:hAnsi="Times New Roman" w:cs="Times New Roman"/>
          <w:sz w:val="24"/>
          <w:szCs w:val="24"/>
        </w:rPr>
        <w:t xml:space="preserve"> K-12 educational outcomes</w:t>
      </w:r>
      <w:r>
        <w:rPr>
          <w:rFonts w:ascii="Times New Roman" w:hAnsi="Times New Roman" w:cs="Times New Roman"/>
          <w:sz w:val="24"/>
          <w:szCs w:val="24"/>
        </w:rPr>
        <w:t xml:space="preserve"> and</w:t>
      </w:r>
      <w:r w:rsidRPr="004155E9">
        <w:rPr>
          <w:rFonts w:ascii="Times New Roman" w:hAnsi="Times New Roman" w:cs="Times New Roman"/>
          <w:sz w:val="24"/>
          <w:szCs w:val="24"/>
        </w:rPr>
        <w:t xml:space="preserve"> </w:t>
      </w:r>
      <w:r>
        <w:rPr>
          <w:rFonts w:ascii="Times New Roman" w:hAnsi="Times New Roman" w:cs="Times New Roman"/>
          <w:sz w:val="24"/>
          <w:szCs w:val="24"/>
        </w:rPr>
        <w:t xml:space="preserve">college </w:t>
      </w:r>
      <w:r w:rsidRPr="004155E9">
        <w:rPr>
          <w:rFonts w:ascii="Times New Roman" w:hAnsi="Times New Roman" w:cs="Times New Roman"/>
          <w:sz w:val="24"/>
          <w:szCs w:val="24"/>
        </w:rPr>
        <w:t>enrollment</w:t>
      </w:r>
      <w:r>
        <w:rPr>
          <w:rFonts w:ascii="Times New Roman" w:hAnsi="Times New Roman" w:cs="Times New Roman"/>
          <w:sz w:val="24"/>
          <w:szCs w:val="24"/>
        </w:rPr>
        <w:t>,</w:t>
      </w:r>
      <w:r w:rsidRPr="004155E9">
        <w:rPr>
          <w:rFonts w:ascii="Times New Roman" w:hAnsi="Times New Roman" w:cs="Times New Roman"/>
          <w:sz w:val="24"/>
          <w:szCs w:val="24"/>
        </w:rPr>
        <w:t xml:space="preserve"> persistence </w:t>
      </w:r>
      <w:r>
        <w:rPr>
          <w:rFonts w:ascii="Times New Roman" w:hAnsi="Times New Roman" w:cs="Times New Roman"/>
          <w:sz w:val="24"/>
          <w:szCs w:val="24"/>
        </w:rPr>
        <w:t xml:space="preserve">and degree completion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{"citationID":"3FO7iKlN","properties":{"formattedCitation":"(T. J. Bartik, Hershbein, &amp; Lachowska, 2015; Carruthers &amp; Fox, 2016; Daugherty &amp; Gonzalez, 2016; Page, Iriti, Lowry, &amp; Anthony, 2018; Swanson &amp; Ritter, 2018)","plainCitation":"(T. J. Bartik, Hershbein, &amp; Lachowska, 2015; Carruthers &amp; Fox, 2016; Daugherty &amp; Gonzalez, 2016; Page, Iriti, Lowry, &amp; Anthony, 2018; Swanson &amp; Ritter, 2018)","noteIndex":0},"citationItems":[{"id":5815,"uris":["http://zotero.org/users/2595715/items/DE9KLT9P"],"uri":["http://zotero.org/users/2595715/items/DE9KLT9P"],"itemData":{"id":5815,"type":"report","title":"The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M."}],"issued":{"date-parts":[["2018",1,18]]}}},{"id":7027,"uris":["http://zotero.org/users/2595715/items/JQW64UA5"],"uri":["http://zotero.org/users/2595715/items/JQW64UA5"],"itemData":{"id":7027,"type":"report","title":"Start to Finish: Examining the Impact of the El Dorado Promise on Postsecondary Outcomes","publisher":"Social Science Research Network","publisher-place":"Rochester, NY","genre":"SSRN Scholarly Paper","source":"papers.ssrn.com","event-place":"Rochester, NY","abstract":"The El Dorado Promise is a universal “first dollar” Promise program that guarantees a full tuition scholarship to all students who attend the El Dorado School District from grades K-12, and a partial scholarship for those who enroll in for at least 9th-12th grade. While prior research on Promise Programs has found that Promise scholarships increase postsecondary matriculation, few studies have examined the impact of a Promise scholarship on college completion or the differential impact of a Promise scholarship on college completion by student characteristics. We use a difference-in-differences strategy to examine the impact of the El Dorado Promise on college enrollment, AA completion, and BA completion on average and by student subgroup (students of color, white students, students with above-average GPAs, and students with below-average GPAs). We find that overall the Promise was associated with an 11.4 percentage point increase in postsecondary enrollment, no change in AA completion, and a 10.7 percentage point increase in BA completion. Students of color and students with below-average GPAs saw the biggest gains in college enrollment, while students of color and students with above-average GPAs saw the biggest gains in BA completion. These results indicate that Promise programs operating in rural areas can have a positive and significant impact on postsecondary outcomes for students, particularly students traditionally underrepresented in postsecondary institutions.","URL":"https://papers.ssrn.com/abstract=3153153","number":"ID 3153153","shortTitle":"Start to Finish","language":"en","author":[{"family":"Swanson","given":"Elise"},{"family":"Ritter","given":"Gary"}],"issued":{"date-parts":[["2018",3,30]]},"accessed":{"date-parts":[["2019",1,5]]}}}],"schema":"https://github.com/citation-style-language/schema/raw/master/csl-citation.json"} </w:instrText>
      </w:r>
      <w:r>
        <w:rPr>
          <w:rFonts w:ascii="Times New Roman" w:hAnsi="Times New Roman" w:cs="Times New Roman"/>
          <w:sz w:val="24"/>
          <w:szCs w:val="24"/>
        </w:rPr>
        <w:fldChar w:fldCharType="separate"/>
      </w:r>
      <w:r w:rsidRPr="00280736">
        <w:rPr>
          <w:rFonts w:ascii="Times New Roman" w:hAnsi="Times New Roman" w:cs="Times New Roman"/>
          <w:sz w:val="24"/>
        </w:rPr>
        <w:t>(T. J. Bartik, Hershbein, &amp; Lachowska, 2015; Carruthers &amp; Fox, 2016; Daugherty &amp; Gonzalez, 2016; Page, Iriti, Lowry, &amp; Anthony, 2018; Swanson &amp; Ritter, 2018)</w:t>
      </w:r>
      <w:r>
        <w:rPr>
          <w:rFonts w:ascii="Times New Roman" w:hAnsi="Times New Roman" w:cs="Times New Roman"/>
          <w:sz w:val="24"/>
          <w:szCs w:val="24"/>
        </w:rPr>
        <w:fldChar w:fldCharType="end"/>
      </w:r>
      <w:r w:rsidRPr="004155E9">
        <w:rPr>
          <w:rFonts w:ascii="Times New Roman" w:hAnsi="Times New Roman" w:cs="Times New Roman"/>
          <w:sz w:val="24"/>
          <w:szCs w:val="24"/>
        </w:rPr>
        <w:t>. However,</w:t>
      </w:r>
      <w:r>
        <w:rPr>
          <w:rFonts w:ascii="Times New Roman" w:hAnsi="Times New Roman" w:cs="Times New Roman"/>
          <w:sz w:val="24"/>
          <w:szCs w:val="24"/>
        </w:rPr>
        <w:t xml:space="preserve"> as</w:t>
      </w:r>
      <w:r w:rsidRPr="004155E9">
        <w:rPr>
          <w:rFonts w:ascii="Times New Roman" w:hAnsi="Times New Roman" w:cs="Times New Roman"/>
          <w:sz w:val="24"/>
          <w:szCs w:val="24"/>
        </w:rPr>
        <w:t xml:space="preserve"> </w:t>
      </w:r>
      <w:r>
        <w:rPr>
          <w:rFonts w:ascii="Times New Roman" w:hAnsi="Times New Roman" w:cs="Times New Roman"/>
          <w:sz w:val="24"/>
          <w:szCs w:val="24"/>
        </w:rPr>
        <w:t>the systematic review of the literature by</w:t>
      </w:r>
      <w:r w:rsidRPr="004155E9">
        <w:rPr>
          <w:rFonts w:ascii="Times New Roman" w:hAnsi="Times New Roman" w:cs="Times New Roman"/>
          <w:sz w:val="24"/>
          <w:szCs w:val="24"/>
        </w:rPr>
        <w:t xml:space="preserve"> </w:t>
      </w:r>
      <w:r w:rsidRPr="004155E9">
        <w:rPr>
          <w:rFonts w:ascii="Times New Roman" w:hAnsi="Times New Roman" w:cs="Times New Roman"/>
          <w:sz w:val="24"/>
          <w:szCs w:val="24"/>
        </w:rPr>
        <w:fldChar w:fldCharType="begin"/>
      </w:r>
      <w:r w:rsidRPr="004155E9">
        <w:rPr>
          <w:rFonts w:ascii="Times New Roman" w:hAnsi="Times New Roman" w:cs="Times New Roman"/>
          <w:sz w:val="24"/>
          <w:szCs w:val="24"/>
        </w:rPr>
        <w:instrText xml:space="preserve"> ADDIN ZOTERO_ITEM CSL_CITATION {"citationID":"sK4ZlQij","properties":{"formattedCitation":"(Swanson, Watson, Ritter, &amp; Nichols, 2017)","plainCitation":"(Swanson, Watson, Ritter, &amp; Nichols, 2017)","noteIndex":0},"citationItems":[{"id":6942,"uris":["http://zotero.org/users/2595715/items/88PYZ66V"],"uri":["http://zotero.org/users/2595715/items/88PYZ66V"],"itemData":{"id":6942,"type":"report","title":"Promises Fulfilled? A Systematic Review of the Impacts of Promise Programs","publisher":"Social Science Research Network","publisher-place":"Rochester, NY","genre":"SSRN Scholarly Paper","source":"papers.ssrn.com","event-place":"Rochester, NY","abstract":"This review examines the existing evidence on the impacts of Promise Programs on community development, K-12 academic achievement, and student postsecondary outcomes. Promise Programs are place-based, guaranteed college scholarships offered to all students who graduate from a certain school or district while meeting the minimum thresholds of the program. We delineate Promise Programs by their design—whether the scholarships are available to all students, are awarded based on merit, or are awarded based on need. We also note the applicability of Promise Programs—whether the funds be used at a wide range of postsecondary institutions, or if they are narrowly targeted towards certain institutions. We find suggestive evidence that Promise Programs are successful at improving housing prices, attracting residents to Promise zones, improving student K-12 academic outcomes, and increasing postsecondary enrollment. However, the number of studies examining Promise Programs remains limited, and skewed towards particular programs.","URL":"https://papers.ssrn.com/abstract=2849194","number":"ID 2849194","shortTitle":"Promises Fulfilled?","language":"en","author":[{"family":"Swanson","given":"Elise"},{"family":"Watson","given":"Angela"},{"family":"Ritter","given":"Gary"},{"family":"Nichols","given":"Malachi"}],"issued":{"date-parts":[["2017",10,26]]},"accessed":{"date-parts":[["2018",11,11]]}}}],"schema":"https://github.com/citation-style-language/schema/raw/master/csl-citation.json"} </w:instrText>
      </w:r>
      <w:r w:rsidRPr="004155E9">
        <w:rPr>
          <w:rFonts w:ascii="Times New Roman" w:hAnsi="Times New Roman" w:cs="Times New Roman"/>
          <w:sz w:val="24"/>
          <w:szCs w:val="24"/>
        </w:rPr>
        <w:fldChar w:fldCharType="separate"/>
      </w:r>
      <w:r w:rsidRPr="003414CB">
        <w:rPr>
          <w:rFonts w:ascii="Times New Roman" w:hAnsi="Times New Roman" w:cs="Times New Roman"/>
          <w:sz w:val="24"/>
        </w:rPr>
        <w:t>(Swanson, Watson, Ritter, &amp; Nichols, 2017)</w:t>
      </w:r>
      <w:r w:rsidRPr="004155E9">
        <w:rPr>
          <w:rFonts w:ascii="Times New Roman" w:hAnsi="Times New Roman" w:cs="Times New Roman"/>
          <w:sz w:val="24"/>
          <w:szCs w:val="24"/>
        </w:rPr>
        <w:fldChar w:fldCharType="end"/>
      </w:r>
      <w:r w:rsidRPr="004155E9">
        <w:rPr>
          <w:rFonts w:ascii="Times New Roman" w:hAnsi="Times New Roman" w:cs="Times New Roman"/>
          <w:sz w:val="24"/>
          <w:szCs w:val="24"/>
        </w:rPr>
        <w:t xml:space="preserve"> highlight, </w:t>
      </w:r>
      <w:r>
        <w:rPr>
          <w:rFonts w:ascii="Times New Roman" w:hAnsi="Times New Roman" w:cs="Times New Roman"/>
          <w:sz w:val="24"/>
          <w:szCs w:val="24"/>
        </w:rPr>
        <w:t>there has been a</w:t>
      </w:r>
      <w:r w:rsidRPr="004155E9">
        <w:rPr>
          <w:rFonts w:ascii="Times New Roman" w:hAnsi="Times New Roman" w:cs="Times New Roman"/>
          <w:sz w:val="24"/>
          <w:szCs w:val="24"/>
        </w:rPr>
        <w:t xml:space="preserve"> </w:t>
      </w:r>
      <w:r>
        <w:rPr>
          <w:rFonts w:ascii="Times New Roman" w:hAnsi="Times New Roman" w:cs="Times New Roman"/>
          <w:sz w:val="24"/>
          <w:szCs w:val="24"/>
        </w:rPr>
        <w:t>lack of studies investigating</w:t>
      </w:r>
      <w:r w:rsidRPr="004155E9">
        <w:rPr>
          <w:rFonts w:ascii="Times New Roman" w:hAnsi="Times New Roman" w:cs="Times New Roman"/>
          <w:sz w:val="24"/>
          <w:szCs w:val="24"/>
        </w:rPr>
        <w:t xml:space="preserve"> outcomes associated with </w:t>
      </w:r>
      <w:r>
        <w:rPr>
          <w:rFonts w:ascii="Times New Roman" w:hAnsi="Times New Roman" w:cs="Times New Roman"/>
          <w:sz w:val="24"/>
          <w:szCs w:val="24"/>
        </w:rPr>
        <w:t xml:space="preserve">narrow, last-dollar, merit-based </w:t>
      </w:r>
      <w:r w:rsidRPr="004155E9">
        <w:rPr>
          <w:rFonts w:ascii="Times New Roman" w:hAnsi="Times New Roman" w:cs="Times New Roman"/>
          <w:sz w:val="24"/>
          <w:szCs w:val="24"/>
        </w:rPr>
        <w:t xml:space="preserve">programs on post-secondary outcomes. </w:t>
      </w:r>
      <w:r>
        <w:rPr>
          <w:rFonts w:ascii="Times New Roman" w:hAnsi="Times New Roman" w:cs="Times New Roman"/>
          <w:sz w:val="24"/>
          <w:szCs w:val="24"/>
        </w:rPr>
        <w:t xml:space="preserve"> </w:t>
      </w:r>
    </w:p>
    <w:p w14:paraId="0AD011B2" w14:textId="77777777" w:rsidR="00063F17" w:rsidRPr="004155E9" w:rsidRDefault="00063F17" w:rsidP="00063F17">
      <w:pPr>
        <w:spacing w:line="480" w:lineRule="auto"/>
        <w:rPr>
          <w:rFonts w:ascii="Times New Roman" w:hAnsi="Times New Roman" w:cs="Times New Roman"/>
          <w:sz w:val="24"/>
          <w:szCs w:val="24"/>
        </w:rPr>
      </w:pPr>
      <w:r w:rsidRPr="004155E9">
        <w:rPr>
          <w:rFonts w:ascii="Times New Roman" w:hAnsi="Times New Roman" w:cs="Times New Roman"/>
          <w:sz w:val="24"/>
          <w:szCs w:val="24"/>
        </w:rPr>
        <w:tab/>
        <w:t>In this article, I</w:t>
      </w:r>
      <w:r>
        <w:rPr>
          <w:rFonts w:ascii="Times New Roman" w:hAnsi="Times New Roman" w:cs="Times New Roman"/>
          <w:sz w:val="24"/>
          <w:szCs w:val="24"/>
        </w:rPr>
        <w:t xml:space="preserve"> explore how Tulsa Achieves—a merit-based, narrow, last-dollar program covering tuition and fee expenses for students who graduate from a Tulsa County high school—impacts postsecondary. Specifically, I </w:t>
      </w:r>
      <w:r w:rsidRPr="004155E9">
        <w:rPr>
          <w:rFonts w:ascii="Times New Roman" w:hAnsi="Times New Roman" w:cs="Times New Roman"/>
          <w:sz w:val="24"/>
          <w:szCs w:val="24"/>
        </w:rPr>
        <w:t xml:space="preserve">leverage a unique administrative dataset </w:t>
      </w:r>
      <w:r>
        <w:rPr>
          <w:rFonts w:ascii="Times New Roman" w:hAnsi="Times New Roman" w:cs="Times New Roman"/>
          <w:sz w:val="24"/>
          <w:szCs w:val="24"/>
        </w:rPr>
        <w:t xml:space="preserve">on students attending Tulsa Community College (TCC) from 2005-2015 along with a difference-in-differences </w:t>
      </w:r>
      <w:r w:rsidRPr="004155E9">
        <w:rPr>
          <w:rFonts w:ascii="Times New Roman" w:hAnsi="Times New Roman" w:cs="Times New Roman"/>
          <w:sz w:val="24"/>
          <w:szCs w:val="24"/>
        </w:rPr>
        <w:t xml:space="preserve">and regression discontinuity </w:t>
      </w:r>
      <w:r>
        <w:rPr>
          <w:rFonts w:ascii="Times New Roman" w:hAnsi="Times New Roman" w:cs="Times New Roman"/>
          <w:sz w:val="24"/>
          <w:szCs w:val="24"/>
        </w:rPr>
        <w:t>design to estimate</w:t>
      </w:r>
      <w:r w:rsidRPr="004155E9">
        <w:rPr>
          <w:rFonts w:ascii="Times New Roman" w:hAnsi="Times New Roman" w:cs="Times New Roman"/>
          <w:sz w:val="24"/>
          <w:szCs w:val="24"/>
        </w:rPr>
        <w:t xml:space="preserve"> the effect of Tulsa Achieves </w:t>
      </w:r>
      <w:r>
        <w:rPr>
          <w:rFonts w:ascii="Times New Roman" w:hAnsi="Times New Roman" w:cs="Times New Roman"/>
          <w:sz w:val="24"/>
          <w:szCs w:val="24"/>
        </w:rPr>
        <w:t>on student GPA, credits earned, retention, transfer to four-year colleges, and degree completion</w:t>
      </w:r>
      <w:r w:rsidRPr="00E33B4D">
        <w:rPr>
          <w:rFonts w:ascii="Times New Roman" w:hAnsi="Times New Roman" w:cs="Times New Roman"/>
          <w:sz w:val="24"/>
          <w:szCs w:val="24"/>
        </w:rPr>
        <w:t xml:space="preserve">. The findings reveal that the local average treatment effect for students along the high school GPA threshold is mainly null, with the exception of the positive effects on GPA in the first and </w:t>
      </w:r>
      <w:r w:rsidRPr="00E33B4D">
        <w:rPr>
          <w:rFonts w:ascii="Times New Roman" w:hAnsi="Times New Roman" w:cs="Times New Roman"/>
          <w:sz w:val="24"/>
          <w:szCs w:val="24"/>
        </w:rPr>
        <w:lastRenderedPageBreak/>
        <w:t>third year and transfer to four-year colleges. The difference-in-differences results, on the other hand, reveal mixed results</w:t>
      </w:r>
      <w:r>
        <w:rPr>
          <w:rFonts w:ascii="Times New Roman" w:hAnsi="Times New Roman" w:cs="Times New Roman"/>
          <w:sz w:val="24"/>
          <w:szCs w:val="24"/>
        </w:rPr>
        <w:t xml:space="preserve">—the analysis reveals that Tulsa Achieves eligibility has a positive effect on credit accumulation, retention, and the probability of obtaining a bachelor’s degree within five years and a negative effect on the likelihood of transferring to a four-year college and graduating from TCC in later cohorts. Taken together, these findings suggest that while students along the eligibility threshold are more likely to earn higher GPAs in college and transfer to four-year colleges as a result of receiving Tulsa Achieves, the average treatment effect for all students eligible for the program is mixed, revealing some positive effects on bachelor’s degree completion, retention and credit accumulation and negative effects on likelihood of transferring to a four-year college and making it to graduation at TCC. </w:t>
      </w:r>
    </w:p>
    <w:p w14:paraId="6B438605" w14:textId="77777777" w:rsidR="00063F17" w:rsidRPr="004155E9" w:rsidRDefault="00063F17" w:rsidP="00063F17">
      <w:pPr>
        <w:spacing w:line="480" w:lineRule="auto"/>
        <w:rPr>
          <w:rFonts w:ascii="Times New Roman" w:hAnsi="Times New Roman" w:cs="Times New Roman"/>
          <w:sz w:val="24"/>
          <w:szCs w:val="24"/>
        </w:rPr>
      </w:pPr>
      <w:r w:rsidRPr="004155E9">
        <w:rPr>
          <w:rFonts w:ascii="Times New Roman" w:hAnsi="Times New Roman" w:cs="Times New Roman"/>
          <w:sz w:val="24"/>
          <w:szCs w:val="24"/>
        </w:rPr>
        <w:tab/>
        <w:t xml:space="preserve">The following sections of the paper </w:t>
      </w:r>
      <w:r>
        <w:rPr>
          <w:rFonts w:ascii="Times New Roman" w:hAnsi="Times New Roman" w:cs="Times New Roman"/>
          <w:sz w:val="24"/>
          <w:szCs w:val="24"/>
        </w:rPr>
        <w:t xml:space="preserve">begin by discussing how promise programs impact student outcomes. The next sections provide an in-depth description of the Tulsa Achieves policy, the administrative data, and the measurement of key outcomes. Then, I present the regression discontinuity and difference-in-differences analyses and detail the analytical models. Finally, I lay out the findings of the study and discuss the implications for future research and policy. </w:t>
      </w:r>
    </w:p>
    <w:p w14:paraId="18795C0A" w14:textId="77777777" w:rsidR="00063F17" w:rsidRPr="004155E9" w:rsidRDefault="00063F17" w:rsidP="00063F17">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The Impact of Promise Programs on College Access and Affordability</w:t>
      </w:r>
    </w:p>
    <w:p w14:paraId="02CCA69B" w14:textId="77777777" w:rsidR="00063F17" w:rsidRDefault="00063F17" w:rsidP="00063F17">
      <w:pPr>
        <w:spacing w:after="0" w:line="480" w:lineRule="auto"/>
        <w:ind w:firstLine="720"/>
        <w:textAlignment w:val="center"/>
        <w:rPr>
          <w:rFonts w:ascii="Times New Roman" w:hAnsi="Times New Roman" w:cs="Times New Roman"/>
          <w:color w:val="000000"/>
          <w:sz w:val="24"/>
          <w:szCs w:val="24"/>
        </w:rPr>
      </w:pPr>
      <w:r>
        <w:rPr>
          <w:rFonts w:ascii="Times New Roman" w:hAnsi="Times New Roman" w:cs="Times New Roman"/>
          <w:sz w:val="24"/>
          <w:szCs w:val="24"/>
        </w:rPr>
        <w:t xml:space="preserve">In the wake of rising college costs, sticker prices, and net price, obtaining a college degree has become increasingly out of reach for many students and families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{"citationID":"edbtYFV3","properties":{"formattedCitation":"(Bailey &amp; Dynarski, 2011)","plainCitation":"(Bailey &amp; Dynarski, 2011)","noteIndex":0},"citationItems":[{"id":6226,"uris":["http://zotero.org/users/2595715/items/5JVLB3JX"],"uri":["http://zotero.org/users/2595715/items/5JVLB3JX"],"itemData":{"id":6226,"type":"report","title":"Gains and Gaps: Changing Inequality in U.S. College Entry and Completion","publisher":"National Bureau of Economic Research","genre":"Working Paper","source":"National Bureau of Economic Research","abstract":"We describe changes over time in inequality in postsecondary education using nearly seventy years of data from the U.S. Census and the 1979 and 1997 National Longitudinal Surveys of Youth. We find growing gaps between children from high- and low-income families in college entry, persistence, and graduation. Rates of college completion increased by only four percentage points for low-income cohorts born around 1980 relative to cohorts born in the early 1960s, but by 18 percentage points for corresponding cohorts who grew up in high-income families. Among men, inequality in educational attainment has increased slightly since the early 1980s. But among women, inequality in educational attainment has risen sharply, driven by increases in the education of the daughters of high-income parents. Sex differences in educational attainment, which were small or nonexistent thirty years ago, are now substantial, with women outpacing men in every demographic group. The female advantage in educational attainment is largest in the top quartile of the income distribution. These sex differences present a formidable challenge to standard explanations for rising inequality in educational attainment.","URL":"http://www.nber.org/papers/w17633","note":"DOI: 10.3386/w17633","number":"17633","shortTitle":"Gains and Gaps","author":[{"family":"Bailey","given":"Martha J."},{"family":"Dynarski","given":"Susan M."}],"issued":{"date-parts":[["2011",12]]},"accessed":{"date-parts":[["2018",5,25]]}}}],"schema":"https://github.com/citation-style-language/schema/raw/master/csl-citation.json"} </w:instrText>
      </w:r>
      <w:r>
        <w:rPr>
          <w:rFonts w:ascii="Times New Roman" w:hAnsi="Times New Roman" w:cs="Times New Roman"/>
          <w:sz w:val="24"/>
          <w:szCs w:val="24"/>
        </w:rPr>
        <w:fldChar w:fldCharType="separate"/>
      </w:r>
      <w:r w:rsidRPr="003414CB">
        <w:rPr>
          <w:rFonts w:ascii="Times New Roman" w:hAnsi="Times New Roman" w:cs="Times New Roman"/>
          <w:sz w:val="24"/>
        </w:rPr>
        <w:t>(Bailey &amp; Dynarski, 2011)</w:t>
      </w:r>
      <w:r>
        <w:rPr>
          <w:rFonts w:ascii="Times New Roman" w:hAnsi="Times New Roman" w:cs="Times New Roman"/>
          <w:sz w:val="24"/>
          <w:szCs w:val="24"/>
        </w:rPr>
        <w:fldChar w:fldCharType="end"/>
      </w:r>
      <w:r>
        <w:rPr>
          <w:rFonts w:ascii="Times New Roman" w:hAnsi="Times New Roman" w:cs="Times New Roman"/>
          <w:sz w:val="24"/>
          <w:szCs w:val="24"/>
        </w:rPr>
        <w:t>.</w:t>
      </w:r>
      <w:r w:rsidRPr="000B3D96">
        <w:rPr>
          <w:rFonts w:ascii="Times New Roman" w:hAnsi="Times New Roman" w:cs="Times New Roman"/>
          <w:sz w:val="24"/>
          <w:szCs w:val="24"/>
        </w:rPr>
        <w:t xml:space="preserve"> </w:t>
      </w:r>
      <w:r>
        <w:rPr>
          <w:rFonts w:ascii="Times New Roman" w:hAnsi="Times New Roman" w:cs="Times New Roman"/>
          <w:sz w:val="24"/>
          <w:szCs w:val="24"/>
        </w:rPr>
        <w:t xml:space="preserve">With the </w:t>
      </w:r>
      <w:r w:rsidRPr="004155E9">
        <w:rPr>
          <w:rFonts w:ascii="Times New Roman" w:eastAsia="Times New Roman" w:hAnsi="Times New Roman" w:cs="Times New Roman"/>
          <w:sz w:val="24"/>
          <w:szCs w:val="24"/>
        </w:rPr>
        <w:t>average unmet need of</w:t>
      </w:r>
      <w:r>
        <w:rPr>
          <w:rFonts w:ascii="Times New Roman" w:hAnsi="Times New Roman" w:cs="Times New Roman"/>
          <w:sz w:val="24"/>
          <w:szCs w:val="24"/>
        </w:rPr>
        <w:t xml:space="preserve"> students in the lowest quartiles of the income distribution </w:t>
      </w:r>
      <w:r w:rsidRPr="004155E9">
        <w:rPr>
          <w:rFonts w:ascii="Times New Roman" w:eastAsia="Times New Roman" w:hAnsi="Times New Roman" w:cs="Times New Roman"/>
          <w:sz w:val="24"/>
          <w:szCs w:val="24"/>
        </w:rPr>
        <w:t>more than doubl</w:t>
      </w:r>
      <w:r>
        <w:rPr>
          <w:rFonts w:ascii="Times New Roman" w:eastAsia="Times New Roman" w:hAnsi="Times New Roman" w:cs="Times New Roman"/>
          <w:sz w:val="24"/>
          <w:szCs w:val="24"/>
        </w:rPr>
        <w:t xml:space="preserve">ing </w:t>
      </w:r>
      <w:r w:rsidRPr="004155E9">
        <w:rPr>
          <w:rFonts w:ascii="Times New Roman" w:eastAsia="Times New Roman" w:hAnsi="Times New Roman" w:cs="Times New Roman"/>
          <w:sz w:val="24"/>
          <w:szCs w:val="24"/>
        </w:rPr>
        <w:t>from 1990 to 2012</w:t>
      </w:r>
      <w:r>
        <w:rPr>
          <w:rFonts w:ascii="Times New Roman" w:eastAsia="Times New Roman" w:hAnsi="Times New Roman" w:cs="Times New Roman"/>
          <w:sz w:val="24"/>
          <w:szCs w:val="24"/>
        </w:rPr>
        <w:t xml:space="preserve">, </w:t>
      </w:r>
      <w:r w:rsidRPr="004155E9">
        <w:rPr>
          <w:rFonts w:ascii="Times New Roman" w:hAnsi="Times New Roman" w:cs="Times New Roman"/>
          <w:sz w:val="24"/>
          <w:szCs w:val="24"/>
        </w:rPr>
        <w:t>many families have been forced to take out federal</w:t>
      </w:r>
      <w:r>
        <w:rPr>
          <w:rFonts w:ascii="Times New Roman" w:hAnsi="Times New Roman" w:cs="Times New Roman"/>
          <w:sz w:val="24"/>
          <w:szCs w:val="24"/>
        </w:rPr>
        <w:t xml:space="preserve"> or more risky</w:t>
      </w:r>
      <w:r w:rsidRPr="004155E9">
        <w:rPr>
          <w:rFonts w:ascii="Times New Roman" w:hAnsi="Times New Roman" w:cs="Times New Roman"/>
          <w:sz w:val="24"/>
          <w:szCs w:val="24"/>
        </w:rPr>
        <w:t xml:space="preserve"> loans to assist in obtaining a college credential</w:t>
      </w:r>
      <w:r>
        <w:rPr>
          <w:rFonts w:ascii="Times New Roman" w:hAnsi="Times New Roman" w:cs="Times New Roman"/>
          <w:sz w:val="24"/>
          <w:szCs w:val="24"/>
        </w:rPr>
        <w:t xml:space="preserve">, many of which they may not be able to pay back </w:t>
      </w:r>
      <w:r w:rsidRPr="004155E9">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{"citationID":"gprra9bw","properties":{"formattedCitation":"(Callahan, Perna, Yamashita, Wright, &amp; Santillan, 2018; Radwin, 2018)","plainCitation":"(Callahan, Perna, Yamashita, Wright, &amp; Santillan, 2018; Radwin, 2018)","noteIndex":0},"citationItems":[{"id":6949,"uris":["http://zotero.org/users/2595715/items/PVM4TP32"],"uri":["http://zotero.org/users/2595715/items/PVM4TP32"],"itemData":{"id":6949,"type":"report","title":"2018 Indicators of Higher Education Equity in the United States: Historical Trend Report","publisher":"The Pell Institute for the Study of Opportunity in Higher Education, Council for Opportunity in Education and Alliance for Higher Education and Democracy of the University of Pennsylvania","publisher-place":"Washington, DC","event-place":"Washington, DC","URL":"http://pellinstitute.org/downloads/publications-Indicators_of_Higher_Education_Equity_in_the_US_2018_Historical_Trend_Report.pdf","author":[{"family":"Callahan","given":"M"},{"family":"Perna","given":"Laura W."},{"family":"Yamashita","given":"M"},{"family":"Wright","given":"J"},{"family":"Santillan","given":"S"}],"issued":{"date-parts":[["2018"]]},"accessed":{"date-parts":[["2018",11,11]]}}},{"id":6235,"uris":["http://zotero.org/users/2595715/items/34HSLAGW"],"uri":["http://zotero.org/users/2595715/items/34HSLAGW"],"itemData":{"id":6235,"type":"article-journal","title":"2015–16 National Postsecondary Student Aid Study (NPSAS:16) Student Financial Aid Estimates for 2015–16: First Look","container-title":"National Center for Education Statistics","page":"81","source":"Zotero","language":"en","author":[{"family":"Radwin","given":"David"}],"issued":{"date-parts":[["2018"]]}}}],"schema":"https://github.com/citation-style-language/schema/raw/master/csl-citation.json"} </w:instrText>
      </w:r>
      <w:r w:rsidRPr="004155E9">
        <w:rPr>
          <w:rFonts w:ascii="Times New Roman" w:hAnsi="Times New Roman" w:cs="Times New Roman"/>
          <w:sz w:val="24"/>
          <w:szCs w:val="24"/>
        </w:rPr>
        <w:fldChar w:fldCharType="separate"/>
      </w:r>
      <w:r w:rsidRPr="003414CB">
        <w:rPr>
          <w:rFonts w:ascii="Times New Roman" w:hAnsi="Times New Roman" w:cs="Times New Roman"/>
          <w:sz w:val="24"/>
        </w:rPr>
        <w:t>(Callahan, Perna, Yamashita, Wright, &amp; Santillan, 2018; Radwin, 2018)</w:t>
      </w:r>
      <w:r w:rsidRPr="004155E9">
        <w:rPr>
          <w:rFonts w:ascii="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Therefore, </w:t>
      </w:r>
      <w:r>
        <w:rPr>
          <w:rFonts w:ascii="Times New Roman" w:hAnsi="Times New Roman" w:cs="Times New Roman"/>
          <w:sz w:val="24"/>
          <w:szCs w:val="24"/>
        </w:rPr>
        <w:lastRenderedPageBreak/>
        <w:t xml:space="preserve">it comes as no surprise that </w:t>
      </w:r>
      <w:r>
        <w:rPr>
          <w:rFonts w:ascii="Times New Roman" w:eastAsia="Times New Roman" w:hAnsi="Times New Roman" w:cs="Times New Roman"/>
          <w:sz w:val="24"/>
          <w:szCs w:val="24"/>
        </w:rPr>
        <w:t xml:space="preserve">77% of adults express extreme concern about how they would finance their child’s college education </w:t>
      </w:r>
      <w:r w:rsidRPr="004155E9">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ZOTERO_ITEM CSL_CITATION {"citationID":"a17vhc9d030","properties":{"formattedCitation":"(Public Agenda, 2011)","plainCitation":"(Public Agenda, 2011)","dontUpdate":true,"noteIndex":0},"citationItems":[{"id":"vGy4pX2C/WoyETNtd","uris":["http://zotero.org/users/1526270/items/LXQ4PTE4"],"uri":["http://zotero.org/users/1526270/items/LXQ4PTE4"],"itemData":{"id":1644,"type":"webpage","title":"Slip-Sliding Away","URL":"https://www.publicagenda.org/pages/slipsliding-away","author":[{"family":"Public Agenda","given":""}],"issued":{"date-parts":[["2011"]]},"accessed":{"date-parts":[["2018",2,25]]}}}],"schema":"https://github.com/citation-style-language/schema/raw/master/csl-citation.json"} </w:instrText>
      </w:r>
      <w:r w:rsidRPr="004155E9">
        <w:rPr>
          <w:rFonts w:ascii="Times New Roman" w:hAnsi="Times New Roman" w:cs="Times New Roman"/>
          <w:color w:val="000000"/>
          <w:sz w:val="24"/>
          <w:szCs w:val="24"/>
        </w:rPr>
        <w:fldChar w:fldCharType="separate"/>
      </w:r>
      <w:r w:rsidRPr="004155E9">
        <w:rPr>
          <w:rFonts w:ascii="Times New Roman" w:hAnsi="Times New Roman" w:cs="Times New Roman"/>
          <w:sz w:val="24"/>
          <w:szCs w:val="24"/>
        </w:rPr>
        <w:t>(Public Agenda, 2011)</w:t>
      </w:r>
      <w:r w:rsidRPr="004155E9">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These troubling dynamics have been accompanied by an increasing</w:t>
      </w:r>
      <w:r>
        <w:rPr>
          <w:rFonts w:ascii="Times New Roman" w:eastAsia="Times New Roman" w:hAnsi="Times New Roman" w:cs="Times New Roman"/>
          <w:sz w:val="24"/>
          <w:szCs w:val="24"/>
        </w:rPr>
        <w:t xml:space="preserve"> gap in college attendance, persistence, and graduation by family income—economists estimate that college attainment has </w:t>
      </w:r>
      <w:r w:rsidRPr="004155E9">
        <w:rPr>
          <w:rFonts w:ascii="Times New Roman" w:eastAsia="Times New Roman" w:hAnsi="Times New Roman" w:cs="Times New Roman"/>
          <w:sz w:val="24"/>
          <w:szCs w:val="24"/>
        </w:rPr>
        <w:t xml:space="preserve">increased by only four percent for low-income families since the 1960s while high-income families have seen an increase of 18 percent </w:t>
      </w:r>
      <w:r w:rsidRPr="004155E9">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{"citationID":"zbsw4gBO","properties":{"formattedCitation":"(Alon, 2009; Bailey &amp; Dynarski, 2011; Bowen et al., 2006; Libassi, 2018)","plainCitation":"(Alon, 2009; Bailey &amp; Dynarski, 2011; Bowen et al., 2006; Libassi, 2018)","noteIndex":0},"citationItems":[{"id":6248,"uris":["http://zotero.org/users/2595715/items/WQ62DI84"],"uri":["http://zotero.org/users/2595715/items/WQ62DI84"],"itemData":{"id":6248,"type":"article-journal","title":"The Evolution of Class Inequality in Higher Education: Competition, Exclusion, and Adaptation","container-title":"American Sociological Review","page":"731-755","volume":"74","issue":"5","source":"SAGE Journals","abstract":"This study develops a comprehensive theoretical framework regarding the evolution of the class divide in postsecondary education. I conceptualize three prototypes of class inequality—effectively maintained, declining, and expanding—and associate their emergence with the level of competition in college admissions. I also unearth the twin mechanisms, exclusion and adaptation, that link class hierarchy to a highly stratified postsecondary system in an allegedly meritocratic environment. Intra- and inter-cohort comparisons reveal that while the class divide regarding enrollment and access to selective postsecondary schooling is ubiquitous, it declines when competition for slots in higher education is low and expands during periods of high competition. In such a regime of effectively expanding inequality (EEI), a greater emphasis on a certain selection criterion (like test scores) in admission decisions—required to sort the influx of applicants—is bolstered by class-based polarization vis-à-vis this particular criterion. This vicious cycle of exclusion and adaptation intensifies and expedites the escalation of class inequality. The results show that adaptation is more effective than exclusion in expanding class inequality in U.S. higher education.","DOI":"10.1177/000312240907400503","ISSN":"0003-1224","shortTitle":"The Evolution of Class Inequality in Higher Education","journalAbbreviation":"Am Sociol Rev","language":"en","author":[{"family":"Alon","given":"Sigal"}],"issued":{"date-parts":[["2009",10,1]]}}},{"id":6226,"uris":["http://zotero.org/users/2595715/items/5JVLB3JX"],"uri":["http://zotero.org/users/2595715/items/5JVLB3JX"],"itemData":{"id":6226,"type":"report","title":"Gains and Gaps: Changing Inequality in U.S. College Entry and Completion","publisher":"National Bureau of Economic Research","genre":"Working Paper","source":"National Bureau of Economic Research","abstract":"We describe changes over time in inequality in postsecondary education using nearly seventy years of data from the U.S. Census and the 1979 and 1997 National Longitudinal Surveys of Youth. We find growing gaps between children from high- and low-income families in college entry, persistence, and graduation. Rates of college completion increased by only four percentage points for low-income cohorts born around 1980 relative to cohorts born in the early 1960s, but by 18 percentage points for corresponding cohorts who grew up in high-income families. Among men, inequality in educational attainment has increased slightly since the early 1980s. But among women, inequality in educational attainment has risen sharply, driven by increases in the education of the daughters of high-income parents. Sex differences in educational attainment, which were small or nonexistent thirty years ago, are now substantial, with women outpacing men in every demographic group. The female advantage in educational attainment is largest in the top quartile of the income distribution. These sex differences present a formidable challenge to standard explanations for rising inequality in educational attainment.","URL":"http://www.nber.org/papers/w17633","note":"DOI: 10.3386/w17633","number":"17633","shortTitle":"Gains and Gaps","author":[{"family":"Bailey","given":"Martha J."},{"family":"Dynarski","given":"Susan M."}],"issued":{"date-parts":[["2011",12]]},"accessed":{"date-parts":[["2018",5,25]]}}},{"id":6246,"uris":["http://zotero.org/users/2595715/items/WXKXB9HX"],"uri":["http://zotero.org/users/2595715/items/WXKXB9HX"],"itemData":{"id":6246,"type":"book","title":"Equity and Excellence in American Higher Education","publisher":"University of Virginia Press","publisher-place":"Charlottesville","number-of-pages":"480","edition":"1st Pbk. Ed edition","source":"Amazon","event-place":"Charlottesville","abstract":"Thomas Jefferson once stated that the foremost goal of American education must be to nurture the \"natural aristocracy of talent and virtue.\" Although in many ways American higher education has fulfilled Jefferson’s vision by achieving a widespread level of excellence, it has not achieved the objective of equity implicit in Jefferson’s statement. In Equity and Excellence in American Higher Education, William G. Bowen, Martin A. Kurzweil, and Eugene M. Tobin explore the cause for this divide. Employing historical research, examination of the most recent social science and public policy scholarship, international comparisons, and detailed empirical analysis of rich new data, the authors study the intersection between \"excellence\" and \"equity\" objectives.Beginning with a time line tracing efforts to achieve equity and excellence in higher education from the American Revolution to the early Cold War years, this narrative reveals the halting, episodic progress in broadening access across the dividing lines of gender, race, religion, ethnicity, and socioeconomic status. The authors argue that despite our rhetoric of inclusiveness, a significant number of youth from poor families do not share equal access to America’s elite colleges and universities. While America has achieved the highest level of educational attainment of any country, it runs the risk of losing this position unless it can markedly improve the precollegiate preparation of students from racial minorities and lower-income families. After identifying the \"equity\" problem at the national level and studying nineteen selective colleges and universities, the authors propose a set of potential actions to be taken at federal, state, local, and institutional levels. With recommendations ranging from reform of the admissions process, to restructuring of federal financial aid and state support of public universities, to addressing the various precollegiate obstacles that disadvantaged students face at home and in school, the authors urge all selective colleges and universities to continue race-sensitive admissions policies, while urging the most selective (and privileged) institutions to enroll more well-qualified students from families with low socioeconomic status.","ISBN":"978-0-8139-2557-8","language":"English","author":[{"family":"Bowen","given":"William G."},{"family":"Kurzweil","given":"Martin A."},{"family":"Tobin","given":"Eugene M."},{"family":"Pichler","given":"Susanne C."},{"family":"Hall","given":"Martin"},{"family":"Ryan","given":"Alan"}],"issued":{"date-parts":[["2006",4,7]]}}},{"id":6228,"uris":["http://zotero.org/users/2595715/items/YNPY73W8"],"uri":["http://zotero.org/users/2595715/items/YNPY73W8"],"itemData":{"id":6228,"type":"post-weblog","title":"The Neglected College Race Gap: Racial Disparities Among College Completers","container-title":"Center for American Progress","abstract":"White students have a significant advantage when it comes to where college completers get their credentials and what they study.","URL":"https://www.americanprogress.org/issues/education-postsecondary/reports/2018/05/23/451186/neglected-college-race-gap-racial-disparities-among-college-completers/","shortTitle":"The Neglected College Race Gap","language":"en-US","author":[{"family":"Libassi","given":"C. J."}],"issued":{"date-parts":[["2018"]]},"accessed":{"date-parts":[["2018",5,25]]}}}],"schema":"https://github.com/citation-style-language/schema/raw/master/csl-citation.json"} </w:instrText>
      </w:r>
      <w:r w:rsidRPr="004155E9">
        <w:rPr>
          <w:rFonts w:ascii="Times New Roman" w:eastAsia="Times New Roman" w:hAnsi="Times New Roman" w:cs="Times New Roman"/>
          <w:sz w:val="24"/>
          <w:szCs w:val="24"/>
        </w:rPr>
        <w:fldChar w:fldCharType="separate"/>
      </w:r>
      <w:r w:rsidRPr="003414CB">
        <w:rPr>
          <w:rFonts w:ascii="Times New Roman" w:hAnsi="Times New Roman" w:cs="Times New Roman"/>
          <w:sz w:val="24"/>
        </w:rPr>
        <w:t>(Alon, 2009; Bailey &amp; Dynarski, 2011; Bowen et al., 2006; Libassi, 2018)</w:t>
      </w:r>
      <w:r w:rsidRPr="004155E9">
        <w:rPr>
          <w:rFonts w:ascii="Times New Roman" w:eastAsia="Times New Roman" w:hAnsi="Times New Roman" w:cs="Times New Roman"/>
          <w:sz w:val="24"/>
          <w:szCs w:val="24"/>
        </w:rPr>
        <w:fldChar w:fldCharType="end"/>
      </w:r>
      <w:r w:rsidRPr="004155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 a time when market demand for college degrees are at an all time high, it is clear that policymakers have work to do in the pursuit of a more accessible and affordable system of higher education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{"citationID":"2flqchg2","properties":{"formattedCitation":"(Perna, Finney, &amp; Callan, 2014)","plainCitation":"(Perna, Finney, &amp; Callan, 2014)","noteIndex":0},"citationItems":[{"id":6663,"uris":["http://zotero.org/users/2595715/items/T3ITCR5Z"],"uri":["http://zotero.org/users/2595715/items/T3ITCR5Z"],"itemData":{"id":6663,"type":"book","title":"The Attainment Agenda: State Policy Leadership in Higher Education","publisher":"Johns Hopkins University Press","publisher-place":"Baltimore, Md","number-of-pages":"328","source":"Amazon","event-place":"Baltimore, Md","abstract":"Although the federal government invests substantial resources into student financial aid, states have the primary responsibility for policies that raise overall higher educational attainment and improve equity across groups. The importance of understanding how states may accomplish these goals has never been greater, as educational attainment is increasingly required for economic and social well-being of individuals and society.Drawing on data collected from case studies of the relationship between public policy and higher education performance in five states―Georgia, Illinois, Maryland, Texas, and Washington―The Attainment Agenda offers a framework for understanding how state public policy can effectively promote educational attainment.Laura W. Perna and Joni E. Finney argue that there is no silver bullet to improve higher education attainment. Instead, achieving the required levels of attainment demands a comprehensive approach. State leaders must consider how performance in one area (such as degree completion) is connected to performance in other areas (such as preparation or affordability), how particular policies interact to produce expected and unexpected outcomes, and how policy approaches must be adapted to reflect their particular context. The authors call for greater attention to the state role in providing policy leadership to advance a cohesive public agenda for higher education and adopting public policies that not only increase the demand for and supply of higher education but also level the playing field for higher educational opportunity.The insights offered in The Attainment Agenda have important implications for public policymakers, college and university leaders, and educational researchers interested in ensuring sustained higher education attainment.","ISBN":"978-1-4214-1406-5","shortTitle":"The Attainment Agenda","language":"English","author":[{"family":"Perna","given":"Laura W."},{"family":"Finney","given":"Joni E."},{"family":"Callan","given":"Patrick M."}],"issued":{"date-parts":[["2014",3,25]]}}}],"schema":"https://github.com/citation-style-language/schema/raw/master/csl-citation.json"}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(Perna, Finney, &amp; Callan, 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002039EA" w14:textId="77777777" w:rsidR="00063F17" w:rsidRDefault="00063F17" w:rsidP="00063F17">
      <w:pPr>
        <w:spacing w:after="0" w:line="480" w:lineRule="auto"/>
        <w:ind w:firstLine="720"/>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search for a solution to the growing cost of higher education, multiple forms of financial aid have emerged, with initiatives aimed at providing tuition-free or “free college” through place-based promise scholarships dominating recent reform efforts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{"citationID":"z2m1BS6k","properties":{"formattedCitation":"(Miller-Adams, 2015; Perna &amp; Leigh, 2017)","plainCitation":"(Miller-Adams, 2015; Perna &amp; Leigh, 2017)","noteIndex":0},"citationItems":[{"id":5820,"uris":["http://zotero.org/users/2595715/items/YUPUXUWA"],"uri":["http://zotero.org/users/2595715/items/YUPUXUWA"],"itemData":{"id":5820,"type":"article-journal","title":"Promise Nation: Transforming Communities through Place-Based Scholarships","container-title":"Upjohn Press","URL":"http://research.upjohn.org/up_press/235","DOI":"10.17848/9780880995061","shortTitle":"Promise Nation","author":[{"family":"Miller-Adams","given":"Michelle"}],"issued":{"date-parts":[["2015",1,1]]}}},{"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(Miller-Adams, 2015; Perna &amp; Leigh,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In fact, as of 2018, sixteen states have now initiated a promise, or place-based scholarship program, with over 280 programs total at the local, regional, and state level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{"citationID":"QpXRsfz9","properties":{"formattedCitation":"(Mishory, 2018a; Perna &amp; Leigh, 2017)","plainCitation":"(Mishory, 2018a; Perna &amp; Leigh, 2017)","noteIndex":0},"citationItems":[{"id":6253,"uris":["http://zotero.org/users/2595715/items/VTKRSTVR"],"uri":["http://zotero.org/users/2595715/items/VTKRSTVR"],"itemData":{"id":6253,"type":"report","title":"The Future of Statewide College Promise Programs","publisher":"The Century Foundation","abstract":"In the past few years, dozens of states, localities, and schools have proposed or enacted “free college” policies, also known as College Promise programs.","URL":"https://tcf.org/content/report/future-statewide-college-promise-programs/","language":"en","author":[{"family":"Mishory","given":"Jen"}],"issued":{"date-parts":[["2018"]]},"accessed":{"date-parts":[["2018",5,28]]}}},{"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(Mishory, 2018a; Perna &amp; Leigh,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Unlike other financial aid programs, place-based promise programs offer not only the promise of reducing college costs, but also the potential for community renewal. Indeed, studies have shown that some promise programs such as the Kalamazoo Promise, Pittsburgh Promise, and New Haven Promise catalyze changes in K-12 schools that manifest in increases in college going culture and improved student achievement while in high school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{"citationID":"o5fIl7io","properties":{"formattedCitation":"(T. Bartik, Eberts, &amp; Huang, 2010; Jones, Miron, &amp; Kelaher-Young, 2012)","plainCitation":"(T. Bartik, Eberts, &amp; Huang, 2010; Jones, Miron, &amp; Kelaher-Young, 2012)","dontUpdate":true,"noteIndex":0},"citationItems":[{"id":6217,"uris":["http://zotero.org/users/2595715/items/7JZAXUHF"],"uri":["http://zotero.org/users/2595715/items/7JZAXUHF"],"itemData":{"id":6217,"type":"article-journal","title":"The Kalamazoo Promise, and Enrollment and Achievement Trends in Kalamazoo Public Schools","container-title":"Upjohn Institute","URL":"http://research.upjohn.org/confpapers/15","author":[{"family":"Bartik","given":"Timothy"},{"family":"Eberts","given":"Randall"},{"family":"Huang","given":"Wei-Jang"}],"issued":{"date-parts":[["2010",1,1]]}}},{"id":6219,"uris":["http://zotero.org/users/2595715/items/TCAZDX2P"],"uri":["http://zotero.org/users/2595715/items/TCAZDX2P"],"itemData":{"id":6219,"type":"article-journal","title":"The kalamazoo promise and perceived changes in teacher beliefs, expectations, and behaviors","container-title":"Journal of Educational Research","page":"36-51","volume":"105","issue":"1","source":"wmich.pure.elsevier.com","DOI":"10.1080/00220671.2010.517575","ISSN":"0022-0671","journalAbbreviation":"The Journal of Educational Research","language":"English (US)","author":[{"family":"Jones","given":"Jeffrey N."},{"family":"Miron","given":"Gary"},{"family":"Kelaher-Young","given":"Allison J."}],"issued":{"date-parts":[["2012",1,1]]}}}],"schema":"https://github.com/citation-style-language/schema/raw/master/csl-citation.json"} </w:instrText>
      </w:r>
      <w:r>
        <w:rPr>
          <w:rFonts w:ascii="Times New Roman" w:eastAsia="Times New Roman" w:hAnsi="Times New Roman" w:cs="Times New Roman"/>
          <w:sz w:val="24"/>
          <w:szCs w:val="24"/>
        </w:rPr>
        <w:fldChar w:fldCharType="separate"/>
      </w:r>
      <w:r w:rsidRPr="00280736">
        <w:rPr>
          <w:rFonts w:ascii="Times New Roman" w:hAnsi="Times New Roman" w:cs="Times New Roman"/>
          <w:sz w:val="24"/>
        </w:rPr>
        <w:t>(Bartik, Eberts, &amp; Huang, 2010; Jones, Miron, &amp; Kelaher-Young, 2012)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Moreover, scholars have uncovered increases in enrollment in affected school districts and increases in local property values, suggesting that some promise programs may produce improvements in community economic development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{"citationID":"JyWfQITK","properties":{"formattedCitation":"(Gonzalez et al., 2014; Iriti, Page, &amp; Bickel, 2018; LeGower &amp; Walsh, 2017; Miller-Adams, 2015; Sohn, Rubenstein, Murchie, &amp; Bifulco, 2017)","plainCitation":"(Gonzalez et al., 2014; Iriti, Page, &amp; Bickel, 2018; LeGower &amp; Walsh, 2017; Miller-Adams, 2015; Sohn, Rubenstein, Murchie, &amp; Bifulco, 2017)","noteIndex":0},"citationItems":[{"id":6213,"uris":["http://zotero.org/users/2595715/items/5EA5XHFY"],"uri":["http://zotero.org/users/2595715/items/5EA5XHFY"],"itemData":{"id":6213,"type":"book","title":"Transforming an Urban School System - Progress of New Haven School Change and New Haven Promise Education Reforms (2010–2013)","publisher":"RAND Corporation","source":"ou-primo.com","abstract":"In the 2010–2011 school year, two educational programs launched in New Haven, Connecticut: New Haven School Change, a sweeping K–12 educational reform to improve the learning of educational outcomes of its students, and New Haven Promise, a scholarship program intended to improve college-going culture and encourage graduates to attend college. This report documents a study of early progress in these programs.","ISBN":"978-0-8330-8738-6","language":"eng","author":[{"family":"Gonzalez","given":"Gabriella C."},{"family":"Bozick","given":"Robert"},{"family":"Daugherty","given":"Lindsay"},{"family":"Scherer","given":"Ethan"},{"family":"Singh","given":"Reema"},{"family":"Suárez","given":"Mónica Jacobo"},{"family":"Ryan","given":"Sarah"}],"issued":{"date-parts":[["2014",11,20]]}}},{"id":6305,"uris":["http://zotero.org/users/2595715/items/ZNL327AF"],"uri":["http://zotero.org/users/2595715/items/ZNL327AF"],"itemData":{"id":6305,"type":"article-journal","title":"Place-based scholarships: Catalysts for systems reform to improve postsecondary attainment","container-title":"International Journal of Educational Development","collection-title":"Global Trends in Higher Education Financing","page":"137-148","volume":"58","source":"ScienceDirect","abstract":"Concerns about the rate of postsecondary attainment in the US compared to the projected education requirements of future jobs has prompted a range of policy and practice interventions aimed at barriers to postsecondary access and success. As both a largely local phenomenon and a complex systems issue, improving postsecondary attainment for all students has proved to be a daunting challenge. Financial interventions have been a key focus of reform. One of these, place-based scholarships, attends both to the primarily local nature of college going and to the complex set of challenges that cross educational and workforce sectors. In this paper, we describe place-based scholarship programs that are currently catalyzing within-sector reforms and cross-sector coherence building. We discuss policy implications associated with the long-term sustainability of place-based scholarships as a strategy for improving college access and success.","DOI":"10.1016/j.ijedudev.2017.02.002","ISSN":"0738-0593","shortTitle":"Place-based scholarships","journalAbbreviation":"International Journal of Educational Development","author":[{"family":"Iriti","given":"Jennifer"},{"family":"Page","given":"Lindsay C."},{"family":"Bickel","given":"William E."}],"issued":{"date-parts":[["2018",1,1]]}}},{"id":5812,"uris":["http://zotero.org/users/2595715/items/CCIIACVD"],"uri":["http://zotero.org/users/2595715/items/CCIIACVD"],"itemData":{"id":5812,"type":"article-journal","title":"Promise scholarship programs as place-making policy: Evidence from school enrollment and housing prices","container-title":"Journal of Urban Economics","page":"74-89","volume":"101","issue":"Supplement C","source":"ScienceDirect","abstract":"Place-based “Promise” scholarship programs—which guarantee financial aid for qualifying graduates of a school district—have proliferated in recent years. Using data from multiple sites, we compare the evolution of school enrollment and residential real estate prices around program announcement dates within Promise-eligible and surrounding areas. While our estimates indicate that enrollment increased following Promise announcements, merit-based programs generated relative increases in white enrollment. Housing prices respond strongly in neighborhoods with better primary schools and in the upper half of the housing price distribution. We conclude that these programs have important and under-studied distributional considerations.","DOI":"10.1016/j.jue.2017.06.001","ISSN":"0094-1190","shortTitle":"Promise scholarship programs as place-making policy","journalAbbreviation":"Journal of Urban Economics","author":[{"family":"LeGower","given":"Michael"},{"family":"Walsh","given":"Randall"}],"issued":{"date-parts":[["2017",9,1]]}}},{"id":5820,"uris":["http://zotero.org/users/2595715/items/YUPUXUWA"],"uri":["http://zotero.org/users/2595715/items/YUPUXUWA"],"itemData":{"id":5820,"type":"article-journal","title":"Promise Nation: Transforming Communities through Place-Based Scholarships","container-title":"Upjohn Press","URL":"http://research.upjohn.org/up_press/235","DOI":"10.17848/9780880995061","shortTitle":"Promise Nation","author":[{"family":"Miller-Adams","given":"Michelle"}],"issued":{"date-parts":[["2015",1,1]]}}},{"id":6206,"uris":["http://zotero.org/users/2595715/items/HF9URRTV"],"uri":["http://zotero.org/users/2595715/items/HF9URRTV"],"itemData":{"id":6206,"type":"article-journal","title":"Assessing the Effects of Place-Based Scholarships on Urban Revitalization: The Case of Say Yes to Education","container-title":"Educational Evaluation and Policy Analysis","page":"198-222","volume":"39","issue":"2","source":"SAGE Journals","abstract":"We find evidence of enrollment increases in both Syracuse and Buffalo following the announcement of a placed-based scholarship program, Say Yes to Education. While the Syracuse increases were accompanied by enrollment declines in surrounding suburban districts, the Buffalo increases coincided with declines in private school enrollments. Buffalo and Rochester also saw enrollment increases relative to trends following the announcement of Say Yes in Syracuse, suggesting that part of the increase in Syracuse might be attributable to factors other than Say Yes. We also find evidence of increases in home prices in Syracuse after the program’s announcement, as well as decreases in the surrounding suburbs. We do not find evidence of similar housing price changes in Buffalo.","DOI":"10.3102/0162373716675727","ISSN":"0162-3737","shortTitle":"Assessing the Effects of Place-Based Scholarships on Urban Revitalization","journalAbbreviation":"Educational Evaluation and Policy Analysis","language":"en","author":[{"family":"Sohn","given":"Hosung"},{"family":"Rubenstein","given":"Ross"},{"family":"Murchie","given":"Judson"},{"family":"Bifulco","given":"Robert"}],"issued":{"date-parts":[["2017",6,1]]}}}],"schema":"https://github.com/citation-style-language/schema/raw/master/csl-citation.json"} </w:instrText>
      </w:r>
      <w:r>
        <w:rPr>
          <w:rFonts w:ascii="Times New Roman" w:eastAsia="Times New Roman" w:hAnsi="Times New Roman" w:cs="Times New Roman"/>
          <w:sz w:val="24"/>
          <w:szCs w:val="24"/>
        </w:rPr>
        <w:fldChar w:fldCharType="separate"/>
      </w:r>
      <w:r w:rsidRPr="00F96B66">
        <w:rPr>
          <w:rFonts w:ascii="Times New Roman" w:hAnsi="Times New Roman" w:cs="Times New Roman"/>
          <w:sz w:val="24"/>
        </w:rPr>
        <w:t xml:space="preserve">(Gonzalez et al., 2014; Iriti, Page, &amp; </w:t>
      </w:r>
      <w:r w:rsidRPr="00F96B66">
        <w:rPr>
          <w:rFonts w:ascii="Times New Roman" w:hAnsi="Times New Roman" w:cs="Times New Roman"/>
          <w:sz w:val="24"/>
        </w:rPr>
        <w:lastRenderedPageBreak/>
        <w:t>Bickel, 2018; LeGower &amp; Walsh, 2017; Miller-Adams, 2015; Sohn, Rubenstein, Murchie, &amp; Bifulco,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However, whether promise programs are able to uplift students and communities may depend on the design of the program. </w:t>
      </w:r>
    </w:p>
    <w:p w14:paraId="6F5A82ED" w14:textId="77777777" w:rsidR="00063F17" w:rsidRPr="00073177" w:rsidRDefault="00063F17" w:rsidP="00063F17">
      <w:pPr>
        <w:spacing w:after="0" w:line="480" w:lineRule="auto"/>
        <w:ind w:firstLine="720"/>
        <w:textAlignment w:val="center"/>
        <w:rPr>
          <w:rFonts w:ascii="Times New Roman" w:hAnsi="Times New Roman" w:cs="Times New Roman"/>
          <w:sz w:val="24"/>
          <w:szCs w:val="24"/>
        </w:rPr>
      </w:pPr>
      <w:r>
        <w:rPr>
          <w:rFonts w:ascii="Times New Roman" w:eastAsia="Times New Roman" w:hAnsi="Times New Roman" w:cs="Times New Roman"/>
          <w:sz w:val="24"/>
          <w:szCs w:val="24"/>
        </w:rPr>
        <w:t xml:space="preserve">While each promise program is united in the goal to expand access to postsecondary education, build a college going culture through early commitment aid, and foster community vitality and renewal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{"citationID":"fcBweYPJ","properties":{"formattedCitation":"(Miller-Adams, 2015)","plainCitation":"(Miller-Adams, 2015)","noteIndex":0},"citationItems":[{"id":5820,"uris":["http://zotero.org/users/2595715/items/YUPUXUWA"],"uri":["http://zotero.org/users/2595715/items/YUPUXUWA"],"itemData":{"id":5820,"type":"article-journal","title":"Promise Nation: Transforming Communities through Place-Based Scholarships","container-title":"Upjohn Press","URL":"http://research.upjohn.org/up_press/235","DOI":"10.17848/9780880995061","shortTitle":"Promise Nation","author":[{"family":"Miller-Adams","given":"Michelle"}],"issued":{"date-parts":[["2015",1,1]]}}}],"schema":"https://github.com/citation-style-language/schema/raw/master/csl-citation.json"}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(Miller-Adams, 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they are distinct in design and implementation, providing rich avenues for researchers. The variation in program design centers on three main features: 1) wide or narrow institutional eligibility, 2) first-dollar or last-dollar structures, and 3) universal, merit-based, or needs-based student eligibility. First, while wide programs offer scholarships for a wide variety of colleges such as all two-year or four-year colleges in the state, narrow programs offer the scholarship for a single or a couple of colleges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{"citationID":"1YV0xwTd","properties":{"formattedCitation":"(LeGower &amp; Walsh, 2017)","plainCitation":"(LeGower &amp; Walsh, 2017)","noteIndex":0},"citationItems":[{"id":5812,"uris":["http://zotero.org/users/2595715/items/CCIIACVD"],"uri":["http://zotero.org/users/2595715/items/CCIIACVD"],"itemData":{"id":5812,"type":"article-journal","title":"Promise scholarship programs as place-making policy: Evidence from school enrollment and housing prices","container-title":"Journal of Urban Economics","page":"74-89","volume":"101","issue":"Supplement C","source":"ScienceDirect","abstract":"Place-based “Promise” scholarship programs—which guarantee financial aid for qualifying graduates of a school district—have proliferated in recent years. Using data from multiple sites, we compare the evolution of school enrollment and residential real estate prices around program announcement dates within Promise-eligible and surrounding areas. While our estimates indicate that enrollment increased following Promise announcements, merit-based programs generated relative increases in white enrollment. Housing prices respond strongly in neighborhoods with better primary schools and in the upper half of the housing price distribution. We conclude that these programs have important and under-studied distributional considerations.","DOI":"10.1016/j.jue.2017.06.001","ISSN":"0094-1190","shortTitle":"Promise scholarship programs as place-making policy","journalAbbreviation":"Journal of Urban Economics","author":[{"family":"LeGower","given":"Michael"},{"family":"Walsh","given":"Randall"}],"issued":{"date-parts":[["2017",9,1]]}}}],"schema":"https://github.com/citation-style-language/schema/raw/master/csl-citation.json"}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(LeGower &amp; Walsh,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Pr="004155E9">
        <w:rPr>
          <w:rFonts w:ascii="Times New Roman" w:hAnsi="Times New Roman" w:cs="Times New Roman"/>
          <w:sz w:val="24"/>
          <w:szCs w:val="24"/>
        </w:rPr>
        <w:t xml:space="preserve"> </w:t>
      </w:r>
      <w:r w:rsidRPr="004155E9">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{"citationID":"hKCjRyJr","properties":{"formattedCitation":"(Perna &amp; Leigh, 2017)","plainCitation":"(Perna &amp; Leigh, 2017)","dontUpdate":true,"noteIndex":0},"citationItems":[{"id":6086,"uris":["http://zotero.org/users/2595715/items/JJNEEZGZ"],"uri":["http://zotero.org/users/2595715/items/JJNEEZGZ"],"itemData":{"id":6086,"type":"article-journal","title":"Understanding the Promise: A Typology of State and Local College Promise Programs","container-title":"Educational Researcher","page":"0013189X17742653","source":"SAGE Journals","abstract":"Over the past decade, but especially in the past few years, programs with a promise label have been advanced at the local, state, and federal levels. To advance understanding of the design, implementation, and impact of the many different versions of emerging programs, policymakers, practitioners, and researchers need an organizing framework. To address this knowledge need, this study uses descriptive and cluster analyses of 289 programs that meet the following criteria: have a primary goal of increasing higher education attainment, promise a financial award to eligible students, have some “place” requirement, and focus on the traditional college-age population. Results suggest that state- versus non-state sponsorship, financial award structure (e.g., first/last dollar), type of postsecondary educational institutions at which the award may be used, and eligibility criteria (universal vs. merit or need) are important differentiators among programs. The results provide a foundation for future research on college promise programs.","DOI":"10.3102/0013189X17742653","ISSN":"0013-189X","shortTitle":"Understanding the Promise","journalAbbreviation":"Educational Researcher","language":"en","author":[{"family":"Perna","given":"Laura W."},{"family":"Leigh","given":"Elaine W."}],"issued":{"date-parts":[["2017",11,22]]}}}],"schema":"https://github.com/citation-style-language/schema/raw/master/csl-citation.json"} </w:instrText>
      </w:r>
      <w:r w:rsidRPr="004155E9">
        <w:rPr>
          <w:rFonts w:ascii="Times New Roman" w:hAnsi="Times New Roman" w:cs="Times New Roman"/>
          <w:sz w:val="24"/>
          <w:szCs w:val="24"/>
        </w:rPr>
        <w:fldChar w:fldCharType="separate"/>
      </w:r>
      <w:r w:rsidRPr="004155E9">
        <w:rPr>
          <w:rFonts w:ascii="Times New Roman" w:hAnsi="Times New Roman" w:cs="Times New Roman"/>
          <w:sz w:val="24"/>
          <w:szCs w:val="24"/>
        </w:rPr>
        <w:t>Perna &amp; Leigh (2017)</w:t>
      </w:r>
      <w:r w:rsidRPr="004155E9">
        <w:rPr>
          <w:rFonts w:ascii="Times New Roman" w:hAnsi="Times New Roman" w:cs="Times New Roman"/>
          <w:sz w:val="24"/>
          <w:szCs w:val="24"/>
        </w:rPr>
        <w:fldChar w:fldCharType="end"/>
      </w:r>
      <w:r w:rsidRPr="004155E9">
        <w:rPr>
          <w:rFonts w:ascii="Times New Roman" w:hAnsi="Times New Roman" w:cs="Times New Roman"/>
          <w:sz w:val="24"/>
          <w:szCs w:val="24"/>
        </w:rPr>
        <w:t xml:space="preserve"> </w:t>
      </w:r>
      <w:r>
        <w:rPr>
          <w:rFonts w:ascii="Times New Roman" w:hAnsi="Times New Roman" w:cs="Times New Roman"/>
          <w:sz w:val="24"/>
          <w:szCs w:val="24"/>
        </w:rPr>
        <w:t xml:space="preserve">estimate that </w:t>
      </w:r>
      <w:r w:rsidRPr="004155E9">
        <w:rPr>
          <w:rFonts w:ascii="Times New Roman" w:hAnsi="Times New Roman" w:cs="Times New Roman"/>
          <w:sz w:val="24"/>
          <w:szCs w:val="24"/>
        </w:rPr>
        <w:t>35 percent of promise programs restricted the institution students could attend</w:t>
      </w:r>
      <w:r>
        <w:rPr>
          <w:rFonts w:ascii="Times New Roman" w:hAnsi="Times New Roman" w:cs="Times New Roman"/>
          <w:sz w:val="24"/>
          <w:szCs w:val="24"/>
        </w:rPr>
        <w:t>, with the rest of programs opting for wide institutional eligibility</w:t>
      </w:r>
      <w:r w:rsidRPr="004155E9">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Second, promise programs structure the financial aid in either a first-dollar or last-dollar design—first-dollar programs, like the Kalamazoo Promise, offer the scholarship funds in addition to other state and federal aid obtained after filling out the Free Application for Student Aid (FAFSA) while </w:t>
      </w:r>
      <w:bookmarkStart w:id="19" w:name="_Hlk5870797"/>
      <w:r>
        <w:rPr>
          <w:rFonts w:ascii="Times New Roman" w:eastAsia="Times New Roman" w:hAnsi="Times New Roman" w:cs="Times New Roman"/>
          <w:sz w:val="24"/>
          <w:szCs w:val="24"/>
        </w:rPr>
        <w:t>last-dollar programs, like Tulsa Achieves, covers any gap in costs after accounting for other Federal or state financial aid</w:t>
      </w:r>
      <w:bookmarkEnd w:id="19"/>
      <w:r>
        <w:rPr>
          <w:rFonts w:ascii="Times New Roman" w:eastAsia="Times New Roman" w:hAnsi="Times New Roman" w:cs="Times New Roman"/>
          <w:sz w:val="24"/>
          <w:szCs w:val="24"/>
        </w:rPr>
        <w:t>.</w:t>
      </w:r>
      <w:r w:rsidRPr="00E3535F">
        <w:rPr>
          <w:rStyle w:val="FootnoteReference"/>
        </w:rPr>
        <w:footnoteReference w:id="23"/>
      </w:r>
      <w:r>
        <w:rPr>
          <w:rFonts w:ascii="Times New Roman" w:eastAsia="Times New Roman" w:hAnsi="Times New Roman" w:cs="Times New Roman"/>
          <w:sz w:val="24"/>
          <w:szCs w:val="24"/>
        </w:rPr>
        <w:t xml:space="preserve"> Finally, the eligibility requirements for accessing the aid vary—promise programs often include a minimum GPA requirement or a need-based element such as a family income cap like the state programs in New York and Oregon </w:t>
      </w:r>
      <w:r>
        <w:rPr>
          <w:rFonts w:ascii="Times New Roman" w:eastAsia="Times New Roman" w:hAnsi="Times New Roman" w:cs="Times New Roman"/>
          <w:sz w:val="24"/>
          <w:szCs w:val="24"/>
        </w:rPr>
        <w:lastRenderedPageBreak/>
        <w:fldChar w:fldCharType="begin"/>
      </w:r>
      <w:r>
        <w:rPr>
          <w:rFonts w:ascii="Times New Roman" w:eastAsia="Times New Roman" w:hAnsi="Times New Roman" w:cs="Times New Roman"/>
          <w:sz w:val="24"/>
          <w:szCs w:val="24"/>
        </w:rPr>
        <w:instrText xml:space="preserve"> ADDIN ZOTERO_ITEM CSL_CITATION {"citationID":"0s5pwhZk","properties":{"formattedCitation":"(Mishory, 2018b)","plainCitation":"(Mishory, 2018b)","noteIndex":0},"citationItems":[{"id":6512,"uris":["http://zotero.org/users/2595715/items/PIZJDSQV"],"uri":["http://zotero.org/users/2595715/items/PIZJDSQV"],"itemData":{"id":6512,"type":"webpage","title":"“Free College:” Here to Stay?","container-title":"The Century Foundation","abstract":"Free college, or “Promise” programs—a model of student aid that covers at least full tuition costs for a subset of a given state’s residents—have received","URL":"https://tcf.org/content/report/free-college-stay/","shortTitle":"“Free College","language":"en","author":[{"family":"Mishory","given":"Jen"}],"issued":{"date-parts":[["2018",7,12]]},"accessed":{"date-parts":[["2018",7,12]]}}}],"schema":"https://github.com/citation-style-language/schema/raw/master/csl-citation.json"} </w:instrText>
      </w:r>
      <w:r>
        <w:rPr>
          <w:rFonts w:ascii="Times New Roman" w:eastAsia="Times New Roman" w:hAnsi="Times New Roman" w:cs="Times New Roman"/>
          <w:sz w:val="24"/>
          <w:szCs w:val="24"/>
        </w:rPr>
        <w:fldChar w:fldCharType="separate"/>
      </w:r>
      <w:r w:rsidRPr="003414CB">
        <w:rPr>
          <w:rFonts w:ascii="Times New Roman" w:hAnsi="Times New Roman" w:cs="Times New Roman"/>
          <w:sz w:val="24"/>
        </w:rPr>
        <w:t>(Mishory, 2018b)</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Some programs also include community service requirements, a first-year seminar while in college, and provide student support services. </w:t>
      </w:r>
    </w:p>
    <w:p w14:paraId="7E5DA26B" w14:textId="77777777" w:rsidR="00063F17" w:rsidRDefault="00063F17" w:rsidP="00063F17">
      <w:pPr>
        <w:spacing w:after="0" w:line="480" w:lineRule="auto"/>
        <w:ind w:firstLine="720"/>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of these design characteristics likely play a key role in the effectiveness of the programs in the pursuit of expanded college access and affordability. Indeed, existing studies investigating promise programs and postsecondary outcomes reveal some variation in the magnitude and significance of the effects across programs with varying designs. These studies, reviewed in detail in the next section, provide insight into how Tulsa Achieves might affect student outcomes.  </w:t>
      </w:r>
    </w:p>
    <w:p w14:paraId="692CDB47" w14:textId="77777777" w:rsidR="00063F17" w:rsidRPr="004155E9" w:rsidRDefault="00063F17" w:rsidP="00063F17">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Impact of Promise Programs on </w:t>
      </w:r>
      <w:r w:rsidRPr="004155E9">
        <w:rPr>
          <w:rFonts w:ascii="Times New Roman" w:hAnsi="Times New Roman" w:cs="Times New Roman"/>
          <w:i/>
          <w:sz w:val="24"/>
          <w:szCs w:val="24"/>
        </w:rPr>
        <w:t>Post-secondary Outcomes</w:t>
      </w:r>
    </w:p>
    <w:p w14:paraId="78E52F19" w14:textId="6124C284" w:rsidR="00063F17" w:rsidRPr="004155E9" w:rsidRDefault="00063F17" w:rsidP="00063F1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question of </w:t>
      </w:r>
      <w:r w:rsidRPr="004155E9">
        <w:rPr>
          <w:rFonts w:ascii="Times New Roman" w:hAnsi="Times New Roman" w:cs="Times New Roman"/>
          <w:sz w:val="24"/>
          <w:szCs w:val="24"/>
        </w:rPr>
        <w:t xml:space="preserve">whether </w:t>
      </w:r>
      <w:r>
        <w:rPr>
          <w:rFonts w:ascii="Times New Roman" w:hAnsi="Times New Roman" w:cs="Times New Roman"/>
          <w:sz w:val="24"/>
          <w:szCs w:val="24"/>
        </w:rPr>
        <w:t>p</w:t>
      </w:r>
      <w:r w:rsidRPr="004155E9">
        <w:rPr>
          <w:rFonts w:ascii="Times New Roman" w:hAnsi="Times New Roman" w:cs="Times New Roman"/>
          <w:sz w:val="24"/>
          <w:szCs w:val="24"/>
        </w:rPr>
        <w:t xml:space="preserve">romise programs end up increasing the probability of enrolling, persisting and completing college </w:t>
      </w:r>
      <w:r>
        <w:rPr>
          <w:rFonts w:ascii="Times New Roman" w:hAnsi="Times New Roman" w:cs="Times New Roman"/>
          <w:sz w:val="24"/>
          <w:szCs w:val="24"/>
        </w:rPr>
        <w:t xml:space="preserve">has been the subject of increasing attention in higher education policy </w:t>
      </w:r>
      <w:r w:rsidRPr="004155E9">
        <w:rPr>
          <w:rFonts w:ascii="Times New Roman" w:hAnsi="Times New Roman" w:cs="Times New Roman"/>
          <w:sz w:val="24"/>
          <w:szCs w:val="24"/>
        </w:rPr>
        <w:fldChar w:fldCharType="begin"/>
      </w:r>
      <w:r w:rsidRPr="004155E9">
        <w:rPr>
          <w:rFonts w:ascii="Times New Roman" w:hAnsi="Times New Roman" w:cs="Times New Roman"/>
          <w:sz w:val="24"/>
          <w:szCs w:val="24"/>
        </w:rPr>
        <w:instrText xml:space="preserve"> ADDIN ZOTERO_ITEM CSL_CITATION {"citationID":"G7qO6kOE","properties":{"formattedCitation":"(Andrews, DesJardins, &amp; Ranchhod, 2010; T. J. Bartik, Hershbein, &amp; Lachowska, 2015; Carruthers &amp; Fox, 2016; Daugherty &amp; Gonzalez, 2016; Gurantz, 2018)","plainCitation":"(Andrews, DesJardins, &amp; Ranchhod, 2010; T. J. Bartik, Hershbein, &amp; Lachowska, 2015; Carruthers &amp; Fox, 2016; Daugherty &amp; Gonzalez, 2016; Gurantz, 2018)","dontUpdate":true,"noteIndex":0},"citationItems":[{"id":5826,"uris":["http://zotero.org/users/2595715/items/HJCY2H7E"],"uri":["http://zotero.org/users/2595715/items/HJCY2H7E"],"itemData":{"id":5826,"type":"article-journal","title":"The effects of the Kalamazoo Promise on college choice","container-title":"Economics of Education Review","page":"722-737","volume":"29","issue":"5","source":"ScienceDirect","abstract":"On November 10, 2005, then Superintendent of the Kalamazoo Public School System, Janice Brown announced—to the surprise of Kalamazoo’s residents—the beginning of the Kalamazoo Promise. Fully funded by a set of anonymous donors, the Kalamazoo Promise is an urban revitalization program that offers up to four years of free tuition to any public college or university in the state of Michigan for graduates of the Kalamazoo Public School system who meet certain eligibility criteria. Using the subsidy as a source of exogenous variation in the price of college, we use quasi-experimental methods to evaluate the impact of the subsidy on college choice. We find that the Kalamazoo Promise increases the likelihood that students from Kalamazoo Public Schools consider public institutions in Michigan. In addition, we find that the Kalamazoo Promise especially impacts the college choice set of students from families who earn less than $50,000 in annual income.","DOI":"10.1016/j.econedurev.2010.05.004","ISSN":"0272-7757","journalAbbreviation":"Economics of Education Review","author":[{"family":"Andrews","given":"Rodney J."},{"family":"DesJardins","given":"Stephen"},{"family":"Ranchhod","given":"Vimal"}],"issued":{"date-parts":[["2010",10,1]]}}},{"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C."}],"issued":{"date-parts":[["2016"]]},"accessed":{"date-parts":[["2018",5,12]]}}},{"id":6288,"uris":["http://zotero.org/users/2595715/items/CM5AVVA6"],"uri":["http://zotero.org/users/2595715/items/CM5AVVA6"],"itemData":{"id":6288,"type":"manuscript","title":"The Oregon Promise and college attendance","publisher-place":"College Board","event-place":"College Board","author":[{"family":"Gurantz","given":"Oded"}],"issued":{"date-parts":[["2018"]]}}}],"schema":"https://github.com/citation-style-language/schema/raw/master/csl-citation.json"} </w:instrText>
      </w:r>
      <w:r w:rsidRPr="004155E9">
        <w:rPr>
          <w:rFonts w:ascii="Times New Roman" w:hAnsi="Times New Roman" w:cs="Times New Roman"/>
          <w:sz w:val="24"/>
          <w:szCs w:val="24"/>
        </w:rPr>
        <w:fldChar w:fldCharType="separate"/>
      </w:r>
      <w:r w:rsidRPr="004155E9">
        <w:rPr>
          <w:rFonts w:ascii="Times New Roman" w:hAnsi="Times New Roman" w:cs="Times New Roman"/>
          <w:sz w:val="24"/>
          <w:szCs w:val="24"/>
        </w:rPr>
        <w:t>(Andrews, DesJardins, &amp; Ranchhod, 2010; Bartik, Hershbein, &amp; Lachowska, 2015; Carruthers &amp; Fox, 2016; Daugherty &amp; Gonzalez, 2016; Gurantz, 2018; Swanson and Ritter 2018)</w:t>
      </w:r>
      <w:r w:rsidRPr="004155E9">
        <w:rPr>
          <w:rFonts w:ascii="Times New Roman" w:hAnsi="Times New Roman" w:cs="Times New Roman"/>
          <w:sz w:val="24"/>
          <w:szCs w:val="24"/>
        </w:rPr>
        <w:fldChar w:fldCharType="end"/>
      </w:r>
      <w:r w:rsidRPr="004155E9">
        <w:rPr>
          <w:rFonts w:ascii="Times New Roman" w:hAnsi="Times New Roman" w:cs="Times New Roman"/>
          <w:sz w:val="24"/>
          <w:szCs w:val="24"/>
        </w:rPr>
        <w:t>. The main take-away from these evaluations is that no program leads to the same outcomes, with policy design</w:t>
      </w:r>
      <w:r>
        <w:rPr>
          <w:rFonts w:ascii="Times New Roman" w:hAnsi="Times New Roman" w:cs="Times New Roman"/>
          <w:sz w:val="24"/>
          <w:szCs w:val="24"/>
        </w:rPr>
        <w:t xml:space="preserve"> likely</w:t>
      </w:r>
      <w:r w:rsidRPr="004155E9">
        <w:rPr>
          <w:rFonts w:ascii="Times New Roman" w:hAnsi="Times New Roman" w:cs="Times New Roman"/>
          <w:sz w:val="24"/>
          <w:szCs w:val="24"/>
        </w:rPr>
        <w:t xml:space="preserve"> </w:t>
      </w:r>
      <w:r>
        <w:rPr>
          <w:rFonts w:ascii="Times New Roman" w:hAnsi="Times New Roman" w:cs="Times New Roman"/>
          <w:sz w:val="24"/>
          <w:szCs w:val="24"/>
        </w:rPr>
        <w:t>serving a key role in how promise programs impact s</w:t>
      </w:r>
      <w:r w:rsidRPr="004155E9">
        <w:rPr>
          <w:rFonts w:ascii="Times New Roman" w:hAnsi="Times New Roman" w:cs="Times New Roman"/>
          <w:sz w:val="24"/>
          <w:szCs w:val="24"/>
        </w:rPr>
        <w:t>tudent postsecondary outcomes.</w:t>
      </w:r>
      <w:r>
        <w:rPr>
          <w:rFonts w:ascii="Times New Roman" w:hAnsi="Times New Roman" w:cs="Times New Roman"/>
          <w:sz w:val="24"/>
          <w:szCs w:val="24"/>
        </w:rPr>
        <w:t xml:space="preserve"> Given the importance of program design, I present a detailed summary of the program including the eligibility requirements and structure as well as the estimated impacts on postsecondary outcomes in Table </w:t>
      </w:r>
      <w:r w:rsidR="007C1CE7">
        <w:rPr>
          <w:rFonts w:ascii="Times New Roman" w:hAnsi="Times New Roman" w:cs="Times New Roman"/>
          <w:sz w:val="24"/>
          <w:szCs w:val="24"/>
        </w:rPr>
        <w:t>5-4</w:t>
      </w:r>
      <w:r>
        <w:rPr>
          <w:rFonts w:ascii="Times New Roman" w:hAnsi="Times New Roman" w:cs="Times New Roman"/>
          <w:sz w:val="24"/>
          <w:szCs w:val="24"/>
        </w:rPr>
        <w:t xml:space="preserve">. </w:t>
      </w:r>
    </w:p>
    <w:p w14:paraId="5FF84926" w14:textId="2AAE8FFC" w:rsidR="00761C02" w:rsidRDefault="00063F17" w:rsidP="00063F17">
      <w:pPr>
        <w:spacing w:after="0" w:line="480" w:lineRule="auto"/>
        <w:ind w:firstLine="720"/>
        <w:textAlignment w:val="center"/>
        <w:rPr>
          <w:rFonts w:ascii="Times New Roman" w:hAnsi="Times New Roman" w:cs="Times New Roman"/>
          <w:sz w:val="24"/>
          <w:szCs w:val="24"/>
        </w:rPr>
      </w:pPr>
      <w:r>
        <w:rPr>
          <w:rFonts w:ascii="Times New Roman" w:hAnsi="Times New Roman" w:cs="Times New Roman"/>
          <w:sz w:val="24"/>
          <w:szCs w:val="24"/>
        </w:rPr>
        <w:t xml:space="preserve">The wide, first-dollar programs in Table </w:t>
      </w:r>
      <w:r w:rsidR="007C1CE7">
        <w:rPr>
          <w:rFonts w:ascii="Times New Roman" w:hAnsi="Times New Roman" w:cs="Times New Roman"/>
          <w:sz w:val="24"/>
          <w:szCs w:val="24"/>
        </w:rPr>
        <w:t>5-4</w:t>
      </w:r>
      <w:r>
        <w:rPr>
          <w:rFonts w:ascii="Times New Roman" w:hAnsi="Times New Roman" w:cs="Times New Roman"/>
          <w:sz w:val="24"/>
          <w:szCs w:val="24"/>
        </w:rPr>
        <w:t xml:space="preserve">—including the Kalamazoo Promise, the El Dorado Scholarship, and the New Haven Promise—are a more generous form of aid that provides the scholarship </w:t>
      </w:r>
      <w:r w:rsidRPr="007E4051">
        <w:rPr>
          <w:rFonts w:ascii="Times New Roman" w:hAnsi="Times New Roman" w:cs="Times New Roman"/>
          <w:i/>
          <w:sz w:val="24"/>
          <w:szCs w:val="24"/>
        </w:rPr>
        <w:t>before</w:t>
      </w:r>
      <w:r>
        <w:rPr>
          <w:rFonts w:ascii="Times New Roman" w:hAnsi="Times New Roman" w:cs="Times New Roman"/>
          <w:sz w:val="24"/>
          <w:szCs w:val="24"/>
        </w:rPr>
        <w:t xml:space="preserve"> other state and federal aid are applied to the financial aid package at a variety of colleges, effectively allowing students to use any additional aid for room and board, books, and living expenses.  </w:t>
      </w:r>
    </w:p>
    <w:p w14:paraId="6823BC27" w14:textId="695F8A73" w:rsidR="00761C02" w:rsidRPr="0073616B" w:rsidRDefault="00761C02" w:rsidP="00761C02">
      <w:pPr>
        <w:spacing w:after="0" w:line="240" w:lineRule="auto"/>
        <w:jc w:val="center"/>
        <w:textAlignment w:val="center"/>
        <w:rPr>
          <w:rFonts w:ascii="Palatino Linotype" w:hAnsi="Palatino Linotype" w:cs="Times New Roman"/>
        </w:rPr>
      </w:pPr>
      <w:r w:rsidRPr="0011145C">
        <w:rPr>
          <w:rFonts w:ascii="Palatino Linotype" w:hAnsi="Palatino Linotype" w:cs="Times New Roman"/>
          <w:b/>
        </w:rPr>
        <w:lastRenderedPageBreak/>
        <w:t xml:space="preserve">Table </w:t>
      </w:r>
      <w:r w:rsidR="007C1CE7">
        <w:rPr>
          <w:rFonts w:ascii="Palatino Linotype" w:hAnsi="Palatino Linotype" w:cs="Times New Roman"/>
          <w:b/>
        </w:rPr>
        <w:t>5-4</w:t>
      </w:r>
      <w:r w:rsidRPr="0011145C">
        <w:rPr>
          <w:rFonts w:ascii="Palatino Linotype" w:hAnsi="Palatino Linotype" w:cs="Times New Roman"/>
          <w:b/>
        </w:rPr>
        <w:t xml:space="preserve">. </w:t>
      </w:r>
      <w:r>
        <w:rPr>
          <w:rFonts w:ascii="Palatino Linotype" w:hAnsi="Palatino Linotype" w:cs="Times New Roman"/>
        </w:rPr>
        <w:t>Policy Designs and Findings from Promise Research on Postsecondary Outcomes</w:t>
      </w:r>
    </w:p>
    <w:tbl>
      <w:tblPr>
        <w:tblW w:w="9810" w:type="dxa"/>
        <w:jc w:val="center"/>
        <w:tblCellMar>
          <w:left w:w="0" w:type="dxa"/>
          <w:right w:w="0" w:type="dxa"/>
        </w:tblCellMar>
        <w:tblLook w:val="04A0" w:firstRow="1" w:lastRow="0" w:firstColumn="1" w:lastColumn="0" w:noHBand="0" w:noVBand="1"/>
        <w:tblCaption w:val=""/>
        <w:tblDescription w:val=""/>
      </w:tblPr>
      <w:tblGrid>
        <w:gridCol w:w="1260"/>
        <w:gridCol w:w="2790"/>
        <w:gridCol w:w="3240"/>
        <w:gridCol w:w="2520"/>
      </w:tblGrid>
      <w:tr w:rsidR="00761C02" w:rsidRPr="00EF3247" w14:paraId="204EA5F3" w14:textId="77777777" w:rsidTr="00556CCF">
        <w:trPr>
          <w:trHeight w:val="154"/>
          <w:jc w:val="center"/>
        </w:trPr>
        <w:tc>
          <w:tcPr>
            <w:tcW w:w="1260" w:type="dxa"/>
            <w:tcBorders>
              <w:bottom w:val="single" w:sz="12" w:space="0" w:color="auto"/>
            </w:tcBorders>
            <w:tcMar>
              <w:top w:w="80" w:type="dxa"/>
              <w:left w:w="80" w:type="dxa"/>
              <w:bottom w:w="80" w:type="dxa"/>
              <w:right w:w="80" w:type="dxa"/>
            </w:tcMar>
            <w:vAlign w:val="center"/>
          </w:tcPr>
          <w:p w14:paraId="3DF610D0" w14:textId="77777777" w:rsidR="00761C02" w:rsidRPr="00EF3247" w:rsidRDefault="00761C02" w:rsidP="00556CCF">
            <w:pPr>
              <w:spacing w:after="0" w:line="240" w:lineRule="auto"/>
              <w:jc w:val="center"/>
              <w:rPr>
                <w:rFonts w:ascii="Palatino Linotype" w:eastAsia="Times New Roman" w:hAnsi="Palatino Linotype" w:cs="Times New Roman"/>
                <w:b/>
                <w:bCs/>
                <w:color w:val="000000"/>
                <w:sz w:val="18"/>
                <w:szCs w:val="18"/>
              </w:rPr>
            </w:pPr>
            <w:r>
              <w:rPr>
                <w:rFonts w:ascii="Palatino Linotype" w:eastAsia="Times New Roman" w:hAnsi="Palatino Linotype" w:cs="Times New Roman"/>
                <w:b/>
                <w:bCs/>
                <w:color w:val="000000"/>
                <w:sz w:val="18"/>
                <w:szCs w:val="18"/>
              </w:rPr>
              <w:t>Program</w:t>
            </w:r>
          </w:p>
        </w:tc>
        <w:tc>
          <w:tcPr>
            <w:tcW w:w="2790" w:type="dxa"/>
            <w:tcBorders>
              <w:bottom w:val="single" w:sz="12" w:space="0" w:color="auto"/>
            </w:tcBorders>
            <w:tcMar>
              <w:top w:w="80" w:type="dxa"/>
              <w:left w:w="80" w:type="dxa"/>
              <w:bottom w:w="80" w:type="dxa"/>
              <w:right w:w="80" w:type="dxa"/>
            </w:tcMar>
            <w:vAlign w:val="center"/>
          </w:tcPr>
          <w:p w14:paraId="23EFE3F1" w14:textId="77777777" w:rsidR="00761C02" w:rsidRPr="00EF3247" w:rsidRDefault="00761C02" w:rsidP="00556CCF">
            <w:pPr>
              <w:spacing w:after="0" w:line="240" w:lineRule="auto"/>
              <w:jc w:val="center"/>
              <w:rPr>
                <w:rFonts w:ascii="Palatino Linotype" w:eastAsia="Times New Roman" w:hAnsi="Palatino Linotype" w:cs="Times New Roman"/>
                <w:b/>
                <w:bCs/>
                <w:color w:val="000000"/>
                <w:sz w:val="18"/>
                <w:szCs w:val="18"/>
              </w:rPr>
            </w:pPr>
            <w:r>
              <w:rPr>
                <w:rFonts w:ascii="Palatino Linotype" w:eastAsia="Times New Roman" w:hAnsi="Palatino Linotype" w:cs="Times New Roman"/>
                <w:b/>
                <w:bCs/>
                <w:color w:val="000000"/>
                <w:sz w:val="18"/>
                <w:szCs w:val="18"/>
              </w:rPr>
              <w:t>Structure</w:t>
            </w:r>
          </w:p>
        </w:tc>
        <w:tc>
          <w:tcPr>
            <w:tcW w:w="3240" w:type="dxa"/>
            <w:tcBorders>
              <w:bottom w:val="single" w:sz="12" w:space="0" w:color="auto"/>
            </w:tcBorders>
            <w:vAlign w:val="center"/>
          </w:tcPr>
          <w:p w14:paraId="45084900" w14:textId="77777777" w:rsidR="00761C02" w:rsidRDefault="00761C02" w:rsidP="00556CCF">
            <w:pPr>
              <w:spacing w:after="0" w:line="240" w:lineRule="auto"/>
              <w:jc w:val="center"/>
              <w:rPr>
                <w:rFonts w:ascii="Palatino Linotype" w:eastAsia="Times New Roman" w:hAnsi="Palatino Linotype" w:cs="Times New Roman"/>
                <w:b/>
                <w:bCs/>
                <w:color w:val="000000"/>
                <w:sz w:val="18"/>
                <w:szCs w:val="18"/>
              </w:rPr>
            </w:pPr>
            <w:r>
              <w:rPr>
                <w:rFonts w:ascii="Palatino Linotype" w:eastAsia="Times New Roman" w:hAnsi="Palatino Linotype" w:cs="Times New Roman"/>
                <w:b/>
                <w:bCs/>
                <w:color w:val="000000"/>
                <w:sz w:val="18"/>
                <w:szCs w:val="18"/>
              </w:rPr>
              <w:t>Eligibility Requirements</w:t>
            </w:r>
          </w:p>
        </w:tc>
        <w:tc>
          <w:tcPr>
            <w:tcW w:w="2520" w:type="dxa"/>
            <w:tcBorders>
              <w:bottom w:val="single" w:sz="12" w:space="0" w:color="auto"/>
            </w:tcBorders>
            <w:vAlign w:val="center"/>
          </w:tcPr>
          <w:p w14:paraId="69E56488" w14:textId="77777777" w:rsidR="00761C02" w:rsidRPr="00EF3247" w:rsidRDefault="00761C02" w:rsidP="00556CCF">
            <w:pPr>
              <w:spacing w:after="0" w:line="240" w:lineRule="auto"/>
              <w:jc w:val="center"/>
              <w:rPr>
                <w:rFonts w:ascii="Palatino Linotype" w:eastAsia="Times New Roman" w:hAnsi="Palatino Linotype" w:cs="Times New Roman"/>
                <w:b/>
                <w:bCs/>
                <w:color w:val="000000"/>
                <w:sz w:val="18"/>
                <w:szCs w:val="18"/>
              </w:rPr>
            </w:pPr>
            <w:r>
              <w:rPr>
                <w:rFonts w:ascii="Palatino Linotype" w:eastAsia="Times New Roman" w:hAnsi="Palatino Linotype" w:cs="Times New Roman"/>
                <w:b/>
                <w:bCs/>
                <w:color w:val="000000"/>
                <w:sz w:val="18"/>
                <w:szCs w:val="18"/>
              </w:rPr>
              <w:t>Findings</w:t>
            </w:r>
          </w:p>
        </w:tc>
      </w:tr>
      <w:tr w:rsidR="00761C02" w:rsidRPr="00EF3247" w14:paraId="042406FC" w14:textId="77777777" w:rsidTr="00556CCF">
        <w:trPr>
          <w:trHeight w:val="709"/>
          <w:jc w:val="center"/>
        </w:trPr>
        <w:tc>
          <w:tcPr>
            <w:tcW w:w="1260" w:type="dxa"/>
            <w:tcBorders>
              <w:top w:val="single" w:sz="12" w:space="0" w:color="auto"/>
            </w:tcBorders>
            <w:tcMar>
              <w:top w:w="80" w:type="dxa"/>
              <w:left w:w="80" w:type="dxa"/>
              <w:bottom w:w="80" w:type="dxa"/>
              <w:right w:w="80" w:type="dxa"/>
            </w:tcMar>
            <w:vAlign w:val="center"/>
          </w:tcPr>
          <w:p w14:paraId="04412E60" w14:textId="77777777" w:rsidR="00761C02" w:rsidRPr="00EF3247" w:rsidRDefault="00761C02" w:rsidP="00556CCF">
            <w:pPr>
              <w:spacing w:after="0" w:line="240" w:lineRule="auto"/>
              <w:jc w:val="center"/>
              <w:rPr>
                <w:rFonts w:ascii="Palatino Linotype" w:eastAsia="Times New Roman" w:hAnsi="Palatino Linotype" w:cs="Times New Roman"/>
                <w:bCs/>
                <w:color w:val="000000"/>
                <w:sz w:val="18"/>
                <w:szCs w:val="18"/>
              </w:rPr>
            </w:pPr>
            <w:r>
              <w:rPr>
                <w:rFonts w:ascii="Palatino Linotype" w:eastAsia="Times New Roman" w:hAnsi="Palatino Linotype" w:cs="Times New Roman"/>
                <w:bCs/>
                <w:color w:val="000000"/>
                <w:sz w:val="18"/>
                <w:szCs w:val="18"/>
              </w:rPr>
              <w:t>Kalamazoo Promise</w:t>
            </w:r>
          </w:p>
        </w:tc>
        <w:tc>
          <w:tcPr>
            <w:tcW w:w="2790" w:type="dxa"/>
            <w:tcBorders>
              <w:top w:val="single" w:sz="12" w:space="0" w:color="auto"/>
            </w:tcBorders>
            <w:tcMar>
              <w:top w:w="80" w:type="dxa"/>
              <w:left w:w="80" w:type="dxa"/>
              <w:bottom w:w="80" w:type="dxa"/>
              <w:right w:w="80" w:type="dxa"/>
            </w:tcMar>
            <w:vAlign w:val="center"/>
          </w:tcPr>
          <w:p w14:paraId="539CDD35" w14:textId="77777777" w:rsidR="00761C02" w:rsidRPr="0086529E" w:rsidRDefault="00761C02" w:rsidP="00556CCF">
            <w:pPr>
              <w:spacing w:after="0" w:line="240" w:lineRule="auto"/>
              <w:rPr>
                <w:rFonts w:ascii="Palatino Linotype" w:hAnsi="Palatino Linotype" w:cs="TimesNewRomanPS-BoldMT"/>
                <w:bCs/>
                <w:sz w:val="18"/>
                <w:szCs w:val="18"/>
              </w:rPr>
            </w:pPr>
            <w:r>
              <w:rPr>
                <w:rFonts w:ascii="Palatino Linotype" w:hAnsi="Palatino Linotype" w:cs="TimesNewRomanPS-BoldMT"/>
                <w:bCs/>
                <w:sz w:val="18"/>
                <w:szCs w:val="18"/>
              </w:rPr>
              <w:t>First-dollar aid c</w:t>
            </w:r>
            <w:r w:rsidRPr="0086529E">
              <w:rPr>
                <w:rFonts w:ascii="Palatino Linotype" w:hAnsi="Palatino Linotype" w:cs="TimesNewRomanPS-BoldMT"/>
                <w:bCs/>
                <w:sz w:val="18"/>
                <w:szCs w:val="18"/>
              </w:rPr>
              <w:t>overs tuition &amp; fees at any public institution in Michigan</w:t>
            </w:r>
          </w:p>
        </w:tc>
        <w:tc>
          <w:tcPr>
            <w:tcW w:w="3240" w:type="dxa"/>
            <w:tcBorders>
              <w:top w:val="single" w:sz="12" w:space="0" w:color="auto"/>
            </w:tcBorders>
            <w:vAlign w:val="center"/>
          </w:tcPr>
          <w:p w14:paraId="43DF2D45" w14:textId="77777777" w:rsidR="00761C02" w:rsidRPr="0086529E" w:rsidRDefault="00761C02" w:rsidP="00556CCF">
            <w:pPr>
              <w:spacing w:after="0" w:line="240" w:lineRule="auto"/>
              <w:rPr>
                <w:rFonts w:ascii="Palatino Linotype" w:hAnsi="Palatino Linotype" w:cs="TimesNewRomanPS-BoldMT"/>
                <w:bCs/>
                <w:sz w:val="18"/>
                <w:szCs w:val="18"/>
              </w:rPr>
            </w:pPr>
            <w:r w:rsidRPr="0086529E">
              <w:rPr>
                <w:rFonts w:ascii="Palatino Linotype" w:hAnsi="Palatino Linotype" w:cs="TimesNewRomanPS-BoldMT"/>
                <w:bCs/>
                <w:sz w:val="18"/>
                <w:szCs w:val="18"/>
              </w:rPr>
              <w:t xml:space="preserve">Attend Kalamazoo Public School; </w:t>
            </w:r>
            <w:r>
              <w:rPr>
                <w:rFonts w:ascii="Palatino Linotype" w:hAnsi="Palatino Linotype" w:cs="TimesNewRomanPS-BoldMT"/>
                <w:bCs/>
                <w:sz w:val="18"/>
                <w:szCs w:val="18"/>
              </w:rPr>
              <w:t>2.0 GPA and 12 credits per semester in college</w:t>
            </w:r>
          </w:p>
        </w:tc>
        <w:tc>
          <w:tcPr>
            <w:tcW w:w="2520" w:type="dxa"/>
            <w:tcBorders>
              <w:top w:val="single" w:sz="12" w:space="0" w:color="auto"/>
            </w:tcBorders>
            <w:vAlign w:val="center"/>
          </w:tcPr>
          <w:p w14:paraId="63D882EF" w14:textId="77777777" w:rsidR="00761C02" w:rsidRPr="00EF3247" w:rsidRDefault="00761C02" w:rsidP="00556CCF">
            <w:pPr>
              <w:spacing w:after="0" w:line="240" w:lineRule="auto"/>
              <w:rPr>
                <w:rFonts w:ascii="Palatino Linotype" w:eastAsia="Calibri" w:hAnsi="Palatino Linotype" w:cs="Times New Roman"/>
                <w:sz w:val="18"/>
                <w:szCs w:val="18"/>
              </w:rPr>
            </w:pPr>
            <w:r>
              <w:rPr>
                <w:rFonts w:ascii="Palatino Linotype" w:eastAsia="Calibri" w:hAnsi="Palatino Linotype" w:cs="Times New Roman"/>
                <w:sz w:val="18"/>
                <w:szCs w:val="18"/>
              </w:rPr>
              <w:t>Increase in college application, enrollment, credits attempted, persistence and attainment (Bartik et al. 2015; Andrews et al. 2010)</w:t>
            </w:r>
          </w:p>
        </w:tc>
      </w:tr>
      <w:tr w:rsidR="00761C02" w:rsidRPr="00EF3247" w14:paraId="19499B6E" w14:textId="77777777" w:rsidTr="00556CCF">
        <w:trPr>
          <w:trHeight w:val="1027"/>
          <w:jc w:val="center"/>
        </w:trPr>
        <w:tc>
          <w:tcPr>
            <w:tcW w:w="1260" w:type="dxa"/>
            <w:tcMar>
              <w:top w:w="80" w:type="dxa"/>
              <w:left w:w="80" w:type="dxa"/>
              <w:bottom w:w="80" w:type="dxa"/>
              <w:right w:w="80" w:type="dxa"/>
            </w:tcMar>
            <w:vAlign w:val="center"/>
          </w:tcPr>
          <w:p w14:paraId="752CA432" w14:textId="77777777" w:rsidR="00761C02" w:rsidRPr="00EF3247" w:rsidRDefault="00761C02" w:rsidP="00556CCF">
            <w:pPr>
              <w:spacing w:after="0" w:line="240" w:lineRule="auto"/>
              <w:jc w:val="center"/>
              <w:rPr>
                <w:rFonts w:ascii="Palatino Linotype" w:eastAsia="Times New Roman" w:hAnsi="Palatino Linotype" w:cs="Times New Roman"/>
                <w:bCs/>
                <w:color w:val="000000"/>
                <w:sz w:val="18"/>
                <w:szCs w:val="18"/>
              </w:rPr>
            </w:pPr>
            <w:r>
              <w:rPr>
                <w:rFonts w:ascii="Palatino Linotype" w:eastAsia="Times New Roman" w:hAnsi="Palatino Linotype" w:cs="Times New Roman"/>
                <w:bCs/>
                <w:color w:val="000000"/>
                <w:sz w:val="18"/>
                <w:szCs w:val="18"/>
              </w:rPr>
              <w:t>El Dorado Scholarship</w:t>
            </w:r>
          </w:p>
        </w:tc>
        <w:tc>
          <w:tcPr>
            <w:tcW w:w="2790" w:type="dxa"/>
            <w:tcMar>
              <w:top w:w="80" w:type="dxa"/>
              <w:left w:w="80" w:type="dxa"/>
              <w:bottom w:w="80" w:type="dxa"/>
              <w:right w:w="80" w:type="dxa"/>
            </w:tcMar>
            <w:vAlign w:val="center"/>
          </w:tcPr>
          <w:p w14:paraId="4CA40A46" w14:textId="77777777" w:rsidR="00761C02" w:rsidRPr="00EF3247" w:rsidRDefault="00761C02" w:rsidP="00556CCF">
            <w:pPr>
              <w:rPr>
                <w:rFonts w:ascii="Palatino Linotype" w:eastAsia="Times New Roman" w:hAnsi="Palatino Linotype"/>
                <w:sz w:val="18"/>
                <w:szCs w:val="18"/>
              </w:rPr>
            </w:pPr>
            <w:r>
              <w:rPr>
                <w:rFonts w:ascii="Palatino Linotype" w:eastAsia="Times New Roman" w:hAnsi="Palatino Linotype"/>
                <w:sz w:val="18"/>
                <w:szCs w:val="18"/>
              </w:rPr>
              <w:t>First-dollar scholarship covers tuition at any college in the country (capped at the highest tuition and fees at an Arkansas public university)</w:t>
            </w:r>
          </w:p>
        </w:tc>
        <w:tc>
          <w:tcPr>
            <w:tcW w:w="3240" w:type="dxa"/>
            <w:vAlign w:val="center"/>
          </w:tcPr>
          <w:p w14:paraId="4C2AFFDD"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Attend high school in El Dorado School District from kindergarten-12</w:t>
            </w:r>
            <w:r w:rsidRPr="00FA0C8E">
              <w:rPr>
                <w:rFonts w:ascii="Palatino Linotype" w:eastAsia="Times New Roman" w:hAnsi="Palatino Linotype" w:cs="Calibri"/>
                <w:color w:val="000000"/>
                <w:sz w:val="18"/>
                <w:szCs w:val="18"/>
                <w:vertAlign w:val="superscript"/>
              </w:rPr>
              <w:t>th</w:t>
            </w:r>
            <w:r>
              <w:rPr>
                <w:rFonts w:ascii="Palatino Linotype" w:eastAsia="Times New Roman" w:hAnsi="Palatino Linotype" w:cs="Calibri"/>
                <w:color w:val="000000"/>
                <w:sz w:val="18"/>
                <w:szCs w:val="18"/>
              </w:rPr>
              <w:t xml:space="preserve"> for 100% or 9</w:t>
            </w:r>
            <w:r w:rsidRPr="00FA0C8E">
              <w:rPr>
                <w:rFonts w:ascii="Palatino Linotype" w:eastAsia="Times New Roman" w:hAnsi="Palatino Linotype" w:cs="Calibri"/>
                <w:color w:val="000000"/>
                <w:sz w:val="18"/>
                <w:szCs w:val="18"/>
                <w:vertAlign w:val="superscript"/>
              </w:rPr>
              <w:t>th</w:t>
            </w:r>
            <w:r>
              <w:rPr>
                <w:rFonts w:ascii="Palatino Linotype" w:eastAsia="Times New Roman" w:hAnsi="Palatino Linotype" w:cs="Calibri"/>
                <w:color w:val="000000"/>
                <w:sz w:val="18"/>
                <w:szCs w:val="18"/>
              </w:rPr>
              <w:t>-12</w:t>
            </w:r>
            <w:r w:rsidRPr="00FA0C8E">
              <w:rPr>
                <w:rFonts w:ascii="Palatino Linotype" w:eastAsia="Times New Roman" w:hAnsi="Palatino Linotype" w:cs="Calibri"/>
                <w:color w:val="000000"/>
                <w:sz w:val="18"/>
                <w:szCs w:val="18"/>
                <w:vertAlign w:val="superscript"/>
              </w:rPr>
              <w:t>th</w:t>
            </w:r>
            <w:r>
              <w:rPr>
                <w:rFonts w:ascii="Palatino Linotype" w:eastAsia="Times New Roman" w:hAnsi="Palatino Linotype" w:cs="Calibri"/>
                <w:color w:val="000000"/>
                <w:sz w:val="18"/>
                <w:szCs w:val="18"/>
              </w:rPr>
              <w:t xml:space="preserve"> for 60% of scholarship</w:t>
            </w:r>
          </w:p>
        </w:tc>
        <w:tc>
          <w:tcPr>
            <w:tcW w:w="2520" w:type="dxa"/>
            <w:vAlign w:val="center"/>
          </w:tcPr>
          <w:p w14:paraId="28A6925C"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Increase in college enrollment and bachelor’s degree completion. Null impact on associate’s degree completion (Swanson &amp; Ritter 2018)</w:t>
            </w:r>
          </w:p>
        </w:tc>
      </w:tr>
      <w:tr w:rsidR="00761C02" w:rsidRPr="00EF3247" w14:paraId="59465C4C" w14:textId="77777777" w:rsidTr="00556CCF">
        <w:trPr>
          <w:trHeight w:val="522"/>
          <w:jc w:val="center"/>
        </w:trPr>
        <w:tc>
          <w:tcPr>
            <w:tcW w:w="1260" w:type="dxa"/>
            <w:tcMar>
              <w:top w:w="80" w:type="dxa"/>
              <w:left w:w="80" w:type="dxa"/>
              <w:bottom w:w="80" w:type="dxa"/>
              <w:right w:w="80" w:type="dxa"/>
            </w:tcMar>
            <w:vAlign w:val="center"/>
          </w:tcPr>
          <w:p w14:paraId="37DC93CB" w14:textId="77777777" w:rsidR="00761C02" w:rsidRPr="00EF3247" w:rsidRDefault="00761C02" w:rsidP="00556CCF">
            <w:pPr>
              <w:spacing w:after="0" w:line="240" w:lineRule="auto"/>
              <w:jc w:val="center"/>
              <w:rPr>
                <w:rFonts w:ascii="Palatino Linotype" w:eastAsia="Times New Roman" w:hAnsi="Palatino Linotype" w:cs="Times New Roman"/>
                <w:bCs/>
                <w:color w:val="000000"/>
                <w:sz w:val="18"/>
                <w:szCs w:val="18"/>
              </w:rPr>
            </w:pPr>
            <w:r>
              <w:rPr>
                <w:rFonts w:ascii="Palatino Linotype" w:eastAsia="Times New Roman" w:hAnsi="Palatino Linotype" w:cs="Calibri"/>
                <w:color w:val="000000"/>
                <w:sz w:val="18"/>
                <w:szCs w:val="18"/>
              </w:rPr>
              <w:t>New Haven Promise</w:t>
            </w:r>
          </w:p>
        </w:tc>
        <w:tc>
          <w:tcPr>
            <w:tcW w:w="2790" w:type="dxa"/>
            <w:tcMar>
              <w:top w:w="80" w:type="dxa"/>
              <w:left w:w="80" w:type="dxa"/>
              <w:bottom w:w="80" w:type="dxa"/>
              <w:right w:w="80" w:type="dxa"/>
            </w:tcMar>
            <w:vAlign w:val="center"/>
          </w:tcPr>
          <w:p w14:paraId="241E9B81" w14:textId="77777777" w:rsidR="00761C02" w:rsidRPr="00EF3247" w:rsidRDefault="00761C02" w:rsidP="00556CCF">
            <w:pPr>
              <w:autoSpaceDE w:val="0"/>
              <w:autoSpaceDN w:val="0"/>
              <w:adjustRightInd w:val="0"/>
              <w:spacing w:after="0" w:line="240" w:lineRule="auto"/>
              <w:rPr>
                <w:rFonts w:ascii="Palatino Linotype" w:hAnsi="Palatino Linotype" w:cs="TimesNewRomanPSMT"/>
                <w:sz w:val="18"/>
                <w:szCs w:val="18"/>
              </w:rPr>
            </w:pPr>
            <w:r>
              <w:rPr>
                <w:rFonts w:ascii="Palatino Linotype" w:hAnsi="Palatino Linotype" w:cs="TimesNewRomanPSMT"/>
                <w:sz w:val="18"/>
                <w:szCs w:val="18"/>
              </w:rPr>
              <w:t>First-dollar aid up to $10,000 per year covers tuition at all public college in Connecticut. Includes student support system.</w:t>
            </w:r>
          </w:p>
        </w:tc>
        <w:tc>
          <w:tcPr>
            <w:tcW w:w="3240" w:type="dxa"/>
            <w:vAlign w:val="center"/>
          </w:tcPr>
          <w:p w14:paraId="454065A6"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 xml:space="preserve">40 hours community service in high school, 3.0 GPA or higher in high school, 90% attendance rate in high school, Attend school and reside in New Haven, no expulsions in high school. In college, student must maintain a 2.0 GPA in first year and 2.5 GPA afterwards. </w:t>
            </w:r>
          </w:p>
        </w:tc>
        <w:tc>
          <w:tcPr>
            <w:tcW w:w="2520" w:type="dxa"/>
            <w:vAlign w:val="center"/>
          </w:tcPr>
          <w:p w14:paraId="52887D93"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 xml:space="preserve">Unclear impacts on college enrollment and persistence </w:t>
            </w:r>
            <w:r>
              <w:rPr>
                <w:rFonts w:ascii="Palatino Linotype" w:eastAsia="Times New Roman" w:hAnsi="Palatino Linotype" w:cs="Calibri"/>
                <w:color w:val="000000"/>
                <w:sz w:val="18"/>
                <w:szCs w:val="18"/>
              </w:rPr>
              <w:fldChar w:fldCharType="begin"/>
            </w:r>
            <w:r>
              <w:rPr>
                <w:rFonts w:ascii="Palatino Linotype" w:eastAsia="Times New Roman" w:hAnsi="Palatino Linotype" w:cs="Calibri"/>
                <w:color w:val="000000"/>
                <w:sz w:val="18"/>
                <w:szCs w:val="18"/>
              </w:rPr>
              <w:instrText xml:space="preserve"> ADDIN ZOTERO_ITEM CSL_CITATION {"citationID":"CqclJHbj","properties":{"formattedCitation":"(Daugherty &amp; Gonzalez, 2016)","plainCitation":"(Daugherty &amp; Gonzalez, 2016)","noteIndex":0},"citationItems":[{"id":6223,"uris":["http://zotero.org/users/2595715/items/TMXWWMKM"],"uri":["http://zotero.org/users/2595715/items/TMXWWMKM"],"itemData":{"id":6223,"type":"paper-conference","title":"The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C."}],"issued":{"date-parts":[["2016"]]},"accessed":{"date-parts":[["2018",5,12]]}}}],"schema":"https://github.com/citation-style-language/schema/raw/master/csl-citation.json"} </w:instrText>
            </w:r>
            <w:r>
              <w:rPr>
                <w:rFonts w:ascii="Palatino Linotype" w:eastAsia="Times New Roman" w:hAnsi="Palatino Linotype" w:cs="Calibri"/>
                <w:color w:val="000000"/>
                <w:sz w:val="18"/>
                <w:szCs w:val="18"/>
              </w:rPr>
              <w:fldChar w:fldCharType="separate"/>
            </w:r>
            <w:r w:rsidRPr="003414CB">
              <w:rPr>
                <w:rFonts w:ascii="Palatino Linotype" w:hAnsi="Palatino Linotype"/>
                <w:sz w:val="18"/>
              </w:rPr>
              <w:t>(Daugherty &amp; Gonzalez, 2016)</w:t>
            </w:r>
            <w:r>
              <w:rPr>
                <w:rFonts w:ascii="Palatino Linotype" w:eastAsia="Times New Roman" w:hAnsi="Palatino Linotype" w:cs="Calibri"/>
                <w:color w:val="000000"/>
                <w:sz w:val="18"/>
                <w:szCs w:val="18"/>
              </w:rPr>
              <w:fldChar w:fldCharType="end"/>
            </w:r>
            <w:r>
              <w:rPr>
                <w:rFonts w:ascii="Palatino Linotype" w:eastAsia="Times New Roman" w:hAnsi="Palatino Linotype" w:cs="Calibri"/>
                <w:color w:val="000000"/>
                <w:sz w:val="18"/>
                <w:szCs w:val="18"/>
              </w:rPr>
              <w:t>. None consistently statistically significant and positive.</w:t>
            </w:r>
          </w:p>
        </w:tc>
      </w:tr>
      <w:tr w:rsidR="00761C02" w:rsidRPr="00EF3247" w14:paraId="5AEA08A3" w14:textId="77777777" w:rsidTr="00556CCF">
        <w:trPr>
          <w:trHeight w:val="522"/>
          <w:jc w:val="center"/>
        </w:trPr>
        <w:tc>
          <w:tcPr>
            <w:tcW w:w="1260" w:type="dxa"/>
            <w:tcMar>
              <w:top w:w="80" w:type="dxa"/>
              <w:left w:w="80" w:type="dxa"/>
              <w:bottom w:w="80" w:type="dxa"/>
              <w:right w:w="80" w:type="dxa"/>
            </w:tcMar>
            <w:vAlign w:val="center"/>
          </w:tcPr>
          <w:p w14:paraId="7B4FBF06" w14:textId="77777777" w:rsidR="00761C02" w:rsidRDefault="00761C02" w:rsidP="00556CCF">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Times New Roman"/>
                <w:bCs/>
                <w:color w:val="000000"/>
                <w:sz w:val="18"/>
                <w:szCs w:val="18"/>
              </w:rPr>
              <w:t>Pittsburgh Promise</w:t>
            </w:r>
          </w:p>
        </w:tc>
        <w:tc>
          <w:tcPr>
            <w:tcW w:w="2790" w:type="dxa"/>
            <w:tcMar>
              <w:top w:w="80" w:type="dxa"/>
              <w:left w:w="80" w:type="dxa"/>
              <w:bottom w:w="80" w:type="dxa"/>
              <w:right w:w="80" w:type="dxa"/>
            </w:tcMar>
            <w:vAlign w:val="center"/>
          </w:tcPr>
          <w:p w14:paraId="3D604D34" w14:textId="77777777" w:rsidR="00761C02" w:rsidRDefault="00761C02" w:rsidP="00556CCF">
            <w:pPr>
              <w:autoSpaceDE w:val="0"/>
              <w:autoSpaceDN w:val="0"/>
              <w:adjustRightInd w:val="0"/>
              <w:spacing w:after="0" w:line="240" w:lineRule="auto"/>
              <w:rPr>
                <w:rFonts w:ascii="Palatino Linotype" w:hAnsi="Palatino Linotype" w:cs="TimesNewRomanPSMT"/>
                <w:sz w:val="18"/>
                <w:szCs w:val="18"/>
              </w:rPr>
            </w:pPr>
            <w:r>
              <w:rPr>
                <w:rFonts w:ascii="Palatino Linotype" w:hAnsi="Palatino Linotype" w:cs="TimesNewRomanPS-BoldMT"/>
                <w:bCs/>
                <w:sz w:val="18"/>
                <w:szCs w:val="18"/>
              </w:rPr>
              <w:t>Last-dollar aid covers cost of attendance up to $5,000/$10,000 max award per year to attend any institution in Pennsylvania</w:t>
            </w:r>
          </w:p>
        </w:tc>
        <w:tc>
          <w:tcPr>
            <w:tcW w:w="3240" w:type="dxa"/>
            <w:vAlign w:val="center"/>
          </w:tcPr>
          <w:p w14:paraId="327E9FD4"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hAnsi="Palatino Linotype" w:cs="TimesNewRomanPS-BoldMT"/>
                <w:bCs/>
                <w:sz w:val="18"/>
                <w:szCs w:val="18"/>
              </w:rPr>
              <w:t>Attend Pittsburgh Public Schools, 90% attendance rate and high school GPA requirement (varies over time)</w:t>
            </w:r>
          </w:p>
        </w:tc>
        <w:tc>
          <w:tcPr>
            <w:tcW w:w="2520" w:type="dxa"/>
            <w:vAlign w:val="center"/>
          </w:tcPr>
          <w:p w14:paraId="3EC65CFC"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hAnsi="Palatino Linotype" w:cs="Times New Roman"/>
                <w:sz w:val="18"/>
                <w:szCs w:val="18"/>
              </w:rPr>
              <w:t>Increase in college enrollment &amp; persistence (Page et al. 2018)</w:t>
            </w:r>
          </w:p>
        </w:tc>
      </w:tr>
      <w:tr w:rsidR="00761C02" w:rsidRPr="00EF3247" w14:paraId="1736BC98" w14:textId="77777777" w:rsidTr="00556CCF">
        <w:trPr>
          <w:trHeight w:val="522"/>
          <w:jc w:val="center"/>
        </w:trPr>
        <w:tc>
          <w:tcPr>
            <w:tcW w:w="1260" w:type="dxa"/>
            <w:tcMar>
              <w:top w:w="80" w:type="dxa"/>
              <w:left w:w="80" w:type="dxa"/>
              <w:bottom w:w="80" w:type="dxa"/>
              <w:right w:w="80" w:type="dxa"/>
            </w:tcMar>
            <w:vAlign w:val="center"/>
          </w:tcPr>
          <w:p w14:paraId="5F5A2DEE" w14:textId="77777777" w:rsidR="00761C02" w:rsidRPr="00EF3247" w:rsidRDefault="00761C02" w:rsidP="00556CCF">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Knox Achieves</w:t>
            </w:r>
          </w:p>
        </w:tc>
        <w:tc>
          <w:tcPr>
            <w:tcW w:w="2790" w:type="dxa"/>
            <w:tcMar>
              <w:top w:w="80" w:type="dxa"/>
              <w:left w:w="80" w:type="dxa"/>
              <w:bottom w:w="80" w:type="dxa"/>
              <w:right w:w="80" w:type="dxa"/>
            </w:tcMar>
            <w:vAlign w:val="center"/>
          </w:tcPr>
          <w:p w14:paraId="21A0DFB3" w14:textId="77777777" w:rsidR="00761C02" w:rsidRPr="00EF3247" w:rsidRDefault="00761C02" w:rsidP="00556CCF">
            <w:pPr>
              <w:autoSpaceDE w:val="0"/>
              <w:autoSpaceDN w:val="0"/>
              <w:adjustRightInd w:val="0"/>
              <w:rPr>
                <w:rFonts w:ascii="Palatino Linotype" w:hAnsi="Palatino Linotype" w:cs="TimesNewRomanPSMT"/>
                <w:sz w:val="18"/>
                <w:szCs w:val="18"/>
              </w:rPr>
            </w:pPr>
            <w:r>
              <w:rPr>
                <w:rFonts w:ascii="Palatino Linotype" w:hAnsi="Palatino Linotype" w:cs="TimesNewRomanPSMT"/>
                <w:sz w:val="18"/>
                <w:szCs w:val="18"/>
              </w:rPr>
              <w:t>Last-dollar aid covers tuition and fees in any Tennessee community college</w:t>
            </w:r>
          </w:p>
        </w:tc>
        <w:tc>
          <w:tcPr>
            <w:tcW w:w="3240" w:type="dxa"/>
            <w:vAlign w:val="center"/>
          </w:tcPr>
          <w:p w14:paraId="33B2A082"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Attend Knox County high school</w:t>
            </w:r>
          </w:p>
        </w:tc>
        <w:tc>
          <w:tcPr>
            <w:tcW w:w="2520" w:type="dxa"/>
            <w:vAlign w:val="center"/>
          </w:tcPr>
          <w:p w14:paraId="66C463D4"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Increase in two-year college enrollment and credit accumulation. Reduction in four-year enrollment (Carruthers &amp; Fox 2016)</w:t>
            </w:r>
          </w:p>
        </w:tc>
      </w:tr>
      <w:tr w:rsidR="00761C02" w:rsidRPr="00EF3247" w14:paraId="1D50A362" w14:textId="77777777" w:rsidTr="00556CCF">
        <w:trPr>
          <w:trHeight w:val="522"/>
          <w:jc w:val="center"/>
        </w:trPr>
        <w:tc>
          <w:tcPr>
            <w:tcW w:w="1260" w:type="dxa"/>
            <w:tcMar>
              <w:top w:w="80" w:type="dxa"/>
              <w:left w:w="80" w:type="dxa"/>
              <w:bottom w:w="80" w:type="dxa"/>
              <w:right w:w="80" w:type="dxa"/>
            </w:tcMar>
            <w:vAlign w:val="center"/>
          </w:tcPr>
          <w:p w14:paraId="29EDE15F" w14:textId="77777777" w:rsidR="00761C02" w:rsidRDefault="00761C02" w:rsidP="00556CCF">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Oregon Promise</w:t>
            </w:r>
          </w:p>
        </w:tc>
        <w:tc>
          <w:tcPr>
            <w:tcW w:w="2790" w:type="dxa"/>
            <w:tcMar>
              <w:top w:w="80" w:type="dxa"/>
              <w:left w:w="80" w:type="dxa"/>
              <w:bottom w:w="80" w:type="dxa"/>
              <w:right w:w="80" w:type="dxa"/>
            </w:tcMar>
            <w:vAlign w:val="center"/>
          </w:tcPr>
          <w:p w14:paraId="25EBBE4C" w14:textId="77777777" w:rsidR="00761C02" w:rsidRDefault="00761C02" w:rsidP="00556CCF">
            <w:pPr>
              <w:autoSpaceDE w:val="0"/>
              <w:autoSpaceDN w:val="0"/>
              <w:adjustRightInd w:val="0"/>
              <w:rPr>
                <w:rFonts w:ascii="Palatino Linotype" w:hAnsi="Palatino Linotype" w:cs="TimesNewRomanPSMT"/>
                <w:sz w:val="18"/>
                <w:szCs w:val="18"/>
              </w:rPr>
            </w:pPr>
            <w:r>
              <w:rPr>
                <w:rFonts w:ascii="Palatino Linotype" w:hAnsi="Palatino Linotype" w:cs="TimesNewRomanPSMT"/>
                <w:sz w:val="18"/>
                <w:szCs w:val="18"/>
              </w:rPr>
              <w:t>Last-dollar aid covers tuition at any Oregon community college</w:t>
            </w:r>
          </w:p>
        </w:tc>
        <w:tc>
          <w:tcPr>
            <w:tcW w:w="3240" w:type="dxa"/>
            <w:vAlign w:val="center"/>
          </w:tcPr>
          <w:p w14:paraId="5FF039B5"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Recently implemented family income cap</w:t>
            </w:r>
          </w:p>
        </w:tc>
        <w:tc>
          <w:tcPr>
            <w:tcW w:w="2520" w:type="dxa"/>
            <w:vAlign w:val="center"/>
          </w:tcPr>
          <w:p w14:paraId="1DE2B544"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Increased likelihood student enroll in two year instead of four year universities (Gurantz 2018)</w:t>
            </w:r>
          </w:p>
        </w:tc>
      </w:tr>
      <w:tr w:rsidR="00761C02" w:rsidRPr="00EF3247" w14:paraId="640062D6" w14:textId="77777777" w:rsidTr="00556CCF">
        <w:trPr>
          <w:trHeight w:val="522"/>
          <w:jc w:val="center"/>
        </w:trPr>
        <w:tc>
          <w:tcPr>
            <w:tcW w:w="1260" w:type="dxa"/>
            <w:tcMar>
              <w:top w:w="80" w:type="dxa"/>
              <w:left w:w="80" w:type="dxa"/>
              <w:bottom w:w="80" w:type="dxa"/>
              <w:right w:w="80" w:type="dxa"/>
            </w:tcMar>
            <w:vAlign w:val="center"/>
          </w:tcPr>
          <w:p w14:paraId="3998AA7D" w14:textId="77777777" w:rsidR="00761C02" w:rsidRDefault="00761C02" w:rsidP="00556CCF">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The Degree Project</w:t>
            </w:r>
          </w:p>
        </w:tc>
        <w:tc>
          <w:tcPr>
            <w:tcW w:w="2790" w:type="dxa"/>
            <w:tcMar>
              <w:top w:w="80" w:type="dxa"/>
              <w:left w:w="80" w:type="dxa"/>
              <w:bottom w:w="80" w:type="dxa"/>
              <w:right w:w="80" w:type="dxa"/>
            </w:tcMar>
            <w:vAlign w:val="center"/>
          </w:tcPr>
          <w:p w14:paraId="30D1469E" w14:textId="77777777" w:rsidR="00761C02" w:rsidRDefault="00761C02" w:rsidP="00556CCF">
            <w:pPr>
              <w:autoSpaceDE w:val="0"/>
              <w:autoSpaceDN w:val="0"/>
              <w:adjustRightInd w:val="0"/>
              <w:rPr>
                <w:rFonts w:ascii="Palatino Linotype" w:hAnsi="Palatino Linotype" w:cs="TimesNewRomanPSMT"/>
                <w:sz w:val="18"/>
                <w:szCs w:val="18"/>
              </w:rPr>
            </w:pPr>
            <w:r>
              <w:rPr>
                <w:rFonts w:ascii="Palatino Linotype" w:hAnsi="Palatino Linotype" w:cs="TimesNewRomanPSMT"/>
                <w:sz w:val="18"/>
                <w:szCs w:val="18"/>
              </w:rPr>
              <w:t xml:space="preserve">Last dollar aid providing up to cost of attendance or $12,000 per year to one cohort of students to attend any two or four-year public college in Wisconsin. </w:t>
            </w:r>
          </w:p>
        </w:tc>
        <w:tc>
          <w:tcPr>
            <w:tcW w:w="3240" w:type="dxa"/>
            <w:vAlign w:val="center"/>
          </w:tcPr>
          <w:p w14:paraId="678EE0A1"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Attend and graduate from eligible high school in Milwaukee Public Schools, make 2.5 high school GPA, attend class 90% of the time &amp; FAFSA, need at least $1 of unmet need &amp; enroll within four years of high school</w:t>
            </w:r>
          </w:p>
        </w:tc>
        <w:tc>
          <w:tcPr>
            <w:tcW w:w="2520" w:type="dxa"/>
            <w:vAlign w:val="center"/>
          </w:tcPr>
          <w:p w14:paraId="6F4C7A65"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Increase in two-year college enrollment and attainment (Harris et al. 2018)</w:t>
            </w:r>
          </w:p>
        </w:tc>
      </w:tr>
      <w:tr w:rsidR="00761C02" w:rsidRPr="00EF3247" w14:paraId="21CFDF3A" w14:textId="77777777" w:rsidTr="00556CCF">
        <w:trPr>
          <w:trHeight w:val="522"/>
          <w:jc w:val="center"/>
        </w:trPr>
        <w:tc>
          <w:tcPr>
            <w:tcW w:w="1260" w:type="dxa"/>
            <w:tcBorders>
              <w:bottom w:val="single" w:sz="4" w:space="0" w:color="auto"/>
            </w:tcBorders>
            <w:tcMar>
              <w:top w:w="80" w:type="dxa"/>
              <w:left w:w="80" w:type="dxa"/>
              <w:bottom w:w="80" w:type="dxa"/>
              <w:right w:w="80" w:type="dxa"/>
            </w:tcMar>
            <w:vAlign w:val="center"/>
          </w:tcPr>
          <w:p w14:paraId="7DDC862D" w14:textId="77777777" w:rsidR="00761C02" w:rsidRDefault="00761C02" w:rsidP="00556CCF">
            <w:pPr>
              <w:spacing w:after="0" w:line="240" w:lineRule="auto"/>
              <w:jc w:val="center"/>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Tulsa Achieves</w:t>
            </w:r>
          </w:p>
        </w:tc>
        <w:tc>
          <w:tcPr>
            <w:tcW w:w="2790" w:type="dxa"/>
            <w:tcBorders>
              <w:bottom w:val="single" w:sz="4" w:space="0" w:color="auto"/>
            </w:tcBorders>
            <w:tcMar>
              <w:top w:w="80" w:type="dxa"/>
              <w:left w:w="80" w:type="dxa"/>
              <w:bottom w:w="80" w:type="dxa"/>
              <w:right w:w="80" w:type="dxa"/>
            </w:tcMar>
            <w:vAlign w:val="center"/>
          </w:tcPr>
          <w:p w14:paraId="101475C5" w14:textId="77777777" w:rsidR="00761C02" w:rsidRPr="00EF3247" w:rsidRDefault="00761C02" w:rsidP="00556CCF">
            <w:pPr>
              <w:autoSpaceDE w:val="0"/>
              <w:autoSpaceDN w:val="0"/>
              <w:adjustRightInd w:val="0"/>
              <w:rPr>
                <w:rFonts w:ascii="Palatino Linotype" w:hAnsi="Palatino Linotype" w:cs="TimesNewRomanPSMT"/>
                <w:sz w:val="18"/>
                <w:szCs w:val="18"/>
              </w:rPr>
            </w:pPr>
            <w:r>
              <w:rPr>
                <w:rFonts w:ascii="Palatino Linotype" w:hAnsi="Palatino Linotype" w:cs="TimesNewRomanPSMT"/>
                <w:sz w:val="18"/>
                <w:szCs w:val="18"/>
              </w:rPr>
              <w:t xml:space="preserve">Last-dollar aid covers tuition at Tulsa Community College </w:t>
            </w:r>
          </w:p>
        </w:tc>
        <w:tc>
          <w:tcPr>
            <w:tcW w:w="3240" w:type="dxa"/>
            <w:tcBorders>
              <w:bottom w:val="single" w:sz="4" w:space="0" w:color="auto"/>
            </w:tcBorders>
            <w:vAlign w:val="center"/>
          </w:tcPr>
          <w:p w14:paraId="7BF6BF22" w14:textId="77777777" w:rsidR="00761C02" w:rsidRDefault="00761C02" w:rsidP="00556CCF">
            <w:pPr>
              <w:spacing w:after="0" w:line="240" w:lineRule="auto"/>
              <w:rPr>
                <w:rFonts w:ascii="Palatino Linotype" w:eastAsia="Times New Roman" w:hAnsi="Palatino Linotype" w:cs="Calibri"/>
                <w:color w:val="000000"/>
                <w:sz w:val="18"/>
                <w:szCs w:val="18"/>
              </w:rPr>
            </w:pPr>
            <w:r>
              <w:rPr>
                <w:rFonts w:ascii="Palatino Linotype" w:eastAsia="Times New Roman" w:hAnsi="Palatino Linotype" w:cs="Calibri"/>
                <w:color w:val="000000"/>
                <w:sz w:val="18"/>
                <w:szCs w:val="18"/>
              </w:rPr>
              <w:t>Attend Tulsa County high school, 40 hours of community service, 2.0 high school GPA, maintain good academic standing</w:t>
            </w:r>
          </w:p>
        </w:tc>
        <w:tc>
          <w:tcPr>
            <w:tcW w:w="2520" w:type="dxa"/>
            <w:tcBorders>
              <w:bottom w:val="single" w:sz="4" w:space="0" w:color="auto"/>
            </w:tcBorders>
            <w:vAlign w:val="center"/>
          </w:tcPr>
          <w:p w14:paraId="440F80E0" w14:textId="77777777" w:rsidR="00761C02" w:rsidRPr="00EF3247" w:rsidRDefault="00761C02" w:rsidP="00556CCF">
            <w:pPr>
              <w:spacing w:after="0" w:line="240" w:lineRule="auto"/>
              <w:rPr>
                <w:rFonts w:ascii="Palatino Linotype" w:eastAsia="Times New Roman" w:hAnsi="Palatino Linotype" w:cs="Calibri"/>
                <w:color w:val="000000"/>
                <w:sz w:val="18"/>
                <w:szCs w:val="18"/>
              </w:rPr>
            </w:pPr>
          </w:p>
        </w:tc>
      </w:tr>
    </w:tbl>
    <w:p w14:paraId="539076A0" w14:textId="77777777" w:rsidR="00761C02" w:rsidRDefault="00761C02" w:rsidP="00063F17">
      <w:pPr>
        <w:spacing w:after="0" w:line="480" w:lineRule="auto"/>
        <w:ind w:firstLine="720"/>
        <w:textAlignment w:val="center"/>
        <w:rPr>
          <w:rFonts w:ascii="Times New Roman" w:hAnsi="Times New Roman" w:cs="Times New Roman"/>
          <w:sz w:val="24"/>
          <w:szCs w:val="24"/>
        </w:rPr>
      </w:pPr>
    </w:p>
    <w:p w14:paraId="196357ED" w14:textId="531B2613" w:rsidR="00063F17" w:rsidRDefault="00063F17" w:rsidP="00761C02">
      <w:pPr>
        <w:spacing w:after="0" w:line="480" w:lineRule="auto"/>
        <w:textAlignment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The most well researched program is</w:t>
      </w:r>
      <w:r w:rsidRPr="004155E9">
        <w:rPr>
          <w:rFonts w:ascii="Times New Roman" w:hAnsi="Times New Roman" w:cs="Times New Roman"/>
          <w:sz w:val="24"/>
          <w:szCs w:val="24"/>
        </w:rPr>
        <w:t xml:space="preserve"> the Kalamazoo promise program</w:t>
      </w:r>
      <w:r>
        <w:rPr>
          <w:rFonts w:ascii="Times New Roman" w:hAnsi="Times New Roman" w:cs="Times New Roman"/>
          <w:sz w:val="24"/>
          <w:szCs w:val="24"/>
        </w:rPr>
        <w:t>, which has</w:t>
      </w:r>
      <w:r w:rsidRPr="004155E9">
        <w:rPr>
          <w:rFonts w:ascii="Times New Roman" w:hAnsi="Times New Roman" w:cs="Times New Roman"/>
          <w:sz w:val="24"/>
          <w:szCs w:val="24"/>
        </w:rPr>
        <w:t xml:space="preserve"> led to large and significant impacts on college</w:t>
      </w:r>
      <w:r>
        <w:rPr>
          <w:rFonts w:ascii="Times New Roman" w:hAnsi="Times New Roman" w:cs="Times New Roman"/>
          <w:sz w:val="24"/>
          <w:szCs w:val="24"/>
        </w:rPr>
        <w:t xml:space="preserve"> </w:t>
      </w:r>
      <w:r w:rsidRPr="004155E9">
        <w:rPr>
          <w:rFonts w:ascii="Times New Roman" w:hAnsi="Times New Roman" w:cs="Times New Roman"/>
          <w:sz w:val="24"/>
          <w:szCs w:val="24"/>
        </w:rPr>
        <w:t xml:space="preserve">enrollment, credit hours earned, and the probability of obtaining a bachelor’s degree </w:t>
      </w:r>
      <w:r w:rsidRPr="004155E9">
        <w:rPr>
          <w:rFonts w:ascii="Times New Roman" w:hAnsi="Times New Roman" w:cs="Times New Roman"/>
          <w:sz w:val="24"/>
          <w:szCs w:val="24"/>
        </w:rPr>
        <w:fldChar w:fldCharType="begin"/>
      </w:r>
      <w:r w:rsidRPr="004155E9">
        <w:rPr>
          <w:rFonts w:ascii="Times New Roman" w:hAnsi="Times New Roman" w:cs="Times New Roman"/>
          <w:sz w:val="24"/>
          <w:szCs w:val="24"/>
        </w:rPr>
        <w:instrText xml:space="preserve"> ADDIN ZOTERO_ITEM CSL_CITATION {"citationID":"xAEPNfDo","properties":{"formattedCitation":"(T. J. Bartik, Hershbein, &amp; Lachowska, 2015)","plainCitation":"(T. J. Bartik, Hershbein, &amp; Lachowska, 2015)","dontUpdate":true,"noteIndex":0},"citationItems":[{"id":5815,"uris":["http://zotero.org/users/2595715/items/DE9KLT9P"],"uri":["http://zotero.org/users/2595715/items/DE9KLT9P"],"itemData":{"id":5815,"type":"report","title":"The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J."},{"family":"Lachowska","given":"Marta"}],"issued":{"date-parts":[["2015",6,29]]},"accessed":{"date-parts":[["2017",10,22]]}}}],"schema":"https://github.com/citation-style-language/schema/raw/master/csl-citation.json"} </w:instrText>
      </w:r>
      <w:r w:rsidRPr="004155E9">
        <w:rPr>
          <w:rFonts w:ascii="Times New Roman" w:hAnsi="Times New Roman" w:cs="Times New Roman"/>
          <w:sz w:val="24"/>
          <w:szCs w:val="24"/>
        </w:rPr>
        <w:fldChar w:fldCharType="separate"/>
      </w:r>
      <w:r w:rsidRPr="004155E9">
        <w:rPr>
          <w:rFonts w:ascii="Times New Roman" w:hAnsi="Times New Roman" w:cs="Times New Roman"/>
          <w:sz w:val="24"/>
          <w:szCs w:val="24"/>
        </w:rPr>
        <w:t>(Bartik, Hershbein, &amp; Lachowska, 2015)</w:t>
      </w:r>
      <w:r w:rsidRPr="004155E9">
        <w:rPr>
          <w:rFonts w:ascii="Times New Roman" w:hAnsi="Times New Roman" w:cs="Times New Roman"/>
          <w:sz w:val="24"/>
          <w:szCs w:val="24"/>
        </w:rPr>
        <w:fldChar w:fldCharType="end"/>
      </w:r>
      <w:r w:rsidRPr="004155E9">
        <w:rPr>
          <w:rFonts w:ascii="Times New Roman" w:hAnsi="Times New Roman" w:cs="Times New Roman"/>
          <w:sz w:val="24"/>
          <w:szCs w:val="24"/>
        </w:rPr>
        <w:t>. Additionally, the Kalamazoo promise</w:t>
      </w:r>
      <w:r>
        <w:rPr>
          <w:rFonts w:ascii="Times New Roman" w:hAnsi="Times New Roman" w:cs="Times New Roman"/>
          <w:sz w:val="24"/>
          <w:szCs w:val="24"/>
        </w:rPr>
        <w:t xml:space="preserve"> significantly shaped college choice and </w:t>
      </w:r>
      <w:r w:rsidRPr="004155E9">
        <w:rPr>
          <w:rFonts w:ascii="Times New Roman" w:hAnsi="Times New Roman" w:cs="Times New Roman"/>
          <w:sz w:val="24"/>
          <w:szCs w:val="24"/>
        </w:rPr>
        <w:t>increas</w:t>
      </w:r>
      <w:r>
        <w:rPr>
          <w:rFonts w:ascii="Times New Roman" w:hAnsi="Times New Roman" w:cs="Times New Roman"/>
          <w:sz w:val="24"/>
          <w:szCs w:val="24"/>
        </w:rPr>
        <w:t>ed</w:t>
      </w:r>
      <w:r w:rsidRPr="004155E9">
        <w:rPr>
          <w:rFonts w:ascii="Times New Roman" w:hAnsi="Times New Roman" w:cs="Times New Roman"/>
          <w:sz w:val="24"/>
          <w:szCs w:val="24"/>
        </w:rPr>
        <w:t xml:space="preserve"> the likelihood of enrolling in a </w:t>
      </w:r>
      <w:r>
        <w:rPr>
          <w:rFonts w:ascii="Times New Roman" w:hAnsi="Times New Roman" w:cs="Times New Roman"/>
          <w:sz w:val="24"/>
          <w:szCs w:val="24"/>
        </w:rPr>
        <w:t>four</w:t>
      </w:r>
      <w:r w:rsidRPr="004155E9">
        <w:rPr>
          <w:rFonts w:ascii="Times New Roman" w:hAnsi="Times New Roman" w:cs="Times New Roman"/>
          <w:sz w:val="24"/>
          <w:szCs w:val="24"/>
        </w:rPr>
        <w:t>-year college</w:t>
      </w:r>
      <w:r>
        <w:rPr>
          <w:rFonts w:ascii="Times New Roman" w:hAnsi="Times New Roman" w:cs="Times New Roman"/>
          <w:sz w:val="24"/>
          <w:szCs w:val="24"/>
        </w:rPr>
        <w:t xml:space="preserve">, which is likely a result of the scholarship’s wide instead of narrow design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{"citationID":"1lXdZdyS","properties":{"formattedCitation":"(Andrews et al., 2010; T. J. Bartik et al., 2015; Miller-Adams &amp; Timmeney, 2013)","plainCitation":"(Andrews et al., 2010; T. J. Bartik et al., 2015; Miller-Adams &amp; Timmeney, 2013)","dontUpdate":true,"noteIndex":0},"citationItems":[{"id":5826,"uris":["http://zotero.org/users/2595715/items/HJCY2H7E"],"uri":["http://zotero.org/users/2595715/items/HJCY2H7E"],"itemData":{"id":5826,"type":"article-journal","title":"The effects of the Kalamazoo Promise on college choice","container-title":"Economics of Education Review","page":"722-737","volume":"29","issue":"5","source":"ScienceDirect","abstract":"On November 10, 2005, then Superintendent of the Kalamazoo Public School System, Janice Brown announced—to the surprise of Kalamazoo’s residents—the beginning of the Kalamazoo Promise. Fully funded by a set of anonymous donors, the Kalamazoo Promise is an urban revitalization program that offers up to four years of free tuition to any public college or university in the state of Michigan for graduates of the Kalamazoo Public School system who meet certain eligibility criteria. Using the subsidy as a source of exogenous variation in the price of college, we use quasi-experimental methods to evaluate the impact of the subsidy on college choice. We find that the Kalamazoo Promise increases the likelihood that students from Kalamazoo Public Schools consider public institutions in Michigan. In addition, we find that the Kalamazoo Promise especially impacts the college choice set of students from families who earn less than $50,000 in annual income.","DOI":"10.1016/j.econedurev.2010.05.004","ISSN":"0272-7757","journalAbbreviation":"Economics of Education Review","author":[{"family":"Andrews","given":"Rodney J."},{"family":"DesJardins","given":"Stephen"},{"family":"Ranchhod","given":"Vimal"}],"issued":{"date-parts":[["2010",10,1]]}}},{"id":5815,"uris":["http://zotero.org/users/2595715/items/DE9KLT9P"],"uri":["http://zotero.org/users/2595715/items/DE9KLT9P"],"itemData":{"id":5815,"type":"report","title":"The Effects of the Kalamazoo Promise Scholarship on College Enrollment, Persistence, and Completion","publisher":"Social Science Research Network","publisher-place":"Rochester, NY","genre":"SSRN Scholarly Paper","source":"papers.ssrn.com","event-place":"Rochester, NY","abstract":"We estimate the effects on postsecondary education outcomes of the Kalamazoo Promise, a generous place-based college scholarship. We identify Promise effects using difference-in-differences, comparing eligible to ineligible graduates before and after the Promise’s initiation. According to our estimates, the Promise significantly increases college enrollment, college credits attempted, and credential attainment. Stronger effects occur for minorities and women. Predicted lifetime earnings effects of the Promise’s credential gains, compared to the Promise’s scholarship costs, represent an internal rate of return of 11.3 percent. Based on our results, simple and generous scholarships can significantly increase educational attainment and provide net economic benefits.","URL":"https://papers.ssrn.com/abstract=2624727","number":"ID 2624727","author":[{"family":"Bartik","given":"Timothy J."},{"family":"Hershbein","given":"Brad J."},{"family":"Lachowska","given":"Marta"}],"issued":{"date-parts":[["2015",6,29]]},"accessed":{"date-parts":[["2017",10,22]]}}},{"id":6308,"uris":["http://zotero.org/users/2595715/items/TTU6HAXS"],"uri":["http://zotero.org/users/2595715/items/TTU6HAXS"],"itemData":{"id":6308,"type":"article-journal","title":"The Impact of the Kalamazoo Promise on College Choice: An Analysis of Kalamazoo Area Math and Science Center Graduates","container-title":"Upjohn Institute Policy Papers","URL":"http://research.upjohn.org/up_policypapers/14","DOI":"10.17848/pol2015-014","shortTitle":"The Impact of the Kalamazoo Promise on College Choice","author":[{"family":"Miller-Adams","given":"Michelle"},{"family":"Timmeney","given":"Bridget"}],"issued":{"date-parts":[["2013",1,1]]}}}],"schema":"https://github.com/citation-style-language/schema/raw/master/csl-citation.json"} </w:instrText>
      </w:r>
      <w:r>
        <w:rPr>
          <w:rFonts w:ascii="Times New Roman" w:hAnsi="Times New Roman" w:cs="Times New Roman"/>
          <w:sz w:val="24"/>
          <w:szCs w:val="24"/>
        </w:rPr>
        <w:fldChar w:fldCharType="separate"/>
      </w:r>
      <w:r w:rsidRPr="003B0CEE">
        <w:rPr>
          <w:rFonts w:ascii="Times New Roman" w:hAnsi="Times New Roman" w:cs="Times New Roman"/>
          <w:sz w:val="24"/>
        </w:rPr>
        <w:t>(Andrews et al., 2010; Bartik et al., 2015; Miller-Adams &amp; Timmeney, 2013)</w:t>
      </w:r>
      <w:r>
        <w:rPr>
          <w:rFonts w:ascii="Times New Roman" w:hAnsi="Times New Roman" w:cs="Times New Roman"/>
          <w:sz w:val="24"/>
          <w:szCs w:val="24"/>
        </w:rPr>
        <w:fldChar w:fldCharType="end"/>
      </w:r>
      <w:r>
        <w:rPr>
          <w:rFonts w:ascii="Times New Roman" w:hAnsi="Times New Roman" w:cs="Times New Roman"/>
          <w:sz w:val="24"/>
          <w:szCs w:val="24"/>
        </w:rPr>
        <w:t>.</w:t>
      </w:r>
      <w:r w:rsidRPr="004155E9">
        <w:rPr>
          <w:rFonts w:ascii="Times New Roman" w:eastAsia="Times New Roman" w:hAnsi="Times New Roman" w:cs="Times New Roman"/>
          <w:sz w:val="24"/>
          <w:szCs w:val="24"/>
        </w:rPr>
        <w:t xml:space="preserve"> </w:t>
      </w:r>
      <w:r w:rsidRPr="004155E9">
        <w:rPr>
          <w:rFonts w:ascii="Times New Roman" w:hAnsi="Times New Roman" w:cs="Times New Roman"/>
          <w:sz w:val="24"/>
          <w:szCs w:val="24"/>
        </w:rPr>
        <w:t>Other</w:t>
      </w:r>
      <w:r>
        <w:rPr>
          <w:rFonts w:ascii="Times New Roman" w:hAnsi="Times New Roman" w:cs="Times New Roman"/>
          <w:sz w:val="24"/>
          <w:szCs w:val="24"/>
        </w:rPr>
        <w:t xml:space="preserve"> wide</w:t>
      </w:r>
      <w:r w:rsidRPr="004155E9">
        <w:rPr>
          <w:rFonts w:ascii="Times New Roman" w:hAnsi="Times New Roman" w:cs="Times New Roman"/>
          <w:sz w:val="24"/>
          <w:szCs w:val="24"/>
        </w:rPr>
        <w:t xml:space="preserve"> </w:t>
      </w:r>
      <w:r>
        <w:rPr>
          <w:rFonts w:ascii="Times New Roman" w:hAnsi="Times New Roman" w:cs="Times New Roman"/>
          <w:sz w:val="24"/>
          <w:szCs w:val="24"/>
        </w:rPr>
        <w:t xml:space="preserve">first-dollar </w:t>
      </w:r>
      <w:r w:rsidRPr="004155E9">
        <w:rPr>
          <w:rFonts w:ascii="Times New Roman" w:hAnsi="Times New Roman" w:cs="Times New Roman"/>
          <w:sz w:val="24"/>
          <w:szCs w:val="24"/>
        </w:rPr>
        <w:t xml:space="preserve">programs </w:t>
      </w:r>
      <w:r>
        <w:rPr>
          <w:rFonts w:ascii="Times New Roman" w:hAnsi="Times New Roman" w:cs="Times New Roman"/>
          <w:sz w:val="24"/>
          <w:szCs w:val="24"/>
        </w:rPr>
        <w:t>such as the</w:t>
      </w:r>
      <w:r>
        <w:rPr>
          <w:rFonts w:ascii="Times New Roman" w:eastAsia="Times New Roman" w:hAnsi="Times New Roman" w:cs="Times New Roman"/>
          <w:sz w:val="24"/>
          <w:szCs w:val="24"/>
        </w:rPr>
        <w:t xml:space="preserve"> El Dorado scholarship program, which</w:t>
      </w:r>
      <w:r w:rsidRPr="004155E9">
        <w:rPr>
          <w:rFonts w:ascii="Times New Roman" w:eastAsia="Times New Roman" w:hAnsi="Times New Roman" w:cs="Times New Roman"/>
          <w:sz w:val="24"/>
          <w:szCs w:val="24"/>
        </w:rPr>
        <w:t xml:space="preserve"> covers up to the total cost of attendance</w:t>
      </w:r>
      <w:r>
        <w:rPr>
          <w:rFonts w:ascii="Times New Roman" w:eastAsia="Times New Roman" w:hAnsi="Times New Roman" w:cs="Times New Roman"/>
          <w:sz w:val="24"/>
          <w:szCs w:val="24"/>
        </w:rPr>
        <w:t xml:space="preserve"> at any college in the country,</w:t>
      </w:r>
      <w:r w:rsidRPr="004155E9">
        <w:rPr>
          <w:rFonts w:ascii="Times New Roman" w:eastAsia="Times New Roman" w:hAnsi="Times New Roman" w:cs="Times New Roman"/>
          <w:sz w:val="24"/>
          <w:szCs w:val="24"/>
        </w:rPr>
        <w:t xml:space="preserve"> </w:t>
      </w:r>
      <w:r w:rsidRPr="004155E9">
        <w:rPr>
          <w:rFonts w:ascii="Times New Roman" w:hAnsi="Times New Roman" w:cs="Times New Roman"/>
          <w:sz w:val="24"/>
          <w:szCs w:val="24"/>
        </w:rPr>
        <w:t>reveal</w:t>
      </w:r>
      <w:r>
        <w:rPr>
          <w:rFonts w:ascii="Times New Roman" w:hAnsi="Times New Roman" w:cs="Times New Roman"/>
          <w:sz w:val="24"/>
          <w:szCs w:val="24"/>
        </w:rPr>
        <w:t>s</w:t>
      </w:r>
      <w:r w:rsidRPr="004155E9">
        <w:rPr>
          <w:rFonts w:ascii="Times New Roman" w:hAnsi="Times New Roman" w:cs="Times New Roman"/>
          <w:sz w:val="24"/>
          <w:szCs w:val="24"/>
        </w:rPr>
        <w:t xml:space="preserve"> similar results</w:t>
      </w:r>
      <w:r>
        <w:rPr>
          <w:rFonts w:ascii="Times New Roman" w:hAnsi="Times New Roman" w:cs="Times New Roman"/>
          <w:sz w:val="24"/>
          <w:szCs w:val="24"/>
        </w:rPr>
        <w:t>—</w:t>
      </w:r>
      <w:r>
        <w:rPr>
          <w:rFonts w:ascii="Times New Roman" w:eastAsia="Times New Roman" w:hAnsi="Times New Roman" w:cs="Times New Roman"/>
          <w:sz w:val="24"/>
          <w:szCs w:val="24"/>
        </w:rPr>
        <w:t>t</w:t>
      </w:r>
      <w:r w:rsidRPr="004155E9">
        <w:rPr>
          <w:rFonts w:ascii="Times New Roman" w:eastAsia="Times New Roman" w:hAnsi="Times New Roman" w:cs="Times New Roman"/>
          <w:sz w:val="24"/>
          <w:szCs w:val="24"/>
        </w:rPr>
        <w:t>he El Dorado</w:t>
      </w:r>
      <w:r>
        <w:rPr>
          <w:rFonts w:ascii="Times New Roman" w:eastAsia="Times New Roman" w:hAnsi="Times New Roman" w:cs="Times New Roman"/>
          <w:sz w:val="24"/>
          <w:szCs w:val="24"/>
        </w:rPr>
        <w:t xml:space="preserve"> scholarship is associated with an </w:t>
      </w:r>
      <w:r w:rsidRPr="004155E9">
        <w:rPr>
          <w:rFonts w:ascii="Times New Roman" w:eastAsia="Times New Roman" w:hAnsi="Times New Roman" w:cs="Times New Roman"/>
          <w:sz w:val="24"/>
          <w:szCs w:val="24"/>
        </w:rPr>
        <w:t>11.4 percent increase in college enrollment and a 10.7 percent increase in</w:t>
      </w:r>
      <w:r>
        <w:rPr>
          <w:rFonts w:ascii="Times New Roman" w:eastAsia="Times New Roman" w:hAnsi="Times New Roman" w:cs="Times New Roman"/>
          <w:sz w:val="24"/>
          <w:szCs w:val="24"/>
        </w:rPr>
        <w:t xml:space="preserve"> the probability of completing a</w:t>
      </w:r>
      <w:r w:rsidRPr="004155E9">
        <w:rPr>
          <w:rFonts w:ascii="Times New Roman" w:eastAsia="Times New Roman" w:hAnsi="Times New Roman" w:cs="Times New Roman"/>
          <w:sz w:val="24"/>
          <w:szCs w:val="24"/>
        </w:rPr>
        <w:t xml:space="preserve"> bachelor’s degree</w:t>
      </w:r>
      <w:r>
        <w:rPr>
          <w:rFonts w:ascii="Times New Roman" w:eastAsia="Times New Roman" w:hAnsi="Times New Roman" w:cs="Times New Roman"/>
          <w:sz w:val="24"/>
          <w:szCs w:val="24"/>
        </w:rPr>
        <w:t>, with students of color earning above-average GPAs experiencing the biggest gains in bachelor’s degree completion</w:t>
      </w:r>
      <w:r w:rsidRPr="004155E9">
        <w:rPr>
          <w:rFonts w:ascii="Times New Roman" w:eastAsia="Times New Roman" w:hAnsi="Times New Roman" w:cs="Times New Roman"/>
          <w:sz w:val="24"/>
          <w:szCs w:val="24"/>
        </w:rPr>
        <w:t xml:space="preserve"> (Swanson and Ritter 2018). </w:t>
      </w:r>
    </w:p>
    <w:p w14:paraId="1330E7C8" w14:textId="77777777" w:rsidR="00063F17" w:rsidRPr="00E633D8" w:rsidRDefault="00063F17" w:rsidP="00063F17">
      <w:pPr>
        <w:spacing w:after="0" w:line="480" w:lineRule="auto"/>
        <w:ind w:firstLine="720"/>
        <w:textAlignment w:val="center"/>
        <w:rPr>
          <w:rFonts w:ascii="Times New Roman" w:hAnsi="Times New Roman" w:cs="Times New Roman"/>
          <w:sz w:val="24"/>
          <w:szCs w:val="24"/>
        </w:rPr>
      </w:pPr>
      <w:r>
        <w:rPr>
          <w:rFonts w:ascii="Times New Roman" w:eastAsia="Times New Roman" w:hAnsi="Times New Roman" w:cs="Times New Roman"/>
          <w:sz w:val="24"/>
          <w:szCs w:val="24"/>
        </w:rPr>
        <w:t xml:space="preserve">Another wide first-dollar program, the New Haven Promise, has produced more mixed results. The New Haven Promise is distinct from </w:t>
      </w:r>
      <w:r w:rsidRPr="00E633D8">
        <w:rPr>
          <w:rFonts w:ascii="Times New Roman" w:eastAsia="Times New Roman" w:hAnsi="Times New Roman" w:cs="Times New Roman"/>
          <w:sz w:val="24"/>
          <w:szCs w:val="24"/>
        </w:rPr>
        <w:t xml:space="preserve">the El Dorado scholarship in that it requires students to meet a more stringent set of eligibility requirements including 40 hours of community service in high school, a cumulative 3.0 GPA in high school, a 90 percent attendance rate, and a clean disciplinary record. In college, students must maintain a 2.0 GPA in the first year and a 2.5 GPA afterwards. Preliminary results for the New Haven promise are null for persistence and mixed in terms of the impact on college enrollment with the difference-in-difference estimates reflecting null findings and the regression discontinuity estimates sensitive to specification </w:t>
      </w:r>
      <w:r w:rsidRPr="00E633D8">
        <w:rPr>
          <w:rFonts w:ascii="Times New Roman" w:eastAsia="Times New Roman" w:hAnsi="Times New Roman" w:cs="Times New Roman"/>
          <w:sz w:val="24"/>
          <w:szCs w:val="24"/>
        </w:rPr>
        <w:fldChar w:fldCharType="begin"/>
      </w:r>
      <w:r w:rsidRPr="00E633D8">
        <w:rPr>
          <w:rFonts w:ascii="Times New Roman" w:eastAsia="Times New Roman" w:hAnsi="Times New Roman" w:cs="Times New Roman"/>
          <w:sz w:val="24"/>
          <w:szCs w:val="24"/>
        </w:rPr>
        <w:instrText xml:space="preserve"> ADDIN ZOTERO_ITEM CSL_CITATION {"citationID":"DrCt8979","properties":{"formattedCitation":"(Daugherty &amp; Gonzalez, 2016)","plainCitation":"(Daugherty &amp; Gonzalez, 2016)","noteIndex":0},"citationItems":[{"id":6223,"uris":["http://zotero.org/users/2595715/items/TMXWWMKM"],"uri":["http://zotero.org/users/2595715/items/TMXWWMKM"],"itemData":{"id":6223,"type":"paper-conference","title":"The Impact of the New Haven Promise Program on College Enrollment, Choice, and Persistence","publisher":"RAND Corporation","abstract":"Estimates the impact of being eligible for the New Haven Promise program for the first three high school graduate cohorts using regression discontinuity and difference-in-differences approaches.","URL":"https://www.rand.org/pubs/working_papers/WR1147.html","language":"en","author":[{"family":"Daugherty","given":"Lindsay"},{"family":"Gonzalez","given":"Gabriella C."}],"issued":{"date-parts":[["2016"]]},"accessed":{"date-parts":[["2018",5,12]]}}}],"schema":"https://github.com/citation-style-language/schema/raw/master/csl-citation.json"} </w:instrText>
      </w:r>
      <w:r w:rsidRPr="00E633D8">
        <w:rPr>
          <w:rFonts w:ascii="Times New Roman" w:eastAsia="Times New Roman" w:hAnsi="Times New Roman" w:cs="Times New Roman"/>
          <w:sz w:val="24"/>
          <w:szCs w:val="24"/>
        </w:rPr>
        <w:fldChar w:fldCharType="separate"/>
      </w:r>
      <w:r w:rsidRPr="00E633D8">
        <w:rPr>
          <w:rFonts w:ascii="Times New Roman" w:hAnsi="Times New Roman" w:cs="Times New Roman"/>
          <w:sz w:val="24"/>
        </w:rPr>
        <w:t>(Daugherty &amp; Gonzalez, 2016)</w:t>
      </w:r>
      <w:r w:rsidRPr="00E633D8">
        <w:rPr>
          <w:rFonts w:ascii="Times New Roman" w:eastAsia="Times New Roman" w:hAnsi="Times New Roman" w:cs="Times New Roman"/>
          <w:sz w:val="24"/>
          <w:szCs w:val="24"/>
        </w:rPr>
        <w:fldChar w:fldCharType="end"/>
      </w:r>
      <w:r w:rsidRPr="00E633D8">
        <w:rPr>
          <w:rFonts w:ascii="Times New Roman" w:eastAsia="Times New Roman" w:hAnsi="Times New Roman" w:cs="Times New Roman"/>
          <w:sz w:val="24"/>
          <w:szCs w:val="24"/>
        </w:rPr>
        <w:t>. Therefore, while the El Dorado and Kalamazoo programs produced consistently positive outcomes for enrollment, persistence, and completion, it remains unclear whether the New Haven Promise produced similar impacts.</w:t>
      </w:r>
    </w:p>
    <w:p w14:paraId="56389E79" w14:textId="77777777" w:rsidR="00063F17" w:rsidRPr="00E633D8" w:rsidRDefault="00063F17" w:rsidP="00063F17">
      <w:pPr>
        <w:spacing w:line="480" w:lineRule="auto"/>
        <w:ind w:firstLine="720"/>
        <w:rPr>
          <w:rFonts w:ascii="Times New Roman" w:hAnsi="Times New Roman" w:cs="Times New Roman"/>
          <w:sz w:val="24"/>
          <w:szCs w:val="24"/>
        </w:rPr>
      </w:pPr>
      <w:r w:rsidRPr="00E633D8">
        <w:rPr>
          <w:rFonts w:ascii="Times New Roman" w:eastAsia="Times New Roman" w:hAnsi="Times New Roman" w:cs="Times New Roman"/>
          <w:sz w:val="24"/>
          <w:szCs w:val="24"/>
        </w:rPr>
        <w:lastRenderedPageBreak/>
        <w:t xml:space="preserve">The evidence on wide, last-dollar promise programs has been consistently positive for postsecondary outcomes such as college enrollment, persistence and completion. The Pittsburgh Promise reflects a wide, merit-based program similar in structure to the New Haven promise with fewer eligibility requirements. In line with the findings for Kalamazoo and El Dorado, the regression discontinuity and difference-in-differences estimates from the Pittsburgh Promise also indicate that students experienced an increase in college attendance and persistence—graduates of Pittsburgh Public Schools were more likely to enroll in college (5 percentage points), more likely to select a Pennsylvania institution (10 percentage points), and more likely to persist (4-7 percentage points) </w:t>
      </w:r>
      <w:r w:rsidRPr="00E633D8">
        <w:rPr>
          <w:rFonts w:ascii="Times New Roman" w:eastAsia="Times New Roman" w:hAnsi="Times New Roman" w:cs="Times New Roman"/>
          <w:sz w:val="24"/>
          <w:szCs w:val="24"/>
        </w:rPr>
        <w:fldChar w:fldCharType="begin"/>
      </w:r>
      <w:r w:rsidRPr="00E633D8">
        <w:rPr>
          <w:rFonts w:ascii="Times New Roman" w:eastAsia="Times New Roman" w:hAnsi="Times New Roman" w:cs="Times New Roman"/>
          <w:sz w:val="24"/>
          <w:szCs w:val="24"/>
        </w:rPr>
        <w:instrText xml:space="preserve"> ADDIN ZOTERO_ITEM CSL_CITATION {"citationID":"r63YOM80","properties":{"formattedCitation":"(Page et al., 2018)","plainCitation":"(Page et al., 2018)","noteIndex":0},"citationItems":[{"id":6303,"uris":["http://zotero.org/users/2595715/items/MLNCBUYP"],"uri":["http://zotero.org/users/2595715/items/MLNCBUYP"],"itemData":{"id":6303,"type":"article-journal","title":"The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M."}],"issued":{"date-parts":[["2018",1,18]]}}}],"schema":"https://github.com/citation-style-language/schema/raw/master/csl-citation.json"} </w:instrText>
      </w:r>
      <w:r w:rsidRPr="00E633D8">
        <w:rPr>
          <w:rFonts w:ascii="Times New Roman" w:eastAsia="Times New Roman" w:hAnsi="Times New Roman" w:cs="Times New Roman"/>
          <w:sz w:val="24"/>
          <w:szCs w:val="24"/>
        </w:rPr>
        <w:fldChar w:fldCharType="separate"/>
      </w:r>
      <w:r w:rsidRPr="00E633D8">
        <w:rPr>
          <w:rFonts w:ascii="Times New Roman" w:hAnsi="Times New Roman" w:cs="Times New Roman"/>
          <w:sz w:val="24"/>
        </w:rPr>
        <w:t>(Page et al., 2018)</w:t>
      </w:r>
      <w:r w:rsidRPr="00E633D8">
        <w:rPr>
          <w:rFonts w:ascii="Times New Roman" w:eastAsia="Times New Roman" w:hAnsi="Times New Roman" w:cs="Times New Roman"/>
          <w:sz w:val="24"/>
          <w:szCs w:val="24"/>
        </w:rPr>
        <w:fldChar w:fldCharType="end"/>
      </w:r>
      <w:r w:rsidRPr="00E633D8">
        <w:rPr>
          <w:rFonts w:ascii="Times New Roman" w:eastAsia="Times New Roman" w:hAnsi="Times New Roman" w:cs="Times New Roman"/>
          <w:sz w:val="24"/>
          <w:szCs w:val="24"/>
        </w:rPr>
        <w:t xml:space="preserve">. In one of the phases, Pittsburgh Promise students were less likely to undermatch by two percentage points and more likely to attend four-year colleges </w:t>
      </w:r>
      <w:r w:rsidRPr="00E633D8">
        <w:rPr>
          <w:rFonts w:ascii="Times New Roman" w:eastAsia="Times New Roman" w:hAnsi="Times New Roman" w:cs="Times New Roman"/>
          <w:sz w:val="24"/>
          <w:szCs w:val="24"/>
        </w:rPr>
        <w:fldChar w:fldCharType="begin"/>
      </w:r>
      <w:r w:rsidRPr="00E633D8">
        <w:rPr>
          <w:rFonts w:ascii="Times New Roman" w:eastAsia="Times New Roman" w:hAnsi="Times New Roman" w:cs="Times New Roman"/>
          <w:sz w:val="24"/>
          <w:szCs w:val="24"/>
        </w:rPr>
        <w:instrText xml:space="preserve"> ADDIN ZOTERO_ITEM CSL_CITATION {"citationID":"Q0nvqJCY","properties":{"formattedCitation":"(Bozick, Gonzalez, &amp; Engberg, 2015)","plainCitation":"(Bozick, Gonzalez, &amp; Engberg, 2015)","dontUpdate":true,"noteIndex":0},"citationItems":[{"id":6317,"uris":["http://zotero.org/users/2595715/items/SBWSKEQM"],"uri":["http://zotero.org/users/2595715/items/SBWSKEQM"],"itemData":{"id":6317,"type":"article-journal","title":"Using a Merit-Based Scholarship Program to Increase Rates of College Enrollment in an Urban School District: The Case of the Pittsburgh Promise","container-title":"Journal of Student Financial Aid","volume":"45","issue":"2","URL":"https://publications.nasfaa.org/jsfa/vol45/iss2/2","ISSN":"0884-9153","shortTitle":"Using a Merit-Based Scholarship Program to Increase Rates of College Enrollment in an Urban School District","author":[{"family":"Bozick","given":"Robert"},{"family":"Gonzalez","given":"Gabriella"},{"family":"Engberg","given":"John"}],"issued":{"date-parts":[["2015",7,27]]}}}],"schema":"https://github.com/citation-style-language/schema/raw/master/csl-citation.json"} </w:instrText>
      </w:r>
      <w:r w:rsidRPr="00E633D8">
        <w:rPr>
          <w:rFonts w:ascii="Times New Roman" w:eastAsia="Times New Roman" w:hAnsi="Times New Roman" w:cs="Times New Roman"/>
          <w:sz w:val="24"/>
          <w:szCs w:val="24"/>
        </w:rPr>
        <w:fldChar w:fldCharType="separate"/>
      </w:r>
      <w:r w:rsidRPr="00E633D8">
        <w:rPr>
          <w:rFonts w:ascii="Times New Roman" w:hAnsi="Times New Roman" w:cs="Times New Roman"/>
          <w:sz w:val="24"/>
          <w:szCs w:val="24"/>
        </w:rPr>
        <w:t>(Bozick, Gonzalez, &amp; Engberg, 2015; Page and Iriti 2016)</w:t>
      </w:r>
      <w:r w:rsidRPr="00E633D8">
        <w:rPr>
          <w:rFonts w:ascii="Times New Roman" w:eastAsia="Times New Roman" w:hAnsi="Times New Roman" w:cs="Times New Roman"/>
          <w:sz w:val="24"/>
          <w:szCs w:val="24"/>
        </w:rPr>
        <w:fldChar w:fldCharType="end"/>
      </w:r>
      <w:r w:rsidRPr="00E633D8">
        <w:rPr>
          <w:rFonts w:ascii="Times New Roman" w:eastAsia="Times New Roman" w:hAnsi="Times New Roman" w:cs="Times New Roman"/>
          <w:sz w:val="24"/>
          <w:szCs w:val="24"/>
        </w:rPr>
        <w:t>.  Similarly, i</w:t>
      </w:r>
      <w:r w:rsidRPr="00E633D8">
        <w:rPr>
          <w:rFonts w:ascii="Times New Roman" w:hAnsi="Times New Roman" w:cs="Times New Roman"/>
          <w:sz w:val="24"/>
          <w:szCs w:val="24"/>
        </w:rPr>
        <w:t xml:space="preserve">n the case of Knox Achieves—a wide, last-dollar program that does not include merit requirements–scholars have uncovered a 3-4 percentage point increase in college enrollment, particularly among low-income students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{"citationID":"pXl9Z7B2","properties":{"formattedCitation":"(Carruthers &amp; Fox, 2016)","plainCitation":"(Carruthers &amp; Fox, 2016)","noteIndex":0},"citationItems":[{"id":4526,"uris":["http://zotero.org/users/2595715/items/IT328IB3"],"uri":["http://zotero.org/users/2595715/items/IT328IB3"],"itemData":{"id":4526,"type":"article-journal","title":"Aid for all: College coaching, financial aid, and post-secondary persistence in Tennessee","container-title":"Economics of Education Review","page":"97-112","volume":"51","source":"ScienceDirect","abstract":"Beginning with the high school class of 2015, Tennessee Promise will provide college coaching and last-dollar aid to every high school graduate making a seamless transition to community college. We examine the program that preceded this effort and evaluate its potential effect on college-going and college persistence. Knox Achieves originated in Knox County, Tennessee with the class of 2009. Eligibility was neither need-based nor merit-based, negating some of the application hurdles that accompany other aid vehicles. We find that program participation is strongly associated with an increased likelihood of graduating from high school and enrolling directly in college, albeit with a modestly lower chance of starting in a four-year college. The evidence suggests that aid per se is not the only lever by which Knox Achieves worked: college enrollment and college credit gains are largest among lower-income students who likely saw little to no scholarship aid from the program.","DOI":"10.1016/j.econedurev.2015.06.001","ISSN":"0272-7757","shortTitle":"Aid for all","journalAbbreviation":"Economics of Education Review","author":[{"family":"Carruthers","given":"Celeste K."},{"family":"Fox","given":"William F."}],"issued":{"date-parts":[["2016",4,1]]}}}],"schema":"https://github.com/citation-style-language/schema/raw/master/csl-citation.json"}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(Carruthers &amp; Fox, 2016)</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Moreover, Knox Achieves scholars were significantly more likely to persist for the first two years and earned more credit hours than comparable non-recipients. Similar, although substantively smaller results are found in the evaluation of The Degree Project—a wide, merit-based, last-dollar program modeled after the Pittsburgh Promise. In this randomized control trial, scholars have revealed that The Degree Project leads to increased student motivation and college expectations as well as college preparatory behavior like engaging in college access programs and filling out the FAFSA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{"citationID":"K9vxejIM","properties":{"formattedCitation":"(Harris et al., 2018)","plainCitation":"(Harris et al., 2018)","noteIndex":0},"citationItems":[{"id":6841,"uris":["http://zotero.org/users/2595715/items/HS57KK8S"],"uri":["http://zotero.org/users/2595715/items/HS57KK8S"],"itemData":{"id":6841,"type":"article-journal","title":"The promise of free college (and its potential pitfalls)","container-title":"Brown Center for Education Policy, The Brookings Institution","page":"38","source":"Zotero","language":"en","author":[{"family":"Harris","given":"Douglas N"},{"family":"Farmer-Hinton","given":"Raquel"},{"family":"Kim","given":"Debbie"},{"family":"Diamond","given":"John"},{"family":"Reavis","given":"Blakely"},{"family":"Rifelj","given":"Kelly Krupa"},{"family":"Lustick","given":"Hilary"},{"family":"Carl","given":"Bradley"}],"issued":{"date-parts":[["2018"]]}}}],"schema":"https://github.com/citation-style-language/schema/raw/master/csl-citation.json"}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(Harris et al., 2018)</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On the other hand, the study uncovers null effects on graduation from high school, initial college entry, and possibly a shift to two-year colleges. However, in line with the evidence from Pittsburgh Promise and Knox Achieves, The Degree Project does produce a 1 percentage point increase in </w:t>
      </w:r>
      <w:r w:rsidRPr="00E633D8">
        <w:rPr>
          <w:rFonts w:ascii="Times New Roman" w:hAnsi="Times New Roman" w:cs="Times New Roman"/>
          <w:sz w:val="24"/>
          <w:szCs w:val="24"/>
        </w:rPr>
        <w:lastRenderedPageBreak/>
        <w:t xml:space="preserve">two-year college enrollment and graduation from two-year colleges. Therefore, based on the existing evidence wide, last-dollar programs appear to produce positive impacts on college enrollment, persistence and completion. </w:t>
      </w:r>
    </w:p>
    <w:p w14:paraId="55247859" w14:textId="140DBA9D" w:rsidR="00063F17" w:rsidRPr="00E633D8" w:rsidRDefault="00063F17" w:rsidP="00063F17">
      <w:pPr>
        <w:spacing w:after="0" w:line="480" w:lineRule="auto"/>
        <w:ind w:firstLine="720"/>
        <w:textAlignment w:val="center"/>
        <w:rPr>
          <w:rFonts w:ascii="Times New Roman" w:hAnsi="Times New Roman" w:cs="Times New Roman"/>
          <w:sz w:val="24"/>
          <w:szCs w:val="24"/>
        </w:rPr>
      </w:pPr>
      <w:r w:rsidRPr="00E633D8">
        <w:rPr>
          <w:rFonts w:ascii="Times New Roman" w:hAnsi="Times New Roman" w:cs="Times New Roman"/>
          <w:sz w:val="24"/>
          <w:szCs w:val="24"/>
        </w:rPr>
        <w:t xml:space="preserve">Taken together, Table </w:t>
      </w:r>
      <w:r w:rsidR="00E04768">
        <w:rPr>
          <w:rFonts w:ascii="Times New Roman" w:hAnsi="Times New Roman" w:cs="Times New Roman"/>
          <w:sz w:val="24"/>
          <w:szCs w:val="24"/>
        </w:rPr>
        <w:t>5-4</w:t>
      </w:r>
      <w:r w:rsidRPr="00E633D8">
        <w:rPr>
          <w:rFonts w:ascii="Times New Roman" w:hAnsi="Times New Roman" w:cs="Times New Roman"/>
          <w:sz w:val="24"/>
          <w:szCs w:val="24"/>
        </w:rPr>
        <w:t xml:space="preserve"> makes it clear that the current state of knowledge on promise programs is dominated by wide programs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{"citationID":"RKM9p68G","properties":{"formattedCitation":"(Swanson et al., 2017)","plainCitation":"(Swanson et al., 2017)","noteIndex":0},"citationItems":[{"id":6942,"uris":["http://zotero.org/users/2595715/items/88PYZ66V"],"uri":["http://zotero.org/users/2595715/items/88PYZ66V"],"itemData":{"id":6942,"type":"report","title":"Promises Fulfilled? A Systematic Review of the Impacts of Promise Programs","publisher":"Social Science Research Network","publisher-place":"Rochester, NY","genre":"SSRN Scholarly Paper","source":"papers.ssrn.com","event-place":"Rochester, NY","abstract":"This review examines the existing evidence on the impacts of Promise Programs on community development, K-12 academic achievement, and student postsecondary outcomes. Promise Programs are place-based, guaranteed college scholarships offered to all students who graduate from a certain school or district while meeting the minimum thresholds of the program. We delineate Promise Programs by their design—whether the scholarships are available to all students, are awarded based on merit, or are awarded based on need. We also note the applicability of Promise Programs—whether the funds be used at a wide range of postsecondary institutions, or if they are narrowly targeted towards certain institutions. We find suggestive evidence that Promise Programs are successful at improving housing prices, attracting residents to Promise zones, improving student K-12 academic outcomes, and increasing postsecondary enrollment. However, the number of studies examining Promise Programs remains limited, and skewed towards particular programs.","URL":"https://papers.ssrn.com/abstract=2849194","number":"ID 2849194","shortTitle":"Promises Fulfilled?","language":"en","author":[{"family":"Swanson","given":"Elise"},{"family":"Watson","given":"Angela"},{"family":"Ritter","given":"Gary"},{"family":"Nichols","given":"Malachi"}],"issued":{"date-parts":[["2017",10,26]]},"accessed":{"date-parts":[["2018",11,11]]}}}],"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(Swanson et al., 2017)</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This is problematic given the variation in the design and structure of promise programs around the country, which makes the findings of these studies applicable to only a subset of promise programs. In fact, there is only one unpublished study so far that includes narrow promise programs and it only includes an analysis of enrollment, not of persistence and completion. This study estimates a 9-22 percent increase in enrollment across the 32 narrow promise programs, with policy design serving as a key moderating factor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{"citationID":"NKLNuUWG","properties":{"formattedCitation":"(Gandara &amp; Li, 2018)","plainCitation":"(Gandara &amp; Li, 2018)","noteIndex":0},"citationItems":[{"id":7062,"uris":["http://zotero.org/users/2595715/items/SFEMUX6B"],"uri":["http://zotero.org/users/2595715/items/SFEMUX6B"],"itemData":{"id":7062,"type":"speech","title":"How Promise programs for two-year colleges affect different student subgroups","publisher-place":"New York City, NY","event":"American Educational Research Association","event-place":"New York City, NY","author":[{"family":"Gandara","given":"Denisa"},{"family":"Li","given":"Amy"}],"issued":{"date-parts":[["2018"]]}}}],"schema":"https://github.com/citation-style-language/schema/raw/master/csl-citation.json"}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(Gandara &amp; Li, 2018)</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However, an examination of how narrow programs affect student persistence and completion is notably absent from current analyses. In this study, I advance the state of knowledge on promise programs by estimating the effects of an understudied type of promise program—a pioneering local, narrow, last-dollar program—on student GPA, credit accumulation and degree attainment. </w:t>
      </w:r>
    </w:p>
    <w:p w14:paraId="7329D9DA" w14:textId="77777777" w:rsidR="00063F17" w:rsidRPr="00E633D8" w:rsidRDefault="00063F17" w:rsidP="00063F17">
      <w:pPr>
        <w:spacing w:after="0" w:line="480" w:lineRule="auto"/>
        <w:ind w:firstLine="720"/>
        <w:textAlignment w:val="center"/>
        <w:rPr>
          <w:rFonts w:ascii="Times New Roman" w:hAnsi="Times New Roman" w:cs="Times New Roman"/>
          <w:sz w:val="24"/>
          <w:szCs w:val="24"/>
        </w:rPr>
      </w:pPr>
      <w:r w:rsidRPr="00E633D8">
        <w:rPr>
          <w:rFonts w:ascii="Times New Roman" w:hAnsi="Times New Roman" w:cs="Times New Roman"/>
          <w:sz w:val="24"/>
          <w:szCs w:val="24"/>
        </w:rPr>
        <w:t xml:space="preserve">A recent dissertation develops a benefits index that helps contextualize the likely outcomes of a program like Tulsa Achieves in comparison to other promise programs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{"citationID":"daECy2Vk","properties":{"formattedCitation":"(Billings, 2018)","plainCitation":"(Billings, 2018)","noteIndex":0},"citationItems":[{"id":7223,"uris":["http://zotero.org/users/2595715/items/E5W5QF9U"],"uri":["http://zotero.org/users/2595715/items/E5W5QF9U"],"itemData":{"id":7223,"type":"thesis","title":"Free College For All: The Impact Of Promise Programs On College Access And Success","publisher":"University of Michigan","URL":"https://deepblue.lib.umich.edu/handle/2027.42/144101","author":[{"family":"Billings","given":"Meredith"}],"issued":{"date-parts":[["2018"]]},"accessed":{"date-parts":[["2019",4,2]]}}}],"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(Billings, 2018)</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This framework establishes the index based on 1) whether the program is targeted or universal and 2) whether the benefits are comprehensive or limited. In this index, Tulsa Achieves receives a -1 score on the eligibility dimension and a negative 3 on the benefits dimension, indicating that it is targeted and limited because of the high school GPA requirement, last-dollar structure, coverage of only tuition and fees instead of the total cost of attendance, and the lack of </w:t>
      </w:r>
      <w:r w:rsidRPr="00E633D8">
        <w:rPr>
          <w:rFonts w:ascii="Times New Roman" w:hAnsi="Times New Roman" w:cs="Times New Roman"/>
          <w:sz w:val="24"/>
          <w:szCs w:val="24"/>
        </w:rPr>
        <w:lastRenderedPageBreak/>
        <w:t>student supports such as mentoring. As a result, this framework would predict null results for the program on postsecondary outcomes in line with the New Haven Promise program.</w:t>
      </w:r>
    </w:p>
    <w:p w14:paraId="27977323" w14:textId="77777777" w:rsidR="00063F17" w:rsidRPr="00E633D8" w:rsidRDefault="00063F17" w:rsidP="00063F17">
      <w:pPr>
        <w:spacing w:after="0" w:line="480" w:lineRule="auto"/>
        <w:ind w:firstLine="720"/>
        <w:textAlignment w:val="center"/>
        <w:rPr>
          <w:rFonts w:ascii="Times New Roman" w:eastAsia="Times New Roman" w:hAnsi="Times New Roman" w:cs="Times New Roman"/>
          <w:sz w:val="24"/>
          <w:szCs w:val="24"/>
        </w:rPr>
      </w:pPr>
      <w:r w:rsidRPr="00E633D8">
        <w:rPr>
          <w:rFonts w:ascii="Times New Roman" w:hAnsi="Times New Roman" w:cs="Times New Roman"/>
          <w:sz w:val="24"/>
          <w:szCs w:val="24"/>
        </w:rPr>
        <w:t xml:space="preserve">Furthermore, Billings (2018) finds further support for the predictions of this framework in her comparison of the results from the two evaluations conducted: one on the generous Kalamazoo Promise and the other only Promise zones. While she finds large statistically significant positive impacts of Kalamazoo Promise on college enrollment and degree completion, she finds that Promise zones have a much smaller impact on college attendance, persistence and degree completion. </w:t>
      </w:r>
    </w:p>
    <w:p w14:paraId="7828D1C4"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Policy Background</w:t>
      </w:r>
    </w:p>
    <w:p w14:paraId="5104340E" w14:textId="77777777" w:rsidR="00063F17" w:rsidRPr="00E633D8" w:rsidRDefault="00063F17" w:rsidP="00063F17">
      <w:pPr>
        <w:spacing w:after="0"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With the goal of increasing the number of college educated Tulsa County residents, local business and government leaders came together to create Tulsa Achieves—a pioneering place-based tuition-free community college program for students in Tulsa County funded by property owners through ad valorem taxes. Starting with the graduating class of 2007, Tulsa County students graduating from high school with at least a 2.0 high school GPA were eligible to receive the last-dollar Tulsa Achieves scholarship program and attend TCC. The last dollar aid covers any remaining tuition and fees expenses after students collect other state or federal aid for up to three years or for 63 credits, whichever comes first. The amount of aid also scales based on how many years the student resided in Tulsa County during high school: for students who were Tulsa County residents for one year, two years, or three years while in high school the scholarship pays up to 25, 50, or 75 percent of tuition and fees expenses, respectively. </w:t>
      </w:r>
    </w:p>
    <w:p w14:paraId="294DCDA3" w14:textId="77777777" w:rsidR="00063F17" w:rsidRPr="00E633D8" w:rsidRDefault="00063F17" w:rsidP="00063F17">
      <w:pPr>
        <w:spacing w:after="0"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To be deemed eligible for Tulsa Achieves, students must have at least a 2.0 high school GPA, reside in Tulsa County at the time of high school graduation, graduate from any public or private high school in Tulsa County, and commit to attend TCC the Fall after they graduate from </w:t>
      </w:r>
      <w:r w:rsidRPr="00E633D8">
        <w:rPr>
          <w:rFonts w:ascii="Times New Roman" w:hAnsi="Times New Roman" w:cs="Times New Roman"/>
          <w:sz w:val="24"/>
          <w:szCs w:val="24"/>
        </w:rPr>
        <w:lastRenderedPageBreak/>
        <w:t xml:space="preserve">high school. To retain the scholarship, students must maintain Tulsa County residency, complete at least three credit hours a semester, complete the FAFSA, complete at least 67 percent of attempted coursework, and maintain a 1.7 GPA if they take 30 or more credits and a 2.0 GPA if they take less than 30 credits in the year. In addition, students must take a required student success course and complete 40 hours of community service each year in order to remain eligible for the Tulsa Achieves scholarship. </w:t>
      </w:r>
    </w:p>
    <w:p w14:paraId="28D6A3CF" w14:textId="77777777" w:rsidR="00063F17" w:rsidRPr="00E633D8" w:rsidRDefault="00063F17" w:rsidP="00063F17">
      <w:pPr>
        <w:spacing w:after="0" w:line="480" w:lineRule="auto"/>
        <w:rPr>
          <w:rFonts w:ascii="Times New Roman" w:hAnsi="Times New Roman" w:cs="Times New Roman"/>
          <w:b/>
          <w:sz w:val="24"/>
          <w:szCs w:val="24"/>
        </w:rPr>
      </w:pPr>
      <w:r w:rsidRPr="00E633D8">
        <w:rPr>
          <w:rFonts w:ascii="Times New Roman" w:hAnsi="Times New Roman" w:cs="Times New Roman"/>
          <w:b/>
          <w:sz w:val="24"/>
          <w:szCs w:val="24"/>
        </w:rPr>
        <w:t>Theoretical Framework</w:t>
      </w:r>
    </w:p>
    <w:p w14:paraId="4D56FB83" w14:textId="19C49E6C" w:rsidR="00063F17" w:rsidRPr="00E633D8" w:rsidRDefault="00063F17" w:rsidP="00063F17">
      <w:pPr>
        <w:spacing w:after="0" w:line="480" w:lineRule="auto"/>
        <w:ind w:firstLine="720"/>
        <w:rPr>
          <w:rFonts w:ascii="Times New Roman" w:eastAsia="Times New Roman" w:hAnsi="Times New Roman" w:cs="Times New Roman"/>
          <w:sz w:val="24"/>
          <w:szCs w:val="24"/>
        </w:rPr>
      </w:pPr>
      <w:r w:rsidRPr="00E633D8">
        <w:rPr>
          <w:rFonts w:ascii="Times New Roman" w:hAnsi="Times New Roman" w:cs="Times New Roman"/>
          <w:sz w:val="24"/>
          <w:szCs w:val="24"/>
        </w:rPr>
        <w:t xml:space="preserve">For eligible Tulsa County students, the Tulsa Achieves program </w:t>
      </w:r>
      <w:r w:rsidRPr="00E633D8">
        <w:rPr>
          <w:rFonts w:ascii="Times New Roman" w:eastAsia="Times New Roman" w:hAnsi="Times New Roman" w:cs="Times New Roman"/>
          <w:sz w:val="24"/>
          <w:szCs w:val="24"/>
        </w:rPr>
        <w:t xml:space="preserve">likely functions through multiple mechanisms to influence postsecondary outcomes. For instance, Tulsa Achieves could be working to improve college affordability through reducing the costs paid by students for tuition and fees—at least for the students whose Pell grant or state aid did not already cover tuition and fees expenses. For these students, the financial support for tuition and fee expenses may enable them to take out less in student loans or work less hours outside of school. It is also possible that Tulsa Achieves functions to change </w:t>
      </w:r>
      <w:r w:rsidRPr="00E633D8">
        <w:rPr>
          <w:rFonts w:ascii="Times New Roman" w:eastAsia="Times New Roman" w:hAnsi="Times New Roman" w:cs="Times New Roman"/>
          <w:i/>
          <w:sz w:val="24"/>
          <w:szCs w:val="24"/>
        </w:rPr>
        <w:t>perceptions</w:t>
      </w:r>
      <w:r w:rsidRPr="00E633D8">
        <w:rPr>
          <w:rFonts w:ascii="Times New Roman" w:eastAsia="Times New Roman" w:hAnsi="Times New Roman" w:cs="Times New Roman"/>
          <w:sz w:val="24"/>
          <w:szCs w:val="24"/>
        </w:rPr>
        <w:t xml:space="preserve"> of college affordability in ways that help students realize they are eligible for federal and state financial aid programs that they previously did not know were available. Finally, Tulsa Achieves could also be increasing college readiness and college going culture in K-12 schools in Tulsa County </w:t>
      </w:r>
      <w:r w:rsidRPr="00E633D8">
        <w:rPr>
          <w:rFonts w:ascii="Times New Roman" w:eastAsia="Times New Roman" w:hAnsi="Times New Roman" w:cs="Times New Roman"/>
          <w:sz w:val="24"/>
          <w:szCs w:val="24"/>
        </w:rPr>
        <w:fldChar w:fldCharType="begin"/>
      </w:r>
      <w:r w:rsidRPr="00E633D8">
        <w:rPr>
          <w:rFonts w:ascii="Times New Roman" w:eastAsia="Times New Roman" w:hAnsi="Times New Roman" w:cs="Times New Roman"/>
          <w:sz w:val="24"/>
          <w:szCs w:val="24"/>
        </w:rPr>
        <w:instrText xml:space="preserve"> ADDIN ZOTERO_ITEM CSL_CITATION {"citationID":"hYoPVRlA","properties":{"formattedCitation":"(Page et al., 2018)","plainCitation":"(Page et al., 2018)","noteIndex":0},"citationItems":[{"id":6303,"uris":["http://zotero.org/users/2595715/items/MLNCBUYP"],"uri":["http://zotero.org/users/2595715/items/MLNCBUYP"],"itemData":{"id":6303,"type":"article-journal","title":"The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M."}],"issued":{"date-parts":[["2018",1,18]]}}}],"schema":"https://github.com/citation-style-language/schema/raw/master/csl-citation.json"} </w:instrText>
      </w:r>
      <w:r w:rsidRPr="00E633D8">
        <w:rPr>
          <w:rFonts w:ascii="Times New Roman" w:eastAsia="Times New Roman" w:hAnsi="Times New Roman" w:cs="Times New Roman"/>
          <w:sz w:val="24"/>
          <w:szCs w:val="24"/>
        </w:rPr>
        <w:fldChar w:fldCharType="separate"/>
      </w:r>
      <w:r w:rsidRPr="00E633D8">
        <w:rPr>
          <w:rFonts w:ascii="Times New Roman" w:hAnsi="Times New Roman" w:cs="Times New Roman"/>
          <w:sz w:val="24"/>
        </w:rPr>
        <w:t>(Page et al., 2018)</w:t>
      </w:r>
      <w:r w:rsidRPr="00E633D8">
        <w:rPr>
          <w:rFonts w:ascii="Times New Roman" w:eastAsia="Times New Roman" w:hAnsi="Times New Roman" w:cs="Times New Roman"/>
          <w:sz w:val="24"/>
          <w:szCs w:val="24"/>
        </w:rPr>
        <w:fldChar w:fldCharType="end"/>
      </w:r>
      <w:r w:rsidRPr="00E633D8">
        <w:rPr>
          <w:rFonts w:ascii="Times New Roman" w:eastAsia="Times New Roman" w:hAnsi="Times New Roman" w:cs="Times New Roman"/>
          <w:sz w:val="24"/>
          <w:szCs w:val="24"/>
        </w:rPr>
        <w:t xml:space="preserve">. While it is impossible to observe these mechanisms at play based on the data in this study, previous studies have laid out comprehensive frameworks, like the one in Figure </w:t>
      </w:r>
      <w:r w:rsidR="00E04768">
        <w:rPr>
          <w:rFonts w:ascii="Times New Roman" w:eastAsia="Times New Roman" w:hAnsi="Times New Roman" w:cs="Times New Roman"/>
          <w:sz w:val="24"/>
          <w:szCs w:val="24"/>
        </w:rPr>
        <w:t>5-6</w:t>
      </w:r>
      <w:r w:rsidRPr="00E633D8">
        <w:rPr>
          <w:rFonts w:ascii="Times New Roman" w:eastAsia="Times New Roman" w:hAnsi="Times New Roman" w:cs="Times New Roman"/>
          <w:sz w:val="24"/>
          <w:szCs w:val="24"/>
        </w:rPr>
        <w:t xml:space="preserve"> below, in which these possibilities are explored. </w:t>
      </w:r>
    </w:p>
    <w:p w14:paraId="031E786B" w14:textId="77777777" w:rsidR="00556CCF" w:rsidRDefault="00063F17" w:rsidP="00761C02">
      <w:pPr>
        <w:spacing w:after="0" w:line="480" w:lineRule="auto"/>
        <w:ind w:firstLine="720"/>
        <w:rPr>
          <w:rFonts w:ascii="Times New Roman" w:eastAsia="Times New Roman" w:hAnsi="Times New Roman" w:cs="Times New Roman"/>
          <w:sz w:val="24"/>
          <w:szCs w:val="24"/>
        </w:rPr>
      </w:pPr>
      <w:r w:rsidRPr="00E633D8">
        <w:rPr>
          <w:rFonts w:ascii="Times New Roman" w:eastAsia="Times New Roman" w:hAnsi="Times New Roman" w:cs="Times New Roman"/>
          <w:sz w:val="24"/>
          <w:szCs w:val="24"/>
        </w:rPr>
        <w:t xml:space="preserve">According to this framework, changes in college readiness, college going culture, and perceived or actual college affordability, likely also affects student enrollment decisions and postsecondary outcomes such as persistence and degree completion. </w:t>
      </w:r>
    </w:p>
    <w:p w14:paraId="33C57EF6" w14:textId="77777777" w:rsidR="00556CCF" w:rsidRDefault="00556CCF" w:rsidP="00556CCF">
      <w:pPr>
        <w:rPr>
          <w:rFonts w:ascii="Cambria" w:hAnsi="Cambria"/>
        </w:rPr>
      </w:pPr>
      <w:r w:rsidRPr="002C51B5">
        <w:rPr>
          <w:noProof/>
          <w:highlight w:val="lightGray"/>
        </w:rPr>
        <w:lastRenderedPageBreak/>
        <w:drawing>
          <wp:inline distT="0" distB="0" distL="0" distR="0" wp14:anchorId="53448D59" wp14:editId="07EF6FB2">
            <wp:extent cx="6079067" cy="280183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t="6796"/>
                    <a:stretch/>
                  </pic:blipFill>
                  <pic:spPr bwMode="auto">
                    <a:xfrm>
                      <a:off x="0" y="0"/>
                      <a:ext cx="6103463" cy="2813080"/>
                    </a:xfrm>
                    <a:prstGeom prst="rect">
                      <a:avLst/>
                    </a:prstGeom>
                    <a:ln>
                      <a:noFill/>
                    </a:ln>
                    <a:extLst>
                      <a:ext uri="{53640926-AAD7-44D8-BBD7-CCE9431645EC}">
                        <a14:shadowObscured xmlns:a14="http://schemas.microsoft.com/office/drawing/2010/main"/>
                      </a:ext>
                    </a:extLst>
                  </pic:spPr>
                </pic:pic>
              </a:graphicData>
            </a:graphic>
          </wp:inline>
        </w:drawing>
      </w:r>
    </w:p>
    <w:p w14:paraId="3AA47C62" w14:textId="60071BE3" w:rsidR="00556CCF" w:rsidRPr="0011145C" w:rsidRDefault="00556CCF" w:rsidP="00556CCF">
      <w:pPr>
        <w:rPr>
          <w:rFonts w:ascii="Times New Roman" w:hAnsi="Times New Roman" w:cs="Times New Roman"/>
          <w:sz w:val="24"/>
          <w:szCs w:val="24"/>
        </w:rPr>
      </w:pPr>
      <w:r w:rsidRPr="0011145C">
        <w:rPr>
          <w:rFonts w:ascii="Times New Roman" w:hAnsi="Times New Roman" w:cs="Times New Roman"/>
          <w:b/>
          <w:sz w:val="24"/>
          <w:szCs w:val="24"/>
        </w:rPr>
        <w:t xml:space="preserve">Figure </w:t>
      </w:r>
      <w:r w:rsidR="00E04768">
        <w:rPr>
          <w:rFonts w:ascii="Times New Roman" w:hAnsi="Times New Roman" w:cs="Times New Roman"/>
          <w:b/>
          <w:sz w:val="24"/>
          <w:szCs w:val="24"/>
        </w:rPr>
        <w:t>5-6</w:t>
      </w:r>
      <w:r w:rsidRPr="0011145C">
        <w:rPr>
          <w:rFonts w:ascii="Times New Roman" w:hAnsi="Times New Roman" w:cs="Times New Roman"/>
          <w:b/>
          <w:sz w:val="24"/>
          <w:szCs w:val="24"/>
        </w:rPr>
        <w:t>.</w:t>
      </w:r>
      <w:r w:rsidRPr="0011145C">
        <w:rPr>
          <w:rFonts w:ascii="Times New Roman" w:hAnsi="Times New Roman" w:cs="Times New Roman"/>
          <w:sz w:val="24"/>
          <w:szCs w:val="24"/>
        </w:rPr>
        <w:t xml:space="preserve"> Theoretical Model of Mechanisms by which Promise Programs impact K-12 and Postsecondary Outcomes </w:t>
      </w:r>
      <w:r w:rsidRPr="0011145C">
        <w:rPr>
          <w:rFonts w:ascii="Times New Roman" w:hAnsi="Times New Roman" w:cs="Times New Roman"/>
          <w:i/>
          <w:sz w:val="24"/>
          <w:szCs w:val="24"/>
        </w:rPr>
        <w:t>(Source: Swanson et al 2017)</w:t>
      </w:r>
    </w:p>
    <w:p w14:paraId="0091CF6F" w14:textId="6637EB19" w:rsidR="00063F17" w:rsidRPr="00E633D8" w:rsidRDefault="00063F17" w:rsidP="00556CCF">
      <w:pPr>
        <w:spacing w:after="0" w:line="480" w:lineRule="auto"/>
        <w:ind w:firstLine="720"/>
        <w:rPr>
          <w:rFonts w:ascii="Times New Roman" w:eastAsia="Times New Roman" w:hAnsi="Times New Roman" w:cs="Times New Roman"/>
          <w:sz w:val="24"/>
          <w:szCs w:val="24"/>
        </w:rPr>
      </w:pPr>
      <w:r w:rsidRPr="00E633D8">
        <w:rPr>
          <w:rFonts w:ascii="Times New Roman" w:eastAsia="Times New Roman" w:hAnsi="Times New Roman" w:cs="Times New Roman"/>
          <w:sz w:val="24"/>
          <w:szCs w:val="24"/>
        </w:rPr>
        <w:t xml:space="preserve">In the context of Tulsa Achieves, the enrollment changes could manifest as a higher probability of some students attending TCC to earn a credential before entering the workforce as opposed to entering the workforce right after high school. At the same time, students that were planning to attend a four-year college could be induced to enroll at TCC instead of starting at the four-year school. These potential changes likely result in two new student populations enrolling at TCC as a result of the Tulsa Achieves program—students who would not have attended college otherwise, and students who would have attended a four-year college instead of TCC in the absence of the program. These potential shifts in enrollment are explored descriptively in the next section, which introduces the unique administrative data in this study. </w:t>
      </w:r>
    </w:p>
    <w:p w14:paraId="74CF9203"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 xml:space="preserve">Data and Measures </w:t>
      </w:r>
    </w:p>
    <w:p w14:paraId="5A21823D"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The student-level administrative data in this analysis captures all students attending TCC from 2005-2015.</w:t>
      </w:r>
      <w:r w:rsidRPr="00E3535F">
        <w:rPr>
          <w:rStyle w:val="FootnoteReference"/>
        </w:rPr>
        <w:footnoteReference w:id="24"/>
      </w:r>
      <w:r w:rsidRPr="00E633D8">
        <w:rPr>
          <w:rFonts w:ascii="Times New Roman" w:hAnsi="Times New Roman" w:cs="Times New Roman"/>
          <w:sz w:val="24"/>
          <w:szCs w:val="24"/>
        </w:rPr>
        <w:t xml:space="preserve"> That data were extracted from TCC and matched to National Student </w:t>
      </w:r>
      <w:r w:rsidRPr="00E633D8">
        <w:rPr>
          <w:rFonts w:ascii="Times New Roman" w:hAnsi="Times New Roman" w:cs="Times New Roman"/>
          <w:sz w:val="24"/>
          <w:szCs w:val="24"/>
        </w:rPr>
        <w:lastRenderedPageBreak/>
        <w:t>Clearinghouse records for students that transferred to four-year colleges. The student-level records extracted contain information on student demographics, high school GPA, county residency at the time of high school graduation, and a variety of outcome measures such as credit accumulation, college GPA, transfer to four-year colleges, and completion. With respect to the financial aid packages, the data include dichotomous indicators for whether a student received the Federal Pell grant, Tulsa Achieves, and any other form of financial aid or scholarship.</w:t>
      </w:r>
      <w:r w:rsidRPr="00E3535F">
        <w:rPr>
          <w:rStyle w:val="FootnoteReference"/>
        </w:rPr>
        <w:footnoteReference w:id="25"/>
      </w:r>
      <w:r w:rsidRPr="00E633D8">
        <w:rPr>
          <w:rFonts w:ascii="Times New Roman" w:hAnsi="Times New Roman" w:cs="Times New Roman"/>
          <w:sz w:val="24"/>
          <w:szCs w:val="24"/>
        </w:rPr>
        <w:t xml:space="preserve"> </w:t>
      </w:r>
    </w:p>
    <w:p w14:paraId="528E3AFF"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Based on this data, I calculate a series of outcome variables including: </w:t>
      </w:r>
    </w:p>
    <w:p w14:paraId="357A2480"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credits earned and GPA at the end of year one and year three, </w:t>
      </w:r>
    </w:p>
    <w:p w14:paraId="29D71081"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number of semesters enrolled over three years, </w:t>
      </w:r>
    </w:p>
    <w:p w14:paraId="3AA0DBB6"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whether the student earned 63 credits in three years, </w:t>
      </w:r>
    </w:p>
    <w:p w14:paraId="4819AD75"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whether the student graduated from TCC or from a four-year college with a credential, </w:t>
      </w:r>
    </w:p>
    <w:p w14:paraId="1C204144"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whether the student graduated from TCC, </w:t>
      </w:r>
    </w:p>
    <w:p w14:paraId="1C74866D"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transferred to a four-year college, and </w:t>
      </w:r>
    </w:p>
    <w:p w14:paraId="3D55CA55" w14:textId="77777777" w:rsidR="00063F17" w:rsidRPr="00E633D8"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graduated with a bachelor’s degree.</w:t>
      </w:r>
      <w:r w:rsidRPr="00E3535F">
        <w:rPr>
          <w:rStyle w:val="FootnoteReference"/>
        </w:rPr>
        <w:footnoteReference w:id="26"/>
      </w:r>
      <w:r w:rsidRPr="00E633D8">
        <w:rPr>
          <w:rFonts w:ascii="Times New Roman" w:hAnsi="Times New Roman" w:cs="Times New Roman"/>
          <w:sz w:val="24"/>
          <w:szCs w:val="24"/>
        </w:rPr>
        <w:t xml:space="preserve"> </w:t>
      </w:r>
    </w:p>
    <w:p w14:paraId="1F3FE457" w14:textId="258676EA" w:rsidR="00063F17" w:rsidRDefault="00063F17" w:rsidP="00063F17">
      <w:pPr>
        <w:pStyle w:val="ListParagraph"/>
        <w:numPr>
          <w:ilvl w:val="0"/>
          <w:numId w:val="28"/>
        </w:numPr>
        <w:spacing w:line="480" w:lineRule="auto"/>
        <w:rPr>
          <w:rFonts w:ascii="Times New Roman" w:hAnsi="Times New Roman" w:cs="Times New Roman"/>
          <w:sz w:val="24"/>
          <w:szCs w:val="24"/>
        </w:rPr>
      </w:pPr>
      <w:r w:rsidRPr="00E633D8">
        <w:rPr>
          <w:rFonts w:ascii="Times New Roman" w:hAnsi="Times New Roman" w:cs="Times New Roman"/>
          <w:sz w:val="24"/>
          <w:szCs w:val="24"/>
        </w:rPr>
        <w:t>To capture time-to-degree I also calculate whether the student obtained a bachelor’s degree within five years.</w:t>
      </w:r>
      <w:r w:rsidRPr="00E3535F">
        <w:rPr>
          <w:rStyle w:val="FootnoteReference"/>
        </w:rPr>
        <w:footnoteReference w:id="27"/>
      </w:r>
      <w:r w:rsidRPr="00E633D8">
        <w:rPr>
          <w:rFonts w:ascii="Times New Roman" w:hAnsi="Times New Roman" w:cs="Times New Roman"/>
          <w:sz w:val="24"/>
          <w:szCs w:val="24"/>
        </w:rPr>
        <w:t xml:space="preserve"> </w:t>
      </w:r>
    </w:p>
    <w:p w14:paraId="652E20FF" w14:textId="77777777" w:rsidR="00556CCF" w:rsidRDefault="00556CCF" w:rsidP="00556CCF">
      <w:pPr>
        <w:rPr>
          <w:rFonts w:ascii="Times New Roman" w:hAnsi="Times New Roman" w:cs="Times New Roman"/>
          <w:b/>
          <w:sz w:val="24"/>
          <w:szCs w:val="24"/>
        </w:rPr>
      </w:pPr>
    </w:p>
    <w:p w14:paraId="7432D854" w14:textId="77777777" w:rsidR="00556CCF" w:rsidRDefault="00556CCF" w:rsidP="00556CCF">
      <w:pPr>
        <w:rPr>
          <w:rFonts w:ascii="Times New Roman" w:hAnsi="Times New Roman" w:cs="Times New Roman"/>
          <w:b/>
          <w:sz w:val="24"/>
          <w:szCs w:val="24"/>
        </w:rPr>
      </w:pPr>
    </w:p>
    <w:p w14:paraId="2B9A4BEC" w14:textId="77777777" w:rsidR="00556CCF" w:rsidRDefault="00556CCF" w:rsidP="00556CCF">
      <w:pPr>
        <w:rPr>
          <w:rFonts w:ascii="Times New Roman" w:hAnsi="Times New Roman" w:cs="Times New Roman"/>
          <w:b/>
          <w:sz w:val="24"/>
          <w:szCs w:val="24"/>
        </w:rPr>
      </w:pPr>
    </w:p>
    <w:p w14:paraId="3BD3B3EA" w14:textId="77777777" w:rsidR="00556CCF" w:rsidRDefault="00556CCF" w:rsidP="00556CCF">
      <w:pPr>
        <w:rPr>
          <w:rFonts w:ascii="Times New Roman" w:hAnsi="Times New Roman" w:cs="Times New Roman"/>
          <w:b/>
          <w:sz w:val="24"/>
          <w:szCs w:val="24"/>
        </w:rPr>
      </w:pPr>
    </w:p>
    <w:p w14:paraId="46E9FD23" w14:textId="79EDA084" w:rsidR="00556CCF" w:rsidRPr="00556CCF" w:rsidRDefault="00556CCF" w:rsidP="00556CCF">
      <w:pPr>
        <w:rPr>
          <w:rFonts w:ascii="Times New Roman" w:hAnsi="Times New Roman" w:cs="Times New Roman"/>
          <w:sz w:val="24"/>
          <w:szCs w:val="24"/>
        </w:rPr>
      </w:pPr>
      <w:r w:rsidRPr="00556CCF">
        <w:rPr>
          <w:rFonts w:ascii="Times New Roman" w:hAnsi="Times New Roman" w:cs="Times New Roman"/>
          <w:b/>
          <w:sz w:val="24"/>
          <w:szCs w:val="24"/>
        </w:rPr>
        <w:lastRenderedPageBreak/>
        <w:t xml:space="preserve">Table </w:t>
      </w:r>
      <w:r w:rsidR="00C120AE">
        <w:rPr>
          <w:rFonts w:ascii="Times New Roman" w:hAnsi="Times New Roman" w:cs="Times New Roman"/>
          <w:b/>
          <w:sz w:val="24"/>
          <w:szCs w:val="24"/>
        </w:rPr>
        <w:t>5-5</w:t>
      </w:r>
      <w:r w:rsidRPr="00556CCF">
        <w:rPr>
          <w:rFonts w:ascii="Times New Roman" w:hAnsi="Times New Roman" w:cs="Times New Roman"/>
          <w:b/>
          <w:sz w:val="24"/>
          <w:szCs w:val="24"/>
        </w:rPr>
        <w:t>.</w:t>
      </w:r>
      <w:r w:rsidRPr="00556CCF">
        <w:rPr>
          <w:rFonts w:ascii="Times New Roman" w:hAnsi="Times New Roman" w:cs="Times New Roman"/>
          <w:sz w:val="24"/>
          <w:szCs w:val="24"/>
        </w:rPr>
        <w:t xml:space="preserve"> Descriptive Statistics</w:t>
      </w:r>
    </w:p>
    <w:tbl>
      <w:tblPr>
        <w:tblW w:w="8688" w:type="dxa"/>
        <w:tblLook w:val="04A0" w:firstRow="1" w:lastRow="0" w:firstColumn="1" w:lastColumn="0" w:noHBand="0" w:noVBand="1"/>
      </w:tblPr>
      <w:tblGrid>
        <w:gridCol w:w="1934"/>
        <w:gridCol w:w="787"/>
        <w:gridCol w:w="786"/>
        <w:gridCol w:w="906"/>
        <w:gridCol w:w="786"/>
        <w:gridCol w:w="906"/>
        <w:gridCol w:w="916"/>
        <w:gridCol w:w="966"/>
        <w:gridCol w:w="967"/>
      </w:tblGrid>
      <w:tr w:rsidR="00556CCF" w:rsidRPr="00284C07" w14:paraId="4096E72C" w14:textId="77777777" w:rsidTr="00284C07">
        <w:trPr>
          <w:trHeight w:val="626"/>
        </w:trPr>
        <w:tc>
          <w:tcPr>
            <w:tcW w:w="1934" w:type="dxa"/>
            <w:tcBorders>
              <w:top w:val="nil"/>
              <w:left w:val="nil"/>
              <w:bottom w:val="nil"/>
              <w:right w:val="nil"/>
            </w:tcBorders>
            <w:shd w:val="clear" w:color="auto" w:fill="auto"/>
            <w:vAlign w:val="center"/>
            <w:hideMark/>
          </w:tcPr>
          <w:p w14:paraId="19A0F139" w14:textId="77777777" w:rsidR="00556CCF" w:rsidRPr="00284C07" w:rsidRDefault="00556CCF" w:rsidP="00556CCF">
            <w:pPr>
              <w:spacing w:after="0" w:line="240" w:lineRule="auto"/>
              <w:rPr>
                <w:rFonts w:ascii="Times New Roman" w:eastAsia="Times New Roman" w:hAnsi="Times New Roman" w:cs="Times New Roman"/>
                <w:sz w:val="18"/>
                <w:szCs w:val="20"/>
              </w:rPr>
            </w:pPr>
          </w:p>
        </w:tc>
        <w:tc>
          <w:tcPr>
            <w:tcW w:w="3907" w:type="dxa"/>
            <w:gridSpan w:val="5"/>
            <w:tcBorders>
              <w:top w:val="nil"/>
              <w:left w:val="nil"/>
              <w:bottom w:val="single" w:sz="8" w:space="0" w:color="auto"/>
              <w:right w:val="nil"/>
            </w:tcBorders>
            <w:shd w:val="clear" w:color="auto" w:fill="auto"/>
            <w:vAlign w:val="center"/>
            <w:hideMark/>
          </w:tcPr>
          <w:p w14:paraId="4E52D273" w14:textId="77777777" w:rsidR="00556CCF" w:rsidRPr="00284C07" w:rsidRDefault="00556CCF" w:rsidP="00556CCF">
            <w:pPr>
              <w:spacing w:after="0" w:line="240" w:lineRule="auto"/>
              <w:jc w:val="center"/>
              <w:rPr>
                <w:rFonts w:ascii="Times New Roman" w:eastAsia="Times New Roman" w:hAnsi="Times New Roman" w:cs="Times New Roman"/>
                <w:b/>
                <w:bCs/>
                <w:color w:val="000000"/>
                <w:sz w:val="18"/>
                <w:szCs w:val="20"/>
              </w:rPr>
            </w:pPr>
            <w:r w:rsidRPr="00284C07">
              <w:rPr>
                <w:rFonts w:ascii="Times New Roman" w:eastAsia="Times New Roman" w:hAnsi="Times New Roman" w:cs="Times New Roman"/>
                <w:b/>
                <w:bCs/>
                <w:color w:val="000000"/>
                <w:sz w:val="18"/>
                <w:szCs w:val="20"/>
              </w:rPr>
              <w:t>Analytic Sample for DD Analysis (2005-2015)</w:t>
            </w:r>
          </w:p>
        </w:tc>
        <w:tc>
          <w:tcPr>
            <w:tcW w:w="2846" w:type="dxa"/>
            <w:gridSpan w:val="3"/>
            <w:tcBorders>
              <w:top w:val="nil"/>
              <w:left w:val="nil"/>
              <w:bottom w:val="single" w:sz="8" w:space="0" w:color="auto"/>
              <w:right w:val="nil"/>
            </w:tcBorders>
            <w:shd w:val="clear" w:color="auto" w:fill="auto"/>
            <w:vAlign w:val="center"/>
            <w:hideMark/>
          </w:tcPr>
          <w:p w14:paraId="5A606F33" w14:textId="77777777" w:rsidR="00556CCF" w:rsidRPr="00284C07" w:rsidRDefault="00556CCF" w:rsidP="00556CCF">
            <w:pPr>
              <w:spacing w:after="0" w:line="240" w:lineRule="auto"/>
              <w:jc w:val="center"/>
              <w:rPr>
                <w:rFonts w:ascii="Times New Roman" w:eastAsia="Times New Roman" w:hAnsi="Times New Roman" w:cs="Times New Roman"/>
                <w:b/>
                <w:bCs/>
                <w:color w:val="000000"/>
                <w:sz w:val="18"/>
                <w:szCs w:val="20"/>
              </w:rPr>
            </w:pPr>
            <w:r w:rsidRPr="00284C07">
              <w:rPr>
                <w:rFonts w:ascii="Times New Roman" w:eastAsia="Times New Roman" w:hAnsi="Times New Roman" w:cs="Times New Roman"/>
                <w:b/>
                <w:bCs/>
                <w:color w:val="000000"/>
                <w:sz w:val="18"/>
                <w:szCs w:val="20"/>
              </w:rPr>
              <w:t>Analytic Sample for RD Analysis (2007-2015)</w:t>
            </w:r>
          </w:p>
        </w:tc>
      </w:tr>
      <w:tr w:rsidR="00556CCF" w:rsidRPr="00284C07" w14:paraId="2AD2F7B6" w14:textId="77777777" w:rsidTr="00284C07">
        <w:trPr>
          <w:trHeight w:val="1119"/>
        </w:trPr>
        <w:tc>
          <w:tcPr>
            <w:tcW w:w="1934" w:type="dxa"/>
            <w:tcBorders>
              <w:top w:val="nil"/>
              <w:left w:val="nil"/>
              <w:bottom w:val="single" w:sz="8" w:space="0" w:color="auto"/>
              <w:right w:val="nil"/>
            </w:tcBorders>
            <w:shd w:val="clear" w:color="auto" w:fill="auto"/>
            <w:noWrap/>
            <w:vAlign w:val="center"/>
            <w:hideMark/>
          </w:tcPr>
          <w:p w14:paraId="782F4F2F" w14:textId="77777777" w:rsidR="00556CCF" w:rsidRPr="00284C07" w:rsidRDefault="00556CCF" w:rsidP="00556CCF">
            <w:pPr>
              <w:spacing w:after="0" w:line="240" w:lineRule="auto"/>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Variable</w:t>
            </w:r>
          </w:p>
        </w:tc>
        <w:tc>
          <w:tcPr>
            <w:tcW w:w="735" w:type="dxa"/>
            <w:tcBorders>
              <w:top w:val="nil"/>
              <w:left w:val="nil"/>
              <w:bottom w:val="single" w:sz="8" w:space="0" w:color="auto"/>
              <w:right w:val="nil"/>
            </w:tcBorders>
            <w:shd w:val="clear" w:color="auto" w:fill="auto"/>
            <w:vAlign w:val="center"/>
            <w:hideMark/>
          </w:tcPr>
          <w:p w14:paraId="49FDB3D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All Cohorts</w:t>
            </w:r>
          </w:p>
        </w:tc>
        <w:tc>
          <w:tcPr>
            <w:tcW w:w="1586" w:type="dxa"/>
            <w:gridSpan w:val="2"/>
            <w:tcBorders>
              <w:top w:val="single" w:sz="8" w:space="0" w:color="auto"/>
              <w:left w:val="nil"/>
              <w:bottom w:val="single" w:sz="8" w:space="0" w:color="auto"/>
              <w:right w:val="nil"/>
            </w:tcBorders>
            <w:shd w:val="clear" w:color="auto" w:fill="auto"/>
            <w:vAlign w:val="center"/>
            <w:hideMark/>
          </w:tcPr>
          <w:p w14:paraId="24E9ED7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Pre-Tulsa Achieves: 2005-2006 Cohorts</w:t>
            </w:r>
          </w:p>
        </w:tc>
        <w:tc>
          <w:tcPr>
            <w:tcW w:w="1586" w:type="dxa"/>
            <w:gridSpan w:val="2"/>
            <w:tcBorders>
              <w:top w:val="single" w:sz="8" w:space="0" w:color="auto"/>
              <w:left w:val="nil"/>
              <w:bottom w:val="single" w:sz="8" w:space="0" w:color="auto"/>
              <w:right w:val="nil"/>
            </w:tcBorders>
            <w:shd w:val="clear" w:color="auto" w:fill="auto"/>
            <w:vAlign w:val="center"/>
            <w:hideMark/>
          </w:tcPr>
          <w:p w14:paraId="3D46DED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Post-Tulsa Achieves: 2007-2015 Cohorts</w:t>
            </w:r>
          </w:p>
        </w:tc>
        <w:tc>
          <w:tcPr>
            <w:tcW w:w="912" w:type="dxa"/>
            <w:tcBorders>
              <w:top w:val="nil"/>
              <w:left w:val="nil"/>
              <w:bottom w:val="single" w:sz="8" w:space="0" w:color="auto"/>
              <w:right w:val="nil"/>
            </w:tcBorders>
            <w:shd w:val="clear" w:color="auto" w:fill="auto"/>
            <w:vAlign w:val="center"/>
            <w:hideMark/>
          </w:tcPr>
          <w:p w14:paraId="62DEDEC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Tulsa Residents with 1.5-2.75 GPA</w:t>
            </w:r>
          </w:p>
        </w:tc>
        <w:tc>
          <w:tcPr>
            <w:tcW w:w="966" w:type="dxa"/>
            <w:tcBorders>
              <w:top w:val="nil"/>
              <w:left w:val="nil"/>
              <w:bottom w:val="single" w:sz="8" w:space="0" w:color="auto"/>
              <w:right w:val="nil"/>
            </w:tcBorders>
            <w:shd w:val="clear" w:color="auto" w:fill="auto"/>
            <w:vAlign w:val="center"/>
            <w:hideMark/>
          </w:tcPr>
          <w:p w14:paraId="1B16476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Tulsa Residents with 1.5-1.9 GPA</w:t>
            </w:r>
          </w:p>
        </w:tc>
        <w:tc>
          <w:tcPr>
            <w:tcW w:w="967" w:type="dxa"/>
            <w:tcBorders>
              <w:top w:val="nil"/>
              <w:left w:val="nil"/>
              <w:bottom w:val="single" w:sz="8" w:space="0" w:color="auto"/>
              <w:right w:val="nil"/>
            </w:tcBorders>
            <w:shd w:val="clear" w:color="auto" w:fill="auto"/>
            <w:vAlign w:val="center"/>
            <w:hideMark/>
          </w:tcPr>
          <w:p w14:paraId="40BCECB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Tulsa Residents with 2.0-2.75 GPA</w:t>
            </w:r>
          </w:p>
        </w:tc>
      </w:tr>
      <w:tr w:rsidR="00556CCF" w:rsidRPr="00284C07" w14:paraId="418DBBA9" w14:textId="77777777" w:rsidTr="00284C07">
        <w:trPr>
          <w:trHeight w:val="288"/>
        </w:trPr>
        <w:tc>
          <w:tcPr>
            <w:tcW w:w="1934" w:type="dxa"/>
            <w:tcBorders>
              <w:top w:val="nil"/>
              <w:left w:val="nil"/>
              <w:bottom w:val="nil"/>
              <w:right w:val="nil"/>
            </w:tcBorders>
            <w:shd w:val="clear" w:color="auto" w:fill="auto"/>
            <w:noWrap/>
            <w:vAlign w:val="center"/>
            <w:hideMark/>
          </w:tcPr>
          <w:p w14:paraId="7A75CDE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p>
        </w:tc>
        <w:tc>
          <w:tcPr>
            <w:tcW w:w="735" w:type="dxa"/>
            <w:tcBorders>
              <w:top w:val="nil"/>
              <w:left w:val="nil"/>
              <w:bottom w:val="nil"/>
              <w:right w:val="nil"/>
            </w:tcBorders>
            <w:shd w:val="clear" w:color="auto" w:fill="auto"/>
            <w:vAlign w:val="center"/>
            <w:hideMark/>
          </w:tcPr>
          <w:p w14:paraId="1469912E" w14:textId="77777777" w:rsidR="00556CCF" w:rsidRPr="00284C07" w:rsidRDefault="00556CCF" w:rsidP="00556CCF">
            <w:pPr>
              <w:spacing w:after="0" w:line="240" w:lineRule="auto"/>
              <w:rPr>
                <w:rFonts w:ascii="Times New Roman" w:eastAsia="Times New Roman" w:hAnsi="Times New Roman" w:cs="Times New Roman"/>
                <w:sz w:val="18"/>
                <w:szCs w:val="20"/>
              </w:rPr>
            </w:pPr>
          </w:p>
        </w:tc>
        <w:tc>
          <w:tcPr>
            <w:tcW w:w="734" w:type="dxa"/>
            <w:tcBorders>
              <w:top w:val="nil"/>
              <w:left w:val="nil"/>
              <w:bottom w:val="nil"/>
              <w:right w:val="nil"/>
            </w:tcBorders>
            <w:shd w:val="clear" w:color="auto" w:fill="auto"/>
            <w:vAlign w:val="center"/>
            <w:hideMark/>
          </w:tcPr>
          <w:p w14:paraId="30F35F4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Eligible</w:t>
            </w:r>
          </w:p>
        </w:tc>
        <w:tc>
          <w:tcPr>
            <w:tcW w:w="851" w:type="dxa"/>
            <w:tcBorders>
              <w:top w:val="nil"/>
              <w:left w:val="nil"/>
              <w:bottom w:val="nil"/>
              <w:right w:val="nil"/>
            </w:tcBorders>
            <w:shd w:val="clear" w:color="auto" w:fill="auto"/>
            <w:vAlign w:val="center"/>
            <w:hideMark/>
          </w:tcPr>
          <w:p w14:paraId="039A671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Ineligible</w:t>
            </w:r>
          </w:p>
        </w:tc>
        <w:tc>
          <w:tcPr>
            <w:tcW w:w="734" w:type="dxa"/>
            <w:tcBorders>
              <w:top w:val="nil"/>
              <w:left w:val="nil"/>
              <w:bottom w:val="nil"/>
              <w:right w:val="nil"/>
            </w:tcBorders>
            <w:shd w:val="clear" w:color="auto" w:fill="auto"/>
            <w:vAlign w:val="center"/>
            <w:hideMark/>
          </w:tcPr>
          <w:p w14:paraId="5572418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Eligible</w:t>
            </w:r>
          </w:p>
        </w:tc>
        <w:tc>
          <w:tcPr>
            <w:tcW w:w="851" w:type="dxa"/>
            <w:tcBorders>
              <w:top w:val="nil"/>
              <w:left w:val="nil"/>
              <w:bottom w:val="nil"/>
              <w:right w:val="nil"/>
            </w:tcBorders>
            <w:shd w:val="clear" w:color="auto" w:fill="auto"/>
            <w:vAlign w:val="center"/>
            <w:hideMark/>
          </w:tcPr>
          <w:p w14:paraId="1B481C1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Ineligible</w:t>
            </w:r>
          </w:p>
        </w:tc>
        <w:tc>
          <w:tcPr>
            <w:tcW w:w="912" w:type="dxa"/>
            <w:tcBorders>
              <w:top w:val="nil"/>
              <w:left w:val="nil"/>
              <w:bottom w:val="nil"/>
              <w:right w:val="nil"/>
            </w:tcBorders>
            <w:shd w:val="clear" w:color="auto" w:fill="auto"/>
            <w:vAlign w:val="center"/>
            <w:hideMark/>
          </w:tcPr>
          <w:p w14:paraId="386ADF4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p>
        </w:tc>
        <w:tc>
          <w:tcPr>
            <w:tcW w:w="966" w:type="dxa"/>
            <w:tcBorders>
              <w:top w:val="nil"/>
              <w:left w:val="nil"/>
              <w:bottom w:val="nil"/>
              <w:right w:val="nil"/>
            </w:tcBorders>
            <w:shd w:val="clear" w:color="auto" w:fill="auto"/>
            <w:vAlign w:val="center"/>
            <w:hideMark/>
          </w:tcPr>
          <w:p w14:paraId="770535E1"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7" w:type="dxa"/>
            <w:tcBorders>
              <w:top w:val="nil"/>
              <w:left w:val="nil"/>
              <w:bottom w:val="nil"/>
              <w:right w:val="nil"/>
            </w:tcBorders>
            <w:shd w:val="clear" w:color="auto" w:fill="auto"/>
            <w:vAlign w:val="center"/>
            <w:hideMark/>
          </w:tcPr>
          <w:p w14:paraId="1DF0FFB0"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r>
      <w:tr w:rsidR="00556CCF" w:rsidRPr="00284C07" w14:paraId="62949509" w14:textId="77777777" w:rsidTr="00284C07">
        <w:trPr>
          <w:trHeight w:val="288"/>
        </w:trPr>
        <w:tc>
          <w:tcPr>
            <w:tcW w:w="1934" w:type="dxa"/>
            <w:tcBorders>
              <w:top w:val="nil"/>
              <w:left w:val="nil"/>
              <w:bottom w:val="nil"/>
              <w:right w:val="nil"/>
            </w:tcBorders>
            <w:shd w:val="clear" w:color="auto" w:fill="auto"/>
            <w:noWrap/>
            <w:vAlign w:val="center"/>
            <w:hideMark/>
          </w:tcPr>
          <w:p w14:paraId="75650920" w14:textId="77777777" w:rsidR="00556CCF" w:rsidRPr="00284C07" w:rsidRDefault="00556CCF" w:rsidP="00556CCF">
            <w:pPr>
              <w:spacing w:after="0" w:line="240" w:lineRule="auto"/>
              <w:rPr>
                <w:rFonts w:ascii="Times New Roman" w:eastAsia="Times New Roman" w:hAnsi="Times New Roman" w:cs="Times New Roman"/>
                <w:b/>
                <w:iCs/>
                <w:color w:val="000000"/>
                <w:sz w:val="18"/>
                <w:szCs w:val="20"/>
              </w:rPr>
            </w:pPr>
            <w:r w:rsidRPr="00284C07">
              <w:rPr>
                <w:rFonts w:ascii="Times New Roman" w:eastAsia="Times New Roman" w:hAnsi="Times New Roman" w:cs="Times New Roman"/>
                <w:b/>
                <w:iCs/>
                <w:color w:val="000000"/>
                <w:sz w:val="18"/>
                <w:szCs w:val="20"/>
              </w:rPr>
              <w:t>Controls</w:t>
            </w:r>
          </w:p>
        </w:tc>
        <w:tc>
          <w:tcPr>
            <w:tcW w:w="735" w:type="dxa"/>
            <w:tcBorders>
              <w:top w:val="nil"/>
              <w:left w:val="nil"/>
              <w:bottom w:val="nil"/>
              <w:right w:val="nil"/>
            </w:tcBorders>
            <w:shd w:val="clear" w:color="auto" w:fill="auto"/>
            <w:noWrap/>
            <w:vAlign w:val="center"/>
            <w:hideMark/>
          </w:tcPr>
          <w:p w14:paraId="401BFC72" w14:textId="77777777" w:rsidR="00556CCF" w:rsidRPr="00284C07" w:rsidRDefault="00556CCF" w:rsidP="00556CCF">
            <w:pPr>
              <w:spacing w:after="0" w:line="240" w:lineRule="auto"/>
              <w:rPr>
                <w:rFonts w:ascii="Times New Roman" w:eastAsia="Times New Roman" w:hAnsi="Times New Roman" w:cs="Times New Roman"/>
                <w:i/>
                <w:iCs/>
                <w:color w:val="000000"/>
                <w:sz w:val="18"/>
                <w:szCs w:val="20"/>
              </w:rPr>
            </w:pPr>
          </w:p>
        </w:tc>
        <w:tc>
          <w:tcPr>
            <w:tcW w:w="734" w:type="dxa"/>
            <w:tcBorders>
              <w:top w:val="nil"/>
              <w:left w:val="nil"/>
              <w:bottom w:val="nil"/>
              <w:right w:val="nil"/>
            </w:tcBorders>
            <w:shd w:val="clear" w:color="auto" w:fill="auto"/>
            <w:noWrap/>
            <w:vAlign w:val="center"/>
            <w:hideMark/>
          </w:tcPr>
          <w:p w14:paraId="0CB089F1"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6BA8A4EF"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734" w:type="dxa"/>
            <w:tcBorders>
              <w:top w:val="nil"/>
              <w:left w:val="nil"/>
              <w:bottom w:val="nil"/>
              <w:right w:val="nil"/>
            </w:tcBorders>
            <w:shd w:val="clear" w:color="auto" w:fill="auto"/>
            <w:noWrap/>
            <w:vAlign w:val="center"/>
            <w:hideMark/>
          </w:tcPr>
          <w:p w14:paraId="3FCC627B"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1EEAD3B0"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12" w:type="dxa"/>
            <w:tcBorders>
              <w:top w:val="nil"/>
              <w:left w:val="nil"/>
              <w:bottom w:val="nil"/>
              <w:right w:val="nil"/>
            </w:tcBorders>
            <w:shd w:val="clear" w:color="auto" w:fill="auto"/>
            <w:noWrap/>
            <w:vAlign w:val="center"/>
            <w:hideMark/>
          </w:tcPr>
          <w:p w14:paraId="31C7D9F6"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6" w:type="dxa"/>
            <w:tcBorders>
              <w:top w:val="nil"/>
              <w:left w:val="nil"/>
              <w:bottom w:val="nil"/>
              <w:right w:val="nil"/>
            </w:tcBorders>
            <w:shd w:val="clear" w:color="auto" w:fill="auto"/>
            <w:noWrap/>
            <w:vAlign w:val="center"/>
            <w:hideMark/>
          </w:tcPr>
          <w:p w14:paraId="5B016FBB"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7" w:type="dxa"/>
            <w:tcBorders>
              <w:top w:val="nil"/>
              <w:left w:val="nil"/>
              <w:bottom w:val="nil"/>
              <w:right w:val="nil"/>
            </w:tcBorders>
            <w:shd w:val="clear" w:color="auto" w:fill="auto"/>
            <w:noWrap/>
            <w:vAlign w:val="center"/>
            <w:hideMark/>
          </w:tcPr>
          <w:p w14:paraId="61285011"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r>
      <w:tr w:rsidR="00556CCF" w:rsidRPr="00284C07" w14:paraId="444D85D5" w14:textId="77777777" w:rsidTr="00284C07">
        <w:trPr>
          <w:trHeight w:val="288"/>
        </w:trPr>
        <w:tc>
          <w:tcPr>
            <w:tcW w:w="1934" w:type="dxa"/>
            <w:tcBorders>
              <w:top w:val="nil"/>
              <w:left w:val="nil"/>
              <w:bottom w:val="nil"/>
              <w:right w:val="nil"/>
            </w:tcBorders>
            <w:shd w:val="clear" w:color="auto" w:fill="auto"/>
            <w:noWrap/>
            <w:vAlign w:val="center"/>
            <w:hideMark/>
          </w:tcPr>
          <w:p w14:paraId="79265395"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White</w:t>
            </w:r>
          </w:p>
        </w:tc>
        <w:tc>
          <w:tcPr>
            <w:tcW w:w="735" w:type="dxa"/>
            <w:tcBorders>
              <w:top w:val="nil"/>
              <w:left w:val="nil"/>
              <w:bottom w:val="nil"/>
              <w:right w:val="nil"/>
            </w:tcBorders>
            <w:shd w:val="clear" w:color="auto" w:fill="auto"/>
            <w:noWrap/>
            <w:vAlign w:val="center"/>
            <w:hideMark/>
          </w:tcPr>
          <w:p w14:paraId="4E6168C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0.57</w:t>
            </w:r>
          </w:p>
        </w:tc>
        <w:tc>
          <w:tcPr>
            <w:tcW w:w="734" w:type="dxa"/>
            <w:tcBorders>
              <w:top w:val="nil"/>
              <w:left w:val="nil"/>
              <w:bottom w:val="nil"/>
              <w:right w:val="nil"/>
            </w:tcBorders>
            <w:shd w:val="clear" w:color="auto" w:fill="auto"/>
            <w:noWrap/>
            <w:vAlign w:val="center"/>
            <w:hideMark/>
          </w:tcPr>
          <w:p w14:paraId="09FC5DB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0.65</w:t>
            </w:r>
          </w:p>
        </w:tc>
        <w:tc>
          <w:tcPr>
            <w:tcW w:w="851" w:type="dxa"/>
            <w:tcBorders>
              <w:top w:val="nil"/>
              <w:left w:val="nil"/>
              <w:bottom w:val="nil"/>
              <w:right w:val="nil"/>
            </w:tcBorders>
            <w:shd w:val="clear" w:color="auto" w:fill="auto"/>
            <w:noWrap/>
            <w:vAlign w:val="center"/>
            <w:hideMark/>
          </w:tcPr>
          <w:p w14:paraId="31A36E9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0.70</w:t>
            </w:r>
          </w:p>
        </w:tc>
        <w:tc>
          <w:tcPr>
            <w:tcW w:w="734" w:type="dxa"/>
            <w:tcBorders>
              <w:top w:val="nil"/>
              <w:left w:val="nil"/>
              <w:bottom w:val="nil"/>
              <w:right w:val="nil"/>
            </w:tcBorders>
            <w:shd w:val="clear" w:color="auto" w:fill="auto"/>
            <w:noWrap/>
            <w:vAlign w:val="center"/>
            <w:hideMark/>
          </w:tcPr>
          <w:p w14:paraId="65D6C3D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0.53</w:t>
            </w:r>
          </w:p>
        </w:tc>
        <w:tc>
          <w:tcPr>
            <w:tcW w:w="851" w:type="dxa"/>
            <w:tcBorders>
              <w:top w:val="nil"/>
              <w:left w:val="nil"/>
              <w:bottom w:val="nil"/>
              <w:right w:val="nil"/>
            </w:tcBorders>
            <w:shd w:val="clear" w:color="auto" w:fill="auto"/>
            <w:noWrap/>
            <w:vAlign w:val="center"/>
            <w:hideMark/>
          </w:tcPr>
          <w:p w14:paraId="7B24DEC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0.58</w:t>
            </w:r>
          </w:p>
        </w:tc>
        <w:tc>
          <w:tcPr>
            <w:tcW w:w="912" w:type="dxa"/>
            <w:tcBorders>
              <w:top w:val="nil"/>
              <w:left w:val="nil"/>
              <w:bottom w:val="nil"/>
              <w:right w:val="nil"/>
            </w:tcBorders>
            <w:shd w:val="clear" w:color="auto" w:fill="auto"/>
            <w:noWrap/>
            <w:vAlign w:val="center"/>
            <w:hideMark/>
          </w:tcPr>
          <w:p w14:paraId="5083954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0.46</w:t>
            </w:r>
          </w:p>
        </w:tc>
        <w:tc>
          <w:tcPr>
            <w:tcW w:w="966" w:type="dxa"/>
            <w:tcBorders>
              <w:top w:val="nil"/>
              <w:left w:val="nil"/>
              <w:bottom w:val="nil"/>
              <w:right w:val="nil"/>
            </w:tcBorders>
            <w:shd w:val="clear" w:color="auto" w:fill="auto"/>
            <w:noWrap/>
            <w:vAlign w:val="center"/>
            <w:hideMark/>
          </w:tcPr>
          <w:p w14:paraId="6302403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0.35</w:t>
            </w:r>
          </w:p>
        </w:tc>
        <w:tc>
          <w:tcPr>
            <w:tcW w:w="967" w:type="dxa"/>
            <w:tcBorders>
              <w:top w:val="nil"/>
              <w:left w:val="nil"/>
              <w:bottom w:val="nil"/>
              <w:right w:val="nil"/>
            </w:tcBorders>
            <w:shd w:val="clear" w:color="auto" w:fill="auto"/>
            <w:noWrap/>
            <w:vAlign w:val="center"/>
            <w:hideMark/>
          </w:tcPr>
          <w:p w14:paraId="6866A17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0.47</w:t>
            </w:r>
          </w:p>
        </w:tc>
      </w:tr>
      <w:tr w:rsidR="00556CCF" w:rsidRPr="00284C07" w14:paraId="672F663D" w14:textId="77777777" w:rsidTr="00284C07">
        <w:trPr>
          <w:trHeight w:val="288"/>
        </w:trPr>
        <w:tc>
          <w:tcPr>
            <w:tcW w:w="1934" w:type="dxa"/>
            <w:tcBorders>
              <w:top w:val="nil"/>
              <w:left w:val="nil"/>
              <w:bottom w:val="nil"/>
              <w:right w:val="nil"/>
            </w:tcBorders>
            <w:shd w:val="clear" w:color="auto" w:fill="auto"/>
            <w:noWrap/>
            <w:vAlign w:val="center"/>
            <w:hideMark/>
          </w:tcPr>
          <w:p w14:paraId="6D142547"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Black</w:t>
            </w:r>
          </w:p>
        </w:tc>
        <w:tc>
          <w:tcPr>
            <w:tcW w:w="735" w:type="dxa"/>
            <w:tcBorders>
              <w:top w:val="nil"/>
              <w:left w:val="nil"/>
              <w:bottom w:val="nil"/>
              <w:right w:val="nil"/>
            </w:tcBorders>
            <w:shd w:val="clear" w:color="auto" w:fill="auto"/>
            <w:noWrap/>
            <w:vAlign w:val="center"/>
            <w:hideMark/>
          </w:tcPr>
          <w:p w14:paraId="38E6FA0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c>
          <w:tcPr>
            <w:tcW w:w="734" w:type="dxa"/>
            <w:tcBorders>
              <w:top w:val="nil"/>
              <w:left w:val="nil"/>
              <w:bottom w:val="nil"/>
              <w:right w:val="nil"/>
            </w:tcBorders>
            <w:shd w:val="clear" w:color="auto" w:fill="auto"/>
            <w:noWrap/>
            <w:vAlign w:val="center"/>
            <w:hideMark/>
          </w:tcPr>
          <w:p w14:paraId="10127AF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c>
          <w:tcPr>
            <w:tcW w:w="851" w:type="dxa"/>
            <w:tcBorders>
              <w:top w:val="nil"/>
              <w:left w:val="nil"/>
              <w:bottom w:val="nil"/>
              <w:right w:val="nil"/>
            </w:tcBorders>
            <w:shd w:val="clear" w:color="auto" w:fill="auto"/>
            <w:noWrap/>
            <w:vAlign w:val="center"/>
            <w:hideMark/>
          </w:tcPr>
          <w:p w14:paraId="3003435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734" w:type="dxa"/>
            <w:tcBorders>
              <w:top w:val="nil"/>
              <w:left w:val="nil"/>
              <w:bottom w:val="nil"/>
              <w:right w:val="nil"/>
            </w:tcBorders>
            <w:shd w:val="clear" w:color="auto" w:fill="auto"/>
            <w:noWrap/>
            <w:vAlign w:val="center"/>
            <w:hideMark/>
          </w:tcPr>
          <w:p w14:paraId="083A7D7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0.13</w:t>
            </w:r>
          </w:p>
        </w:tc>
        <w:tc>
          <w:tcPr>
            <w:tcW w:w="851" w:type="dxa"/>
            <w:tcBorders>
              <w:top w:val="nil"/>
              <w:left w:val="nil"/>
              <w:bottom w:val="nil"/>
              <w:right w:val="nil"/>
            </w:tcBorders>
            <w:shd w:val="clear" w:color="auto" w:fill="auto"/>
            <w:noWrap/>
            <w:vAlign w:val="center"/>
            <w:hideMark/>
          </w:tcPr>
          <w:p w14:paraId="46EC7F3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c>
          <w:tcPr>
            <w:tcW w:w="912" w:type="dxa"/>
            <w:tcBorders>
              <w:top w:val="nil"/>
              <w:left w:val="nil"/>
              <w:bottom w:val="nil"/>
              <w:right w:val="nil"/>
            </w:tcBorders>
            <w:shd w:val="clear" w:color="auto" w:fill="auto"/>
            <w:noWrap/>
            <w:vAlign w:val="center"/>
            <w:hideMark/>
          </w:tcPr>
          <w:p w14:paraId="79DA6A2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0.19</w:t>
            </w:r>
          </w:p>
        </w:tc>
        <w:tc>
          <w:tcPr>
            <w:tcW w:w="966" w:type="dxa"/>
            <w:tcBorders>
              <w:top w:val="nil"/>
              <w:left w:val="nil"/>
              <w:bottom w:val="nil"/>
              <w:right w:val="nil"/>
            </w:tcBorders>
            <w:shd w:val="clear" w:color="auto" w:fill="auto"/>
            <w:noWrap/>
            <w:vAlign w:val="center"/>
            <w:hideMark/>
          </w:tcPr>
          <w:p w14:paraId="4B26507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0.25</w:t>
            </w:r>
          </w:p>
        </w:tc>
        <w:tc>
          <w:tcPr>
            <w:tcW w:w="967" w:type="dxa"/>
            <w:tcBorders>
              <w:top w:val="nil"/>
              <w:left w:val="nil"/>
              <w:bottom w:val="nil"/>
              <w:right w:val="nil"/>
            </w:tcBorders>
            <w:shd w:val="clear" w:color="auto" w:fill="auto"/>
            <w:noWrap/>
            <w:vAlign w:val="center"/>
            <w:hideMark/>
          </w:tcPr>
          <w:p w14:paraId="17E92B5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0.18</w:t>
            </w:r>
          </w:p>
        </w:tc>
      </w:tr>
      <w:tr w:rsidR="00556CCF" w:rsidRPr="00284C07" w14:paraId="5D41415F" w14:textId="77777777" w:rsidTr="00284C07">
        <w:trPr>
          <w:trHeight w:val="288"/>
        </w:trPr>
        <w:tc>
          <w:tcPr>
            <w:tcW w:w="1934" w:type="dxa"/>
            <w:tcBorders>
              <w:top w:val="nil"/>
              <w:left w:val="nil"/>
              <w:bottom w:val="nil"/>
              <w:right w:val="nil"/>
            </w:tcBorders>
            <w:shd w:val="clear" w:color="auto" w:fill="auto"/>
            <w:noWrap/>
            <w:vAlign w:val="center"/>
            <w:hideMark/>
          </w:tcPr>
          <w:p w14:paraId="20722B9F"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Hispanic</w:t>
            </w:r>
          </w:p>
        </w:tc>
        <w:tc>
          <w:tcPr>
            <w:tcW w:w="735" w:type="dxa"/>
            <w:tcBorders>
              <w:top w:val="nil"/>
              <w:left w:val="nil"/>
              <w:bottom w:val="nil"/>
              <w:right w:val="nil"/>
            </w:tcBorders>
            <w:shd w:val="clear" w:color="auto" w:fill="auto"/>
            <w:noWrap/>
            <w:vAlign w:val="center"/>
            <w:hideMark/>
          </w:tcPr>
          <w:p w14:paraId="5700371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734" w:type="dxa"/>
            <w:tcBorders>
              <w:top w:val="nil"/>
              <w:left w:val="nil"/>
              <w:bottom w:val="nil"/>
              <w:right w:val="nil"/>
            </w:tcBorders>
            <w:shd w:val="clear" w:color="auto" w:fill="auto"/>
            <w:noWrap/>
            <w:vAlign w:val="center"/>
            <w:hideMark/>
          </w:tcPr>
          <w:p w14:paraId="3E4E86B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0.05</w:t>
            </w:r>
          </w:p>
        </w:tc>
        <w:tc>
          <w:tcPr>
            <w:tcW w:w="851" w:type="dxa"/>
            <w:tcBorders>
              <w:top w:val="nil"/>
              <w:left w:val="nil"/>
              <w:bottom w:val="nil"/>
              <w:right w:val="nil"/>
            </w:tcBorders>
            <w:shd w:val="clear" w:color="auto" w:fill="auto"/>
            <w:noWrap/>
            <w:vAlign w:val="center"/>
            <w:hideMark/>
          </w:tcPr>
          <w:p w14:paraId="6593AD2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c>
          <w:tcPr>
            <w:tcW w:w="734" w:type="dxa"/>
            <w:tcBorders>
              <w:top w:val="nil"/>
              <w:left w:val="nil"/>
              <w:bottom w:val="nil"/>
              <w:right w:val="nil"/>
            </w:tcBorders>
            <w:shd w:val="clear" w:color="auto" w:fill="auto"/>
            <w:noWrap/>
            <w:vAlign w:val="center"/>
            <w:hideMark/>
          </w:tcPr>
          <w:p w14:paraId="6D67206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851" w:type="dxa"/>
            <w:tcBorders>
              <w:top w:val="nil"/>
              <w:left w:val="nil"/>
              <w:bottom w:val="nil"/>
              <w:right w:val="nil"/>
            </w:tcBorders>
            <w:shd w:val="clear" w:color="auto" w:fill="auto"/>
            <w:noWrap/>
            <w:vAlign w:val="center"/>
            <w:hideMark/>
          </w:tcPr>
          <w:p w14:paraId="28535B8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912" w:type="dxa"/>
            <w:tcBorders>
              <w:top w:val="nil"/>
              <w:left w:val="nil"/>
              <w:bottom w:val="nil"/>
              <w:right w:val="nil"/>
            </w:tcBorders>
            <w:shd w:val="clear" w:color="auto" w:fill="auto"/>
            <w:vAlign w:val="center"/>
            <w:hideMark/>
          </w:tcPr>
          <w:p w14:paraId="20EAF56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c>
          <w:tcPr>
            <w:tcW w:w="966" w:type="dxa"/>
            <w:tcBorders>
              <w:top w:val="nil"/>
              <w:left w:val="nil"/>
              <w:bottom w:val="nil"/>
              <w:right w:val="nil"/>
            </w:tcBorders>
            <w:shd w:val="clear" w:color="auto" w:fill="auto"/>
            <w:noWrap/>
            <w:vAlign w:val="center"/>
            <w:hideMark/>
          </w:tcPr>
          <w:p w14:paraId="70D636F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0.12</w:t>
            </w:r>
          </w:p>
        </w:tc>
        <w:tc>
          <w:tcPr>
            <w:tcW w:w="967" w:type="dxa"/>
            <w:tcBorders>
              <w:top w:val="nil"/>
              <w:left w:val="nil"/>
              <w:bottom w:val="nil"/>
              <w:right w:val="nil"/>
            </w:tcBorders>
            <w:shd w:val="clear" w:color="auto" w:fill="auto"/>
            <w:noWrap/>
            <w:vAlign w:val="center"/>
            <w:hideMark/>
          </w:tcPr>
          <w:p w14:paraId="65071F1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r>
      <w:tr w:rsidR="00556CCF" w:rsidRPr="00284C07" w14:paraId="4AB344F3" w14:textId="77777777" w:rsidTr="00284C07">
        <w:trPr>
          <w:trHeight w:val="288"/>
        </w:trPr>
        <w:tc>
          <w:tcPr>
            <w:tcW w:w="1934" w:type="dxa"/>
            <w:tcBorders>
              <w:top w:val="nil"/>
              <w:left w:val="nil"/>
              <w:bottom w:val="nil"/>
              <w:right w:val="nil"/>
            </w:tcBorders>
            <w:shd w:val="clear" w:color="auto" w:fill="auto"/>
            <w:noWrap/>
            <w:vAlign w:val="center"/>
            <w:hideMark/>
          </w:tcPr>
          <w:p w14:paraId="2B75CF4D"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Native American</w:t>
            </w:r>
          </w:p>
        </w:tc>
        <w:tc>
          <w:tcPr>
            <w:tcW w:w="735" w:type="dxa"/>
            <w:tcBorders>
              <w:top w:val="nil"/>
              <w:left w:val="nil"/>
              <w:bottom w:val="nil"/>
              <w:right w:val="nil"/>
            </w:tcBorders>
            <w:shd w:val="clear" w:color="auto" w:fill="auto"/>
            <w:noWrap/>
            <w:vAlign w:val="center"/>
            <w:hideMark/>
          </w:tcPr>
          <w:p w14:paraId="619E852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734" w:type="dxa"/>
            <w:tcBorders>
              <w:top w:val="nil"/>
              <w:left w:val="nil"/>
              <w:bottom w:val="nil"/>
              <w:right w:val="nil"/>
            </w:tcBorders>
            <w:shd w:val="clear" w:color="auto" w:fill="auto"/>
            <w:noWrap/>
            <w:vAlign w:val="center"/>
            <w:hideMark/>
          </w:tcPr>
          <w:p w14:paraId="196619C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851" w:type="dxa"/>
            <w:tcBorders>
              <w:top w:val="nil"/>
              <w:left w:val="nil"/>
              <w:bottom w:val="nil"/>
              <w:right w:val="nil"/>
            </w:tcBorders>
            <w:shd w:val="clear" w:color="auto" w:fill="auto"/>
            <w:noWrap/>
            <w:vAlign w:val="center"/>
            <w:hideMark/>
          </w:tcPr>
          <w:p w14:paraId="7CF6E7F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734" w:type="dxa"/>
            <w:tcBorders>
              <w:top w:val="nil"/>
              <w:left w:val="nil"/>
              <w:bottom w:val="nil"/>
              <w:right w:val="nil"/>
            </w:tcBorders>
            <w:shd w:val="clear" w:color="auto" w:fill="auto"/>
            <w:noWrap/>
            <w:vAlign w:val="center"/>
            <w:hideMark/>
          </w:tcPr>
          <w:p w14:paraId="272EBDD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851" w:type="dxa"/>
            <w:tcBorders>
              <w:top w:val="nil"/>
              <w:left w:val="nil"/>
              <w:bottom w:val="nil"/>
              <w:right w:val="nil"/>
            </w:tcBorders>
            <w:shd w:val="clear" w:color="auto" w:fill="auto"/>
            <w:noWrap/>
            <w:vAlign w:val="center"/>
            <w:hideMark/>
          </w:tcPr>
          <w:p w14:paraId="4734936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0.10</w:t>
            </w:r>
          </w:p>
        </w:tc>
        <w:tc>
          <w:tcPr>
            <w:tcW w:w="912" w:type="dxa"/>
            <w:tcBorders>
              <w:top w:val="nil"/>
              <w:left w:val="nil"/>
              <w:bottom w:val="nil"/>
              <w:right w:val="nil"/>
            </w:tcBorders>
            <w:shd w:val="clear" w:color="auto" w:fill="auto"/>
            <w:noWrap/>
            <w:vAlign w:val="center"/>
            <w:hideMark/>
          </w:tcPr>
          <w:p w14:paraId="4708A5A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966" w:type="dxa"/>
            <w:tcBorders>
              <w:top w:val="nil"/>
              <w:left w:val="nil"/>
              <w:bottom w:val="nil"/>
              <w:right w:val="nil"/>
            </w:tcBorders>
            <w:shd w:val="clear" w:color="auto" w:fill="auto"/>
            <w:noWrap/>
            <w:vAlign w:val="center"/>
            <w:hideMark/>
          </w:tcPr>
          <w:p w14:paraId="31C79E1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967" w:type="dxa"/>
            <w:tcBorders>
              <w:top w:val="nil"/>
              <w:left w:val="nil"/>
              <w:bottom w:val="nil"/>
              <w:right w:val="nil"/>
            </w:tcBorders>
            <w:shd w:val="clear" w:color="auto" w:fill="auto"/>
            <w:noWrap/>
            <w:vAlign w:val="center"/>
            <w:hideMark/>
          </w:tcPr>
          <w:p w14:paraId="5209529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r>
      <w:tr w:rsidR="00556CCF" w:rsidRPr="00284C07" w14:paraId="2AE195F0" w14:textId="77777777" w:rsidTr="00284C07">
        <w:trPr>
          <w:trHeight w:val="288"/>
        </w:trPr>
        <w:tc>
          <w:tcPr>
            <w:tcW w:w="1934" w:type="dxa"/>
            <w:tcBorders>
              <w:top w:val="nil"/>
              <w:left w:val="nil"/>
              <w:bottom w:val="nil"/>
              <w:right w:val="nil"/>
            </w:tcBorders>
            <w:shd w:val="clear" w:color="auto" w:fill="auto"/>
            <w:noWrap/>
            <w:vAlign w:val="center"/>
            <w:hideMark/>
          </w:tcPr>
          <w:p w14:paraId="5A68F80A"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Other Race</w:t>
            </w:r>
          </w:p>
        </w:tc>
        <w:tc>
          <w:tcPr>
            <w:tcW w:w="735" w:type="dxa"/>
            <w:tcBorders>
              <w:top w:val="nil"/>
              <w:left w:val="nil"/>
              <w:bottom w:val="nil"/>
              <w:right w:val="nil"/>
            </w:tcBorders>
            <w:shd w:val="clear" w:color="auto" w:fill="auto"/>
            <w:noWrap/>
            <w:vAlign w:val="center"/>
            <w:hideMark/>
          </w:tcPr>
          <w:p w14:paraId="080088B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734" w:type="dxa"/>
            <w:tcBorders>
              <w:top w:val="nil"/>
              <w:left w:val="nil"/>
              <w:bottom w:val="nil"/>
              <w:right w:val="nil"/>
            </w:tcBorders>
            <w:shd w:val="clear" w:color="auto" w:fill="auto"/>
            <w:noWrap/>
            <w:vAlign w:val="center"/>
            <w:hideMark/>
          </w:tcPr>
          <w:p w14:paraId="1789188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851" w:type="dxa"/>
            <w:tcBorders>
              <w:top w:val="nil"/>
              <w:left w:val="nil"/>
              <w:bottom w:val="nil"/>
              <w:right w:val="nil"/>
            </w:tcBorders>
            <w:shd w:val="clear" w:color="auto" w:fill="auto"/>
            <w:noWrap/>
            <w:vAlign w:val="center"/>
            <w:hideMark/>
          </w:tcPr>
          <w:p w14:paraId="017F33F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0.02</w:t>
            </w:r>
          </w:p>
        </w:tc>
        <w:tc>
          <w:tcPr>
            <w:tcW w:w="734" w:type="dxa"/>
            <w:tcBorders>
              <w:top w:val="nil"/>
              <w:left w:val="nil"/>
              <w:bottom w:val="nil"/>
              <w:right w:val="nil"/>
            </w:tcBorders>
            <w:shd w:val="clear" w:color="auto" w:fill="auto"/>
            <w:noWrap/>
            <w:vAlign w:val="center"/>
            <w:hideMark/>
          </w:tcPr>
          <w:p w14:paraId="07FA19D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851" w:type="dxa"/>
            <w:tcBorders>
              <w:top w:val="nil"/>
              <w:left w:val="nil"/>
              <w:bottom w:val="nil"/>
              <w:right w:val="nil"/>
            </w:tcBorders>
            <w:shd w:val="clear" w:color="auto" w:fill="auto"/>
            <w:noWrap/>
            <w:vAlign w:val="center"/>
            <w:hideMark/>
          </w:tcPr>
          <w:p w14:paraId="20BD6DE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912" w:type="dxa"/>
            <w:tcBorders>
              <w:top w:val="nil"/>
              <w:left w:val="nil"/>
              <w:bottom w:val="nil"/>
              <w:right w:val="nil"/>
            </w:tcBorders>
            <w:shd w:val="clear" w:color="auto" w:fill="auto"/>
            <w:noWrap/>
            <w:vAlign w:val="center"/>
            <w:hideMark/>
          </w:tcPr>
          <w:p w14:paraId="1E2CEE8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966" w:type="dxa"/>
            <w:tcBorders>
              <w:top w:val="nil"/>
              <w:left w:val="nil"/>
              <w:bottom w:val="nil"/>
              <w:right w:val="nil"/>
            </w:tcBorders>
            <w:shd w:val="clear" w:color="auto" w:fill="auto"/>
            <w:noWrap/>
            <w:vAlign w:val="center"/>
            <w:hideMark/>
          </w:tcPr>
          <w:p w14:paraId="3CC7591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967" w:type="dxa"/>
            <w:tcBorders>
              <w:top w:val="nil"/>
              <w:left w:val="nil"/>
              <w:bottom w:val="nil"/>
              <w:right w:val="nil"/>
            </w:tcBorders>
            <w:shd w:val="clear" w:color="auto" w:fill="auto"/>
            <w:noWrap/>
            <w:vAlign w:val="center"/>
            <w:hideMark/>
          </w:tcPr>
          <w:p w14:paraId="46B1B7B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r>
      <w:tr w:rsidR="00556CCF" w:rsidRPr="00284C07" w14:paraId="01EAF449" w14:textId="77777777" w:rsidTr="00284C07">
        <w:trPr>
          <w:trHeight w:val="288"/>
        </w:trPr>
        <w:tc>
          <w:tcPr>
            <w:tcW w:w="1934" w:type="dxa"/>
            <w:tcBorders>
              <w:top w:val="nil"/>
              <w:left w:val="nil"/>
              <w:bottom w:val="nil"/>
              <w:right w:val="nil"/>
            </w:tcBorders>
            <w:shd w:val="clear" w:color="auto" w:fill="auto"/>
            <w:noWrap/>
            <w:vAlign w:val="center"/>
            <w:hideMark/>
          </w:tcPr>
          <w:p w14:paraId="2B41E358"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Male</w:t>
            </w:r>
          </w:p>
        </w:tc>
        <w:tc>
          <w:tcPr>
            <w:tcW w:w="735" w:type="dxa"/>
            <w:tcBorders>
              <w:top w:val="nil"/>
              <w:left w:val="nil"/>
              <w:bottom w:val="nil"/>
              <w:right w:val="nil"/>
            </w:tcBorders>
            <w:shd w:val="clear" w:color="auto" w:fill="auto"/>
            <w:noWrap/>
            <w:vAlign w:val="center"/>
            <w:hideMark/>
          </w:tcPr>
          <w:p w14:paraId="19BB619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0.43</w:t>
            </w:r>
          </w:p>
        </w:tc>
        <w:tc>
          <w:tcPr>
            <w:tcW w:w="734" w:type="dxa"/>
            <w:tcBorders>
              <w:top w:val="nil"/>
              <w:left w:val="nil"/>
              <w:bottom w:val="nil"/>
              <w:right w:val="nil"/>
            </w:tcBorders>
            <w:shd w:val="clear" w:color="auto" w:fill="auto"/>
            <w:noWrap/>
            <w:vAlign w:val="center"/>
            <w:hideMark/>
          </w:tcPr>
          <w:p w14:paraId="449AACC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0.36</w:t>
            </w:r>
          </w:p>
        </w:tc>
        <w:tc>
          <w:tcPr>
            <w:tcW w:w="851" w:type="dxa"/>
            <w:tcBorders>
              <w:top w:val="nil"/>
              <w:left w:val="nil"/>
              <w:bottom w:val="nil"/>
              <w:right w:val="nil"/>
            </w:tcBorders>
            <w:shd w:val="clear" w:color="auto" w:fill="auto"/>
            <w:noWrap/>
            <w:vAlign w:val="center"/>
            <w:hideMark/>
          </w:tcPr>
          <w:p w14:paraId="7CE405F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0.44</w:t>
            </w:r>
          </w:p>
        </w:tc>
        <w:tc>
          <w:tcPr>
            <w:tcW w:w="734" w:type="dxa"/>
            <w:tcBorders>
              <w:top w:val="nil"/>
              <w:left w:val="nil"/>
              <w:bottom w:val="nil"/>
              <w:right w:val="nil"/>
            </w:tcBorders>
            <w:shd w:val="clear" w:color="auto" w:fill="auto"/>
            <w:noWrap/>
            <w:vAlign w:val="center"/>
            <w:hideMark/>
          </w:tcPr>
          <w:p w14:paraId="52C6D31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0.42</w:t>
            </w:r>
          </w:p>
        </w:tc>
        <w:tc>
          <w:tcPr>
            <w:tcW w:w="851" w:type="dxa"/>
            <w:tcBorders>
              <w:top w:val="nil"/>
              <w:left w:val="nil"/>
              <w:bottom w:val="nil"/>
              <w:right w:val="nil"/>
            </w:tcBorders>
            <w:shd w:val="clear" w:color="auto" w:fill="auto"/>
            <w:noWrap/>
            <w:vAlign w:val="center"/>
            <w:hideMark/>
          </w:tcPr>
          <w:p w14:paraId="309CEFE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0.44</w:t>
            </w:r>
          </w:p>
        </w:tc>
        <w:tc>
          <w:tcPr>
            <w:tcW w:w="912" w:type="dxa"/>
            <w:tcBorders>
              <w:top w:val="nil"/>
              <w:left w:val="nil"/>
              <w:bottom w:val="nil"/>
              <w:right w:val="nil"/>
            </w:tcBorders>
            <w:shd w:val="clear" w:color="auto" w:fill="auto"/>
            <w:noWrap/>
            <w:vAlign w:val="center"/>
            <w:hideMark/>
          </w:tcPr>
          <w:p w14:paraId="0FAC1C8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0.52</w:t>
            </w:r>
          </w:p>
        </w:tc>
        <w:tc>
          <w:tcPr>
            <w:tcW w:w="966" w:type="dxa"/>
            <w:tcBorders>
              <w:top w:val="nil"/>
              <w:left w:val="nil"/>
              <w:bottom w:val="nil"/>
              <w:right w:val="nil"/>
            </w:tcBorders>
            <w:shd w:val="clear" w:color="auto" w:fill="auto"/>
            <w:noWrap/>
            <w:vAlign w:val="center"/>
            <w:hideMark/>
          </w:tcPr>
          <w:p w14:paraId="58CF35F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0.60</w:t>
            </w:r>
          </w:p>
        </w:tc>
        <w:tc>
          <w:tcPr>
            <w:tcW w:w="967" w:type="dxa"/>
            <w:tcBorders>
              <w:top w:val="nil"/>
              <w:left w:val="nil"/>
              <w:bottom w:val="nil"/>
              <w:right w:val="nil"/>
            </w:tcBorders>
            <w:shd w:val="clear" w:color="auto" w:fill="auto"/>
            <w:noWrap/>
            <w:vAlign w:val="center"/>
            <w:hideMark/>
          </w:tcPr>
          <w:p w14:paraId="205542A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0.51</w:t>
            </w:r>
          </w:p>
        </w:tc>
      </w:tr>
      <w:tr w:rsidR="00556CCF" w:rsidRPr="00284C07" w14:paraId="32D74CB9" w14:textId="77777777" w:rsidTr="00284C07">
        <w:trPr>
          <w:trHeight w:val="288"/>
        </w:trPr>
        <w:tc>
          <w:tcPr>
            <w:tcW w:w="1934" w:type="dxa"/>
            <w:tcBorders>
              <w:top w:val="nil"/>
              <w:left w:val="nil"/>
              <w:bottom w:val="nil"/>
              <w:right w:val="nil"/>
            </w:tcBorders>
            <w:shd w:val="clear" w:color="auto" w:fill="auto"/>
            <w:noWrap/>
            <w:vAlign w:val="center"/>
            <w:hideMark/>
          </w:tcPr>
          <w:p w14:paraId="2DAA5269"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Age</w:t>
            </w:r>
          </w:p>
        </w:tc>
        <w:tc>
          <w:tcPr>
            <w:tcW w:w="735" w:type="dxa"/>
            <w:tcBorders>
              <w:top w:val="nil"/>
              <w:left w:val="nil"/>
              <w:bottom w:val="nil"/>
              <w:right w:val="nil"/>
            </w:tcBorders>
            <w:shd w:val="clear" w:color="auto" w:fill="auto"/>
            <w:noWrap/>
            <w:vAlign w:val="center"/>
            <w:hideMark/>
          </w:tcPr>
          <w:p w14:paraId="7A28615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26.49</w:t>
            </w:r>
          </w:p>
        </w:tc>
        <w:tc>
          <w:tcPr>
            <w:tcW w:w="734" w:type="dxa"/>
            <w:tcBorders>
              <w:top w:val="nil"/>
              <w:left w:val="nil"/>
              <w:bottom w:val="nil"/>
              <w:right w:val="nil"/>
            </w:tcBorders>
            <w:shd w:val="clear" w:color="auto" w:fill="auto"/>
            <w:noWrap/>
            <w:vAlign w:val="center"/>
            <w:hideMark/>
          </w:tcPr>
          <w:p w14:paraId="7A2AECE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30.21</w:t>
            </w:r>
          </w:p>
        </w:tc>
        <w:tc>
          <w:tcPr>
            <w:tcW w:w="851" w:type="dxa"/>
            <w:tcBorders>
              <w:top w:val="nil"/>
              <w:left w:val="nil"/>
              <w:bottom w:val="nil"/>
              <w:right w:val="nil"/>
            </w:tcBorders>
            <w:shd w:val="clear" w:color="auto" w:fill="auto"/>
            <w:noWrap/>
            <w:vAlign w:val="center"/>
            <w:hideMark/>
          </w:tcPr>
          <w:p w14:paraId="5BCEE02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31.52</w:t>
            </w:r>
          </w:p>
        </w:tc>
        <w:tc>
          <w:tcPr>
            <w:tcW w:w="734" w:type="dxa"/>
            <w:tcBorders>
              <w:top w:val="nil"/>
              <w:left w:val="nil"/>
              <w:bottom w:val="nil"/>
              <w:right w:val="nil"/>
            </w:tcBorders>
            <w:shd w:val="clear" w:color="auto" w:fill="auto"/>
            <w:noWrap/>
            <w:vAlign w:val="center"/>
            <w:hideMark/>
          </w:tcPr>
          <w:p w14:paraId="2A797B8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24.64</w:t>
            </w:r>
          </w:p>
        </w:tc>
        <w:tc>
          <w:tcPr>
            <w:tcW w:w="851" w:type="dxa"/>
            <w:tcBorders>
              <w:top w:val="nil"/>
              <w:left w:val="nil"/>
              <w:bottom w:val="nil"/>
              <w:right w:val="nil"/>
            </w:tcBorders>
            <w:shd w:val="clear" w:color="auto" w:fill="auto"/>
            <w:noWrap/>
            <w:vAlign w:val="center"/>
            <w:hideMark/>
          </w:tcPr>
          <w:p w14:paraId="1185AC1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27.25</w:t>
            </w:r>
          </w:p>
        </w:tc>
        <w:tc>
          <w:tcPr>
            <w:tcW w:w="912" w:type="dxa"/>
            <w:tcBorders>
              <w:top w:val="nil"/>
              <w:left w:val="nil"/>
              <w:bottom w:val="nil"/>
              <w:right w:val="nil"/>
            </w:tcBorders>
            <w:shd w:val="clear" w:color="auto" w:fill="auto"/>
            <w:noWrap/>
            <w:vAlign w:val="center"/>
            <w:hideMark/>
          </w:tcPr>
          <w:p w14:paraId="502795F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22.02</w:t>
            </w:r>
          </w:p>
        </w:tc>
        <w:tc>
          <w:tcPr>
            <w:tcW w:w="966" w:type="dxa"/>
            <w:tcBorders>
              <w:top w:val="nil"/>
              <w:left w:val="nil"/>
              <w:bottom w:val="nil"/>
              <w:right w:val="nil"/>
            </w:tcBorders>
            <w:shd w:val="clear" w:color="auto" w:fill="auto"/>
            <w:noWrap/>
            <w:vAlign w:val="center"/>
            <w:hideMark/>
          </w:tcPr>
          <w:p w14:paraId="19B20E7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22.54</w:t>
            </w:r>
          </w:p>
        </w:tc>
        <w:tc>
          <w:tcPr>
            <w:tcW w:w="967" w:type="dxa"/>
            <w:tcBorders>
              <w:top w:val="nil"/>
              <w:left w:val="nil"/>
              <w:bottom w:val="nil"/>
              <w:right w:val="nil"/>
            </w:tcBorders>
            <w:shd w:val="clear" w:color="auto" w:fill="auto"/>
            <w:noWrap/>
            <w:vAlign w:val="center"/>
            <w:hideMark/>
          </w:tcPr>
          <w:p w14:paraId="5EE2836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21.97</w:t>
            </w:r>
          </w:p>
        </w:tc>
      </w:tr>
      <w:tr w:rsidR="00556CCF" w:rsidRPr="00284C07" w14:paraId="6293D7B5" w14:textId="77777777" w:rsidTr="00284C07">
        <w:trPr>
          <w:trHeight w:val="288"/>
        </w:trPr>
        <w:tc>
          <w:tcPr>
            <w:tcW w:w="1934" w:type="dxa"/>
            <w:tcBorders>
              <w:top w:val="nil"/>
              <w:left w:val="nil"/>
              <w:bottom w:val="nil"/>
              <w:right w:val="nil"/>
            </w:tcBorders>
            <w:shd w:val="clear" w:color="auto" w:fill="auto"/>
            <w:noWrap/>
            <w:vAlign w:val="center"/>
          </w:tcPr>
          <w:p w14:paraId="08A7344B"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High School GPA</w:t>
            </w:r>
          </w:p>
        </w:tc>
        <w:tc>
          <w:tcPr>
            <w:tcW w:w="735" w:type="dxa"/>
            <w:tcBorders>
              <w:top w:val="nil"/>
              <w:left w:val="nil"/>
              <w:bottom w:val="nil"/>
              <w:right w:val="nil"/>
            </w:tcBorders>
            <w:shd w:val="clear" w:color="auto" w:fill="auto"/>
            <w:noWrap/>
            <w:vAlign w:val="center"/>
          </w:tcPr>
          <w:p w14:paraId="118DE7F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2.26</w:t>
            </w:r>
          </w:p>
        </w:tc>
        <w:tc>
          <w:tcPr>
            <w:tcW w:w="734" w:type="dxa"/>
            <w:tcBorders>
              <w:top w:val="nil"/>
              <w:left w:val="nil"/>
              <w:bottom w:val="nil"/>
              <w:right w:val="nil"/>
            </w:tcBorders>
            <w:shd w:val="clear" w:color="auto" w:fill="auto"/>
            <w:noWrap/>
            <w:vAlign w:val="center"/>
          </w:tcPr>
          <w:p w14:paraId="0C094DA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2.09</w:t>
            </w:r>
          </w:p>
        </w:tc>
        <w:tc>
          <w:tcPr>
            <w:tcW w:w="851" w:type="dxa"/>
            <w:tcBorders>
              <w:top w:val="nil"/>
              <w:left w:val="nil"/>
              <w:bottom w:val="nil"/>
              <w:right w:val="nil"/>
            </w:tcBorders>
            <w:shd w:val="clear" w:color="auto" w:fill="auto"/>
            <w:noWrap/>
            <w:vAlign w:val="center"/>
          </w:tcPr>
          <w:p w14:paraId="5BF4750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2.03</w:t>
            </w:r>
          </w:p>
        </w:tc>
        <w:tc>
          <w:tcPr>
            <w:tcW w:w="734" w:type="dxa"/>
            <w:tcBorders>
              <w:top w:val="nil"/>
              <w:left w:val="nil"/>
              <w:bottom w:val="nil"/>
              <w:right w:val="nil"/>
            </w:tcBorders>
            <w:shd w:val="clear" w:color="auto" w:fill="auto"/>
            <w:noWrap/>
            <w:vAlign w:val="center"/>
          </w:tcPr>
          <w:p w14:paraId="4C3A6F5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2.38</w:t>
            </w:r>
          </w:p>
        </w:tc>
        <w:tc>
          <w:tcPr>
            <w:tcW w:w="851" w:type="dxa"/>
            <w:tcBorders>
              <w:top w:val="nil"/>
              <w:left w:val="nil"/>
              <w:bottom w:val="nil"/>
              <w:right w:val="nil"/>
            </w:tcBorders>
            <w:shd w:val="clear" w:color="auto" w:fill="auto"/>
            <w:noWrap/>
            <w:vAlign w:val="center"/>
          </w:tcPr>
          <w:p w14:paraId="78CD9E9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2.18</w:t>
            </w:r>
          </w:p>
        </w:tc>
        <w:tc>
          <w:tcPr>
            <w:tcW w:w="912" w:type="dxa"/>
            <w:tcBorders>
              <w:top w:val="nil"/>
              <w:left w:val="nil"/>
              <w:bottom w:val="nil"/>
              <w:right w:val="nil"/>
            </w:tcBorders>
            <w:shd w:val="clear" w:color="auto" w:fill="auto"/>
            <w:noWrap/>
            <w:vAlign w:val="center"/>
          </w:tcPr>
          <w:p w14:paraId="0348EB3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p>
        </w:tc>
        <w:tc>
          <w:tcPr>
            <w:tcW w:w="966" w:type="dxa"/>
            <w:tcBorders>
              <w:top w:val="nil"/>
              <w:left w:val="nil"/>
              <w:bottom w:val="nil"/>
              <w:right w:val="nil"/>
            </w:tcBorders>
            <w:shd w:val="clear" w:color="auto" w:fill="auto"/>
            <w:noWrap/>
            <w:vAlign w:val="center"/>
          </w:tcPr>
          <w:p w14:paraId="1F75061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p>
        </w:tc>
        <w:tc>
          <w:tcPr>
            <w:tcW w:w="967" w:type="dxa"/>
            <w:tcBorders>
              <w:top w:val="nil"/>
              <w:left w:val="nil"/>
              <w:bottom w:val="nil"/>
              <w:right w:val="nil"/>
            </w:tcBorders>
            <w:shd w:val="clear" w:color="auto" w:fill="auto"/>
            <w:noWrap/>
            <w:vAlign w:val="center"/>
          </w:tcPr>
          <w:p w14:paraId="677730B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p>
        </w:tc>
      </w:tr>
      <w:tr w:rsidR="00556CCF" w:rsidRPr="00284C07" w14:paraId="6277FED6" w14:textId="77777777" w:rsidTr="00284C07">
        <w:trPr>
          <w:trHeight w:val="288"/>
        </w:trPr>
        <w:tc>
          <w:tcPr>
            <w:tcW w:w="1934" w:type="dxa"/>
            <w:tcBorders>
              <w:top w:val="nil"/>
              <w:left w:val="nil"/>
              <w:bottom w:val="nil"/>
              <w:right w:val="nil"/>
            </w:tcBorders>
            <w:shd w:val="clear" w:color="auto" w:fill="auto"/>
            <w:noWrap/>
            <w:vAlign w:val="center"/>
            <w:hideMark/>
          </w:tcPr>
          <w:p w14:paraId="5CC719B0"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Pell Grant</w:t>
            </w:r>
          </w:p>
        </w:tc>
        <w:tc>
          <w:tcPr>
            <w:tcW w:w="735" w:type="dxa"/>
            <w:tcBorders>
              <w:top w:val="nil"/>
              <w:left w:val="nil"/>
              <w:bottom w:val="nil"/>
              <w:right w:val="nil"/>
            </w:tcBorders>
            <w:shd w:val="clear" w:color="auto" w:fill="auto"/>
            <w:noWrap/>
            <w:vAlign w:val="center"/>
            <w:hideMark/>
          </w:tcPr>
          <w:p w14:paraId="5D31541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0.22</w:t>
            </w:r>
          </w:p>
        </w:tc>
        <w:tc>
          <w:tcPr>
            <w:tcW w:w="734" w:type="dxa"/>
            <w:tcBorders>
              <w:top w:val="nil"/>
              <w:left w:val="nil"/>
              <w:bottom w:val="nil"/>
              <w:right w:val="nil"/>
            </w:tcBorders>
            <w:shd w:val="clear" w:color="auto" w:fill="auto"/>
            <w:noWrap/>
            <w:vAlign w:val="center"/>
            <w:hideMark/>
          </w:tcPr>
          <w:p w14:paraId="487410C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0.32</w:t>
            </w:r>
          </w:p>
        </w:tc>
        <w:tc>
          <w:tcPr>
            <w:tcW w:w="851" w:type="dxa"/>
            <w:tcBorders>
              <w:top w:val="nil"/>
              <w:left w:val="nil"/>
              <w:bottom w:val="nil"/>
              <w:right w:val="nil"/>
            </w:tcBorders>
            <w:shd w:val="clear" w:color="auto" w:fill="auto"/>
            <w:noWrap/>
            <w:vAlign w:val="center"/>
            <w:hideMark/>
          </w:tcPr>
          <w:p w14:paraId="27B4B05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0.29</w:t>
            </w:r>
          </w:p>
        </w:tc>
        <w:tc>
          <w:tcPr>
            <w:tcW w:w="734" w:type="dxa"/>
            <w:tcBorders>
              <w:top w:val="nil"/>
              <w:left w:val="nil"/>
              <w:bottom w:val="nil"/>
              <w:right w:val="nil"/>
            </w:tcBorders>
            <w:shd w:val="clear" w:color="auto" w:fill="auto"/>
            <w:noWrap/>
            <w:vAlign w:val="center"/>
            <w:hideMark/>
          </w:tcPr>
          <w:p w14:paraId="59DE7BE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0.22</w:t>
            </w:r>
          </w:p>
        </w:tc>
        <w:tc>
          <w:tcPr>
            <w:tcW w:w="851" w:type="dxa"/>
            <w:tcBorders>
              <w:top w:val="nil"/>
              <w:left w:val="nil"/>
              <w:bottom w:val="nil"/>
              <w:right w:val="nil"/>
            </w:tcBorders>
            <w:shd w:val="clear" w:color="auto" w:fill="auto"/>
            <w:noWrap/>
            <w:vAlign w:val="center"/>
            <w:hideMark/>
          </w:tcPr>
          <w:p w14:paraId="47436B5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0.18</w:t>
            </w:r>
          </w:p>
        </w:tc>
        <w:tc>
          <w:tcPr>
            <w:tcW w:w="912" w:type="dxa"/>
            <w:tcBorders>
              <w:top w:val="nil"/>
              <w:left w:val="nil"/>
              <w:bottom w:val="nil"/>
              <w:right w:val="nil"/>
            </w:tcBorders>
            <w:shd w:val="clear" w:color="auto" w:fill="auto"/>
            <w:noWrap/>
            <w:vAlign w:val="center"/>
            <w:hideMark/>
          </w:tcPr>
          <w:p w14:paraId="007A959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0.25</w:t>
            </w:r>
          </w:p>
        </w:tc>
        <w:tc>
          <w:tcPr>
            <w:tcW w:w="966" w:type="dxa"/>
            <w:tcBorders>
              <w:top w:val="nil"/>
              <w:left w:val="nil"/>
              <w:bottom w:val="nil"/>
              <w:right w:val="nil"/>
            </w:tcBorders>
            <w:shd w:val="clear" w:color="auto" w:fill="auto"/>
            <w:noWrap/>
            <w:vAlign w:val="center"/>
            <w:hideMark/>
          </w:tcPr>
          <w:p w14:paraId="79C9B4A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0.29</w:t>
            </w:r>
          </w:p>
        </w:tc>
        <w:tc>
          <w:tcPr>
            <w:tcW w:w="967" w:type="dxa"/>
            <w:tcBorders>
              <w:top w:val="nil"/>
              <w:left w:val="nil"/>
              <w:bottom w:val="nil"/>
              <w:right w:val="nil"/>
            </w:tcBorders>
            <w:shd w:val="clear" w:color="auto" w:fill="auto"/>
            <w:noWrap/>
            <w:vAlign w:val="center"/>
            <w:hideMark/>
          </w:tcPr>
          <w:p w14:paraId="4A24024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0.24</w:t>
            </w:r>
          </w:p>
        </w:tc>
      </w:tr>
      <w:tr w:rsidR="00556CCF" w:rsidRPr="00284C07" w14:paraId="20E757A1" w14:textId="77777777" w:rsidTr="00284C07">
        <w:trPr>
          <w:trHeight w:val="288"/>
        </w:trPr>
        <w:tc>
          <w:tcPr>
            <w:tcW w:w="1934" w:type="dxa"/>
            <w:tcBorders>
              <w:top w:val="nil"/>
              <w:left w:val="nil"/>
              <w:bottom w:val="nil"/>
              <w:right w:val="nil"/>
            </w:tcBorders>
            <w:shd w:val="clear" w:color="auto" w:fill="auto"/>
            <w:noWrap/>
            <w:vAlign w:val="center"/>
            <w:hideMark/>
          </w:tcPr>
          <w:p w14:paraId="3078358E"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Other Scholarships</w:t>
            </w:r>
          </w:p>
        </w:tc>
        <w:tc>
          <w:tcPr>
            <w:tcW w:w="735" w:type="dxa"/>
            <w:tcBorders>
              <w:top w:val="nil"/>
              <w:left w:val="nil"/>
              <w:bottom w:val="nil"/>
              <w:right w:val="nil"/>
            </w:tcBorders>
            <w:shd w:val="clear" w:color="auto" w:fill="auto"/>
            <w:noWrap/>
            <w:vAlign w:val="center"/>
            <w:hideMark/>
          </w:tcPr>
          <w:p w14:paraId="0EAB4BF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c>
          <w:tcPr>
            <w:tcW w:w="734" w:type="dxa"/>
            <w:tcBorders>
              <w:top w:val="nil"/>
              <w:left w:val="nil"/>
              <w:bottom w:val="nil"/>
              <w:right w:val="nil"/>
            </w:tcBorders>
            <w:shd w:val="clear" w:color="auto" w:fill="auto"/>
            <w:noWrap/>
            <w:vAlign w:val="center"/>
            <w:hideMark/>
          </w:tcPr>
          <w:p w14:paraId="5C8D681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851" w:type="dxa"/>
            <w:tcBorders>
              <w:top w:val="nil"/>
              <w:left w:val="nil"/>
              <w:bottom w:val="nil"/>
              <w:right w:val="nil"/>
            </w:tcBorders>
            <w:shd w:val="clear" w:color="auto" w:fill="auto"/>
            <w:noWrap/>
            <w:vAlign w:val="center"/>
            <w:hideMark/>
          </w:tcPr>
          <w:p w14:paraId="37DE364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c>
          <w:tcPr>
            <w:tcW w:w="734" w:type="dxa"/>
            <w:tcBorders>
              <w:top w:val="nil"/>
              <w:left w:val="nil"/>
              <w:bottom w:val="nil"/>
              <w:right w:val="nil"/>
            </w:tcBorders>
            <w:shd w:val="clear" w:color="auto" w:fill="auto"/>
            <w:noWrap/>
            <w:vAlign w:val="center"/>
            <w:hideMark/>
          </w:tcPr>
          <w:p w14:paraId="62D452E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c>
          <w:tcPr>
            <w:tcW w:w="851" w:type="dxa"/>
            <w:tcBorders>
              <w:top w:val="nil"/>
              <w:left w:val="nil"/>
              <w:bottom w:val="nil"/>
              <w:right w:val="nil"/>
            </w:tcBorders>
            <w:shd w:val="clear" w:color="auto" w:fill="auto"/>
            <w:noWrap/>
            <w:vAlign w:val="center"/>
            <w:hideMark/>
          </w:tcPr>
          <w:p w14:paraId="067D21F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c>
          <w:tcPr>
            <w:tcW w:w="912" w:type="dxa"/>
            <w:tcBorders>
              <w:top w:val="nil"/>
              <w:left w:val="nil"/>
              <w:bottom w:val="nil"/>
              <w:right w:val="nil"/>
            </w:tcBorders>
            <w:shd w:val="clear" w:color="auto" w:fill="auto"/>
            <w:noWrap/>
            <w:vAlign w:val="center"/>
            <w:hideMark/>
          </w:tcPr>
          <w:p w14:paraId="098DB7F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966" w:type="dxa"/>
            <w:tcBorders>
              <w:top w:val="nil"/>
              <w:left w:val="nil"/>
              <w:bottom w:val="nil"/>
              <w:right w:val="nil"/>
            </w:tcBorders>
            <w:shd w:val="clear" w:color="auto" w:fill="auto"/>
            <w:noWrap/>
            <w:vAlign w:val="center"/>
            <w:hideMark/>
          </w:tcPr>
          <w:p w14:paraId="1CD8068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c>
          <w:tcPr>
            <w:tcW w:w="967" w:type="dxa"/>
            <w:tcBorders>
              <w:top w:val="nil"/>
              <w:left w:val="nil"/>
              <w:bottom w:val="nil"/>
              <w:right w:val="nil"/>
            </w:tcBorders>
            <w:shd w:val="clear" w:color="auto" w:fill="auto"/>
            <w:noWrap/>
            <w:vAlign w:val="center"/>
            <w:hideMark/>
          </w:tcPr>
          <w:p w14:paraId="26803E6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0.02</w:t>
            </w:r>
          </w:p>
        </w:tc>
      </w:tr>
      <w:tr w:rsidR="00556CCF" w:rsidRPr="00284C07" w14:paraId="6046BA15" w14:textId="77777777" w:rsidTr="00284C07">
        <w:trPr>
          <w:trHeight w:val="288"/>
        </w:trPr>
        <w:tc>
          <w:tcPr>
            <w:tcW w:w="1934" w:type="dxa"/>
            <w:tcBorders>
              <w:top w:val="nil"/>
              <w:left w:val="nil"/>
              <w:bottom w:val="nil"/>
              <w:right w:val="nil"/>
            </w:tcBorders>
            <w:shd w:val="clear" w:color="auto" w:fill="auto"/>
            <w:noWrap/>
            <w:vAlign w:val="center"/>
            <w:hideMark/>
          </w:tcPr>
          <w:p w14:paraId="66197D46" w14:textId="77777777" w:rsidR="00556CCF" w:rsidRPr="00284C07" w:rsidRDefault="00556CCF" w:rsidP="00556CCF">
            <w:pPr>
              <w:spacing w:after="0" w:line="240" w:lineRule="auto"/>
              <w:rPr>
                <w:rFonts w:ascii="Times New Roman" w:eastAsia="Times New Roman" w:hAnsi="Times New Roman" w:cs="Times New Roman"/>
                <w:b/>
                <w:iCs/>
                <w:color w:val="000000"/>
                <w:sz w:val="18"/>
                <w:szCs w:val="20"/>
              </w:rPr>
            </w:pPr>
            <w:r w:rsidRPr="00284C07">
              <w:rPr>
                <w:rFonts w:ascii="Times New Roman" w:eastAsia="Times New Roman" w:hAnsi="Times New Roman" w:cs="Times New Roman"/>
                <w:b/>
                <w:iCs/>
                <w:color w:val="000000"/>
                <w:sz w:val="18"/>
                <w:szCs w:val="20"/>
              </w:rPr>
              <w:t>Treatment Variable</w:t>
            </w:r>
          </w:p>
        </w:tc>
        <w:tc>
          <w:tcPr>
            <w:tcW w:w="735" w:type="dxa"/>
            <w:tcBorders>
              <w:top w:val="nil"/>
              <w:left w:val="nil"/>
              <w:bottom w:val="nil"/>
              <w:right w:val="nil"/>
            </w:tcBorders>
            <w:shd w:val="clear" w:color="auto" w:fill="auto"/>
            <w:noWrap/>
            <w:vAlign w:val="center"/>
            <w:hideMark/>
          </w:tcPr>
          <w:p w14:paraId="7AE7D2B3" w14:textId="77777777" w:rsidR="00556CCF" w:rsidRPr="00284C07" w:rsidRDefault="00556CCF" w:rsidP="00556CCF">
            <w:pPr>
              <w:spacing w:after="0" w:line="240" w:lineRule="auto"/>
              <w:rPr>
                <w:rFonts w:ascii="Times New Roman" w:eastAsia="Times New Roman" w:hAnsi="Times New Roman" w:cs="Times New Roman"/>
                <w:i/>
                <w:iCs/>
                <w:color w:val="000000"/>
                <w:sz w:val="18"/>
                <w:szCs w:val="20"/>
              </w:rPr>
            </w:pPr>
          </w:p>
        </w:tc>
        <w:tc>
          <w:tcPr>
            <w:tcW w:w="734" w:type="dxa"/>
            <w:tcBorders>
              <w:top w:val="nil"/>
              <w:left w:val="nil"/>
              <w:bottom w:val="nil"/>
              <w:right w:val="nil"/>
            </w:tcBorders>
            <w:shd w:val="clear" w:color="auto" w:fill="auto"/>
            <w:noWrap/>
            <w:vAlign w:val="center"/>
            <w:hideMark/>
          </w:tcPr>
          <w:p w14:paraId="2A8B08ED"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32E23527"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734" w:type="dxa"/>
            <w:tcBorders>
              <w:top w:val="nil"/>
              <w:left w:val="nil"/>
              <w:bottom w:val="nil"/>
              <w:right w:val="nil"/>
            </w:tcBorders>
            <w:shd w:val="clear" w:color="auto" w:fill="auto"/>
            <w:noWrap/>
            <w:vAlign w:val="center"/>
            <w:hideMark/>
          </w:tcPr>
          <w:p w14:paraId="2B1DF6D4"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3792FECE"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12" w:type="dxa"/>
            <w:tcBorders>
              <w:top w:val="nil"/>
              <w:left w:val="nil"/>
              <w:bottom w:val="nil"/>
              <w:right w:val="nil"/>
            </w:tcBorders>
            <w:shd w:val="clear" w:color="auto" w:fill="auto"/>
            <w:noWrap/>
            <w:vAlign w:val="center"/>
            <w:hideMark/>
          </w:tcPr>
          <w:p w14:paraId="1D45EBDF"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6" w:type="dxa"/>
            <w:tcBorders>
              <w:top w:val="nil"/>
              <w:left w:val="nil"/>
              <w:bottom w:val="nil"/>
              <w:right w:val="nil"/>
            </w:tcBorders>
            <w:shd w:val="clear" w:color="auto" w:fill="auto"/>
            <w:noWrap/>
            <w:vAlign w:val="center"/>
            <w:hideMark/>
          </w:tcPr>
          <w:p w14:paraId="1E7684FC"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7" w:type="dxa"/>
            <w:tcBorders>
              <w:top w:val="nil"/>
              <w:left w:val="nil"/>
              <w:bottom w:val="nil"/>
              <w:right w:val="nil"/>
            </w:tcBorders>
            <w:shd w:val="clear" w:color="auto" w:fill="auto"/>
            <w:noWrap/>
            <w:vAlign w:val="center"/>
            <w:hideMark/>
          </w:tcPr>
          <w:p w14:paraId="43D86926"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r>
      <w:tr w:rsidR="00556CCF" w:rsidRPr="00284C07" w14:paraId="446EB20F" w14:textId="77777777" w:rsidTr="00284C07">
        <w:trPr>
          <w:trHeight w:val="288"/>
        </w:trPr>
        <w:tc>
          <w:tcPr>
            <w:tcW w:w="1934" w:type="dxa"/>
            <w:tcBorders>
              <w:top w:val="nil"/>
              <w:left w:val="nil"/>
              <w:bottom w:val="nil"/>
              <w:right w:val="nil"/>
            </w:tcBorders>
            <w:shd w:val="clear" w:color="auto" w:fill="auto"/>
            <w:noWrap/>
            <w:vAlign w:val="center"/>
            <w:hideMark/>
          </w:tcPr>
          <w:p w14:paraId="145DAB52" w14:textId="77777777" w:rsidR="00556CCF" w:rsidRPr="00284C07" w:rsidRDefault="00556CCF" w:rsidP="00556CCF">
            <w:pPr>
              <w:spacing w:after="0" w:line="240" w:lineRule="auto"/>
              <w:ind w:firstLineChars="100" w:firstLine="180"/>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Tulsa Achieves</w:t>
            </w:r>
          </w:p>
        </w:tc>
        <w:tc>
          <w:tcPr>
            <w:tcW w:w="735" w:type="dxa"/>
            <w:tcBorders>
              <w:top w:val="nil"/>
              <w:left w:val="nil"/>
              <w:bottom w:val="nil"/>
              <w:right w:val="nil"/>
            </w:tcBorders>
            <w:shd w:val="clear" w:color="auto" w:fill="auto"/>
            <w:noWrap/>
            <w:vAlign w:val="center"/>
            <w:hideMark/>
          </w:tcPr>
          <w:p w14:paraId="68822DA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0.37</w:t>
            </w:r>
          </w:p>
        </w:tc>
        <w:tc>
          <w:tcPr>
            <w:tcW w:w="734" w:type="dxa"/>
            <w:tcBorders>
              <w:top w:val="nil"/>
              <w:left w:val="nil"/>
              <w:bottom w:val="nil"/>
              <w:right w:val="nil"/>
            </w:tcBorders>
            <w:shd w:val="clear" w:color="auto" w:fill="auto"/>
            <w:noWrap/>
            <w:vAlign w:val="center"/>
            <w:hideMark/>
          </w:tcPr>
          <w:p w14:paraId="651E105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0.00</w:t>
            </w:r>
          </w:p>
        </w:tc>
        <w:tc>
          <w:tcPr>
            <w:tcW w:w="851" w:type="dxa"/>
            <w:tcBorders>
              <w:top w:val="nil"/>
              <w:left w:val="nil"/>
              <w:bottom w:val="nil"/>
              <w:right w:val="nil"/>
            </w:tcBorders>
            <w:shd w:val="clear" w:color="auto" w:fill="auto"/>
            <w:noWrap/>
            <w:vAlign w:val="center"/>
            <w:hideMark/>
          </w:tcPr>
          <w:p w14:paraId="4D66E8E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0.00</w:t>
            </w:r>
          </w:p>
        </w:tc>
        <w:tc>
          <w:tcPr>
            <w:tcW w:w="734" w:type="dxa"/>
            <w:tcBorders>
              <w:top w:val="nil"/>
              <w:left w:val="nil"/>
              <w:bottom w:val="nil"/>
              <w:right w:val="nil"/>
            </w:tcBorders>
            <w:shd w:val="clear" w:color="auto" w:fill="auto"/>
            <w:noWrap/>
            <w:vAlign w:val="center"/>
            <w:hideMark/>
          </w:tcPr>
          <w:p w14:paraId="000197F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0.52</w:t>
            </w:r>
          </w:p>
        </w:tc>
        <w:tc>
          <w:tcPr>
            <w:tcW w:w="851" w:type="dxa"/>
            <w:tcBorders>
              <w:top w:val="nil"/>
              <w:left w:val="nil"/>
              <w:bottom w:val="nil"/>
              <w:right w:val="nil"/>
            </w:tcBorders>
            <w:shd w:val="clear" w:color="auto" w:fill="auto"/>
            <w:noWrap/>
            <w:vAlign w:val="center"/>
            <w:hideMark/>
          </w:tcPr>
          <w:p w14:paraId="582FEBD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0.21</w:t>
            </w:r>
          </w:p>
        </w:tc>
        <w:tc>
          <w:tcPr>
            <w:tcW w:w="912" w:type="dxa"/>
            <w:tcBorders>
              <w:top w:val="nil"/>
              <w:left w:val="nil"/>
              <w:bottom w:val="nil"/>
              <w:right w:val="nil"/>
            </w:tcBorders>
            <w:shd w:val="clear" w:color="auto" w:fill="auto"/>
            <w:noWrap/>
            <w:vAlign w:val="center"/>
            <w:hideMark/>
          </w:tcPr>
          <w:p w14:paraId="4176B24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0.60</w:t>
            </w:r>
          </w:p>
        </w:tc>
        <w:tc>
          <w:tcPr>
            <w:tcW w:w="966" w:type="dxa"/>
            <w:tcBorders>
              <w:top w:val="nil"/>
              <w:left w:val="nil"/>
              <w:bottom w:val="nil"/>
              <w:right w:val="nil"/>
            </w:tcBorders>
            <w:shd w:val="clear" w:color="auto" w:fill="auto"/>
            <w:noWrap/>
            <w:vAlign w:val="center"/>
            <w:hideMark/>
          </w:tcPr>
          <w:p w14:paraId="01A13C9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0.02</w:t>
            </w:r>
          </w:p>
        </w:tc>
        <w:tc>
          <w:tcPr>
            <w:tcW w:w="967" w:type="dxa"/>
            <w:tcBorders>
              <w:top w:val="nil"/>
              <w:left w:val="nil"/>
              <w:bottom w:val="nil"/>
              <w:right w:val="nil"/>
            </w:tcBorders>
            <w:shd w:val="clear" w:color="auto" w:fill="auto"/>
            <w:noWrap/>
            <w:vAlign w:val="center"/>
            <w:hideMark/>
          </w:tcPr>
          <w:p w14:paraId="219DF93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0.66</w:t>
            </w:r>
          </w:p>
        </w:tc>
      </w:tr>
      <w:tr w:rsidR="00556CCF" w:rsidRPr="00284C07" w14:paraId="499B9753" w14:textId="77777777" w:rsidTr="00284C07">
        <w:trPr>
          <w:trHeight w:val="288"/>
        </w:trPr>
        <w:tc>
          <w:tcPr>
            <w:tcW w:w="1934" w:type="dxa"/>
            <w:tcBorders>
              <w:top w:val="nil"/>
              <w:left w:val="nil"/>
              <w:bottom w:val="nil"/>
              <w:right w:val="nil"/>
            </w:tcBorders>
            <w:shd w:val="clear" w:color="auto" w:fill="auto"/>
            <w:noWrap/>
            <w:vAlign w:val="center"/>
            <w:hideMark/>
          </w:tcPr>
          <w:p w14:paraId="65B1D12F" w14:textId="77777777" w:rsidR="00556CCF" w:rsidRPr="00284C07" w:rsidRDefault="00556CCF" w:rsidP="00556CCF">
            <w:pPr>
              <w:spacing w:after="0" w:line="240" w:lineRule="auto"/>
              <w:rPr>
                <w:rFonts w:ascii="Times New Roman" w:eastAsia="Times New Roman" w:hAnsi="Times New Roman" w:cs="Times New Roman"/>
                <w:b/>
                <w:iCs/>
                <w:color w:val="000000"/>
                <w:sz w:val="18"/>
                <w:szCs w:val="20"/>
              </w:rPr>
            </w:pPr>
            <w:r w:rsidRPr="00284C07">
              <w:rPr>
                <w:rFonts w:ascii="Times New Roman" w:eastAsia="Times New Roman" w:hAnsi="Times New Roman" w:cs="Times New Roman"/>
                <w:b/>
                <w:iCs/>
                <w:color w:val="000000"/>
                <w:sz w:val="18"/>
                <w:szCs w:val="20"/>
              </w:rPr>
              <w:t>Postsecondary Outcomes</w:t>
            </w:r>
          </w:p>
        </w:tc>
        <w:tc>
          <w:tcPr>
            <w:tcW w:w="735" w:type="dxa"/>
            <w:tcBorders>
              <w:top w:val="nil"/>
              <w:left w:val="nil"/>
              <w:bottom w:val="nil"/>
              <w:right w:val="nil"/>
            </w:tcBorders>
            <w:shd w:val="clear" w:color="auto" w:fill="auto"/>
            <w:noWrap/>
            <w:vAlign w:val="center"/>
            <w:hideMark/>
          </w:tcPr>
          <w:p w14:paraId="71B2F799" w14:textId="77777777" w:rsidR="00556CCF" w:rsidRPr="00284C07" w:rsidRDefault="00556CCF" w:rsidP="00556CCF">
            <w:pPr>
              <w:spacing w:after="0" w:line="240" w:lineRule="auto"/>
              <w:rPr>
                <w:rFonts w:ascii="Times New Roman" w:eastAsia="Times New Roman" w:hAnsi="Times New Roman" w:cs="Times New Roman"/>
                <w:i/>
                <w:iCs/>
                <w:color w:val="000000"/>
                <w:sz w:val="18"/>
                <w:szCs w:val="20"/>
              </w:rPr>
            </w:pPr>
          </w:p>
        </w:tc>
        <w:tc>
          <w:tcPr>
            <w:tcW w:w="734" w:type="dxa"/>
            <w:tcBorders>
              <w:top w:val="nil"/>
              <w:left w:val="nil"/>
              <w:bottom w:val="nil"/>
              <w:right w:val="nil"/>
            </w:tcBorders>
            <w:shd w:val="clear" w:color="auto" w:fill="auto"/>
            <w:noWrap/>
            <w:vAlign w:val="center"/>
            <w:hideMark/>
          </w:tcPr>
          <w:p w14:paraId="79D1AEA0"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7C252EAD"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734" w:type="dxa"/>
            <w:tcBorders>
              <w:top w:val="nil"/>
              <w:left w:val="nil"/>
              <w:bottom w:val="nil"/>
              <w:right w:val="nil"/>
            </w:tcBorders>
            <w:shd w:val="clear" w:color="auto" w:fill="auto"/>
            <w:noWrap/>
            <w:vAlign w:val="center"/>
            <w:hideMark/>
          </w:tcPr>
          <w:p w14:paraId="397C9B1C"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851" w:type="dxa"/>
            <w:tcBorders>
              <w:top w:val="nil"/>
              <w:left w:val="nil"/>
              <w:bottom w:val="nil"/>
              <w:right w:val="nil"/>
            </w:tcBorders>
            <w:shd w:val="clear" w:color="auto" w:fill="auto"/>
            <w:noWrap/>
            <w:vAlign w:val="center"/>
            <w:hideMark/>
          </w:tcPr>
          <w:p w14:paraId="7C57492D"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12" w:type="dxa"/>
            <w:tcBorders>
              <w:top w:val="nil"/>
              <w:left w:val="nil"/>
              <w:bottom w:val="nil"/>
              <w:right w:val="nil"/>
            </w:tcBorders>
            <w:shd w:val="clear" w:color="auto" w:fill="auto"/>
            <w:noWrap/>
            <w:vAlign w:val="center"/>
            <w:hideMark/>
          </w:tcPr>
          <w:p w14:paraId="3B9F328B"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6" w:type="dxa"/>
            <w:tcBorders>
              <w:top w:val="nil"/>
              <w:left w:val="nil"/>
              <w:bottom w:val="nil"/>
              <w:right w:val="nil"/>
            </w:tcBorders>
            <w:shd w:val="clear" w:color="auto" w:fill="auto"/>
            <w:noWrap/>
            <w:vAlign w:val="center"/>
            <w:hideMark/>
          </w:tcPr>
          <w:p w14:paraId="6562C740"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c>
          <w:tcPr>
            <w:tcW w:w="967" w:type="dxa"/>
            <w:tcBorders>
              <w:top w:val="nil"/>
              <w:left w:val="nil"/>
              <w:bottom w:val="nil"/>
              <w:right w:val="nil"/>
            </w:tcBorders>
            <w:shd w:val="clear" w:color="auto" w:fill="auto"/>
            <w:noWrap/>
            <w:vAlign w:val="center"/>
            <w:hideMark/>
          </w:tcPr>
          <w:p w14:paraId="1982CA67" w14:textId="77777777" w:rsidR="00556CCF" w:rsidRPr="00284C07" w:rsidRDefault="00556CCF" w:rsidP="00556CCF">
            <w:pPr>
              <w:spacing w:after="0" w:line="240" w:lineRule="auto"/>
              <w:jc w:val="center"/>
              <w:rPr>
                <w:rFonts w:ascii="Times New Roman" w:eastAsia="Times New Roman" w:hAnsi="Times New Roman" w:cs="Times New Roman"/>
                <w:sz w:val="18"/>
                <w:szCs w:val="20"/>
              </w:rPr>
            </w:pPr>
          </w:p>
        </w:tc>
      </w:tr>
      <w:tr w:rsidR="00556CCF" w:rsidRPr="00284C07" w14:paraId="3DF16032" w14:textId="77777777" w:rsidTr="00284C07">
        <w:trPr>
          <w:trHeight w:val="288"/>
        </w:trPr>
        <w:tc>
          <w:tcPr>
            <w:tcW w:w="1934" w:type="dxa"/>
            <w:tcBorders>
              <w:top w:val="nil"/>
              <w:left w:val="nil"/>
              <w:bottom w:val="nil"/>
              <w:right w:val="nil"/>
            </w:tcBorders>
            <w:shd w:val="clear" w:color="auto" w:fill="auto"/>
            <w:vAlign w:val="center"/>
            <w:hideMark/>
          </w:tcPr>
          <w:p w14:paraId="7109370C"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GPA End of Year 1</w:t>
            </w:r>
          </w:p>
        </w:tc>
        <w:tc>
          <w:tcPr>
            <w:tcW w:w="735" w:type="dxa"/>
            <w:tcBorders>
              <w:top w:val="nil"/>
              <w:left w:val="nil"/>
              <w:bottom w:val="nil"/>
              <w:right w:val="nil"/>
            </w:tcBorders>
            <w:shd w:val="clear" w:color="auto" w:fill="auto"/>
            <w:noWrap/>
            <w:vAlign w:val="center"/>
            <w:hideMark/>
          </w:tcPr>
          <w:p w14:paraId="0991B6C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1.95</w:t>
            </w:r>
          </w:p>
        </w:tc>
        <w:tc>
          <w:tcPr>
            <w:tcW w:w="734" w:type="dxa"/>
            <w:tcBorders>
              <w:top w:val="nil"/>
              <w:left w:val="nil"/>
              <w:bottom w:val="nil"/>
              <w:right w:val="nil"/>
            </w:tcBorders>
            <w:shd w:val="clear" w:color="auto" w:fill="auto"/>
            <w:noWrap/>
            <w:vAlign w:val="center"/>
            <w:hideMark/>
          </w:tcPr>
          <w:p w14:paraId="361DCE0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1.88</w:t>
            </w:r>
          </w:p>
        </w:tc>
        <w:tc>
          <w:tcPr>
            <w:tcW w:w="851" w:type="dxa"/>
            <w:tcBorders>
              <w:top w:val="nil"/>
              <w:left w:val="nil"/>
              <w:bottom w:val="nil"/>
              <w:right w:val="nil"/>
            </w:tcBorders>
            <w:shd w:val="clear" w:color="auto" w:fill="auto"/>
            <w:noWrap/>
            <w:vAlign w:val="center"/>
            <w:hideMark/>
          </w:tcPr>
          <w:p w14:paraId="3075C54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1.94</w:t>
            </w:r>
          </w:p>
        </w:tc>
        <w:tc>
          <w:tcPr>
            <w:tcW w:w="734" w:type="dxa"/>
            <w:tcBorders>
              <w:top w:val="nil"/>
              <w:left w:val="nil"/>
              <w:bottom w:val="nil"/>
              <w:right w:val="nil"/>
            </w:tcBorders>
            <w:shd w:val="clear" w:color="auto" w:fill="auto"/>
            <w:noWrap/>
            <w:vAlign w:val="center"/>
            <w:hideMark/>
          </w:tcPr>
          <w:p w14:paraId="311EDDE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2.00</w:t>
            </w:r>
          </w:p>
        </w:tc>
        <w:tc>
          <w:tcPr>
            <w:tcW w:w="851" w:type="dxa"/>
            <w:tcBorders>
              <w:top w:val="nil"/>
              <w:left w:val="nil"/>
              <w:bottom w:val="nil"/>
              <w:right w:val="nil"/>
            </w:tcBorders>
            <w:shd w:val="clear" w:color="auto" w:fill="auto"/>
            <w:noWrap/>
            <w:vAlign w:val="center"/>
            <w:hideMark/>
          </w:tcPr>
          <w:p w14:paraId="083308D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1.90</w:t>
            </w:r>
          </w:p>
        </w:tc>
        <w:tc>
          <w:tcPr>
            <w:tcW w:w="912" w:type="dxa"/>
            <w:tcBorders>
              <w:top w:val="nil"/>
              <w:left w:val="nil"/>
              <w:bottom w:val="nil"/>
              <w:right w:val="nil"/>
            </w:tcBorders>
            <w:shd w:val="clear" w:color="auto" w:fill="auto"/>
            <w:noWrap/>
            <w:vAlign w:val="center"/>
            <w:hideMark/>
          </w:tcPr>
          <w:p w14:paraId="28E5C1A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1.32</w:t>
            </w:r>
          </w:p>
        </w:tc>
        <w:tc>
          <w:tcPr>
            <w:tcW w:w="966" w:type="dxa"/>
            <w:tcBorders>
              <w:top w:val="nil"/>
              <w:left w:val="nil"/>
              <w:bottom w:val="nil"/>
              <w:right w:val="nil"/>
            </w:tcBorders>
            <w:shd w:val="clear" w:color="auto" w:fill="auto"/>
            <w:noWrap/>
            <w:vAlign w:val="center"/>
            <w:hideMark/>
          </w:tcPr>
          <w:p w14:paraId="1142A59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1.00</w:t>
            </w:r>
          </w:p>
        </w:tc>
        <w:tc>
          <w:tcPr>
            <w:tcW w:w="967" w:type="dxa"/>
            <w:tcBorders>
              <w:top w:val="nil"/>
              <w:left w:val="nil"/>
              <w:bottom w:val="nil"/>
              <w:right w:val="nil"/>
            </w:tcBorders>
            <w:shd w:val="clear" w:color="auto" w:fill="auto"/>
            <w:noWrap/>
            <w:vAlign w:val="center"/>
            <w:hideMark/>
          </w:tcPr>
          <w:p w14:paraId="44D86D9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1.36</w:t>
            </w:r>
          </w:p>
        </w:tc>
      </w:tr>
      <w:tr w:rsidR="00556CCF" w:rsidRPr="00284C07" w14:paraId="79A332C3" w14:textId="77777777" w:rsidTr="00284C07">
        <w:trPr>
          <w:trHeight w:val="553"/>
        </w:trPr>
        <w:tc>
          <w:tcPr>
            <w:tcW w:w="1934" w:type="dxa"/>
            <w:tcBorders>
              <w:top w:val="nil"/>
              <w:left w:val="nil"/>
              <w:bottom w:val="nil"/>
              <w:right w:val="nil"/>
            </w:tcBorders>
            <w:shd w:val="clear" w:color="auto" w:fill="auto"/>
            <w:vAlign w:val="center"/>
            <w:hideMark/>
          </w:tcPr>
          <w:p w14:paraId="7004414B"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Credits Earned End of Year 1</w:t>
            </w:r>
          </w:p>
        </w:tc>
        <w:tc>
          <w:tcPr>
            <w:tcW w:w="735" w:type="dxa"/>
            <w:tcBorders>
              <w:top w:val="nil"/>
              <w:left w:val="nil"/>
              <w:bottom w:val="nil"/>
              <w:right w:val="nil"/>
            </w:tcBorders>
            <w:shd w:val="clear" w:color="auto" w:fill="auto"/>
            <w:noWrap/>
            <w:vAlign w:val="center"/>
            <w:hideMark/>
          </w:tcPr>
          <w:p w14:paraId="6E49BFF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9.81</w:t>
            </w:r>
          </w:p>
        </w:tc>
        <w:tc>
          <w:tcPr>
            <w:tcW w:w="734" w:type="dxa"/>
            <w:tcBorders>
              <w:top w:val="nil"/>
              <w:left w:val="nil"/>
              <w:bottom w:val="nil"/>
              <w:right w:val="nil"/>
            </w:tcBorders>
            <w:shd w:val="clear" w:color="auto" w:fill="auto"/>
            <w:noWrap/>
            <w:vAlign w:val="center"/>
            <w:hideMark/>
          </w:tcPr>
          <w:p w14:paraId="1E578D4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10.55</w:t>
            </w:r>
          </w:p>
        </w:tc>
        <w:tc>
          <w:tcPr>
            <w:tcW w:w="851" w:type="dxa"/>
            <w:tcBorders>
              <w:top w:val="nil"/>
              <w:left w:val="nil"/>
              <w:bottom w:val="nil"/>
              <w:right w:val="nil"/>
            </w:tcBorders>
            <w:shd w:val="clear" w:color="auto" w:fill="auto"/>
            <w:noWrap/>
            <w:vAlign w:val="center"/>
            <w:hideMark/>
          </w:tcPr>
          <w:p w14:paraId="1FD2B49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11.07</w:t>
            </w:r>
          </w:p>
        </w:tc>
        <w:tc>
          <w:tcPr>
            <w:tcW w:w="734" w:type="dxa"/>
            <w:tcBorders>
              <w:top w:val="nil"/>
              <w:left w:val="nil"/>
              <w:bottom w:val="nil"/>
              <w:right w:val="nil"/>
            </w:tcBorders>
            <w:shd w:val="clear" w:color="auto" w:fill="auto"/>
            <w:noWrap/>
            <w:vAlign w:val="center"/>
            <w:hideMark/>
          </w:tcPr>
          <w:p w14:paraId="716673E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9.78</w:t>
            </w:r>
          </w:p>
        </w:tc>
        <w:tc>
          <w:tcPr>
            <w:tcW w:w="851" w:type="dxa"/>
            <w:tcBorders>
              <w:top w:val="nil"/>
              <w:left w:val="nil"/>
              <w:bottom w:val="nil"/>
              <w:right w:val="nil"/>
            </w:tcBorders>
            <w:shd w:val="clear" w:color="auto" w:fill="auto"/>
            <w:noWrap/>
            <w:vAlign w:val="center"/>
            <w:hideMark/>
          </w:tcPr>
          <w:p w14:paraId="0279FCA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9.37</w:t>
            </w:r>
          </w:p>
        </w:tc>
        <w:tc>
          <w:tcPr>
            <w:tcW w:w="912" w:type="dxa"/>
            <w:tcBorders>
              <w:top w:val="nil"/>
              <w:left w:val="nil"/>
              <w:bottom w:val="nil"/>
              <w:right w:val="nil"/>
            </w:tcBorders>
            <w:shd w:val="clear" w:color="auto" w:fill="auto"/>
            <w:noWrap/>
            <w:vAlign w:val="center"/>
            <w:hideMark/>
          </w:tcPr>
          <w:p w14:paraId="1CDD628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6.41</w:t>
            </w:r>
          </w:p>
        </w:tc>
        <w:tc>
          <w:tcPr>
            <w:tcW w:w="966" w:type="dxa"/>
            <w:tcBorders>
              <w:top w:val="nil"/>
              <w:left w:val="nil"/>
              <w:bottom w:val="nil"/>
              <w:right w:val="nil"/>
            </w:tcBorders>
            <w:shd w:val="clear" w:color="auto" w:fill="auto"/>
            <w:noWrap/>
            <w:vAlign w:val="center"/>
            <w:hideMark/>
          </w:tcPr>
          <w:p w14:paraId="7419140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4.57</w:t>
            </w:r>
          </w:p>
        </w:tc>
        <w:tc>
          <w:tcPr>
            <w:tcW w:w="967" w:type="dxa"/>
            <w:tcBorders>
              <w:top w:val="nil"/>
              <w:left w:val="nil"/>
              <w:bottom w:val="nil"/>
              <w:right w:val="nil"/>
            </w:tcBorders>
            <w:shd w:val="clear" w:color="auto" w:fill="auto"/>
            <w:noWrap/>
            <w:vAlign w:val="center"/>
            <w:hideMark/>
          </w:tcPr>
          <w:p w14:paraId="0121681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6.62</w:t>
            </w:r>
          </w:p>
        </w:tc>
      </w:tr>
      <w:tr w:rsidR="00556CCF" w:rsidRPr="00284C07" w14:paraId="6A1D00A9" w14:textId="77777777" w:rsidTr="00284C07">
        <w:trPr>
          <w:trHeight w:val="288"/>
        </w:trPr>
        <w:tc>
          <w:tcPr>
            <w:tcW w:w="1934" w:type="dxa"/>
            <w:tcBorders>
              <w:top w:val="nil"/>
              <w:left w:val="nil"/>
              <w:bottom w:val="nil"/>
              <w:right w:val="nil"/>
            </w:tcBorders>
            <w:shd w:val="clear" w:color="auto" w:fill="auto"/>
            <w:vAlign w:val="center"/>
            <w:hideMark/>
          </w:tcPr>
          <w:p w14:paraId="04DF5F13"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GPA End of Year 3</w:t>
            </w:r>
          </w:p>
        </w:tc>
        <w:tc>
          <w:tcPr>
            <w:tcW w:w="735" w:type="dxa"/>
            <w:tcBorders>
              <w:top w:val="nil"/>
              <w:left w:val="nil"/>
              <w:bottom w:val="nil"/>
              <w:right w:val="nil"/>
            </w:tcBorders>
            <w:shd w:val="clear" w:color="auto" w:fill="auto"/>
            <w:noWrap/>
            <w:vAlign w:val="center"/>
            <w:hideMark/>
          </w:tcPr>
          <w:p w14:paraId="084F211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1.91</w:t>
            </w:r>
          </w:p>
        </w:tc>
        <w:tc>
          <w:tcPr>
            <w:tcW w:w="734" w:type="dxa"/>
            <w:tcBorders>
              <w:top w:val="nil"/>
              <w:left w:val="nil"/>
              <w:bottom w:val="nil"/>
              <w:right w:val="nil"/>
            </w:tcBorders>
            <w:shd w:val="clear" w:color="auto" w:fill="auto"/>
            <w:noWrap/>
            <w:vAlign w:val="center"/>
            <w:hideMark/>
          </w:tcPr>
          <w:p w14:paraId="5EB42F6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1.85</w:t>
            </w:r>
          </w:p>
        </w:tc>
        <w:tc>
          <w:tcPr>
            <w:tcW w:w="851" w:type="dxa"/>
            <w:tcBorders>
              <w:top w:val="nil"/>
              <w:left w:val="nil"/>
              <w:bottom w:val="nil"/>
              <w:right w:val="nil"/>
            </w:tcBorders>
            <w:shd w:val="clear" w:color="auto" w:fill="auto"/>
            <w:noWrap/>
            <w:vAlign w:val="center"/>
            <w:hideMark/>
          </w:tcPr>
          <w:p w14:paraId="418ADB3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1.92</w:t>
            </w:r>
          </w:p>
        </w:tc>
        <w:tc>
          <w:tcPr>
            <w:tcW w:w="734" w:type="dxa"/>
            <w:tcBorders>
              <w:top w:val="nil"/>
              <w:left w:val="nil"/>
              <w:bottom w:val="nil"/>
              <w:right w:val="nil"/>
            </w:tcBorders>
            <w:shd w:val="clear" w:color="auto" w:fill="auto"/>
            <w:noWrap/>
            <w:vAlign w:val="center"/>
            <w:hideMark/>
          </w:tcPr>
          <w:p w14:paraId="0709405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1.95</w:t>
            </w:r>
          </w:p>
        </w:tc>
        <w:tc>
          <w:tcPr>
            <w:tcW w:w="851" w:type="dxa"/>
            <w:tcBorders>
              <w:top w:val="nil"/>
              <w:left w:val="nil"/>
              <w:bottom w:val="nil"/>
              <w:right w:val="nil"/>
            </w:tcBorders>
            <w:shd w:val="clear" w:color="auto" w:fill="auto"/>
            <w:noWrap/>
            <w:vAlign w:val="center"/>
            <w:hideMark/>
          </w:tcPr>
          <w:p w14:paraId="08F66EF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1.86</w:t>
            </w:r>
          </w:p>
        </w:tc>
        <w:tc>
          <w:tcPr>
            <w:tcW w:w="912" w:type="dxa"/>
            <w:tcBorders>
              <w:top w:val="nil"/>
              <w:left w:val="nil"/>
              <w:bottom w:val="nil"/>
              <w:right w:val="nil"/>
            </w:tcBorders>
            <w:shd w:val="clear" w:color="auto" w:fill="auto"/>
            <w:noWrap/>
            <w:vAlign w:val="center"/>
            <w:hideMark/>
          </w:tcPr>
          <w:p w14:paraId="710C1BB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1.29</w:t>
            </w:r>
          </w:p>
        </w:tc>
        <w:tc>
          <w:tcPr>
            <w:tcW w:w="966" w:type="dxa"/>
            <w:tcBorders>
              <w:top w:val="nil"/>
              <w:left w:val="nil"/>
              <w:bottom w:val="nil"/>
              <w:right w:val="nil"/>
            </w:tcBorders>
            <w:shd w:val="clear" w:color="auto" w:fill="auto"/>
            <w:noWrap/>
            <w:vAlign w:val="center"/>
            <w:hideMark/>
          </w:tcPr>
          <w:p w14:paraId="78907D2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0.96</w:t>
            </w:r>
          </w:p>
        </w:tc>
        <w:tc>
          <w:tcPr>
            <w:tcW w:w="967" w:type="dxa"/>
            <w:tcBorders>
              <w:top w:val="nil"/>
              <w:left w:val="nil"/>
              <w:bottom w:val="nil"/>
              <w:right w:val="nil"/>
            </w:tcBorders>
            <w:shd w:val="clear" w:color="auto" w:fill="auto"/>
            <w:noWrap/>
            <w:vAlign w:val="center"/>
            <w:hideMark/>
          </w:tcPr>
          <w:p w14:paraId="5A1EC94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1.33</w:t>
            </w:r>
          </w:p>
        </w:tc>
      </w:tr>
      <w:tr w:rsidR="00556CCF" w:rsidRPr="00284C07" w14:paraId="2AF31E89" w14:textId="77777777" w:rsidTr="00284C07">
        <w:trPr>
          <w:trHeight w:val="288"/>
        </w:trPr>
        <w:tc>
          <w:tcPr>
            <w:tcW w:w="1934" w:type="dxa"/>
            <w:tcBorders>
              <w:top w:val="nil"/>
              <w:left w:val="nil"/>
              <w:bottom w:val="nil"/>
              <w:right w:val="nil"/>
            </w:tcBorders>
            <w:shd w:val="clear" w:color="auto" w:fill="auto"/>
            <w:vAlign w:val="center"/>
            <w:hideMark/>
          </w:tcPr>
          <w:p w14:paraId="75AF38FF"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Credits Earned Year 3</w:t>
            </w:r>
          </w:p>
        </w:tc>
        <w:tc>
          <w:tcPr>
            <w:tcW w:w="735" w:type="dxa"/>
            <w:tcBorders>
              <w:top w:val="nil"/>
              <w:left w:val="nil"/>
              <w:bottom w:val="nil"/>
              <w:right w:val="nil"/>
            </w:tcBorders>
            <w:shd w:val="clear" w:color="auto" w:fill="auto"/>
            <w:noWrap/>
            <w:vAlign w:val="center"/>
            <w:hideMark/>
          </w:tcPr>
          <w:p w14:paraId="5E2A742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19.95</w:t>
            </w:r>
          </w:p>
        </w:tc>
        <w:tc>
          <w:tcPr>
            <w:tcW w:w="734" w:type="dxa"/>
            <w:tcBorders>
              <w:top w:val="nil"/>
              <w:left w:val="nil"/>
              <w:bottom w:val="nil"/>
              <w:right w:val="nil"/>
            </w:tcBorders>
            <w:shd w:val="clear" w:color="auto" w:fill="auto"/>
            <w:noWrap/>
            <w:vAlign w:val="center"/>
            <w:hideMark/>
          </w:tcPr>
          <w:p w14:paraId="1DB74DE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22.93</w:t>
            </w:r>
          </w:p>
        </w:tc>
        <w:tc>
          <w:tcPr>
            <w:tcW w:w="851" w:type="dxa"/>
            <w:tcBorders>
              <w:top w:val="nil"/>
              <w:left w:val="nil"/>
              <w:bottom w:val="nil"/>
              <w:right w:val="nil"/>
            </w:tcBorders>
            <w:shd w:val="clear" w:color="auto" w:fill="auto"/>
            <w:noWrap/>
            <w:vAlign w:val="center"/>
            <w:hideMark/>
          </w:tcPr>
          <w:p w14:paraId="1C340D7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23.13</w:t>
            </w:r>
          </w:p>
        </w:tc>
        <w:tc>
          <w:tcPr>
            <w:tcW w:w="734" w:type="dxa"/>
            <w:tcBorders>
              <w:top w:val="nil"/>
              <w:left w:val="nil"/>
              <w:bottom w:val="nil"/>
              <w:right w:val="nil"/>
            </w:tcBorders>
            <w:shd w:val="clear" w:color="auto" w:fill="auto"/>
            <w:noWrap/>
            <w:vAlign w:val="center"/>
            <w:hideMark/>
          </w:tcPr>
          <w:p w14:paraId="13F5DF8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19.92</w:t>
            </w:r>
          </w:p>
        </w:tc>
        <w:tc>
          <w:tcPr>
            <w:tcW w:w="851" w:type="dxa"/>
            <w:tcBorders>
              <w:top w:val="nil"/>
              <w:left w:val="nil"/>
              <w:bottom w:val="nil"/>
              <w:right w:val="nil"/>
            </w:tcBorders>
            <w:shd w:val="clear" w:color="auto" w:fill="auto"/>
            <w:noWrap/>
            <w:vAlign w:val="center"/>
            <w:hideMark/>
          </w:tcPr>
          <w:p w14:paraId="5A8C3E1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18.69</w:t>
            </w:r>
          </w:p>
        </w:tc>
        <w:tc>
          <w:tcPr>
            <w:tcW w:w="912" w:type="dxa"/>
            <w:tcBorders>
              <w:top w:val="nil"/>
              <w:left w:val="nil"/>
              <w:bottom w:val="nil"/>
              <w:right w:val="nil"/>
            </w:tcBorders>
            <w:shd w:val="clear" w:color="auto" w:fill="auto"/>
            <w:noWrap/>
            <w:vAlign w:val="center"/>
            <w:hideMark/>
          </w:tcPr>
          <w:p w14:paraId="5135E2B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11.88</w:t>
            </w:r>
          </w:p>
        </w:tc>
        <w:tc>
          <w:tcPr>
            <w:tcW w:w="966" w:type="dxa"/>
            <w:tcBorders>
              <w:top w:val="nil"/>
              <w:left w:val="nil"/>
              <w:bottom w:val="nil"/>
              <w:right w:val="nil"/>
            </w:tcBorders>
            <w:shd w:val="clear" w:color="auto" w:fill="auto"/>
            <w:noWrap/>
            <w:vAlign w:val="center"/>
            <w:hideMark/>
          </w:tcPr>
          <w:p w14:paraId="1B47B72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8.19</w:t>
            </w:r>
          </w:p>
        </w:tc>
        <w:tc>
          <w:tcPr>
            <w:tcW w:w="967" w:type="dxa"/>
            <w:tcBorders>
              <w:top w:val="nil"/>
              <w:left w:val="nil"/>
              <w:bottom w:val="nil"/>
              <w:right w:val="nil"/>
            </w:tcBorders>
            <w:shd w:val="clear" w:color="auto" w:fill="auto"/>
            <w:noWrap/>
            <w:vAlign w:val="center"/>
            <w:hideMark/>
          </w:tcPr>
          <w:p w14:paraId="294A859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12.30</w:t>
            </w:r>
          </w:p>
        </w:tc>
      </w:tr>
      <w:tr w:rsidR="00556CCF" w:rsidRPr="00284C07" w14:paraId="14073AAB" w14:textId="77777777" w:rsidTr="00284C07">
        <w:trPr>
          <w:trHeight w:val="553"/>
        </w:trPr>
        <w:tc>
          <w:tcPr>
            <w:tcW w:w="1934" w:type="dxa"/>
            <w:tcBorders>
              <w:top w:val="nil"/>
              <w:left w:val="nil"/>
              <w:bottom w:val="nil"/>
              <w:right w:val="nil"/>
            </w:tcBorders>
            <w:shd w:val="clear" w:color="auto" w:fill="auto"/>
            <w:vAlign w:val="center"/>
            <w:hideMark/>
          </w:tcPr>
          <w:p w14:paraId="4BE74835"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Semesters Enrolled in 3 Years</w:t>
            </w:r>
          </w:p>
        </w:tc>
        <w:tc>
          <w:tcPr>
            <w:tcW w:w="735" w:type="dxa"/>
            <w:tcBorders>
              <w:top w:val="nil"/>
              <w:left w:val="nil"/>
              <w:bottom w:val="nil"/>
              <w:right w:val="nil"/>
            </w:tcBorders>
            <w:shd w:val="clear" w:color="auto" w:fill="auto"/>
            <w:noWrap/>
            <w:vAlign w:val="center"/>
            <w:hideMark/>
          </w:tcPr>
          <w:p w14:paraId="02C9FC5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4.38</w:t>
            </w:r>
          </w:p>
        </w:tc>
        <w:tc>
          <w:tcPr>
            <w:tcW w:w="734" w:type="dxa"/>
            <w:tcBorders>
              <w:top w:val="nil"/>
              <w:left w:val="nil"/>
              <w:bottom w:val="nil"/>
              <w:right w:val="nil"/>
            </w:tcBorders>
            <w:shd w:val="clear" w:color="auto" w:fill="auto"/>
            <w:noWrap/>
            <w:vAlign w:val="center"/>
            <w:hideMark/>
          </w:tcPr>
          <w:p w14:paraId="19E1417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5.12</w:t>
            </w:r>
          </w:p>
        </w:tc>
        <w:tc>
          <w:tcPr>
            <w:tcW w:w="851" w:type="dxa"/>
            <w:tcBorders>
              <w:top w:val="nil"/>
              <w:left w:val="nil"/>
              <w:bottom w:val="nil"/>
              <w:right w:val="nil"/>
            </w:tcBorders>
            <w:shd w:val="clear" w:color="auto" w:fill="auto"/>
            <w:noWrap/>
            <w:vAlign w:val="center"/>
            <w:hideMark/>
          </w:tcPr>
          <w:p w14:paraId="719A034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5.10</w:t>
            </w:r>
          </w:p>
        </w:tc>
        <w:tc>
          <w:tcPr>
            <w:tcW w:w="734" w:type="dxa"/>
            <w:tcBorders>
              <w:top w:val="nil"/>
              <w:left w:val="nil"/>
              <w:bottom w:val="nil"/>
              <w:right w:val="nil"/>
            </w:tcBorders>
            <w:shd w:val="clear" w:color="auto" w:fill="auto"/>
            <w:noWrap/>
            <w:vAlign w:val="center"/>
            <w:hideMark/>
          </w:tcPr>
          <w:p w14:paraId="3C7C5B0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4.29</w:t>
            </w:r>
          </w:p>
        </w:tc>
        <w:tc>
          <w:tcPr>
            <w:tcW w:w="851" w:type="dxa"/>
            <w:tcBorders>
              <w:top w:val="nil"/>
              <w:left w:val="nil"/>
              <w:bottom w:val="nil"/>
              <w:right w:val="nil"/>
            </w:tcBorders>
            <w:shd w:val="clear" w:color="auto" w:fill="auto"/>
            <w:noWrap/>
            <w:vAlign w:val="center"/>
            <w:hideMark/>
          </w:tcPr>
          <w:p w14:paraId="09BC602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4.23</w:t>
            </w:r>
          </w:p>
        </w:tc>
        <w:tc>
          <w:tcPr>
            <w:tcW w:w="912" w:type="dxa"/>
            <w:tcBorders>
              <w:top w:val="nil"/>
              <w:left w:val="nil"/>
              <w:bottom w:val="nil"/>
              <w:right w:val="nil"/>
            </w:tcBorders>
            <w:shd w:val="clear" w:color="auto" w:fill="auto"/>
            <w:noWrap/>
            <w:vAlign w:val="center"/>
            <w:hideMark/>
          </w:tcPr>
          <w:p w14:paraId="1AC083E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3.37</w:t>
            </w:r>
          </w:p>
        </w:tc>
        <w:tc>
          <w:tcPr>
            <w:tcW w:w="966" w:type="dxa"/>
            <w:tcBorders>
              <w:top w:val="nil"/>
              <w:left w:val="nil"/>
              <w:bottom w:val="nil"/>
              <w:right w:val="nil"/>
            </w:tcBorders>
            <w:shd w:val="clear" w:color="auto" w:fill="auto"/>
            <w:noWrap/>
            <w:vAlign w:val="center"/>
            <w:hideMark/>
          </w:tcPr>
          <w:p w14:paraId="66909A9E"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2.92</w:t>
            </w:r>
          </w:p>
        </w:tc>
        <w:tc>
          <w:tcPr>
            <w:tcW w:w="967" w:type="dxa"/>
            <w:tcBorders>
              <w:top w:val="nil"/>
              <w:left w:val="nil"/>
              <w:bottom w:val="nil"/>
              <w:right w:val="nil"/>
            </w:tcBorders>
            <w:shd w:val="clear" w:color="auto" w:fill="auto"/>
            <w:noWrap/>
            <w:vAlign w:val="center"/>
            <w:hideMark/>
          </w:tcPr>
          <w:p w14:paraId="5488829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3.42</w:t>
            </w:r>
          </w:p>
        </w:tc>
      </w:tr>
      <w:tr w:rsidR="00556CCF" w:rsidRPr="00284C07" w14:paraId="44FA68AD" w14:textId="77777777" w:rsidTr="00284C07">
        <w:trPr>
          <w:trHeight w:val="66"/>
        </w:trPr>
        <w:tc>
          <w:tcPr>
            <w:tcW w:w="1934" w:type="dxa"/>
            <w:tcBorders>
              <w:top w:val="nil"/>
              <w:left w:val="nil"/>
              <w:bottom w:val="nil"/>
              <w:right w:val="nil"/>
            </w:tcBorders>
            <w:shd w:val="clear" w:color="auto" w:fill="auto"/>
            <w:vAlign w:val="center"/>
            <w:hideMark/>
          </w:tcPr>
          <w:p w14:paraId="74627B19"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Graduate with Credential</w:t>
            </w:r>
          </w:p>
        </w:tc>
        <w:tc>
          <w:tcPr>
            <w:tcW w:w="735" w:type="dxa"/>
            <w:tcBorders>
              <w:top w:val="nil"/>
              <w:left w:val="nil"/>
              <w:bottom w:val="nil"/>
              <w:right w:val="nil"/>
            </w:tcBorders>
            <w:shd w:val="clear" w:color="auto" w:fill="auto"/>
            <w:noWrap/>
            <w:vAlign w:val="center"/>
            <w:hideMark/>
          </w:tcPr>
          <w:p w14:paraId="01196B2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0.17</w:t>
            </w:r>
          </w:p>
        </w:tc>
        <w:tc>
          <w:tcPr>
            <w:tcW w:w="734" w:type="dxa"/>
            <w:tcBorders>
              <w:top w:val="nil"/>
              <w:left w:val="nil"/>
              <w:bottom w:val="nil"/>
              <w:right w:val="nil"/>
            </w:tcBorders>
            <w:shd w:val="clear" w:color="auto" w:fill="auto"/>
            <w:noWrap/>
            <w:vAlign w:val="center"/>
            <w:hideMark/>
          </w:tcPr>
          <w:p w14:paraId="472FFDB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851" w:type="dxa"/>
            <w:tcBorders>
              <w:top w:val="nil"/>
              <w:left w:val="nil"/>
              <w:bottom w:val="nil"/>
              <w:right w:val="nil"/>
            </w:tcBorders>
            <w:shd w:val="clear" w:color="auto" w:fill="auto"/>
            <w:noWrap/>
            <w:vAlign w:val="center"/>
            <w:hideMark/>
          </w:tcPr>
          <w:p w14:paraId="172489A8"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0.08</w:t>
            </w:r>
          </w:p>
        </w:tc>
        <w:tc>
          <w:tcPr>
            <w:tcW w:w="734" w:type="dxa"/>
            <w:tcBorders>
              <w:top w:val="nil"/>
              <w:left w:val="nil"/>
              <w:bottom w:val="nil"/>
              <w:right w:val="nil"/>
            </w:tcBorders>
            <w:shd w:val="clear" w:color="auto" w:fill="auto"/>
            <w:noWrap/>
            <w:vAlign w:val="center"/>
            <w:hideMark/>
          </w:tcPr>
          <w:p w14:paraId="6FC1B7D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0.05</w:t>
            </w:r>
          </w:p>
        </w:tc>
        <w:tc>
          <w:tcPr>
            <w:tcW w:w="851" w:type="dxa"/>
            <w:tcBorders>
              <w:top w:val="nil"/>
              <w:left w:val="nil"/>
              <w:bottom w:val="nil"/>
              <w:right w:val="nil"/>
            </w:tcBorders>
            <w:shd w:val="clear" w:color="auto" w:fill="auto"/>
            <w:noWrap/>
            <w:vAlign w:val="center"/>
            <w:hideMark/>
          </w:tcPr>
          <w:p w14:paraId="75B77E3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0.05</w:t>
            </w:r>
          </w:p>
        </w:tc>
        <w:tc>
          <w:tcPr>
            <w:tcW w:w="912" w:type="dxa"/>
            <w:tcBorders>
              <w:top w:val="nil"/>
              <w:left w:val="nil"/>
              <w:bottom w:val="nil"/>
              <w:right w:val="nil"/>
            </w:tcBorders>
            <w:shd w:val="clear" w:color="auto" w:fill="auto"/>
            <w:noWrap/>
            <w:vAlign w:val="center"/>
            <w:hideMark/>
          </w:tcPr>
          <w:p w14:paraId="1B71D13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966" w:type="dxa"/>
            <w:tcBorders>
              <w:top w:val="nil"/>
              <w:left w:val="nil"/>
              <w:bottom w:val="nil"/>
              <w:right w:val="nil"/>
            </w:tcBorders>
            <w:shd w:val="clear" w:color="auto" w:fill="auto"/>
            <w:noWrap/>
            <w:vAlign w:val="center"/>
            <w:hideMark/>
          </w:tcPr>
          <w:p w14:paraId="7874A8C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0.03</w:t>
            </w:r>
          </w:p>
        </w:tc>
        <w:tc>
          <w:tcPr>
            <w:tcW w:w="967" w:type="dxa"/>
            <w:tcBorders>
              <w:top w:val="nil"/>
              <w:left w:val="nil"/>
              <w:bottom w:val="nil"/>
              <w:right w:val="nil"/>
            </w:tcBorders>
            <w:shd w:val="clear" w:color="auto" w:fill="auto"/>
            <w:noWrap/>
            <w:vAlign w:val="center"/>
            <w:hideMark/>
          </w:tcPr>
          <w:p w14:paraId="2E7B22F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r>
      <w:tr w:rsidR="00556CCF" w:rsidRPr="00284C07" w14:paraId="6470AFA2" w14:textId="77777777" w:rsidTr="00284C07">
        <w:trPr>
          <w:trHeight w:val="553"/>
        </w:trPr>
        <w:tc>
          <w:tcPr>
            <w:tcW w:w="1934" w:type="dxa"/>
            <w:tcBorders>
              <w:top w:val="nil"/>
              <w:left w:val="nil"/>
              <w:bottom w:val="nil"/>
              <w:right w:val="nil"/>
            </w:tcBorders>
            <w:shd w:val="clear" w:color="auto" w:fill="auto"/>
            <w:vAlign w:val="center"/>
            <w:hideMark/>
          </w:tcPr>
          <w:p w14:paraId="558E9F18"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Earn 63 Credits in 3 Years</w:t>
            </w:r>
          </w:p>
        </w:tc>
        <w:tc>
          <w:tcPr>
            <w:tcW w:w="735" w:type="dxa"/>
            <w:tcBorders>
              <w:top w:val="nil"/>
              <w:left w:val="nil"/>
              <w:bottom w:val="nil"/>
              <w:right w:val="nil"/>
            </w:tcBorders>
            <w:shd w:val="clear" w:color="auto" w:fill="auto"/>
            <w:noWrap/>
            <w:vAlign w:val="center"/>
            <w:hideMark/>
          </w:tcPr>
          <w:p w14:paraId="5B7A4B4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734" w:type="dxa"/>
            <w:tcBorders>
              <w:top w:val="nil"/>
              <w:left w:val="nil"/>
              <w:bottom w:val="nil"/>
              <w:right w:val="nil"/>
            </w:tcBorders>
            <w:shd w:val="clear" w:color="auto" w:fill="auto"/>
            <w:noWrap/>
            <w:vAlign w:val="center"/>
            <w:hideMark/>
          </w:tcPr>
          <w:p w14:paraId="7DA71B1D"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0.23</w:t>
            </w:r>
          </w:p>
        </w:tc>
        <w:tc>
          <w:tcPr>
            <w:tcW w:w="851" w:type="dxa"/>
            <w:tcBorders>
              <w:top w:val="nil"/>
              <w:left w:val="nil"/>
              <w:bottom w:val="nil"/>
              <w:right w:val="nil"/>
            </w:tcBorders>
            <w:shd w:val="clear" w:color="auto" w:fill="auto"/>
            <w:noWrap/>
            <w:vAlign w:val="center"/>
            <w:hideMark/>
          </w:tcPr>
          <w:p w14:paraId="0EC8217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0.19</w:t>
            </w:r>
          </w:p>
        </w:tc>
        <w:tc>
          <w:tcPr>
            <w:tcW w:w="734" w:type="dxa"/>
            <w:tcBorders>
              <w:top w:val="nil"/>
              <w:left w:val="nil"/>
              <w:bottom w:val="nil"/>
              <w:right w:val="nil"/>
            </w:tcBorders>
            <w:shd w:val="clear" w:color="auto" w:fill="auto"/>
            <w:noWrap/>
            <w:vAlign w:val="center"/>
            <w:hideMark/>
          </w:tcPr>
          <w:p w14:paraId="2EB7DA4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0.10</w:t>
            </w:r>
          </w:p>
        </w:tc>
        <w:tc>
          <w:tcPr>
            <w:tcW w:w="851" w:type="dxa"/>
            <w:tcBorders>
              <w:top w:val="nil"/>
              <w:left w:val="nil"/>
              <w:bottom w:val="nil"/>
              <w:right w:val="nil"/>
            </w:tcBorders>
            <w:shd w:val="clear" w:color="auto" w:fill="auto"/>
            <w:noWrap/>
            <w:vAlign w:val="center"/>
            <w:hideMark/>
          </w:tcPr>
          <w:p w14:paraId="5E3D6A5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0.11</w:t>
            </w:r>
          </w:p>
        </w:tc>
        <w:tc>
          <w:tcPr>
            <w:tcW w:w="912" w:type="dxa"/>
            <w:tcBorders>
              <w:top w:val="nil"/>
              <w:left w:val="nil"/>
              <w:bottom w:val="nil"/>
              <w:right w:val="nil"/>
            </w:tcBorders>
            <w:shd w:val="clear" w:color="auto" w:fill="auto"/>
            <w:noWrap/>
            <w:vAlign w:val="center"/>
            <w:hideMark/>
          </w:tcPr>
          <w:p w14:paraId="7524C32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c>
          <w:tcPr>
            <w:tcW w:w="966" w:type="dxa"/>
            <w:tcBorders>
              <w:top w:val="nil"/>
              <w:left w:val="nil"/>
              <w:bottom w:val="nil"/>
              <w:right w:val="nil"/>
            </w:tcBorders>
            <w:shd w:val="clear" w:color="auto" w:fill="auto"/>
            <w:noWrap/>
            <w:vAlign w:val="center"/>
            <w:hideMark/>
          </w:tcPr>
          <w:p w14:paraId="1E5F703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c>
          <w:tcPr>
            <w:tcW w:w="967" w:type="dxa"/>
            <w:tcBorders>
              <w:top w:val="nil"/>
              <w:left w:val="nil"/>
              <w:bottom w:val="nil"/>
              <w:right w:val="nil"/>
            </w:tcBorders>
            <w:shd w:val="clear" w:color="auto" w:fill="auto"/>
            <w:noWrap/>
            <w:vAlign w:val="center"/>
            <w:hideMark/>
          </w:tcPr>
          <w:p w14:paraId="4E606E3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r>
      <w:tr w:rsidR="00556CCF" w:rsidRPr="00284C07" w14:paraId="3A259B6B" w14:textId="77777777" w:rsidTr="00284C07">
        <w:trPr>
          <w:trHeight w:val="553"/>
        </w:trPr>
        <w:tc>
          <w:tcPr>
            <w:tcW w:w="1934" w:type="dxa"/>
            <w:tcBorders>
              <w:top w:val="nil"/>
              <w:left w:val="nil"/>
              <w:bottom w:val="nil"/>
              <w:right w:val="nil"/>
            </w:tcBorders>
            <w:shd w:val="clear" w:color="auto" w:fill="auto"/>
            <w:vAlign w:val="center"/>
            <w:hideMark/>
          </w:tcPr>
          <w:p w14:paraId="520EC586"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Transfer to Four-Year College</w:t>
            </w:r>
          </w:p>
        </w:tc>
        <w:tc>
          <w:tcPr>
            <w:tcW w:w="735" w:type="dxa"/>
            <w:tcBorders>
              <w:top w:val="nil"/>
              <w:left w:val="nil"/>
              <w:bottom w:val="nil"/>
              <w:right w:val="nil"/>
            </w:tcBorders>
            <w:shd w:val="clear" w:color="auto" w:fill="auto"/>
            <w:noWrap/>
            <w:vAlign w:val="center"/>
            <w:hideMark/>
          </w:tcPr>
          <w:p w14:paraId="1BBC803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0.36</w:t>
            </w:r>
          </w:p>
        </w:tc>
        <w:tc>
          <w:tcPr>
            <w:tcW w:w="734" w:type="dxa"/>
            <w:tcBorders>
              <w:top w:val="nil"/>
              <w:left w:val="nil"/>
              <w:bottom w:val="nil"/>
              <w:right w:val="nil"/>
            </w:tcBorders>
            <w:shd w:val="clear" w:color="auto" w:fill="auto"/>
            <w:noWrap/>
            <w:vAlign w:val="center"/>
            <w:hideMark/>
          </w:tcPr>
          <w:p w14:paraId="298EC1D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0.49</w:t>
            </w:r>
          </w:p>
        </w:tc>
        <w:tc>
          <w:tcPr>
            <w:tcW w:w="851" w:type="dxa"/>
            <w:tcBorders>
              <w:top w:val="nil"/>
              <w:left w:val="nil"/>
              <w:bottom w:val="nil"/>
              <w:right w:val="nil"/>
            </w:tcBorders>
            <w:shd w:val="clear" w:color="auto" w:fill="auto"/>
            <w:noWrap/>
            <w:vAlign w:val="center"/>
            <w:hideMark/>
          </w:tcPr>
          <w:p w14:paraId="64AE965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0.44</w:t>
            </w:r>
          </w:p>
        </w:tc>
        <w:tc>
          <w:tcPr>
            <w:tcW w:w="734" w:type="dxa"/>
            <w:tcBorders>
              <w:top w:val="nil"/>
              <w:left w:val="nil"/>
              <w:bottom w:val="nil"/>
              <w:right w:val="nil"/>
            </w:tcBorders>
            <w:shd w:val="clear" w:color="auto" w:fill="auto"/>
            <w:noWrap/>
            <w:vAlign w:val="center"/>
            <w:hideMark/>
          </w:tcPr>
          <w:p w14:paraId="18C9730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0.34</w:t>
            </w:r>
          </w:p>
        </w:tc>
        <w:tc>
          <w:tcPr>
            <w:tcW w:w="851" w:type="dxa"/>
            <w:tcBorders>
              <w:top w:val="nil"/>
              <w:left w:val="nil"/>
              <w:bottom w:val="nil"/>
              <w:right w:val="nil"/>
            </w:tcBorders>
            <w:shd w:val="clear" w:color="auto" w:fill="auto"/>
            <w:noWrap/>
            <w:vAlign w:val="center"/>
            <w:hideMark/>
          </w:tcPr>
          <w:p w14:paraId="034E7F9B"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0.36</w:t>
            </w:r>
          </w:p>
        </w:tc>
        <w:tc>
          <w:tcPr>
            <w:tcW w:w="912" w:type="dxa"/>
            <w:tcBorders>
              <w:top w:val="nil"/>
              <w:left w:val="nil"/>
              <w:bottom w:val="nil"/>
              <w:right w:val="nil"/>
            </w:tcBorders>
            <w:shd w:val="clear" w:color="auto" w:fill="auto"/>
            <w:noWrap/>
            <w:vAlign w:val="center"/>
            <w:hideMark/>
          </w:tcPr>
          <w:p w14:paraId="7582094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0.22</w:t>
            </w:r>
          </w:p>
        </w:tc>
        <w:tc>
          <w:tcPr>
            <w:tcW w:w="966" w:type="dxa"/>
            <w:tcBorders>
              <w:top w:val="nil"/>
              <w:left w:val="nil"/>
              <w:bottom w:val="nil"/>
              <w:right w:val="nil"/>
            </w:tcBorders>
            <w:shd w:val="clear" w:color="auto" w:fill="auto"/>
            <w:noWrap/>
            <w:vAlign w:val="center"/>
            <w:hideMark/>
          </w:tcPr>
          <w:p w14:paraId="18AB4DA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0.16</w:t>
            </w:r>
          </w:p>
        </w:tc>
        <w:tc>
          <w:tcPr>
            <w:tcW w:w="967" w:type="dxa"/>
            <w:tcBorders>
              <w:top w:val="nil"/>
              <w:left w:val="nil"/>
              <w:bottom w:val="nil"/>
              <w:right w:val="nil"/>
            </w:tcBorders>
            <w:shd w:val="clear" w:color="auto" w:fill="auto"/>
            <w:noWrap/>
            <w:vAlign w:val="center"/>
            <w:hideMark/>
          </w:tcPr>
          <w:p w14:paraId="7ECDD9B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0.22</w:t>
            </w:r>
          </w:p>
        </w:tc>
      </w:tr>
      <w:tr w:rsidR="00556CCF" w:rsidRPr="00284C07" w14:paraId="5C21AF5A" w14:textId="77777777" w:rsidTr="00284C07">
        <w:trPr>
          <w:trHeight w:val="288"/>
        </w:trPr>
        <w:tc>
          <w:tcPr>
            <w:tcW w:w="1934" w:type="dxa"/>
            <w:tcBorders>
              <w:top w:val="nil"/>
              <w:left w:val="nil"/>
              <w:bottom w:val="nil"/>
              <w:right w:val="nil"/>
            </w:tcBorders>
            <w:shd w:val="clear" w:color="auto" w:fill="auto"/>
            <w:vAlign w:val="center"/>
            <w:hideMark/>
          </w:tcPr>
          <w:p w14:paraId="4FC82738"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 xml:space="preserve">Bachelor’s Degree </w:t>
            </w:r>
          </w:p>
        </w:tc>
        <w:tc>
          <w:tcPr>
            <w:tcW w:w="735" w:type="dxa"/>
            <w:tcBorders>
              <w:top w:val="nil"/>
              <w:left w:val="nil"/>
              <w:bottom w:val="nil"/>
              <w:right w:val="nil"/>
            </w:tcBorders>
            <w:shd w:val="clear" w:color="auto" w:fill="auto"/>
            <w:noWrap/>
            <w:vAlign w:val="center"/>
            <w:hideMark/>
          </w:tcPr>
          <w:p w14:paraId="4C9576E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0.12</w:t>
            </w:r>
          </w:p>
        </w:tc>
        <w:tc>
          <w:tcPr>
            <w:tcW w:w="734" w:type="dxa"/>
            <w:tcBorders>
              <w:top w:val="nil"/>
              <w:left w:val="nil"/>
              <w:bottom w:val="nil"/>
              <w:right w:val="nil"/>
            </w:tcBorders>
            <w:shd w:val="clear" w:color="auto" w:fill="auto"/>
            <w:noWrap/>
            <w:vAlign w:val="center"/>
            <w:hideMark/>
          </w:tcPr>
          <w:p w14:paraId="1CFF0A1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0.21</w:t>
            </w:r>
          </w:p>
        </w:tc>
        <w:tc>
          <w:tcPr>
            <w:tcW w:w="851" w:type="dxa"/>
            <w:tcBorders>
              <w:top w:val="nil"/>
              <w:left w:val="nil"/>
              <w:bottom w:val="nil"/>
              <w:right w:val="nil"/>
            </w:tcBorders>
            <w:shd w:val="clear" w:color="auto" w:fill="auto"/>
            <w:noWrap/>
            <w:vAlign w:val="center"/>
            <w:hideMark/>
          </w:tcPr>
          <w:p w14:paraId="7F3287C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0.22</w:t>
            </w:r>
          </w:p>
        </w:tc>
        <w:tc>
          <w:tcPr>
            <w:tcW w:w="734" w:type="dxa"/>
            <w:tcBorders>
              <w:top w:val="nil"/>
              <w:left w:val="nil"/>
              <w:bottom w:val="nil"/>
              <w:right w:val="nil"/>
            </w:tcBorders>
            <w:shd w:val="clear" w:color="auto" w:fill="auto"/>
            <w:noWrap/>
            <w:vAlign w:val="center"/>
            <w:hideMark/>
          </w:tcPr>
          <w:p w14:paraId="508F56A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0.10</w:t>
            </w:r>
          </w:p>
        </w:tc>
        <w:tc>
          <w:tcPr>
            <w:tcW w:w="851" w:type="dxa"/>
            <w:tcBorders>
              <w:top w:val="nil"/>
              <w:left w:val="nil"/>
              <w:bottom w:val="nil"/>
              <w:right w:val="nil"/>
            </w:tcBorders>
            <w:shd w:val="clear" w:color="auto" w:fill="auto"/>
            <w:noWrap/>
            <w:vAlign w:val="center"/>
            <w:hideMark/>
          </w:tcPr>
          <w:p w14:paraId="25FB0BA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0.12</w:t>
            </w:r>
          </w:p>
        </w:tc>
        <w:tc>
          <w:tcPr>
            <w:tcW w:w="912" w:type="dxa"/>
            <w:tcBorders>
              <w:top w:val="nil"/>
              <w:left w:val="nil"/>
              <w:bottom w:val="nil"/>
              <w:right w:val="nil"/>
            </w:tcBorders>
            <w:shd w:val="clear" w:color="auto" w:fill="auto"/>
            <w:noWrap/>
            <w:vAlign w:val="center"/>
            <w:hideMark/>
          </w:tcPr>
          <w:p w14:paraId="2AFB8D44"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0.03</w:t>
            </w:r>
          </w:p>
        </w:tc>
        <w:tc>
          <w:tcPr>
            <w:tcW w:w="966" w:type="dxa"/>
            <w:tcBorders>
              <w:top w:val="nil"/>
              <w:left w:val="nil"/>
              <w:bottom w:val="nil"/>
              <w:right w:val="nil"/>
            </w:tcBorders>
            <w:shd w:val="clear" w:color="auto" w:fill="auto"/>
            <w:noWrap/>
            <w:vAlign w:val="center"/>
            <w:hideMark/>
          </w:tcPr>
          <w:p w14:paraId="0F6743F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c>
          <w:tcPr>
            <w:tcW w:w="967" w:type="dxa"/>
            <w:tcBorders>
              <w:top w:val="nil"/>
              <w:left w:val="nil"/>
              <w:bottom w:val="nil"/>
              <w:right w:val="nil"/>
            </w:tcBorders>
            <w:shd w:val="clear" w:color="auto" w:fill="auto"/>
            <w:noWrap/>
            <w:vAlign w:val="center"/>
            <w:hideMark/>
          </w:tcPr>
          <w:p w14:paraId="07A83C6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0.04</w:t>
            </w:r>
          </w:p>
        </w:tc>
      </w:tr>
      <w:tr w:rsidR="00556CCF" w:rsidRPr="00284C07" w14:paraId="0D32D08F" w14:textId="77777777" w:rsidTr="00284C07">
        <w:trPr>
          <w:trHeight w:val="565"/>
        </w:trPr>
        <w:tc>
          <w:tcPr>
            <w:tcW w:w="1934" w:type="dxa"/>
            <w:tcBorders>
              <w:top w:val="nil"/>
              <w:left w:val="nil"/>
              <w:bottom w:val="nil"/>
              <w:right w:val="nil"/>
            </w:tcBorders>
            <w:shd w:val="clear" w:color="auto" w:fill="auto"/>
            <w:vAlign w:val="center"/>
            <w:hideMark/>
          </w:tcPr>
          <w:p w14:paraId="13510689" w14:textId="77777777" w:rsidR="00556CCF" w:rsidRPr="00284C07" w:rsidRDefault="00556CCF" w:rsidP="00556CCF">
            <w:pPr>
              <w:spacing w:after="0" w:line="240" w:lineRule="auto"/>
              <w:ind w:left="144"/>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Bachelor’s Degree in 5 Years</w:t>
            </w:r>
            <w:r w:rsidRPr="00284C07">
              <w:rPr>
                <w:rFonts w:ascii="Calibri" w:eastAsia="Times New Roman" w:hAnsi="Calibri" w:cs="Calibri"/>
                <w:color w:val="000000"/>
                <w:sz w:val="18"/>
                <w:szCs w:val="20"/>
              </w:rPr>
              <w:t> </w:t>
            </w:r>
          </w:p>
        </w:tc>
        <w:tc>
          <w:tcPr>
            <w:tcW w:w="735" w:type="dxa"/>
            <w:tcBorders>
              <w:top w:val="nil"/>
              <w:left w:val="nil"/>
              <w:bottom w:val="nil"/>
              <w:right w:val="nil"/>
            </w:tcBorders>
            <w:shd w:val="clear" w:color="auto" w:fill="auto"/>
            <w:noWrap/>
            <w:vAlign w:val="center"/>
            <w:hideMark/>
          </w:tcPr>
          <w:p w14:paraId="26746C6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734" w:type="dxa"/>
            <w:tcBorders>
              <w:top w:val="nil"/>
              <w:left w:val="nil"/>
              <w:bottom w:val="nil"/>
              <w:right w:val="nil"/>
            </w:tcBorders>
            <w:shd w:val="clear" w:color="auto" w:fill="auto"/>
            <w:noWrap/>
            <w:vAlign w:val="center"/>
            <w:hideMark/>
          </w:tcPr>
          <w:p w14:paraId="5B6F2220"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851" w:type="dxa"/>
            <w:tcBorders>
              <w:top w:val="nil"/>
              <w:left w:val="nil"/>
              <w:bottom w:val="nil"/>
              <w:right w:val="nil"/>
            </w:tcBorders>
            <w:shd w:val="clear" w:color="auto" w:fill="auto"/>
            <w:noWrap/>
            <w:vAlign w:val="center"/>
            <w:hideMark/>
          </w:tcPr>
          <w:p w14:paraId="517D11B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0.09</w:t>
            </w:r>
          </w:p>
        </w:tc>
        <w:tc>
          <w:tcPr>
            <w:tcW w:w="734" w:type="dxa"/>
            <w:tcBorders>
              <w:top w:val="nil"/>
              <w:left w:val="nil"/>
              <w:bottom w:val="nil"/>
              <w:right w:val="nil"/>
            </w:tcBorders>
            <w:shd w:val="clear" w:color="auto" w:fill="auto"/>
            <w:noWrap/>
            <w:vAlign w:val="center"/>
            <w:hideMark/>
          </w:tcPr>
          <w:p w14:paraId="461EAA59"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0.06</w:t>
            </w:r>
          </w:p>
        </w:tc>
        <w:tc>
          <w:tcPr>
            <w:tcW w:w="851" w:type="dxa"/>
            <w:tcBorders>
              <w:top w:val="nil"/>
              <w:left w:val="nil"/>
              <w:bottom w:val="nil"/>
              <w:right w:val="nil"/>
            </w:tcBorders>
            <w:shd w:val="clear" w:color="auto" w:fill="auto"/>
            <w:noWrap/>
            <w:vAlign w:val="center"/>
            <w:hideMark/>
          </w:tcPr>
          <w:p w14:paraId="2179E9A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0.07</w:t>
            </w:r>
          </w:p>
        </w:tc>
        <w:tc>
          <w:tcPr>
            <w:tcW w:w="912" w:type="dxa"/>
            <w:tcBorders>
              <w:top w:val="nil"/>
              <w:left w:val="nil"/>
              <w:bottom w:val="nil"/>
              <w:right w:val="nil"/>
            </w:tcBorders>
            <w:shd w:val="clear" w:color="auto" w:fill="auto"/>
            <w:noWrap/>
            <w:vAlign w:val="center"/>
            <w:hideMark/>
          </w:tcPr>
          <w:p w14:paraId="5D04A26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0.02</w:t>
            </w:r>
          </w:p>
        </w:tc>
        <w:tc>
          <w:tcPr>
            <w:tcW w:w="966" w:type="dxa"/>
            <w:tcBorders>
              <w:top w:val="nil"/>
              <w:left w:val="nil"/>
              <w:bottom w:val="nil"/>
              <w:right w:val="nil"/>
            </w:tcBorders>
            <w:shd w:val="clear" w:color="auto" w:fill="auto"/>
            <w:noWrap/>
            <w:vAlign w:val="center"/>
            <w:hideMark/>
          </w:tcPr>
          <w:p w14:paraId="15D705E3"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0.01</w:t>
            </w:r>
          </w:p>
        </w:tc>
        <w:tc>
          <w:tcPr>
            <w:tcW w:w="967" w:type="dxa"/>
            <w:tcBorders>
              <w:top w:val="nil"/>
              <w:left w:val="nil"/>
              <w:bottom w:val="nil"/>
              <w:right w:val="nil"/>
            </w:tcBorders>
            <w:shd w:val="clear" w:color="auto" w:fill="auto"/>
            <w:noWrap/>
            <w:vAlign w:val="center"/>
            <w:hideMark/>
          </w:tcPr>
          <w:p w14:paraId="75099F57"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0.02</w:t>
            </w:r>
          </w:p>
        </w:tc>
      </w:tr>
      <w:tr w:rsidR="00556CCF" w:rsidRPr="00284C07" w14:paraId="5EACF785" w14:textId="77777777" w:rsidTr="00284C07">
        <w:trPr>
          <w:trHeight w:val="300"/>
        </w:trPr>
        <w:tc>
          <w:tcPr>
            <w:tcW w:w="1934" w:type="dxa"/>
            <w:tcBorders>
              <w:top w:val="nil"/>
              <w:left w:val="nil"/>
              <w:bottom w:val="single" w:sz="8" w:space="0" w:color="auto"/>
              <w:right w:val="nil"/>
            </w:tcBorders>
            <w:shd w:val="clear" w:color="auto" w:fill="auto"/>
            <w:noWrap/>
            <w:vAlign w:val="center"/>
            <w:hideMark/>
          </w:tcPr>
          <w:p w14:paraId="7177AC7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N</w:t>
            </w:r>
          </w:p>
        </w:tc>
        <w:tc>
          <w:tcPr>
            <w:tcW w:w="735" w:type="dxa"/>
            <w:tcBorders>
              <w:top w:val="nil"/>
              <w:left w:val="nil"/>
              <w:bottom w:val="single" w:sz="8" w:space="0" w:color="auto"/>
              <w:right w:val="nil"/>
            </w:tcBorders>
            <w:shd w:val="clear" w:color="auto" w:fill="auto"/>
            <w:noWrap/>
            <w:vAlign w:val="center"/>
            <w:hideMark/>
          </w:tcPr>
          <w:p w14:paraId="1720BCCF"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35,458</w:t>
            </w:r>
          </w:p>
        </w:tc>
        <w:tc>
          <w:tcPr>
            <w:tcW w:w="734" w:type="dxa"/>
            <w:tcBorders>
              <w:top w:val="nil"/>
              <w:left w:val="nil"/>
              <w:bottom w:val="single" w:sz="8" w:space="0" w:color="auto"/>
              <w:right w:val="nil"/>
            </w:tcBorders>
            <w:shd w:val="clear" w:color="auto" w:fill="auto"/>
            <w:noWrap/>
            <w:vAlign w:val="center"/>
            <w:hideMark/>
          </w:tcPr>
          <w:p w14:paraId="5DF807A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3,968</w:t>
            </w:r>
          </w:p>
        </w:tc>
        <w:tc>
          <w:tcPr>
            <w:tcW w:w="851" w:type="dxa"/>
            <w:tcBorders>
              <w:top w:val="nil"/>
              <w:left w:val="nil"/>
              <w:bottom w:val="single" w:sz="8" w:space="0" w:color="auto"/>
              <w:right w:val="nil"/>
            </w:tcBorders>
            <w:shd w:val="clear" w:color="auto" w:fill="auto"/>
            <w:noWrap/>
            <w:vAlign w:val="center"/>
            <w:hideMark/>
          </w:tcPr>
          <w:p w14:paraId="0F4B2D5A"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1,113</w:t>
            </w:r>
          </w:p>
        </w:tc>
        <w:tc>
          <w:tcPr>
            <w:tcW w:w="734" w:type="dxa"/>
            <w:tcBorders>
              <w:top w:val="nil"/>
              <w:left w:val="nil"/>
              <w:bottom w:val="single" w:sz="8" w:space="0" w:color="auto"/>
              <w:right w:val="nil"/>
            </w:tcBorders>
            <w:shd w:val="clear" w:color="auto" w:fill="auto"/>
            <w:noWrap/>
            <w:vAlign w:val="center"/>
            <w:hideMark/>
          </w:tcPr>
          <w:p w14:paraId="52177D55"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18,087</w:t>
            </w:r>
          </w:p>
        </w:tc>
        <w:tc>
          <w:tcPr>
            <w:tcW w:w="851" w:type="dxa"/>
            <w:tcBorders>
              <w:top w:val="nil"/>
              <w:left w:val="nil"/>
              <w:bottom w:val="single" w:sz="8" w:space="0" w:color="auto"/>
              <w:right w:val="nil"/>
            </w:tcBorders>
            <w:shd w:val="clear" w:color="auto" w:fill="auto"/>
            <w:noWrap/>
            <w:vAlign w:val="center"/>
            <w:hideMark/>
          </w:tcPr>
          <w:p w14:paraId="6A300316"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12,284</w:t>
            </w:r>
          </w:p>
        </w:tc>
        <w:tc>
          <w:tcPr>
            <w:tcW w:w="912" w:type="dxa"/>
            <w:tcBorders>
              <w:top w:val="nil"/>
              <w:left w:val="nil"/>
              <w:bottom w:val="single" w:sz="8" w:space="0" w:color="auto"/>
              <w:right w:val="nil"/>
            </w:tcBorders>
            <w:shd w:val="clear" w:color="auto" w:fill="auto"/>
            <w:noWrap/>
            <w:vAlign w:val="center"/>
            <w:hideMark/>
          </w:tcPr>
          <w:p w14:paraId="4EF361B2"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5,214</w:t>
            </w:r>
          </w:p>
        </w:tc>
        <w:tc>
          <w:tcPr>
            <w:tcW w:w="966" w:type="dxa"/>
            <w:tcBorders>
              <w:top w:val="nil"/>
              <w:left w:val="nil"/>
              <w:bottom w:val="single" w:sz="8" w:space="0" w:color="auto"/>
              <w:right w:val="nil"/>
            </w:tcBorders>
            <w:shd w:val="clear" w:color="auto" w:fill="auto"/>
            <w:noWrap/>
            <w:vAlign w:val="center"/>
            <w:hideMark/>
          </w:tcPr>
          <w:p w14:paraId="69F7C96C"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533</w:t>
            </w:r>
          </w:p>
        </w:tc>
        <w:tc>
          <w:tcPr>
            <w:tcW w:w="967" w:type="dxa"/>
            <w:tcBorders>
              <w:top w:val="nil"/>
              <w:left w:val="nil"/>
              <w:bottom w:val="single" w:sz="8" w:space="0" w:color="auto"/>
              <w:right w:val="nil"/>
            </w:tcBorders>
            <w:shd w:val="clear" w:color="auto" w:fill="auto"/>
            <w:noWrap/>
            <w:vAlign w:val="center"/>
            <w:hideMark/>
          </w:tcPr>
          <w:p w14:paraId="61F71351" w14:textId="77777777" w:rsidR="00556CCF" w:rsidRPr="00284C07" w:rsidRDefault="00556CCF" w:rsidP="00556CCF">
            <w:pPr>
              <w:spacing w:after="0" w:line="240" w:lineRule="auto"/>
              <w:jc w:val="center"/>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4,681</w:t>
            </w:r>
          </w:p>
        </w:tc>
      </w:tr>
      <w:tr w:rsidR="00556CCF" w:rsidRPr="00284C07" w14:paraId="2786482B" w14:textId="77777777" w:rsidTr="00284C07">
        <w:trPr>
          <w:trHeight w:val="589"/>
        </w:trPr>
        <w:tc>
          <w:tcPr>
            <w:tcW w:w="8688" w:type="dxa"/>
            <w:gridSpan w:val="9"/>
            <w:tcBorders>
              <w:top w:val="single" w:sz="8" w:space="0" w:color="auto"/>
              <w:left w:val="nil"/>
              <w:bottom w:val="nil"/>
              <w:right w:val="nil"/>
            </w:tcBorders>
            <w:shd w:val="clear" w:color="auto" w:fill="auto"/>
            <w:vAlign w:val="center"/>
            <w:hideMark/>
          </w:tcPr>
          <w:p w14:paraId="2CA09524" w14:textId="77777777" w:rsidR="00556CCF" w:rsidRPr="00284C07" w:rsidRDefault="00556CCF" w:rsidP="00556CCF">
            <w:pPr>
              <w:spacing w:after="0" w:line="240" w:lineRule="auto"/>
              <w:rPr>
                <w:rFonts w:ascii="Times New Roman" w:eastAsia="Times New Roman" w:hAnsi="Times New Roman" w:cs="Times New Roman"/>
                <w:color w:val="000000"/>
                <w:sz w:val="18"/>
                <w:szCs w:val="20"/>
              </w:rPr>
            </w:pPr>
            <w:r w:rsidRPr="00284C07">
              <w:rPr>
                <w:rFonts w:ascii="Times New Roman" w:eastAsia="Times New Roman" w:hAnsi="Times New Roman" w:cs="Times New Roman"/>
                <w:color w:val="000000"/>
                <w:sz w:val="18"/>
                <w:szCs w:val="20"/>
              </w:rPr>
              <w:t xml:space="preserve">Note: The N size is based on the unique number of students attending TCC. For students who drop out, cumulative GPA and credits earned are imputed as the cumulative GPA or credits earned when last enrolled. </w:t>
            </w:r>
          </w:p>
        </w:tc>
      </w:tr>
    </w:tbl>
    <w:p w14:paraId="328CAD80" w14:textId="77777777" w:rsidR="00556CCF" w:rsidRPr="00556CCF" w:rsidRDefault="00556CCF" w:rsidP="00556CCF">
      <w:pPr>
        <w:spacing w:line="480" w:lineRule="auto"/>
        <w:rPr>
          <w:rFonts w:ascii="Times New Roman" w:hAnsi="Times New Roman" w:cs="Times New Roman"/>
          <w:sz w:val="24"/>
          <w:szCs w:val="24"/>
        </w:rPr>
      </w:pPr>
    </w:p>
    <w:p w14:paraId="0B4FA01F" w14:textId="311C35FC" w:rsidR="00063F17" w:rsidRDefault="00063F17" w:rsidP="00556CCF">
      <w:pPr>
        <w:spacing w:line="480" w:lineRule="auto"/>
        <w:rPr>
          <w:rFonts w:ascii="Times New Roman" w:hAnsi="Times New Roman" w:cs="Times New Roman"/>
          <w:sz w:val="24"/>
          <w:szCs w:val="24"/>
        </w:rPr>
      </w:pPr>
      <w:r w:rsidRPr="00E633D8">
        <w:rPr>
          <w:rFonts w:ascii="Times New Roman" w:hAnsi="Times New Roman" w:cs="Times New Roman"/>
          <w:sz w:val="24"/>
          <w:szCs w:val="24"/>
        </w:rPr>
        <w:lastRenderedPageBreak/>
        <w:tab/>
        <w:t xml:space="preserve">The dataset is summarized in Table </w:t>
      </w:r>
      <w:r w:rsidR="00C120AE">
        <w:rPr>
          <w:rFonts w:ascii="Times New Roman" w:hAnsi="Times New Roman" w:cs="Times New Roman"/>
          <w:sz w:val="24"/>
          <w:szCs w:val="24"/>
        </w:rPr>
        <w:t>5-5</w:t>
      </w:r>
      <w:r w:rsidRPr="00E633D8">
        <w:rPr>
          <w:rFonts w:ascii="Times New Roman" w:hAnsi="Times New Roman" w:cs="Times New Roman"/>
          <w:sz w:val="24"/>
          <w:szCs w:val="24"/>
        </w:rPr>
        <w:t xml:space="preserve"> for all cohorts in the data in Column 1, for the pre and post cohorts in Columns 2-5 and for the analytic sample for the RD analysis in Columns 6-9. Columns 2 and 4 present the descriptive statistics for students who were Tulsa County residents upon high school graduation and earned a high school GPA greater than or equal to the 2.0 threshold in the pre and post time periods.</w:t>
      </w:r>
      <w:r w:rsidRPr="00E3535F">
        <w:rPr>
          <w:rStyle w:val="FootnoteReference"/>
        </w:rPr>
        <w:footnoteReference w:id="28"/>
      </w:r>
      <w:r w:rsidRPr="00E633D8">
        <w:rPr>
          <w:rFonts w:ascii="Times New Roman" w:hAnsi="Times New Roman" w:cs="Times New Roman"/>
          <w:sz w:val="24"/>
          <w:szCs w:val="24"/>
        </w:rPr>
        <w:t xml:space="preserve"> Columns 3 and 5 reflect the comparison group of students who were ineligible for Tulsa Achieves as a result of either not being a Tulsa County resident or earning below a 2.0 high school GPA. Together, these columns demonstrate that TCC experiences significant demographic change after the implementation of Tulsa Achieves. First, there are significantly higher proportions of students of color attending TCC in the post-implementation years. Second, the high school GPA of students attending TCC is higher in post-implementation years and the proportion of students receiving the Pell grant declines. This suggests that some higher achieving students are deciding to attend TCC and also that students from families with higher family incomes are choosing to attend TCC in the post-implementation years. I provide a visual depiction of these changes over time in Figure </w:t>
      </w:r>
      <w:r w:rsidR="00247BF5">
        <w:rPr>
          <w:rFonts w:ascii="Times New Roman" w:hAnsi="Times New Roman" w:cs="Times New Roman"/>
          <w:sz w:val="24"/>
          <w:szCs w:val="24"/>
        </w:rPr>
        <w:t>5-7</w:t>
      </w:r>
      <w:r w:rsidRPr="00E633D8">
        <w:rPr>
          <w:rFonts w:ascii="Times New Roman" w:hAnsi="Times New Roman" w:cs="Times New Roman"/>
          <w:sz w:val="24"/>
          <w:szCs w:val="24"/>
        </w:rPr>
        <w:t xml:space="preserve">, which make it clear that the TCC student body was more racially diverse, younger and more affluent in the post Tulsa Achieves time period compared to the two cohorts before Tulsa Achieves was implemented. </w:t>
      </w:r>
    </w:p>
    <w:p w14:paraId="1634A29E" w14:textId="7C4F3207" w:rsidR="00556CCF" w:rsidRDefault="00556CCF" w:rsidP="00556CCF">
      <w:pPr>
        <w:spacing w:line="480" w:lineRule="auto"/>
        <w:rPr>
          <w:rFonts w:ascii="Times New Roman" w:hAnsi="Times New Roman" w:cs="Times New Roman"/>
          <w:sz w:val="24"/>
          <w:szCs w:val="24"/>
        </w:rPr>
      </w:pPr>
    </w:p>
    <w:p w14:paraId="2B2DC57E" w14:textId="1E108515" w:rsidR="00556CCF" w:rsidRPr="00BE3213" w:rsidRDefault="00556CCF" w:rsidP="00556CCF">
      <w:pPr>
        <w:rPr>
          <w:rFonts w:ascii="Times New Roman" w:eastAsia="Times New Roman" w:hAnsi="Times New Roman" w:cs="Times New Roman"/>
          <w:color w:val="000000"/>
          <w:sz w:val="24"/>
          <w:szCs w:val="24"/>
        </w:rPr>
      </w:pPr>
      <w:r w:rsidRPr="0011145C">
        <w:rPr>
          <w:rFonts w:ascii="Times New Roman" w:eastAsia="Times New Roman" w:hAnsi="Times New Roman" w:cs="Times New Roman"/>
          <w:b/>
          <w:noProof/>
          <w:color w:val="000000"/>
          <w:sz w:val="24"/>
          <w:szCs w:val="24"/>
        </w:rPr>
        <w:lastRenderedPageBreak/>
        <w:drawing>
          <wp:anchor distT="0" distB="0" distL="114300" distR="114300" simplePos="0" relativeHeight="251748352" behindDoc="1" locked="0" layoutInCell="1" allowOverlap="1" wp14:anchorId="2199DF8E" wp14:editId="27220F26">
            <wp:simplePos x="0" y="0"/>
            <wp:positionH relativeFrom="column">
              <wp:posOffset>3111500</wp:posOffset>
            </wp:positionH>
            <wp:positionV relativeFrom="paragraph">
              <wp:posOffset>259715</wp:posOffset>
            </wp:positionV>
            <wp:extent cx="3127248" cy="2286000"/>
            <wp:effectExtent l="0" t="0" r="0" b="0"/>
            <wp:wrapTight wrapText="bothSides">
              <wp:wrapPolygon edited="0">
                <wp:start x="0" y="0"/>
                <wp:lineTo x="0" y="21420"/>
                <wp:lineTo x="21451" y="21420"/>
                <wp:lineTo x="21451"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rFonts w:ascii="Palatino Linotype" w:hAnsi="Palatino Linotype"/>
          <w:b/>
          <w:noProof/>
          <w:sz w:val="20"/>
          <w:szCs w:val="20"/>
        </w:rPr>
        <w:drawing>
          <wp:anchor distT="0" distB="0" distL="114300" distR="114300" simplePos="0" relativeHeight="251746304" behindDoc="1" locked="0" layoutInCell="1" allowOverlap="1" wp14:anchorId="60ABDFFF" wp14:editId="3CBD2682">
            <wp:simplePos x="0" y="0"/>
            <wp:positionH relativeFrom="margin">
              <wp:align>left</wp:align>
            </wp:positionH>
            <wp:positionV relativeFrom="paragraph">
              <wp:posOffset>4808140</wp:posOffset>
            </wp:positionV>
            <wp:extent cx="3127248" cy="2286000"/>
            <wp:effectExtent l="0" t="0" r="0" b="0"/>
            <wp:wrapTight wrapText="bothSides">
              <wp:wrapPolygon edited="0">
                <wp:start x="0" y="0"/>
                <wp:lineTo x="0" y="21420"/>
                <wp:lineTo x="21451" y="21420"/>
                <wp:lineTo x="21451" y="0"/>
                <wp:lineTo x="0"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rFonts w:ascii="Palatino Linotype" w:hAnsi="Palatino Linotype"/>
          <w:b/>
          <w:noProof/>
          <w:sz w:val="20"/>
          <w:szCs w:val="20"/>
        </w:rPr>
        <w:drawing>
          <wp:anchor distT="0" distB="0" distL="114300" distR="114300" simplePos="0" relativeHeight="251750400" behindDoc="1" locked="0" layoutInCell="1" allowOverlap="1" wp14:anchorId="3F7B2025" wp14:editId="718CF9E3">
            <wp:simplePos x="0" y="0"/>
            <wp:positionH relativeFrom="column">
              <wp:posOffset>3185652</wp:posOffset>
            </wp:positionH>
            <wp:positionV relativeFrom="paragraph">
              <wp:posOffset>2411997</wp:posOffset>
            </wp:positionV>
            <wp:extent cx="3127248" cy="2286000"/>
            <wp:effectExtent l="0" t="0" r="0" b="0"/>
            <wp:wrapTight wrapText="bothSides">
              <wp:wrapPolygon edited="0">
                <wp:start x="0" y="0"/>
                <wp:lineTo x="0" y="21420"/>
                <wp:lineTo x="21451" y="21420"/>
                <wp:lineTo x="21451"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rFonts w:ascii="Palatino Linotype" w:hAnsi="Palatino Linotype"/>
          <w:b/>
          <w:noProof/>
          <w:sz w:val="20"/>
          <w:szCs w:val="20"/>
        </w:rPr>
        <w:drawing>
          <wp:anchor distT="0" distB="0" distL="114300" distR="114300" simplePos="0" relativeHeight="251749376" behindDoc="1" locked="0" layoutInCell="1" allowOverlap="1" wp14:anchorId="485B807C" wp14:editId="795CFB2C">
            <wp:simplePos x="0" y="0"/>
            <wp:positionH relativeFrom="margin">
              <wp:align>left</wp:align>
            </wp:positionH>
            <wp:positionV relativeFrom="paragraph">
              <wp:posOffset>2478364</wp:posOffset>
            </wp:positionV>
            <wp:extent cx="3127248" cy="2286000"/>
            <wp:effectExtent l="0" t="0" r="0" b="0"/>
            <wp:wrapTight wrapText="bothSides">
              <wp:wrapPolygon edited="0">
                <wp:start x="0" y="0"/>
                <wp:lineTo x="0" y="21420"/>
                <wp:lineTo x="21451" y="21420"/>
                <wp:lineTo x="21451"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rFonts w:ascii="Palatino Linotype" w:hAnsi="Palatino Linotype"/>
          <w:b/>
          <w:noProof/>
          <w:sz w:val="20"/>
          <w:szCs w:val="20"/>
        </w:rPr>
        <w:drawing>
          <wp:anchor distT="0" distB="0" distL="114300" distR="114300" simplePos="0" relativeHeight="251745280" behindDoc="1" locked="0" layoutInCell="1" allowOverlap="1" wp14:anchorId="7F1CB6EC" wp14:editId="0BA28A54">
            <wp:simplePos x="0" y="0"/>
            <wp:positionH relativeFrom="margin">
              <wp:align>left</wp:align>
            </wp:positionH>
            <wp:positionV relativeFrom="paragraph">
              <wp:posOffset>267622</wp:posOffset>
            </wp:positionV>
            <wp:extent cx="3127248" cy="2286000"/>
            <wp:effectExtent l="0" t="0" r="0" b="0"/>
            <wp:wrapTight wrapText="bothSides">
              <wp:wrapPolygon edited="0">
                <wp:start x="0" y="0"/>
                <wp:lineTo x="0" y="21420"/>
                <wp:lineTo x="21451" y="21420"/>
                <wp:lineTo x="21451"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rFonts w:ascii="Times New Roman" w:eastAsia="Times New Roman" w:hAnsi="Times New Roman" w:cs="Times New Roman"/>
          <w:b/>
          <w:color w:val="000000"/>
          <w:sz w:val="24"/>
          <w:szCs w:val="24"/>
        </w:rPr>
        <w:t xml:space="preserve">Figure </w:t>
      </w:r>
      <w:r w:rsidR="00C120AE">
        <w:rPr>
          <w:rFonts w:ascii="Times New Roman" w:eastAsia="Times New Roman" w:hAnsi="Times New Roman" w:cs="Times New Roman"/>
          <w:b/>
          <w:color w:val="000000"/>
          <w:sz w:val="24"/>
          <w:szCs w:val="24"/>
        </w:rPr>
        <w:t>5-7</w:t>
      </w:r>
      <w:r w:rsidRPr="0011145C">
        <w:rPr>
          <w:rFonts w:ascii="Times New Roman" w:eastAsia="Times New Roman" w:hAnsi="Times New Roman" w:cs="Times New Roman"/>
          <w:b/>
          <w:color w:val="000000"/>
          <w:sz w:val="24"/>
          <w:szCs w:val="24"/>
        </w:rPr>
        <w:t>.</w:t>
      </w:r>
      <w:r w:rsidRPr="00BE3213">
        <w:rPr>
          <w:rFonts w:ascii="Times New Roman" w:eastAsia="Times New Roman" w:hAnsi="Times New Roman" w:cs="Times New Roman"/>
          <w:color w:val="000000"/>
          <w:sz w:val="24"/>
          <w:szCs w:val="24"/>
        </w:rPr>
        <w:t xml:space="preserve"> Major Demographic Changes, by Cohort</w:t>
      </w:r>
      <w:r w:rsidRPr="00D76230">
        <w:rPr>
          <w:rFonts w:ascii="Times New Roman" w:eastAsia="Times New Roman" w:hAnsi="Times New Roman" w:cs="Times New Roman"/>
          <w:color w:val="000000"/>
          <w:sz w:val="24"/>
          <w:szCs w:val="24"/>
        </w:rPr>
        <w:t xml:space="preserve"> </w:t>
      </w:r>
    </w:p>
    <w:p w14:paraId="15FE33AA" w14:textId="77777777" w:rsidR="00556CCF" w:rsidRDefault="00556CCF" w:rsidP="00556CCF">
      <w:pPr>
        <w:spacing w:after="0" w:line="240" w:lineRule="auto"/>
        <w:rPr>
          <w:rFonts w:ascii="Palatino Linotype" w:hAnsi="Palatino Linotype"/>
          <w:sz w:val="20"/>
          <w:szCs w:val="20"/>
        </w:rPr>
      </w:pPr>
      <w:r w:rsidRPr="00BE3213">
        <w:rPr>
          <w:rFonts w:ascii="Palatino Linotype" w:hAnsi="Palatino Linotype"/>
          <w:noProof/>
          <w:sz w:val="20"/>
          <w:szCs w:val="20"/>
        </w:rPr>
        <w:drawing>
          <wp:anchor distT="0" distB="0" distL="114300" distR="114300" simplePos="0" relativeHeight="251747328" behindDoc="1" locked="0" layoutInCell="1" allowOverlap="1" wp14:anchorId="75A15F1A" wp14:editId="4ACA5730">
            <wp:simplePos x="0" y="0"/>
            <wp:positionH relativeFrom="margin">
              <wp:posOffset>3273568</wp:posOffset>
            </wp:positionH>
            <wp:positionV relativeFrom="paragraph">
              <wp:posOffset>4517882</wp:posOffset>
            </wp:positionV>
            <wp:extent cx="3127248" cy="2286000"/>
            <wp:effectExtent l="0" t="0" r="0" b="0"/>
            <wp:wrapTight wrapText="bothSides">
              <wp:wrapPolygon edited="0">
                <wp:start x="0" y="0"/>
                <wp:lineTo x="0" y="21420"/>
                <wp:lineTo x="21451" y="21420"/>
                <wp:lineTo x="21451" y="0"/>
                <wp:lineTo x="0" y="0"/>
              </wp:wrapPolygon>
            </wp:wrapTight>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127248"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668C">
        <w:rPr>
          <w:rFonts w:ascii="Palatino Linotype" w:hAnsi="Palatino Linotype"/>
          <w:sz w:val="20"/>
          <w:szCs w:val="20"/>
        </w:rPr>
        <w:t xml:space="preserve"> </w:t>
      </w:r>
    </w:p>
    <w:p w14:paraId="5410BFC6" w14:textId="77777777" w:rsidR="00556CCF" w:rsidRDefault="00556CCF" w:rsidP="00556CCF">
      <w:pPr>
        <w:rPr>
          <w:rFonts w:ascii="Palatino Linotype" w:hAnsi="Palatino Linotype"/>
          <w:sz w:val="20"/>
          <w:szCs w:val="20"/>
        </w:rPr>
      </w:pPr>
    </w:p>
    <w:p w14:paraId="053F4450" w14:textId="77777777" w:rsidR="00556CCF" w:rsidRPr="00E633D8" w:rsidRDefault="00556CCF" w:rsidP="00556CCF">
      <w:pPr>
        <w:spacing w:line="480" w:lineRule="auto"/>
        <w:rPr>
          <w:rFonts w:ascii="Times New Roman" w:hAnsi="Times New Roman" w:cs="Times New Roman"/>
          <w:sz w:val="24"/>
          <w:szCs w:val="24"/>
        </w:rPr>
      </w:pPr>
    </w:p>
    <w:p w14:paraId="08BE706D" w14:textId="0D439756"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lastRenderedPageBreak/>
        <w:tab/>
        <w:t xml:space="preserve">Moreover, Columns 6-9 in Table </w:t>
      </w:r>
      <w:r w:rsidR="00247BF5">
        <w:rPr>
          <w:rFonts w:ascii="Times New Roman" w:hAnsi="Times New Roman" w:cs="Times New Roman"/>
          <w:sz w:val="24"/>
          <w:szCs w:val="24"/>
        </w:rPr>
        <w:t>5-5</w:t>
      </w:r>
      <w:r w:rsidRPr="00E633D8">
        <w:rPr>
          <w:rFonts w:ascii="Times New Roman" w:hAnsi="Times New Roman" w:cs="Times New Roman"/>
          <w:sz w:val="24"/>
          <w:szCs w:val="24"/>
        </w:rPr>
        <w:t xml:space="preserve"> present the descriptive statistics for the sample included in the regression discontinuity analysis, which is composed of students along the high school GPA threshold in the 2007-2015 cohorts that are residents of Tulsa County and were born on or after 1988.</w:t>
      </w:r>
      <w:r w:rsidRPr="00E3535F">
        <w:rPr>
          <w:rStyle w:val="FootnoteReference"/>
        </w:rPr>
        <w:footnoteReference w:id="29"/>
      </w:r>
      <w:r w:rsidRPr="00E633D8">
        <w:rPr>
          <w:rFonts w:ascii="Times New Roman" w:hAnsi="Times New Roman" w:cs="Times New Roman"/>
          <w:sz w:val="24"/>
          <w:szCs w:val="24"/>
        </w:rPr>
        <w:t xml:space="preserve"> When compared to Column 1, the set of students reflected in Columns 6-9 are more racially diverse and have lower proportions of students making key achievement thresholds such as graduating from TCC, earning 63 credits in three years, transferring to four-year colleges, and obtaining a bachelor’s degree. These descriptive differences reveal that the analytical sample for students along the GPA threshold is substantially different from the overall sample, which is important to note before interpreting the findings from the analysis. In the section below, I present my analytical approach along with a series of robustness checks that verify the validity of the research design.</w:t>
      </w:r>
    </w:p>
    <w:p w14:paraId="0CEBAAB1"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Estimating the Effects of Tulsa Achieves</w:t>
      </w:r>
    </w:p>
    <w:p w14:paraId="47FFF868" w14:textId="77777777" w:rsidR="00063F17" w:rsidRPr="00E633D8" w:rsidRDefault="00063F17" w:rsidP="00063F17">
      <w:pPr>
        <w:spacing w:line="480" w:lineRule="auto"/>
        <w:ind w:firstLine="720"/>
        <w:rPr>
          <w:rFonts w:ascii="Times New Roman" w:eastAsia="Times New Roman" w:hAnsi="Times New Roman" w:cs="Times New Roman"/>
          <w:sz w:val="24"/>
          <w:szCs w:val="24"/>
        </w:rPr>
      </w:pPr>
      <w:r w:rsidRPr="00E633D8">
        <w:rPr>
          <w:rFonts w:ascii="Times New Roman" w:hAnsi="Times New Roman" w:cs="Times New Roman"/>
          <w:sz w:val="24"/>
          <w:szCs w:val="24"/>
        </w:rPr>
        <w:t xml:space="preserve"> To estimate the effect of receiving Tulsa Achieves on credit accumulation, retention, and graduation, I implement both a difference-in-difference and regression discontinuity approach. </w:t>
      </w:r>
      <w:bookmarkStart w:id="20" w:name="_Hlk5705322"/>
      <w:r w:rsidRPr="00E633D8">
        <w:rPr>
          <w:rFonts w:ascii="Times New Roman" w:hAnsi="Times New Roman" w:cs="Times New Roman"/>
          <w:sz w:val="24"/>
          <w:szCs w:val="24"/>
        </w:rPr>
        <w:t xml:space="preserve">This paired analytical approach proves the most beneficial for identifying the local average treatment effect and also being able to test whether the local average treatment effect reflects the overall treatment effect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{"citationID":"lPOjKUJw","properties":{"formattedCitation":"(Page et al., 2018; Scott-Clayton, 2011)","plainCitation":"(Page et al., 2018; Scott-Clayton, 2011)","noteIndex":0},"citationItems":[{"id":6303,"uris":["http://zotero.org/users/2595715/items/MLNCBUYP"],"uri":["http://zotero.org/users/2595715/items/MLNCBUYP"],"itemData":{"id":6303,"type":"article-journal","title":"The Promise of Place-Based Investment in Postsecondary Access and Success: Investigating the Impact of the Pittsburgh Promise","container-title":"Education Finance and Policy","page":"1-60","source":"MIT Press Journals","abstract":"Place-based promise scholarships are a relatively recent innovation in the space of college access and success. Although evidence on the impact of some of the earliest place-based scholarships has begun to emerge, the rapid proliferation of promise programs largely has preceded empirical evidence of their impact. We utilize regression discontinuity and difference-in-differences analyses to investigate the causal effect of the Pittsburgh Promise on students' immediate postsecondary attainment and early college persistence outcomes. Both analytic approaches yield similar conclusions. As a result of Promise eligibility, Pittsburgh Public School graduates are approximately 5 percentage points more likely to enroll in college, particularly four-year institutions; 10 percentage points more likely to select a Pennsylvania institution; and 4 to 7 percentage points more likely to enroll and persist into a second year of postsecondary education. Impacts vary with changes over time in the program structure and opportunities and are larger for those responsive to the Promise opportunity, as instrumental variable-adjusted results reveal. Although the Pittsburgh Promise represents a sizeable investment, conservative cost-benefit calculations indicate positive returns. Even so, an important question is whether locally funded programs such as the Pittsburgh Promise are economically sustainable in the long run.","DOI":"10.1162/edfp_a_00257","ISSN":"1557-3060","shortTitle":"The Promise of Place-Based Investment in Postsecondary Access and Success","journalAbbreviation":"Education Finance and Policy","author":[{"family":"Page","given":"Lindsay C."},{"family":"Iriti","given":"Jennifer E."},{"family":"Lowry","given":"Danielle J."},{"family":"Anthony","given":"Aaron M."}],"issued":{"date-parts":[["2018",1,18]]}}},{"id":7088,"uris":["http://zotero.org/users/2595715/items/F6QW6AQQ"],"uri":["http://zotero.org/users/2595715/items/F6QW6AQQ"],"itemData":{"id":7088,"type":"article-journal","title":"On Money and Motivation A Quasi-Experimental Analysis of Financial Incentives for College Achievement","container-title":"Journal of Human Resources","page":"614-646","volume":"46","issue":"3","source":"jhr.uwpress.org","abstract":"Programs linking college aid to academic achievement could work either by lowering the cost of college or by inducing additional student effort. I examine the PROMISE program in West Virginia, which offers free tuition to students who maintain a minimum GPA and course load. Using administrative data, I exploit discontinuities in the eligibility formula and the timing of implementation to estimate causal effects. I find robust and significant impacts on key academic outcomes. Impacts are concentrated around the annual requirements for scholarship renewal, suggesting that the program works via incentives for academic achievement, not simply by relaxing financial constraints.","DOI":"10.3368/jhr.46.3.614","ISSN":"0022-166X, 1548-8004","journalAbbreviation":"J. Human Resources","language":"en","author":[{"family":"Scott-Clayton","given":"Judith"}],"issued":{"date-parts":[["2011",7,1]]}}}],"schema":"https://github.com/citation-style-language/schema/raw/master/csl-citation.json"}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(Page et al., 2018; Scott-Clayton, 2011)</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w:t>
      </w:r>
      <w:bookmarkEnd w:id="20"/>
      <w:r w:rsidRPr="00E633D8">
        <w:rPr>
          <w:rFonts w:ascii="Times New Roman" w:hAnsi="Times New Roman" w:cs="Times New Roman"/>
          <w:sz w:val="24"/>
          <w:szCs w:val="24"/>
        </w:rPr>
        <w:t xml:space="preserve">While each individual approach has weaknesses, together they present complementary evidence that works to strengthen the analysis. For instance, the difference-in-differences strategy is beneficial in that it leverages discontinuous timing of program implementation to provide an estimate of the average treatment effect across all recipients. However, the credibility of this approach relies on the differences </w:t>
      </w:r>
      <w:r w:rsidRPr="00E633D8">
        <w:rPr>
          <w:rFonts w:ascii="Times New Roman" w:hAnsi="Times New Roman" w:cs="Times New Roman"/>
          <w:sz w:val="24"/>
          <w:szCs w:val="24"/>
        </w:rPr>
        <w:lastRenderedPageBreak/>
        <w:t xml:space="preserve">being attributable to the program instead of pre-existing trends or simultaneously occurring institutional policies or socioeconomic conditions. The regression discontinuity approach complements the DD strategy in that it </w:t>
      </w:r>
      <w:r w:rsidRPr="00E633D8">
        <w:rPr>
          <w:rFonts w:ascii="Times New Roman" w:eastAsia="Times New Roman" w:hAnsi="Times New Roman" w:cs="Times New Roman"/>
          <w:sz w:val="24"/>
          <w:szCs w:val="24"/>
        </w:rPr>
        <w:t xml:space="preserve">links the observed impacts to an arbitrary program rule, effectively ruling out other explanations for findings. </w:t>
      </w:r>
      <w:r w:rsidRPr="00E633D8">
        <w:rPr>
          <w:rFonts w:ascii="Times New Roman" w:hAnsi="Times New Roman" w:cs="Times New Roman"/>
          <w:sz w:val="24"/>
          <w:szCs w:val="24"/>
        </w:rPr>
        <w:t xml:space="preserve">In the regression discontinuity analysis, I leverage the design of the eligibility requirements—particularly the high school GPA threshold—to exploit plausibly exogenous variation near the eligibility threshold in a regression discontinuity approach. As specified above, in order to be eligible to receive Tulsa Achieves students must have at least a 2.0 high school GPA or face disqualification from the scholarship program. This policy rule allows for the estimation of causal effects in a regression discontinuity analysis, in which I </w:t>
      </w:r>
      <w:r w:rsidRPr="00E633D8">
        <w:rPr>
          <w:rFonts w:ascii="Times New Roman" w:eastAsia="Times New Roman" w:hAnsi="Times New Roman" w:cs="Times New Roman"/>
          <w:sz w:val="24"/>
          <w:szCs w:val="24"/>
        </w:rPr>
        <w:t xml:space="preserve">identify the effect of being just above rather than just below the high school GPA threshold for Tulsa Achieves eligibility. </w:t>
      </w:r>
      <w:r w:rsidRPr="00E633D8">
        <w:rPr>
          <w:rFonts w:ascii="Times New Roman" w:hAnsi="Times New Roman" w:cs="Times New Roman"/>
          <w:sz w:val="24"/>
          <w:szCs w:val="24"/>
        </w:rPr>
        <w:t xml:space="preserve">However, the RD approach </w:t>
      </w:r>
      <w:r w:rsidRPr="00E633D8">
        <w:rPr>
          <w:rFonts w:ascii="Times New Roman" w:eastAsia="Times New Roman" w:hAnsi="Times New Roman" w:cs="Times New Roman"/>
          <w:sz w:val="24"/>
          <w:szCs w:val="24"/>
        </w:rPr>
        <w:t>only estimates the effect of the program for students near the eligibility threshold, which is only approximately 14.7 percent of students, and students near the threshold may exhibit substantially different responses to the program than other students.</w:t>
      </w:r>
    </w:p>
    <w:p w14:paraId="41E978C9" w14:textId="77777777" w:rsidR="00063F17" w:rsidRPr="00E633D8" w:rsidRDefault="00063F17" w:rsidP="00063F17">
      <w:pPr>
        <w:spacing w:line="480" w:lineRule="auto"/>
        <w:ind w:firstLine="720"/>
        <w:rPr>
          <w:rFonts w:ascii="Times New Roman" w:eastAsia="Times New Roman" w:hAnsi="Times New Roman" w:cs="Times New Roman"/>
          <w:sz w:val="24"/>
          <w:szCs w:val="24"/>
        </w:rPr>
      </w:pPr>
      <w:r w:rsidRPr="00E633D8">
        <w:rPr>
          <w:rFonts w:ascii="Times New Roman" w:eastAsia="Times New Roman" w:hAnsi="Times New Roman" w:cs="Times New Roman"/>
          <w:sz w:val="24"/>
          <w:szCs w:val="24"/>
        </w:rPr>
        <w:t xml:space="preserve">The major threat to validity in both approaches is the potential for selection bias. This bias could come from multiple potential sources: first, students who would not have attended college may have been induced to do so because of the Tulsa Achieves program (likely negatively biasing the analyses), second, students who would have chosen to attend a college other than TCC could have chosen to enroll in TCC instead due to the financial stability (potentially inducing an upward bias), third, students who would have failed to meet the eligibility requirements could have worked harder to do so (likely negatively biasing the DD analysis). </w:t>
      </w:r>
    </w:p>
    <w:p w14:paraId="34CB8A0B" w14:textId="77777777" w:rsidR="00063F17" w:rsidRPr="00E633D8" w:rsidRDefault="00063F17" w:rsidP="00063F17">
      <w:pPr>
        <w:spacing w:line="480" w:lineRule="auto"/>
        <w:ind w:firstLine="720"/>
        <w:rPr>
          <w:rFonts w:ascii="Times New Roman" w:eastAsia="Times New Roman" w:hAnsi="Times New Roman" w:cs="Times New Roman"/>
          <w:sz w:val="24"/>
          <w:szCs w:val="24"/>
        </w:rPr>
      </w:pPr>
      <w:r w:rsidRPr="00E633D8">
        <w:rPr>
          <w:rFonts w:ascii="Times New Roman" w:eastAsia="Times New Roman" w:hAnsi="Times New Roman" w:cs="Times New Roman"/>
          <w:sz w:val="24"/>
          <w:szCs w:val="24"/>
        </w:rPr>
        <w:lastRenderedPageBreak/>
        <w:t>In the regression discontinuity approach, this would be in the form of differential selection around the cutoff, especially given that students know about the GPA threshold.</w:t>
      </w:r>
      <w:r w:rsidRPr="00E633D8">
        <w:rPr>
          <w:rFonts w:ascii="Times New Roman" w:hAnsi="Times New Roman" w:cs="Times New Roman"/>
          <w:sz w:val="24"/>
          <w:szCs w:val="24"/>
        </w:rPr>
        <w:t xml:space="preserve"> In order to be valid, the regression discontinuity approach assumes that students just above the threshold are a suitable comparison group in terms of both observable and unobservable characteristics to the students just below the GPA threshold. On the other hand, the difference-in-differences analysis requires evidence of parallel trends in the treatment and control groups in pre-treatment time periods to ensure differences are attributable to the implementation of the program and not from pre-existing trends in the outcomes of interest. Below I present evidence in support of the internal validity of the regression discontinuity approach and the difference-in-differences analysis, which together provide causal estimates of the local and average treatment effect of Tulsa Achieves on student outcomes. </w:t>
      </w:r>
    </w:p>
    <w:p w14:paraId="7F7B855C" w14:textId="77777777" w:rsidR="00063F17" w:rsidRPr="00E633D8" w:rsidRDefault="00063F17" w:rsidP="00063F17">
      <w:pPr>
        <w:spacing w:line="480" w:lineRule="auto"/>
        <w:rPr>
          <w:rFonts w:ascii="Times New Roman" w:hAnsi="Times New Roman" w:cs="Times New Roman"/>
          <w:i/>
          <w:sz w:val="24"/>
          <w:szCs w:val="24"/>
        </w:rPr>
      </w:pPr>
      <w:r w:rsidRPr="00E633D8">
        <w:rPr>
          <w:rFonts w:ascii="Times New Roman" w:hAnsi="Times New Roman" w:cs="Times New Roman"/>
          <w:i/>
          <w:sz w:val="24"/>
          <w:szCs w:val="24"/>
        </w:rPr>
        <w:t>Identification Assumptions for Regression Discontinuity Analysis</w:t>
      </w:r>
    </w:p>
    <w:p w14:paraId="40B8118F" w14:textId="56BE23EF" w:rsidR="00063F17" w:rsidRPr="00E633D8" w:rsidRDefault="00063F17" w:rsidP="00063F17">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First, for the regression discontinuity design to reveal causal estimates, the assignment rule determining eligibility at the threshold must be followed with a high degree of fidelity. Below, I present the plot establishing the difference in the proportion of students receiving Tulsa Achieves for students scoring above and below the high school GPA threshold for the analytic sample of Tulsa County residents born on after 1988 in the 2007-2015 cohorts. Figure </w:t>
      </w:r>
      <w:r w:rsidR="00556CCF">
        <w:rPr>
          <w:rFonts w:ascii="Times New Roman" w:hAnsi="Times New Roman" w:cs="Times New Roman"/>
          <w:sz w:val="24"/>
          <w:szCs w:val="24"/>
        </w:rPr>
        <w:t>3</w:t>
      </w:r>
      <w:r w:rsidRPr="00E633D8">
        <w:rPr>
          <w:rFonts w:ascii="Times New Roman" w:hAnsi="Times New Roman" w:cs="Times New Roman"/>
          <w:sz w:val="24"/>
          <w:szCs w:val="24"/>
        </w:rPr>
        <w:t xml:space="preserve"> presents the mean proportion of students receiving Tulsa Achieves across the distribution of the centered high school GPA running variable. This figure reveals a significant jump in the proportion of students receiving Tulsa Achieves at the threshold—while around 75 percent of students above the high school GPA threshold received Tulsa Achieves, only an average of 1.6 percent of students below the threshold received the scholarship. This jump, once subject to formal statistical testing, reflects a large and significant discontinuity at the threshold. However, Figure </w:t>
      </w:r>
      <w:r w:rsidR="00247BF5">
        <w:rPr>
          <w:rFonts w:ascii="Times New Roman" w:hAnsi="Times New Roman" w:cs="Times New Roman"/>
          <w:sz w:val="24"/>
          <w:szCs w:val="24"/>
        </w:rPr>
        <w:lastRenderedPageBreak/>
        <w:t>5-8</w:t>
      </w:r>
      <w:r w:rsidRPr="00E633D8">
        <w:rPr>
          <w:rFonts w:ascii="Times New Roman" w:hAnsi="Times New Roman" w:cs="Times New Roman"/>
          <w:sz w:val="24"/>
          <w:szCs w:val="24"/>
        </w:rPr>
        <w:t xml:space="preserve"> reveals that the discontinuity at the threshold is probabilistic instead of deterministic—that is, there is imperfect compliance with the high school GPA rule. As a result, I utilize a fuzzy regression discontinuity approach instead of a sharp regression discontinuity design. </w:t>
      </w:r>
    </w:p>
    <w:p w14:paraId="08BB253B" w14:textId="77777777" w:rsidR="00556CCF" w:rsidRPr="007A0B03" w:rsidRDefault="00556CCF" w:rsidP="00556CCF">
      <w:pPr>
        <w:rPr>
          <w:rFonts w:ascii="Cambria" w:hAnsi="Cambria"/>
        </w:rPr>
      </w:pPr>
      <w:r w:rsidRPr="006C24D5">
        <w:rPr>
          <w:rFonts w:ascii="Cambria" w:hAnsi="Cambria"/>
          <w:noProof/>
        </w:rPr>
        <w:drawing>
          <wp:inline distT="0" distB="0" distL="0" distR="0" wp14:anchorId="43614699" wp14:editId="05DE214F">
            <wp:extent cx="5052060" cy="370867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54057" cy="3710137"/>
                    </a:xfrm>
                    <a:prstGeom prst="rect">
                      <a:avLst/>
                    </a:prstGeom>
                    <a:noFill/>
                    <a:ln>
                      <a:noFill/>
                    </a:ln>
                  </pic:spPr>
                </pic:pic>
              </a:graphicData>
            </a:graphic>
          </wp:inline>
        </w:drawing>
      </w:r>
    </w:p>
    <w:p w14:paraId="0E8FF2C6" w14:textId="24C0DC7E" w:rsidR="00556CCF" w:rsidRPr="00247BF5" w:rsidRDefault="00556CCF" w:rsidP="00556CCF">
      <w:pPr>
        <w:rPr>
          <w:rFonts w:ascii="Times New Roman" w:hAnsi="Times New Roman" w:cs="Times New Roman"/>
          <w:sz w:val="24"/>
          <w:szCs w:val="24"/>
        </w:rPr>
      </w:pPr>
      <w:r w:rsidRPr="00247BF5">
        <w:rPr>
          <w:rFonts w:ascii="Times New Roman" w:hAnsi="Times New Roman" w:cs="Times New Roman"/>
          <w:b/>
          <w:sz w:val="24"/>
          <w:szCs w:val="24"/>
        </w:rPr>
        <w:t xml:space="preserve">Figure </w:t>
      </w:r>
      <w:r w:rsidR="00247BF5" w:rsidRPr="00247BF5">
        <w:rPr>
          <w:rFonts w:ascii="Times New Roman" w:hAnsi="Times New Roman" w:cs="Times New Roman"/>
          <w:b/>
          <w:sz w:val="24"/>
          <w:szCs w:val="24"/>
        </w:rPr>
        <w:t>5-8</w:t>
      </w:r>
      <w:r w:rsidRPr="00247BF5">
        <w:rPr>
          <w:rFonts w:ascii="Times New Roman" w:hAnsi="Times New Roman" w:cs="Times New Roman"/>
          <w:b/>
          <w:sz w:val="24"/>
          <w:szCs w:val="24"/>
        </w:rPr>
        <w:t>.</w:t>
      </w:r>
      <w:r w:rsidRPr="00247BF5">
        <w:rPr>
          <w:rFonts w:ascii="Times New Roman" w:hAnsi="Times New Roman" w:cs="Times New Roman"/>
          <w:sz w:val="24"/>
          <w:szCs w:val="24"/>
        </w:rPr>
        <w:t xml:space="preserve"> Proportion of Students Receiving Tulsa Achieves, by Distance from high school GPA threshold</w:t>
      </w:r>
      <w:r w:rsidRPr="00E3535F">
        <w:rPr>
          <w:rStyle w:val="FootnoteReference"/>
        </w:rPr>
        <w:footnoteReference w:id="30"/>
      </w:r>
    </w:p>
    <w:p w14:paraId="70274778" w14:textId="341E52AB" w:rsidR="00063F17" w:rsidRPr="00E633D8" w:rsidRDefault="00063F17" w:rsidP="00556CCF">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The large discontinuity at the threshold, while necessary for a regression discontinuity design, presents a potential threat to validity if students can systematically manipulate their high school GPAs and, as a result, whether they scored above or below the threshold for Tulsa Achieves eligibility. To examine this possibility visually, I present Figure </w:t>
      </w:r>
      <w:r w:rsidR="00247BF5">
        <w:rPr>
          <w:rFonts w:ascii="Times New Roman" w:hAnsi="Times New Roman" w:cs="Times New Roman"/>
          <w:sz w:val="24"/>
          <w:szCs w:val="24"/>
        </w:rPr>
        <w:t>5-9</w:t>
      </w:r>
      <w:r w:rsidRPr="00E633D8">
        <w:rPr>
          <w:rFonts w:ascii="Times New Roman" w:hAnsi="Times New Roman" w:cs="Times New Roman"/>
          <w:sz w:val="24"/>
          <w:szCs w:val="24"/>
        </w:rPr>
        <w:t xml:space="preserve">, in which I plot the density of students around the high school GPA threshold to assess whether there is a disproportionate number of cases stacked on either side of the threshold, which would indicate </w:t>
      </w:r>
      <w:r w:rsidRPr="00E633D8">
        <w:rPr>
          <w:rFonts w:ascii="Times New Roman" w:hAnsi="Times New Roman" w:cs="Times New Roman"/>
          <w:sz w:val="24"/>
          <w:szCs w:val="24"/>
        </w:rPr>
        <w:lastRenderedPageBreak/>
        <w:t xml:space="preserve">potential manipulation. Figure </w:t>
      </w:r>
      <w:r w:rsidR="00247BF5">
        <w:rPr>
          <w:rFonts w:ascii="Times New Roman" w:hAnsi="Times New Roman" w:cs="Times New Roman"/>
          <w:sz w:val="24"/>
          <w:szCs w:val="24"/>
        </w:rPr>
        <w:t>5-9</w:t>
      </w:r>
      <w:r w:rsidRPr="00E633D8">
        <w:rPr>
          <w:rFonts w:ascii="Times New Roman" w:hAnsi="Times New Roman" w:cs="Times New Roman"/>
          <w:sz w:val="24"/>
          <w:szCs w:val="24"/>
        </w:rPr>
        <w:t xml:space="preserve"> shows no indication of such disproportionate stacking, providing preliminary evidence against the probability of manipulation at the threshold. Moreover, Figure </w:t>
      </w:r>
      <w:r w:rsidR="00247BF5">
        <w:rPr>
          <w:rFonts w:ascii="Times New Roman" w:hAnsi="Times New Roman" w:cs="Times New Roman"/>
          <w:sz w:val="24"/>
          <w:szCs w:val="24"/>
        </w:rPr>
        <w:t>5-9</w:t>
      </w:r>
      <w:r w:rsidRPr="00E633D8">
        <w:rPr>
          <w:rFonts w:ascii="Times New Roman" w:hAnsi="Times New Roman" w:cs="Times New Roman"/>
          <w:sz w:val="24"/>
          <w:szCs w:val="24"/>
        </w:rPr>
        <w:t xml:space="preserve"> demonstrates that there is sufficient density around the cutoff for estimation of treatment effects.</w:t>
      </w:r>
    </w:p>
    <w:p w14:paraId="2516AE7E" w14:textId="77777777" w:rsidR="00556CCF" w:rsidRDefault="00556CCF" w:rsidP="00556CCF">
      <w:pPr>
        <w:rPr>
          <w:rFonts w:ascii="Cambria" w:hAnsi="Cambria"/>
        </w:rPr>
      </w:pPr>
      <w:r>
        <w:rPr>
          <w:noProof/>
        </w:rPr>
        <w:drawing>
          <wp:inline distT="0" distB="0" distL="0" distR="0" wp14:anchorId="567076B8" wp14:editId="338765A8">
            <wp:extent cx="5943600" cy="4323715"/>
            <wp:effectExtent l="0" t="0" r="0" b="63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4323715"/>
                    </a:xfrm>
                    <a:prstGeom prst="rect">
                      <a:avLst/>
                    </a:prstGeom>
                    <a:noFill/>
                    <a:ln>
                      <a:noFill/>
                    </a:ln>
                  </pic:spPr>
                </pic:pic>
              </a:graphicData>
            </a:graphic>
          </wp:inline>
        </w:drawing>
      </w:r>
    </w:p>
    <w:p w14:paraId="7230D536" w14:textId="71A05FA9" w:rsidR="00556CCF" w:rsidRDefault="00556CCF" w:rsidP="00556CCF">
      <w:pPr>
        <w:rPr>
          <w:rFonts w:ascii="Cambria" w:hAnsi="Cambria"/>
        </w:rPr>
      </w:pPr>
      <w:r w:rsidRPr="00A07206">
        <w:rPr>
          <w:rFonts w:ascii="Cambria" w:hAnsi="Cambria"/>
          <w:b/>
        </w:rPr>
        <w:t xml:space="preserve">Figure </w:t>
      </w:r>
      <w:r w:rsidR="00247BF5">
        <w:rPr>
          <w:rFonts w:ascii="Cambria" w:hAnsi="Cambria"/>
          <w:b/>
        </w:rPr>
        <w:t>5-9</w:t>
      </w:r>
      <w:r w:rsidRPr="00A07206">
        <w:rPr>
          <w:rFonts w:ascii="Cambria" w:hAnsi="Cambria"/>
          <w:b/>
        </w:rPr>
        <w:t>.</w:t>
      </w:r>
      <w:r>
        <w:rPr>
          <w:rFonts w:ascii="Cambria" w:hAnsi="Cambria"/>
        </w:rPr>
        <w:t xml:space="preserve"> Distribution of Students by Distance from high school GPA eligibility threshold</w:t>
      </w:r>
    </w:p>
    <w:p w14:paraId="11F0FFE6" w14:textId="77777777" w:rsidR="00063F17" w:rsidRPr="00E633D8" w:rsidRDefault="00063F17" w:rsidP="00063F17">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To further test for this potential manipulation at the threshold, I utilize the nonparametric local-polynomial density estimator approach developed by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{"citationID":"Cb4Mxi2Q","properties":{"formattedCitation":"(Cattaneo &amp; Escanciano, 2017; Cattaneo, Titiunik, &amp; Vazquez-Bare, 2017)","plainCitation":"(Cattaneo &amp; Escanciano, 2017; Cattaneo, Titiunik, &amp; Vazquez-Bare, 2017)","dontUpdate":true,"noteIndex":0},"citationItems":[{"id":6938,"uris":["http://zotero.org/users/2595715/items/HKHDTVGF"],"uri":["http://zotero.org/users/2595715/items/HKHDTVGF"],"itemData":{"id":6938,"type":"book","title":"Regression Discontinuity Designs: Theory and Applications","publisher":"Emerald Publishing Limited","publisher-place":"United Kingdom ; North America","number-of-pages":"544","source":"Amazon","event-place":"United Kingdom ; North America","abstract":"The Regression Discontinuity (RD) design is one of the most popular and credible research designs for program evaluation and causal inference. This volume 38 of Advances in Econometrics collects twelve innovative and thought-provoking contributions to the RD literature, covering a wide range of methodological and practical topics. Some chapters touch on foundational methodological issues such as identification, interpretation, implementation, falsification testing, estimation and inference, while others focus on more recent and related topics such as identification and interpretation in a discontinuity-in-density framework, empirical structural estimation, comparative RD methods, and extrapolation. These chapters not only give new insights for current methodological and empirical research, but also provide new bases and frameworks for future work in this area. This volume contributes to the rapidly expanding RD literature by bringing together theoretical and applied econometricians, statisticians, and social, behavioural and biomedical scientists, in the hope that these interactions will further spark innovative practical developments in this important and active research area.","ISBN":"978-1-78714-390-6","shortTitle":"Regression Discontinuity Designs","language":"English","editor":[{"family":"Cattaneo","given":"Matias D."},{"family":"Escanciano","given":"Juan Carlos"}],"issued":{"date-parts":[["2017",5,11]]}}},{"id":3477,"uris":["http://zotero.org/users/2595715/items/5EUK39EI"],"uri":["http://zotero.org/users/2595715/items/5EUK39EI"],"itemData":{"id":3477,"type":"article-journal","title":"Comparing Inference Approaches for RD Designs: A Reexamination of the Effect of Head Start on Child Mortality","container-title":"Journal of Policy Analysis and Management","page":"643-681","volume":"36","issue":"3","source":"Wiley Online Library","abstract":"The regression discontinuity (RD) design is a popular quasi-experimental design for causal inference and policy evaluation. The most common inference approaches in RD designs employ “flexible” parametric and nonparametric local polynomial methods, which rely on extrapolation and large-sample approximations of conditional expectations using observations somewhat near the cutoff that determines treatment assignment. An alternative inference approach employs the idea of local randomization, where the very few units closest to the cutoff are regarded as randomly assigned to treatment and finite-sample exact inference methods are used. In this paper, we contrast these approaches empirically by re-analyzing the influential findings of Ludwig and Miller (), who studied the effect of Head Start assistance on child mortality employing parametric RD methods. We first review methods based on approximations of conditional expectations, which are relatively well developed in the literature, and then present new methods based on randomization inference. In particular, we extend the local randomization framework to allow for parametric adjustments of the potential outcomes; our extended framework substantially relaxes strong assumptions in prior literature and better resembles other RD inference methods. We compare all these methods formally, focusing on both estimands and inference properties. In addition, we develop new approaches for randomization-based sensitivity analysis specifically tailored to RD designs. Applying all these methods to the Head Start data, we find that the original RD treatment effect reported in the literature is quite stable and robust, an empirical finding that enhances the credibility of the original result. All the empirical methods we discuss are readily available in general purpose software in R and Stata; we also provide the dataset and software code needed to replicate all our results.","DOI":"10.1002/pam.21985","ISSN":"1520-6688","shortTitle":"Comparing Inference Approaches for RD Designs","journalAbbreviation":"J. Pol. Anal. Manage.","language":"en","author":[{"family":"Cattaneo","given":"Matias D."},{"family":"Titiunik","given":"Rocío"},{"family":"Vazquez-Bare","given":"Gonzalo"}],"issued":{"date-parts":[["2017",6,1]]}}}],"schema":"https://github.com/citation-style-language/schema/raw/master/csl-citation.json"}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Cattaneo &amp; Escanciano, (2017); Cattaneo, Titiunik, &amp; Vazquez-Bare, (2017)</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which has been shown to increase the size and power of the manipulation tests. Moreover, this calculation approach, described in detail in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{"citationID":"Nc2ckmPr","properties":{"formattedCitation":"(Cattaneo, Jansson, &amp; Ma, 2018)","plainCitation":"(Cattaneo, Jansson, &amp; Ma, 2018)","noteIndex":0},"citationItems":[{"id":6940,"uris":["http://zotero.org/users/2595715/items/AUXHCHJG"],"uri":["http://zotero.org/users/2595715/items/AUXHCHJG"],"itemData":{"id":6940,"type":"article-journal","title":"Manipulation testing based on density discontinuity","container-title":"Stata Journal","page":"234-261","volume":"18","issue":"1","language":"en","author":[{"family":"Cattaneo","given":"Matias D."},{"family":"Jansson","given":"Marco"},{"family":"Ma","given":"X"}],"issued":{"date-parts":[["2018"]]}}}],"schema":"https://github.com/citation-style-language/schema/raw/master/csl-citation.json"}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(Cattaneo, Jansson, &amp; Ma, 2018)</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is preferable to the McCrary (2008) test in that it does not require the pre-binning of data. The results of this analysis reveal a consistent failure to reject the </w:t>
      </w:r>
      <w:r w:rsidRPr="00E633D8">
        <w:rPr>
          <w:rFonts w:ascii="Times New Roman" w:hAnsi="Times New Roman" w:cs="Times New Roman"/>
          <w:sz w:val="24"/>
          <w:szCs w:val="24"/>
        </w:rPr>
        <w:lastRenderedPageBreak/>
        <w:t>null hypothesis of no change in the density of students at the threshold. Therefore, I conclude that there is no evidence of manipulation at the GPA threshold providing additional evidence in support of the validity of the design.</w:t>
      </w:r>
      <w:r w:rsidRPr="00E3535F">
        <w:rPr>
          <w:rStyle w:val="FootnoteReference"/>
        </w:rPr>
        <w:footnoteReference w:id="31"/>
      </w:r>
    </w:p>
    <w:p w14:paraId="416C5F4A"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Despite the strong evidence against the potential for manipulation at the threshold, the validity of the regression discontinuity design also requires demonstrating that the characteristics of students just above the cutoff are not systematically different from students just below the threshold. I investigate the potential for differential student composition in observable student characteristics at the GPA threshold by estimating:</w:t>
      </w:r>
    </w:p>
    <w:p w14:paraId="75908015" w14:textId="77777777" w:rsidR="00063F17" w:rsidRPr="00E633D8" w:rsidRDefault="003C3EBF" w:rsidP="00063F17">
      <w:pPr>
        <w:spacing w:line="48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i</m:t>
            </m:r>
          </m:sub>
        </m:sSub>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GPAdist</m:t>
                </m:r>
              </m:e>
              <m:sub>
                <m:r>
                  <w:rPr>
                    <w:rFonts w:ascii="Cambria Math" w:hAnsi="Cambria Math" w:cs="Times New Roman"/>
                    <w:sz w:val="24"/>
                    <w:szCs w:val="24"/>
                  </w:rPr>
                  <m:t>i</m:t>
                </m:r>
              </m:sub>
            </m:sSub>
          </m:e>
        </m:d>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iAbove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r>
          <w:rPr>
            <w:rFonts w:ascii="Cambria Math" w:hAnsi="Cambria Math" w:cs="Times New Roman"/>
            <w:sz w:val="24"/>
            <w:szCs w:val="24"/>
          </w:rPr>
          <m:t xml:space="preserve"> </m:t>
        </m:r>
      </m:oMath>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t>(1)</w:t>
      </w:r>
    </w:p>
    <w:p w14:paraId="2A15978B" w14:textId="494444F6" w:rsidR="00063F17" w:rsidRDefault="00063F17" w:rsidP="00063F17">
      <w:pPr>
        <w:spacing w:line="480" w:lineRule="auto"/>
        <w:rPr>
          <w:rFonts w:ascii="Times New Roman" w:eastAsiaTheme="minorEastAsia" w:hAnsi="Times New Roman" w:cs="Times New Roman"/>
          <w:sz w:val="24"/>
          <w:szCs w:val="24"/>
        </w:rPr>
      </w:pPr>
      <w:r w:rsidRPr="00E633D8">
        <w:rPr>
          <w:rFonts w:ascii="Times New Roman" w:hAnsi="Times New Roman" w:cs="Times New Roman"/>
          <w:sz w:val="24"/>
          <w:szCs w:val="24"/>
        </w:rPr>
        <w:t xml:space="preserve">where </w:t>
      </w:r>
      <w:r w:rsidRPr="00E633D8">
        <w:rPr>
          <w:rFonts w:ascii="Times New Roman" w:hAnsi="Times New Roman" w:cs="Times New Roman"/>
          <w:i/>
          <w:sz w:val="24"/>
          <w:szCs w:val="24"/>
        </w:rPr>
        <w:t>O</w:t>
      </w:r>
      <w:r w:rsidRPr="00E633D8">
        <w:rPr>
          <w:rFonts w:ascii="Times New Roman" w:eastAsiaTheme="minorEastAsia" w:hAnsi="Times New Roman" w:cs="Times New Roman"/>
          <w:sz w:val="24"/>
          <w:szCs w:val="24"/>
        </w:rPr>
        <w:t xml:space="preserve"> reflects the observable characteristics of student </w:t>
      </w:r>
      <w:r w:rsidRPr="00E633D8">
        <w:rPr>
          <w:rFonts w:ascii="Times New Roman" w:eastAsiaTheme="minorEastAsia" w:hAnsi="Times New Roman" w:cs="Times New Roman"/>
          <w:i/>
          <w:sz w:val="24"/>
          <w:szCs w:val="24"/>
        </w:rPr>
        <w:t>i</w:t>
      </w:r>
      <w:r w:rsidRPr="00E633D8">
        <w:rPr>
          <w:rFonts w:ascii="Times New Roman" w:hAnsi="Times New Roman" w:cs="Times New Roman"/>
          <w:sz w:val="24"/>
          <w:szCs w:val="24"/>
        </w:rPr>
        <w:t xml:space="preserve">, </w:t>
      </w:r>
      <m:oMath>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GPAdist</m:t>
                </m:r>
              </m:e>
              <m:sub>
                <m:r>
                  <w:rPr>
                    <w:rFonts w:ascii="Cambria Math" w:hAnsi="Cambria Math" w:cs="Times New Roman"/>
                    <w:sz w:val="24"/>
                    <w:szCs w:val="24"/>
                  </w:rPr>
                  <m:t>i</m:t>
                </m:r>
              </m:sub>
            </m:sSub>
          </m:e>
        </m:d>
      </m:oMath>
      <w:r w:rsidRPr="00E633D8">
        <w:rPr>
          <w:rFonts w:ascii="Times New Roman" w:eastAsiaTheme="minorEastAsia" w:hAnsi="Times New Roman" w:cs="Times New Roman"/>
          <w:sz w:val="24"/>
          <w:szCs w:val="24"/>
        </w:rPr>
        <w:t xml:space="preserve"> represents the running variable or the flexible function of the distance from the GPA threshold, </w:t>
      </w:r>
      <m:oMath>
        <m:r>
          <w:rPr>
            <w:rFonts w:ascii="Cambria Math" w:hAnsi="Cambria Math" w:cs="Times New Roman"/>
            <w:sz w:val="24"/>
            <w:szCs w:val="24"/>
          </w:rPr>
          <m:t>G</m:t>
        </m:r>
      </m:oMath>
      <w:r w:rsidRPr="00E633D8">
        <w:rPr>
          <w:rFonts w:ascii="Times New Roman" w:eastAsiaTheme="minorEastAsia" w:hAnsi="Times New Roman" w:cs="Times New Roman"/>
          <w:sz w:val="24"/>
          <w:szCs w:val="24"/>
        </w:rPr>
        <w:t xml:space="preserve"> indicates whether a student is above or below the threshold, and </w:t>
      </w:r>
      <m:oMath>
        <m:r>
          <w:rPr>
            <w:rFonts w:ascii="Cambria Math" w:hAnsi="Cambria Math" w:cs="Times New Roman"/>
            <w:sz w:val="24"/>
            <w:szCs w:val="24"/>
          </w:rPr>
          <m:t>C</m:t>
        </m:r>
      </m:oMath>
      <w:r w:rsidRPr="00E633D8">
        <w:rPr>
          <w:rFonts w:ascii="Times New Roman" w:eastAsiaTheme="minorEastAsia" w:hAnsi="Times New Roman" w:cs="Times New Roman"/>
          <w:sz w:val="24"/>
          <w:szCs w:val="24"/>
        </w:rPr>
        <w:t xml:space="preserve"> is the vector of cohort fixed effects. The results of this analysis are presented in Table </w:t>
      </w:r>
      <w:r w:rsidR="00290299">
        <w:rPr>
          <w:rFonts w:ascii="Times New Roman" w:eastAsiaTheme="minorEastAsia" w:hAnsi="Times New Roman" w:cs="Times New Roman"/>
          <w:sz w:val="24"/>
          <w:szCs w:val="24"/>
        </w:rPr>
        <w:t>5-6</w:t>
      </w:r>
      <w:r w:rsidRPr="00E633D8">
        <w:rPr>
          <w:rFonts w:ascii="Times New Roman" w:eastAsiaTheme="minorEastAsia" w:hAnsi="Times New Roman" w:cs="Times New Roman"/>
          <w:sz w:val="24"/>
          <w:szCs w:val="24"/>
        </w:rPr>
        <w:t xml:space="preserve"> below, which reveal all null results. This suggests that the observable characteristics for students just above the GPA threshold are not significantly different from the characteristics of students just below the threshold, providing further support for the validity of the regression discontinuity design. For further evidence on differential student composition at the threshold, I also present figures in Appendix A.  </w:t>
      </w:r>
    </w:p>
    <w:p w14:paraId="258337EB" w14:textId="0B6D974C" w:rsidR="00403004" w:rsidRDefault="00403004" w:rsidP="00063F17">
      <w:pPr>
        <w:spacing w:line="480" w:lineRule="auto"/>
        <w:rPr>
          <w:rFonts w:ascii="Times New Roman" w:eastAsiaTheme="minorEastAsia" w:hAnsi="Times New Roman" w:cs="Times New Roman"/>
          <w:sz w:val="24"/>
          <w:szCs w:val="24"/>
        </w:rPr>
      </w:pPr>
    </w:p>
    <w:p w14:paraId="065201F9" w14:textId="77777777" w:rsidR="00403004" w:rsidRDefault="00403004" w:rsidP="00063F17">
      <w:pPr>
        <w:spacing w:line="480" w:lineRule="auto"/>
        <w:rPr>
          <w:rFonts w:ascii="Times New Roman" w:eastAsiaTheme="minorEastAsia" w:hAnsi="Times New Roman" w:cs="Times New Roman"/>
          <w:sz w:val="24"/>
          <w:szCs w:val="24"/>
        </w:rPr>
      </w:pPr>
    </w:p>
    <w:p w14:paraId="44791401" w14:textId="251CB658" w:rsidR="00403004" w:rsidRDefault="00403004" w:rsidP="00403004">
      <w:pPr>
        <w:spacing w:after="0" w:line="240" w:lineRule="auto"/>
        <w:rPr>
          <w:rFonts w:ascii="Times New Roman" w:eastAsia="Times New Roman" w:hAnsi="Times New Roman" w:cs="Times New Roman"/>
          <w:bCs/>
          <w:color w:val="000000"/>
          <w:sz w:val="24"/>
          <w:szCs w:val="24"/>
        </w:rPr>
      </w:pPr>
      <w:r w:rsidRPr="00162D27">
        <w:rPr>
          <w:rFonts w:ascii="Times New Roman" w:eastAsia="Times New Roman" w:hAnsi="Times New Roman" w:cs="Times New Roman"/>
          <w:b/>
          <w:bCs/>
          <w:color w:val="000000"/>
          <w:sz w:val="24"/>
          <w:szCs w:val="24"/>
        </w:rPr>
        <w:lastRenderedPageBreak/>
        <w:t xml:space="preserve">Table </w:t>
      </w:r>
      <w:r w:rsidR="00247BF5">
        <w:rPr>
          <w:rFonts w:ascii="Times New Roman" w:eastAsia="Times New Roman" w:hAnsi="Times New Roman" w:cs="Times New Roman"/>
          <w:b/>
          <w:bCs/>
          <w:color w:val="000000"/>
          <w:sz w:val="24"/>
          <w:szCs w:val="24"/>
        </w:rPr>
        <w:t>5-6</w:t>
      </w:r>
      <w:r w:rsidRPr="00162D27">
        <w:rPr>
          <w:rFonts w:ascii="Times New Roman" w:eastAsia="Times New Roman" w:hAnsi="Times New Roman" w:cs="Times New Roman"/>
          <w:b/>
          <w:bCs/>
          <w:color w:val="000000"/>
          <w:sz w:val="24"/>
          <w:szCs w:val="24"/>
        </w:rPr>
        <w:t xml:space="preserve">. </w:t>
      </w:r>
      <w:r w:rsidRPr="00162D27">
        <w:rPr>
          <w:rFonts w:ascii="Times New Roman" w:eastAsia="Times New Roman" w:hAnsi="Times New Roman" w:cs="Times New Roman"/>
          <w:bCs/>
          <w:color w:val="000000"/>
          <w:sz w:val="24"/>
          <w:szCs w:val="24"/>
        </w:rPr>
        <w:t>Coefficients and Standard Errors on Scoring Above GPA Threshold from Reduced-Form Model Predicting Student Observable Characteristics</w:t>
      </w:r>
    </w:p>
    <w:p w14:paraId="74014AA5" w14:textId="77777777" w:rsidR="00403004" w:rsidRDefault="00403004" w:rsidP="00403004">
      <w:pPr>
        <w:spacing w:after="0" w:line="240" w:lineRule="auto"/>
        <w:rPr>
          <w:rFonts w:ascii="Times New Roman" w:eastAsia="Times New Roman" w:hAnsi="Times New Roman" w:cs="Times New Roman"/>
          <w:bCs/>
          <w:color w:val="000000"/>
          <w:sz w:val="24"/>
          <w:szCs w:val="24"/>
        </w:rPr>
      </w:pPr>
    </w:p>
    <w:tbl>
      <w:tblPr>
        <w:tblW w:w="5981" w:type="dxa"/>
        <w:tblLook w:val="04A0" w:firstRow="1" w:lastRow="0" w:firstColumn="1" w:lastColumn="0" w:noHBand="0" w:noVBand="1"/>
      </w:tblPr>
      <w:tblGrid>
        <w:gridCol w:w="1386"/>
        <w:gridCol w:w="950"/>
        <w:gridCol w:w="1445"/>
        <w:gridCol w:w="950"/>
        <w:gridCol w:w="1250"/>
      </w:tblGrid>
      <w:tr w:rsidR="00403004" w:rsidRPr="00FA1728" w14:paraId="42A5CECF" w14:textId="77777777" w:rsidTr="00B5460B">
        <w:trPr>
          <w:trHeight w:val="233"/>
        </w:trPr>
        <w:tc>
          <w:tcPr>
            <w:tcW w:w="1386" w:type="dxa"/>
            <w:tcBorders>
              <w:top w:val="nil"/>
              <w:left w:val="nil"/>
              <w:bottom w:val="double" w:sz="6" w:space="0" w:color="auto"/>
              <w:right w:val="nil"/>
            </w:tcBorders>
            <w:shd w:val="clear" w:color="auto" w:fill="auto"/>
            <w:vAlign w:val="center"/>
            <w:hideMark/>
          </w:tcPr>
          <w:p w14:paraId="70998570" w14:textId="77777777" w:rsidR="00403004" w:rsidRPr="00FA1728" w:rsidRDefault="00403004" w:rsidP="00B5460B">
            <w:pPr>
              <w:spacing w:after="0" w:line="240" w:lineRule="auto"/>
              <w:rPr>
                <w:rFonts w:ascii="Times New Roman" w:eastAsia="Times New Roman" w:hAnsi="Times New Roman" w:cs="Times New Roman"/>
                <w:color w:val="000000"/>
                <w:sz w:val="24"/>
                <w:szCs w:val="24"/>
              </w:rPr>
            </w:pPr>
            <w:r w:rsidRPr="00FA1728">
              <w:rPr>
                <w:rFonts w:ascii="Times New Roman" w:eastAsia="Times New Roman" w:hAnsi="Times New Roman" w:cs="Times New Roman"/>
                <w:color w:val="000000"/>
                <w:sz w:val="24"/>
                <w:szCs w:val="24"/>
              </w:rPr>
              <w:t>Outcome</w:t>
            </w:r>
          </w:p>
        </w:tc>
        <w:tc>
          <w:tcPr>
            <w:tcW w:w="950" w:type="dxa"/>
            <w:tcBorders>
              <w:top w:val="nil"/>
              <w:left w:val="nil"/>
              <w:bottom w:val="double" w:sz="6" w:space="0" w:color="auto"/>
              <w:right w:val="nil"/>
            </w:tcBorders>
            <w:shd w:val="clear" w:color="auto" w:fill="auto"/>
            <w:vAlign w:val="center"/>
            <w:hideMark/>
          </w:tcPr>
          <w:p w14:paraId="4CA1104C" w14:textId="77777777" w:rsidR="00403004" w:rsidRPr="00FA1728" w:rsidRDefault="00403004" w:rsidP="00B5460B">
            <w:pPr>
              <w:spacing w:after="0" w:line="240" w:lineRule="auto"/>
              <w:jc w:val="center"/>
              <w:rPr>
                <w:rFonts w:ascii="Times New Roman" w:eastAsia="Times New Roman" w:hAnsi="Times New Roman" w:cs="Times New Roman"/>
                <w:color w:val="000000"/>
                <w:sz w:val="24"/>
                <w:szCs w:val="24"/>
              </w:rPr>
            </w:pPr>
            <w:r w:rsidRPr="00FA1728">
              <w:rPr>
                <w:rFonts w:ascii="Times New Roman" w:eastAsia="Times New Roman" w:hAnsi="Times New Roman" w:cs="Times New Roman"/>
                <w:color w:val="000000"/>
                <w:sz w:val="24"/>
                <w:szCs w:val="24"/>
              </w:rPr>
              <w:t>N</w:t>
            </w:r>
          </w:p>
        </w:tc>
        <w:tc>
          <w:tcPr>
            <w:tcW w:w="1445" w:type="dxa"/>
            <w:tcBorders>
              <w:top w:val="nil"/>
              <w:left w:val="nil"/>
              <w:bottom w:val="double" w:sz="6" w:space="0" w:color="auto"/>
              <w:right w:val="nil"/>
            </w:tcBorders>
            <w:shd w:val="clear" w:color="auto" w:fill="auto"/>
            <w:vAlign w:val="center"/>
            <w:hideMark/>
          </w:tcPr>
          <w:p w14:paraId="59FB2221" w14:textId="77777777" w:rsidR="00403004" w:rsidRPr="00FA1728" w:rsidRDefault="00403004" w:rsidP="00B5460B">
            <w:pPr>
              <w:spacing w:after="0" w:line="240" w:lineRule="auto"/>
              <w:jc w:val="center"/>
              <w:rPr>
                <w:rFonts w:ascii="Times New Roman" w:eastAsia="Times New Roman" w:hAnsi="Times New Roman" w:cs="Times New Roman"/>
                <w:color w:val="000000"/>
                <w:sz w:val="24"/>
                <w:szCs w:val="24"/>
              </w:rPr>
            </w:pPr>
            <w:r w:rsidRPr="00FA1728">
              <w:rPr>
                <w:rFonts w:ascii="Times New Roman" w:eastAsia="Times New Roman" w:hAnsi="Times New Roman" w:cs="Times New Roman"/>
                <w:color w:val="000000"/>
                <w:sz w:val="24"/>
                <w:szCs w:val="24"/>
              </w:rPr>
              <w:t>Model 1</w:t>
            </w:r>
          </w:p>
        </w:tc>
        <w:tc>
          <w:tcPr>
            <w:tcW w:w="950" w:type="dxa"/>
            <w:tcBorders>
              <w:top w:val="nil"/>
              <w:left w:val="nil"/>
              <w:bottom w:val="double" w:sz="6" w:space="0" w:color="auto"/>
              <w:right w:val="nil"/>
            </w:tcBorders>
            <w:shd w:val="clear" w:color="auto" w:fill="auto"/>
            <w:vAlign w:val="center"/>
            <w:hideMark/>
          </w:tcPr>
          <w:p w14:paraId="125922C2" w14:textId="77777777" w:rsidR="00403004" w:rsidRPr="00FA1728" w:rsidRDefault="00403004" w:rsidP="00B5460B">
            <w:pPr>
              <w:spacing w:after="0" w:line="240" w:lineRule="auto"/>
              <w:jc w:val="center"/>
              <w:rPr>
                <w:rFonts w:ascii="Times New Roman" w:eastAsia="Times New Roman" w:hAnsi="Times New Roman" w:cs="Times New Roman"/>
                <w:color w:val="000000"/>
                <w:sz w:val="24"/>
                <w:szCs w:val="24"/>
              </w:rPr>
            </w:pPr>
            <w:r w:rsidRPr="00FA1728">
              <w:rPr>
                <w:rFonts w:ascii="Times New Roman" w:eastAsia="Times New Roman" w:hAnsi="Times New Roman" w:cs="Times New Roman"/>
                <w:color w:val="000000"/>
                <w:sz w:val="24"/>
                <w:szCs w:val="24"/>
              </w:rPr>
              <w:t>N</w:t>
            </w:r>
          </w:p>
        </w:tc>
        <w:tc>
          <w:tcPr>
            <w:tcW w:w="1247" w:type="dxa"/>
            <w:tcBorders>
              <w:top w:val="nil"/>
              <w:left w:val="nil"/>
              <w:bottom w:val="double" w:sz="6" w:space="0" w:color="auto"/>
              <w:right w:val="nil"/>
            </w:tcBorders>
            <w:shd w:val="clear" w:color="auto" w:fill="auto"/>
            <w:vAlign w:val="center"/>
            <w:hideMark/>
          </w:tcPr>
          <w:p w14:paraId="00972CFE" w14:textId="77777777" w:rsidR="00403004" w:rsidRPr="00FA1728" w:rsidRDefault="00403004" w:rsidP="00B5460B">
            <w:pPr>
              <w:spacing w:after="0" w:line="240" w:lineRule="auto"/>
              <w:jc w:val="center"/>
              <w:rPr>
                <w:rFonts w:ascii="Times New Roman" w:eastAsia="Times New Roman" w:hAnsi="Times New Roman" w:cs="Times New Roman"/>
                <w:color w:val="000000"/>
                <w:sz w:val="24"/>
                <w:szCs w:val="24"/>
              </w:rPr>
            </w:pPr>
            <w:r w:rsidRPr="00FA1728">
              <w:rPr>
                <w:rFonts w:ascii="Times New Roman" w:eastAsia="Times New Roman" w:hAnsi="Times New Roman" w:cs="Times New Roman"/>
                <w:color w:val="000000"/>
                <w:sz w:val="24"/>
                <w:szCs w:val="24"/>
              </w:rPr>
              <w:t>Model 2</w:t>
            </w:r>
          </w:p>
        </w:tc>
      </w:tr>
      <w:tr w:rsidR="00403004" w:rsidRPr="00FA1728" w14:paraId="038D1298" w14:textId="77777777" w:rsidTr="00B5460B">
        <w:trPr>
          <w:trHeight w:val="233"/>
        </w:trPr>
        <w:tc>
          <w:tcPr>
            <w:tcW w:w="1386" w:type="dxa"/>
            <w:tcBorders>
              <w:top w:val="nil"/>
              <w:left w:val="nil"/>
              <w:bottom w:val="nil"/>
              <w:right w:val="nil"/>
            </w:tcBorders>
            <w:shd w:val="clear" w:color="auto" w:fill="auto"/>
            <w:vAlign w:val="bottom"/>
            <w:hideMark/>
          </w:tcPr>
          <w:p w14:paraId="6DFBC06D"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Male</w:t>
            </w:r>
          </w:p>
        </w:tc>
        <w:tc>
          <w:tcPr>
            <w:tcW w:w="950" w:type="dxa"/>
            <w:tcBorders>
              <w:top w:val="nil"/>
              <w:left w:val="nil"/>
              <w:bottom w:val="nil"/>
              <w:right w:val="nil"/>
            </w:tcBorders>
            <w:shd w:val="clear" w:color="auto" w:fill="auto"/>
            <w:vAlign w:val="bottom"/>
            <w:hideMark/>
          </w:tcPr>
          <w:p w14:paraId="6E120A1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3,175</w:t>
            </w:r>
          </w:p>
        </w:tc>
        <w:tc>
          <w:tcPr>
            <w:tcW w:w="1445" w:type="dxa"/>
            <w:tcBorders>
              <w:top w:val="nil"/>
              <w:left w:val="nil"/>
              <w:bottom w:val="nil"/>
              <w:right w:val="nil"/>
            </w:tcBorders>
            <w:shd w:val="clear" w:color="auto" w:fill="auto"/>
            <w:vAlign w:val="bottom"/>
            <w:hideMark/>
          </w:tcPr>
          <w:p w14:paraId="451ABF6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0.016</w:t>
            </w:r>
          </w:p>
        </w:tc>
        <w:tc>
          <w:tcPr>
            <w:tcW w:w="950" w:type="dxa"/>
            <w:tcBorders>
              <w:top w:val="nil"/>
              <w:left w:val="nil"/>
              <w:bottom w:val="nil"/>
              <w:right w:val="nil"/>
            </w:tcBorders>
            <w:shd w:val="clear" w:color="auto" w:fill="auto"/>
            <w:vAlign w:val="bottom"/>
            <w:hideMark/>
          </w:tcPr>
          <w:p w14:paraId="2E2D5CD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vAlign w:val="bottom"/>
            <w:hideMark/>
          </w:tcPr>
          <w:p w14:paraId="1D4F3AB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0.011</w:t>
            </w:r>
          </w:p>
        </w:tc>
      </w:tr>
      <w:tr w:rsidR="00403004" w:rsidRPr="00FA1728" w14:paraId="0266483D" w14:textId="77777777" w:rsidTr="00B5460B">
        <w:trPr>
          <w:trHeight w:val="223"/>
        </w:trPr>
        <w:tc>
          <w:tcPr>
            <w:tcW w:w="1386" w:type="dxa"/>
            <w:tcBorders>
              <w:top w:val="nil"/>
              <w:left w:val="nil"/>
              <w:bottom w:val="nil"/>
              <w:right w:val="nil"/>
            </w:tcBorders>
            <w:shd w:val="clear" w:color="auto" w:fill="auto"/>
            <w:vAlign w:val="bottom"/>
            <w:hideMark/>
          </w:tcPr>
          <w:p w14:paraId="560F11F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1B30BB73"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3793DD48"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(0.087)</w:t>
            </w:r>
          </w:p>
        </w:tc>
        <w:tc>
          <w:tcPr>
            <w:tcW w:w="950" w:type="dxa"/>
            <w:tcBorders>
              <w:top w:val="nil"/>
              <w:left w:val="nil"/>
              <w:bottom w:val="nil"/>
              <w:right w:val="nil"/>
            </w:tcBorders>
            <w:shd w:val="clear" w:color="auto" w:fill="auto"/>
            <w:vAlign w:val="bottom"/>
            <w:hideMark/>
          </w:tcPr>
          <w:p w14:paraId="3E9CD6F7"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21EFAA5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(0.023)</w:t>
            </w:r>
          </w:p>
        </w:tc>
      </w:tr>
      <w:tr w:rsidR="00403004" w:rsidRPr="00FA1728" w14:paraId="762E3E7B" w14:textId="77777777" w:rsidTr="00B5460B">
        <w:trPr>
          <w:trHeight w:val="223"/>
        </w:trPr>
        <w:tc>
          <w:tcPr>
            <w:tcW w:w="1386" w:type="dxa"/>
            <w:tcBorders>
              <w:top w:val="nil"/>
              <w:left w:val="nil"/>
              <w:bottom w:val="nil"/>
              <w:right w:val="nil"/>
            </w:tcBorders>
            <w:shd w:val="clear" w:color="auto" w:fill="auto"/>
            <w:vAlign w:val="bottom"/>
            <w:hideMark/>
          </w:tcPr>
          <w:p w14:paraId="28EDF8F8"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Black</w:t>
            </w:r>
          </w:p>
        </w:tc>
        <w:tc>
          <w:tcPr>
            <w:tcW w:w="950" w:type="dxa"/>
            <w:tcBorders>
              <w:top w:val="nil"/>
              <w:left w:val="nil"/>
              <w:bottom w:val="nil"/>
              <w:right w:val="nil"/>
            </w:tcBorders>
            <w:shd w:val="clear" w:color="auto" w:fill="auto"/>
            <w:vAlign w:val="bottom"/>
            <w:hideMark/>
          </w:tcPr>
          <w:p w14:paraId="4C750D6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4,869</w:t>
            </w:r>
          </w:p>
        </w:tc>
        <w:tc>
          <w:tcPr>
            <w:tcW w:w="1445" w:type="dxa"/>
            <w:tcBorders>
              <w:top w:val="nil"/>
              <w:left w:val="nil"/>
              <w:bottom w:val="nil"/>
              <w:right w:val="nil"/>
            </w:tcBorders>
            <w:shd w:val="clear" w:color="auto" w:fill="auto"/>
            <w:noWrap/>
            <w:vAlign w:val="bottom"/>
            <w:hideMark/>
          </w:tcPr>
          <w:p w14:paraId="418FE197"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0.123</w:t>
            </w:r>
          </w:p>
        </w:tc>
        <w:tc>
          <w:tcPr>
            <w:tcW w:w="950" w:type="dxa"/>
            <w:tcBorders>
              <w:top w:val="nil"/>
              <w:left w:val="nil"/>
              <w:bottom w:val="nil"/>
              <w:right w:val="nil"/>
            </w:tcBorders>
            <w:shd w:val="clear" w:color="auto" w:fill="auto"/>
            <w:vAlign w:val="bottom"/>
            <w:hideMark/>
          </w:tcPr>
          <w:p w14:paraId="47CE2809"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4AE2B45D"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-0.015</w:t>
            </w:r>
          </w:p>
        </w:tc>
      </w:tr>
      <w:tr w:rsidR="00403004" w:rsidRPr="00FA1728" w14:paraId="236536FF" w14:textId="77777777" w:rsidTr="00B5460B">
        <w:trPr>
          <w:trHeight w:val="223"/>
        </w:trPr>
        <w:tc>
          <w:tcPr>
            <w:tcW w:w="1386" w:type="dxa"/>
            <w:tcBorders>
              <w:top w:val="nil"/>
              <w:left w:val="nil"/>
              <w:bottom w:val="nil"/>
              <w:right w:val="nil"/>
            </w:tcBorders>
            <w:shd w:val="clear" w:color="auto" w:fill="auto"/>
            <w:vAlign w:val="bottom"/>
            <w:hideMark/>
          </w:tcPr>
          <w:p w14:paraId="671FE7B2"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4E0890F9"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39AE7D38"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(0.078)</w:t>
            </w:r>
          </w:p>
        </w:tc>
        <w:tc>
          <w:tcPr>
            <w:tcW w:w="950" w:type="dxa"/>
            <w:tcBorders>
              <w:top w:val="nil"/>
              <w:left w:val="nil"/>
              <w:bottom w:val="nil"/>
              <w:right w:val="nil"/>
            </w:tcBorders>
            <w:shd w:val="clear" w:color="auto" w:fill="auto"/>
            <w:vAlign w:val="bottom"/>
            <w:hideMark/>
          </w:tcPr>
          <w:p w14:paraId="7606A23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778AD047"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(0.020)</w:t>
            </w:r>
          </w:p>
        </w:tc>
      </w:tr>
      <w:tr w:rsidR="00403004" w:rsidRPr="00FA1728" w14:paraId="1CAC35A4" w14:textId="77777777" w:rsidTr="00B5460B">
        <w:trPr>
          <w:trHeight w:val="223"/>
        </w:trPr>
        <w:tc>
          <w:tcPr>
            <w:tcW w:w="1386" w:type="dxa"/>
            <w:tcBorders>
              <w:top w:val="nil"/>
              <w:left w:val="nil"/>
              <w:bottom w:val="nil"/>
              <w:right w:val="nil"/>
            </w:tcBorders>
            <w:shd w:val="clear" w:color="auto" w:fill="auto"/>
            <w:vAlign w:val="bottom"/>
            <w:hideMark/>
          </w:tcPr>
          <w:p w14:paraId="7CFB8A35"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White</w:t>
            </w:r>
          </w:p>
        </w:tc>
        <w:tc>
          <w:tcPr>
            <w:tcW w:w="950" w:type="dxa"/>
            <w:tcBorders>
              <w:top w:val="nil"/>
              <w:left w:val="nil"/>
              <w:bottom w:val="nil"/>
              <w:right w:val="nil"/>
            </w:tcBorders>
            <w:shd w:val="clear" w:color="auto" w:fill="auto"/>
            <w:vAlign w:val="bottom"/>
            <w:hideMark/>
          </w:tcPr>
          <w:p w14:paraId="58F20E9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4,283</w:t>
            </w:r>
          </w:p>
        </w:tc>
        <w:tc>
          <w:tcPr>
            <w:tcW w:w="1445" w:type="dxa"/>
            <w:tcBorders>
              <w:top w:val="nil"/>
              <w:left w:val="nil"/>
              <w:bottom w:val="nil"/>
              <w:right w:val="nil"/>
            </w:tcBorders>
            <w:shd w:val="clear" w:color="auto" w:fill="auto"/>
            <w:noWrap/>
            <w:vAlign w:val="bottom"/>
            <w:hideMark/>
          </w:tcPr>
          <w:p w14:paraId="592669BB"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0.068</w:t>
            </w:r>
          </w:p>
        </w:tc>
        <w:tc>
          <w:tcPr>
            <w:tcW w:w="950" w:type="dxa"/>
            <w:tcBorders>
              <w:top w:val="nil"/>
              <w:left w:val="nil"/>
              <w:bottom w:val="nil"/>
              <w:right w:val="nil"/>
            </w:tcBorders>
            <w:shd w:val="clear" w:color="auto" w:fill="auto"/>
            <w:vAlign w:val="bottom"/>
            <w:hideMark/>
          </w:tcPr>
          <w:p w14:paraId="31B3119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3DB67B7D"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0.033</w:t>
            </w:r>
          </w:p>
        </w:tc>
      </w:tr>
      <w:tr w:rsidR="00403004" w:rsidRPr="00FA1728" w14:paraId="248B5474" w14:textId="77777777" w:rsidTr="00B5460B">
        <w:trPr>
          <w:trHeight w:val="223"/>
        </w:trPr>
        <w:tc>
          <w:tcPr>
            <w:tcW w:w="1386" w:type="dxa"/>
            <w:tcBorders>
              <w:top w:val="nil"/>
              <w:left w:val="nil"/>
              <w:bottom w:val="nil"/>
              <w:right w:val="nil"/>
            </w:tcBorders>
            <w:shd w:val="clear" w:color="auto" w:fill="auto"/>
            <w:vAlign w:val="bottom"/>
            <w:hideMark/>
          </w:tcPr>
          <w:p w14:paraId="1592962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3396BA72"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387B7950"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(0.148)</w:t>
            </w:r>
          </w:p>
        </w:tc>
        <w:tc>
          <w:tcPr>
            <w:tcW w:w="950" w:type="dxa"/>
            <w:tcBorders>
              <w:top w:val="nil"/>
              <w:left w:val="nil"/>
              <w:bottom w:val="nil"/>
              <w:right w:val="nil"/>
            </w:tcBorders>
            <w:shd w:val="clear" w:color="auto" w:fill="auto"/>
            <w:vAlign w:val="bottom"/>
            <w:hideMark/>
          </w:tcPr>
          <w:p w14:paraId="73E9B9FE"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68912D7F"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(0.023)</w:t>
            </w:r>
          </w:p>
        </w:tc>
      </w:tr>
      <w:tr w:rsidR="00403004" w:rsidRPr="00FA1728" w14:paraId="30C81F2D" w14:textId="77777777" w:rsidTr="00B5460B">
        <w:trPr>
          <w:trHeight w:val="223"/>
        </w:trPr>
        <w:tc>
          <w:tcPr>
            <w:tcW w:w="1386" w:type="dxa"/>
            <w:tcBorders>
              <w:top w:val="nil"/>
              <w:left w:val="nil"/>
              <w:bottom w:val="nil"/>
              <w:right w:val="nil"/>
            </w:tcBorders>
            <w:shd w:val="clear" w:color="auto" w:fill="auto"/>
            <w:vAlign w:val="bottom"/>
            <w:hideMark/>
          </w:tcPr>
          <w:p w14:paraId="1033AE86"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Hispanic</w:t>
            </w:r>
          </w:p>
        </w:tc>
        <w:tc>
          <w:tcPr>
            <w:tcW w:w="950" w:type="dxa"/>
            <w:tcBorders>
              <w:top w:val="nil"/>
              <w:left w:val="nil"/>
              <w:bottom w:val="nil"/>
              <w:right w:val="nil"/>
            </w:tcBorders>
            <w:shd w:val="clear" w:color="auto" w:fill="auto"/>
            <w:vAlign w:val="bottom"/>
            <w:hideMark/>
          </w:tcPr>
          <w:p w14:paraId="29BB0FFD"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4,963</w:t>
            </w:r>
          </w:p>
        </w:tc>
        <w:tc>
          <w:tcPr>
            <w:tcW w:w="1445" w:type="dxa"/>
            <w:tcBorders>
              <w:top w:val="nil"/>
              <w:left w:val="nil"/>
              <w:bottom w:val="nil"/>
              <w:right w:val="nil"/>
            </w:tcBorders>
            <w:shd w:val="clear" w:color="auto" w:fill="auto"/>
            <w:noWrap/>
            <w:vAlign w:val="bottom"/>
            <w:hideMark/>
          </w:tcPr>
          <w:p w14:paraId="0861376D"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-0.133</w:t>
            </w:r>
          </w:p>
        </w:tc>
        <w:tc>
          <w:tcPr>
            <w:tcW w:w="950" w:type="dxa"/>
            <w:tcBorders>
              <w:top w:val="nil"/>
              <w:left w:val="nil"/>
              <w:bottom w:val="nil"/>
              <w:right w:val="nil"/>
            </w:tcBorders>
            <w:shd w:val="clear" w:color="auto" w:fill="auto"/>
            <w:vAlign w:val="bottom"/>
            <w:hideMark/>
          </w:tcPr>
          <w:p w14:paraId="14981443"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294E02A4"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0.006</w:t>
            </w:r>
          </w:p>
        </w:tc>
      </w:tr>
      <w:tr w:rsidR="00403004" w:rsidRPr="00FA1728" w14:paraId="6B1240B4" w14:textId="77777777" w:rsidTr="00B5460B">
        <w:trPr>
          <w:trHeight w:val="223"/>
        </w:trPr>
        <w:tc>
          <w:tcPr>
            <w:tcW w:w="1386" w:type="dxa"/>
            <w:tcBorders>
              <w:top w:val="nil"/>
              <w:left w:val="nil"/>
              <w:bottom w:val="nil"/>
              <w:right w:val="nil"/>
            </w:tcBorders>
            <w:shd w:val="clear" w:color="auto" w:fill="auto"/>
            <w:vAlign w:val="bottom"/>
            <w:hideMark/>
          </w:tcPr>
          <w:p w14:paraId="0860D3C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05A8FEEB"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3F482263"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(0.100)</w:t>
            </w:r>
          </w:p>
        </w:tc>
        <w:tc>
          <w:tcPr>
            <w:tcW w:w="950" w:type="dxa"/>
            <w:tcBorders>
              <w:top w:val="nil"/>
              <w:left w:val="nil"/>
              <w:bottom w:val="nil"/>
              <w:right w:val="nil"/>
            </w:tcBorders>
            <w:shd w:val="clear" w:color="auto" w:fill="auto"/>
            <w:vAlign w:val="bottom"/>
            <w:hideMark/>
          </w:tcPr>
          <w:p w14:paraId="4D5BFF77"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5D64475A"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(0.015)</w:t>
            </w:r>
          </w:p>
        </w:tc>
      </w:tr>
      <w:tr w:rsidR="00403004" w:rsidRPr="00FA1728" w14:paraId="02FE8D9F" w14:textId="77777777" w:rsidTr="00B5460B">
        <w:trPr>
          <w:trHeight w:val="223"/>
        </w:trPr>
        <w:tc>
          <w:tcPr>
            <w:tcW w:w="1386" w:type="dxa"/>
            <w:tcBorders>
              <w:top w:val="nil"/>
              <w:left w:val="nil"/>
              <w:bottom w:val="nil"/>
              <w:right w:val="nil"/>
            </w:tcBorders>
            <w:shd w:val="clear" w:color="auto" w:fill="auto"/>
            <w:vAlign w:val="bottom"/>
            <w:hideMark/>
          </w:tcPr>
          <w:p w14:paraId="364920A5"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Other Race</w:t>
            </w:r>
          </w:p>
        </w:tc>
        <w:tc>
          <w:tcPr>
            <w:tcW w:w="950" w:type="dxa"/>
            <w:tcBorders>
              <w:top w:val="nil"/>
              <w:left w:val="nil"/>
              <w:bottom w:val="nil"/>
              <w:right w:val="nil"/>
            </w:tcBorders>
            <w:shd w:val="clear" w:color="auto" w:fill="auto"/>
            <w:vAlign w:val="bottom"/>
            <w:hideMark/>
          </w:tcPr>
          <w:p w14:paraId="2E76191B"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6,135</w:t>
            </w:r>
          </w:p>
        </w:tc>
        <w:tc>
          <w:tcPr>
            <w:tcW w:w="1445" w:type="dxa"/>
            <w:tcBorders>
              <w:top w:val="nil"/>
              <w:left w:val="nil"/>
              <w:bottom w:val="nil"/>
              <w:right w:val="nil"/>
            </w:tcBorders>
            <w:shd w:val="clear" w:color="auto" w:fill="auto"/>
            <w:noWrap/>
            <w:vAlign w:val="bottom"/>
            <w:hideMark/>
          </w:tcPr>
          <w:p w14:paraId="03ADFF5F"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-0.004</w:t>
            </w:r>
          </w:p>
        </w:tc>
        <w:tc>
          <w:tcPr>
            <w:tcW w:w="950" w:type="dxa"/>
            <w:tcBorders>
              <w:top w:val="nil"/>
              <w:left w:val="nil"/>
              <w:bottom w:val="nil"/>
              <w:right w:val="nil"/>
            </w:tcBorders>
            <w:shd w:val="clear" w:color="auto" w:fill="auto"/>
            <w:vAlign w:val="bottom"/>
            <w:hideMark/>
          </w:tcPr>
          <w:p w14:paraId="452A9BD4"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0EA8F653"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0.005</w:t>
            </w:r>
          </w:p>
        </w:tc>
      </w:tr>
      <w:tr w:rsidR="00403004" w:rsidRPr="00FA1728" w14:paraId="4621C7EE" w14:textId="77777777" w:rsidTr="00B5460B">
        <w:trPr>
          <w:trHeight w:val="223"/>
        </w:trPr>
        <w:tc>
          <w:tcPr>
            <w:tcW w:w="1386" w:type="dxa"/>
            <w:tcBorders>
              <w:top w:val="nil"/>
              <w:left w:val="nil"/>
              <w:bottom w:val="nil"/>
              <w:right w:val="nil"/>
            </w:tcBorders>
            <w:shd w:val="clear" w:color="auto" w:fill="auto"/>
            <w:vAlign w:val="bottom"/>
            <w:hideMark/>
          </w:tcPr>
          <w:p w14:paraId="7A8BBA77"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5D7D5FCA"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2DD0C331"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(0.043)</w:t>
            </w:r>
          </w:p>
        </w:tc>
        <w:tc>
          <w:tcPr>
            <w:tcW w:w="950" w:type="dxa"/>
            <w:tcBorders>
              <w:top w:val="nil"/>
              <w:left w:val="nil"/>
              <w:bottom w:val="nil"/>
              <w:right w:val="nil"/>
            </w:tcBorders>
            <w:shd w:val="clear" w:color="auto" w:fill="auto"/>
            <w:vAlign w:val="bottom"/>
            <w:hideMark/>
          </w:tcPr>
          <w:p w14:paraId="3CDCFD7A"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04F50086"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(0.013)</w:t>
            </w:r>
          </w:p>
        </w:tc>
      </w:tr>
      <w:tr w:rsidR="00403004" w:rsidRPr="00FA1728" w14:paraId="6349D3B0" w14:textId="77777777" w:rsidTr="00B5460B">
        <w:trPr>
          <w:trHeight w:val="223"/>
        </w:trPr>
        <w:tc>
          <w:tcPr>
            <w:tcW w:w="1386" w:type="dxa"/>
            <w:tcBorders>
              <w:top w:val="nil"/>
              <w:left w:val="nil"/>
              <w:bottom w:val="nil"/>
              <w:right w:val="nil"/>
            </w:tcBorders>
            <w:shd w:val="clear" w:color="auto" w:fill="auto"/>
            <w:vAlign w:val="bottom"/>
            <w:hideMark/>
          </w:tcPr>
          <w:p w14:paraId="18FFD898" w14:textId="77777777" w:rsidR="00403004" w:rsidRPr="00FA1728" w:rsidRDefault="00403004" w:rsidP="00B5460B">
            <w:pPr>
              <w:spacing w:after="0" w:line="240" w:lineRule="auto"/>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Pell</w:t>
            </w:r>
          </w:p>
        </w:tc>
        <w:tc>
          <w:tcPr>
            <w:tcW w:w="950" w:type="dxa"/>
            <w:tcBorders>
              <w:top w:val="nil"/>
              <w:left w:val="nil"/>
              <w:bottom w:val="nil"/>
              <w:right w:val="nil"/>
            </w:tcBorders>
            <w:shd w:val="clear" w:color="auto" w:fill="auto"/>
            <w:vAlign w:val="bottom"/>
            <w:hideMark/>
          </w:tcPr>
          <w:p w14:paraId="2A24FE9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4,077</w:t>
            </w:r>
          </w:p>
        </w:tc>
        <w:tc>
          <w:tcPr>
            <w:tcW w:w="1445" w:type="dxa"/>
            <w:tcBorders>
              <w:top w:val="nil"/>
              <w:left w:val="nil"/>
              <w:bottom w:val="nil"/>
              <w:right w:val="nil"/>
            </w:tcBorders>
            <w:shd w:val="clear" w:color="auto" w:fill="auto"/>
            <w:noWrap/>
            <w:vAlign w:val="bottom"/>
            <w:hideMark/>
          </w:tcPr>
          <w:p w14:paraId="684873C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-0.153</w:t>
            </w:r>
          </w:p>
        </w:tc>
        <w:tc>
          <w:tcPr>
            <w:tcW w:w="950" w:type="dxa"/>
            <w:tcBorders>
              <w:top w:val="nil"/>
              <w:left w:val="nil"/>
              <w:bottom w:val="nil"/>
              <w:right w:val="nil"/>
            </w:tcBorders>
            <w:shd w:val="clear" w:color="auto" w:fill="auto"/>
            <w:vAlign w:val="bottom"/>
            <w:hideMark/>
          </w:tcPr>
          <w:p w14:paraId="3E8E493F"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739CD950"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-0.023</w:t>
            </w:r>
          </w:p>
        </w:tc>
      </w:tr>
      <w:tr w:rsidR="00403004" w:rsidRPr="00FA1728" w14:paraId="798A99A1" w14:textId="77777777" w:rsidTr="00B5460B">
        <w:trPr>
          <w:trHeight w:val="223"/>
        </w:trPr>
        <w:tc>
          <w:tcPr>
            <w:tcW w:w="1386" w:type="dxa"/>
            <w:tcBorders>
              <w:top w:val="nil"/>
              <w:left w:val="nil"/>
              <w:bottom w:val="nil"/>
              <w:right w:val="nil"/>
            </w:tcBorders>
            <w:shd w:val="clear" w:color="auto" w:fill="auto"/>
            <w:vAlign w:val="bottom"/>
            <w:hideMark/>
          </w:tcPr>
          <w:p w14:paraId="224AEA12"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950" w:type="dxa"/>
            <w:tcBorders>
              <w:top w:val="nil"/>
              <w:left w:val="nil"/>
              <w:bottom w:val="nil"/>
              <w:right w:val="nil"/>
            </w:tcBorders>
            <w:shd w:val="clear" w:color="auto" w:fill="auto"/>
            <w:vAlign w:val="bottom"/>
            <w:hideMark/>
          </w:tcPr>
          <w:p w14:paraId="2F0273EE" w14:textId="77777777" w:rsidR="00403004" w:rsidRPr="00FA1728" w:rsidRDefault="00403004" w:rsidP="00B5460B">
            <w:pPr>
              <w:spacing w:after="0" w:line="240" w:lineRule="auto"/>
              <w:rPr>
                <w:rFonts w:ascii="Times New Roman" w:eastAsia="Times New Roman" w:hAnsi="Times New Roman" w:cs="Times New Roman"/>
                <w:sz w:val="23"/>
                <w:szCs w:val="23"/>
              </w:rPr>
            </w:pPr>
          </w:p>
        </w:tc>
        <w:tc>
          <w:tcPr>
            <w:tcW w:w="1445" w:type="dxa"/>
            <w:tcBorders>
              <w:top w:val="nil"/>
              <w:left w:val="nil"/>
              <w:bottom w:val="nil"/>
              <w:right w:val="nil"/>
            </w:tcBorders>
            <w:shd w:val="clear" w:color="auto" w:fill="auto"/>
            <w:noWrap/>
            <w:vAlign w:val="bottom"/>
            <w:hideMark/>
          </w:tcPr>
          <w:p w14:paraId="0C263E91"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(0.096)</w:t>
            </w:r>
          </w:p>
        </w:tc>
        <w:tc>
          <w:tcPr>
            <w:tcW w:w="950" w:type="dxa"/>
            <w:tcBorders>
              <w:top w:val="nil"/>
              <w:left w:val="nil"/>
              <w:bottom w:val="nil"/>
              <w:right w:val="nil"/>
            </w:tcBorders>
            <w:shd w:val="clear" w:color="auto" w:fill="auto"/>
            <w:vAlign w:val="bottom"/>
            <w:hideMark/>
          </w:tcPr>
          <w:p w14:paraId="323AF0A2"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p>
        </w:tc>
        <w:tc>
          <w:tcPr>
            <w:tcW w:w="1247" w:type="dxa"/>
            <w:tcBorders>
              <w:top w:val="nil"/>
              <w:left w:val="nil"/>
              <w:bottom w:val="nil"/>
              <w:right w:val="nil"/>
            </w:tcBorders>
            <w:shd w:val="clear" w:color="auto" w:fill="auto"/>
            <w:noWrap/>
            <w:vAlign w:val="bottom"/>
            <w:hideMark/>
          </w:tcPr>
          <w:p w14:paraId="1A2E33E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(0.018)</w:t>
            </w:r>
          </w:p>
        </w:tc>
      </w:tr>
      <w:tr w:rsidR="00403004" w:rsidRPr="00FA1728" w14:paraId="6B40DFD2" w14:textId="77777777" w:rsidTr="00B5460B">
        <w:trPr>
          <w:trHeight w:val="223"/>
        </w:trPr>
        <w:tc>
          <w:tcPr>
            <w:tcW w:w="1386" w:type="dxa"/>
            <w:tcBorders>
              <w:top w:val="nil"/>
              <w:left w:val="nil"/>
              <w:bottom w:val="nil"/>
              <w:right w:val="nil"/>
            </w:tcBorders>
            <w:shd w:val="clear" w:color="auto" w:fill="auto"/>
            <w:vAlign w:val="center"/>
            <w:hideMark/>
          </w:tcPr>
          <w:p w14:paraId="5534BED5" w14:textId="77777777" w:rsidR="00403004" w:rsidRPr="00FA1728" w:rsidRDefault="00403004" w:rsidP="00B5460B">
            <w:pPr>
              <w:spacing w:after="0" w:line="240" w:lineRule="auto"/>
              <w:rPr>
                <w:rFonts w:ascii="Times New Roman" w:eastAsia="Times New Roman" w:hAnsi="Times New Roman" w:cs="Times New Roman"/>
                <w:color w:val="000000"/>
                <w:sz w:val="23"/>
                <w:szCs w:val="23"/>
              </w:rPr>
            </w:pPr>
            <w:r w:rsidRPr="00FA1728">
              <w:rPr>
                <w:rFonts w:ascii="Times New Roman" w:eastAsia="Times New Roman" w:hAnsi="Times New Roman" w:cs="Times New Roman"/>
                <w:color w:val="000000"/>
                <w:sz w:val="23"/>
                <w:szCs w:val="23"/>
              </w:rPr>
              <w:t>Age</w:t>
            </w:r>
          </w:p>
        </w:tc>
        <w:tc>
          <w:tcPr>
            <w:tcW w:w="950" w:type="dxa"/>
            <w:tcBorders>
              <w:top w:val="nil"/>
              <w:left w:val="nil"/>
              <w:bottom w:val="nil"/>
              <w:right w:val="nil"/>
            </w:tcBorders>
            <w:shd w:val="clear" w:color="auto" w:fill="auto"/>
            <w:vAlign w:val="bottom"/>
            <w:hideMark/>
          </w:tcPr>
          <w:p w14:paraId="6389C945"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6,041</w:t>
            </w:r>
          </w:p>
        </w:tc>
        <w:tc>
          <w:tcPr>
            <w:tcW w:w="1445" w:type="dxa"/>
            <w:tcBorders>
              <w:top w:val="nil"/>
              <w:left w:val="nil"/>
              <w:bottom w:val="nil"/>
              <w:right w:val="nil"/>
            </w:tcBorders>
            <w:shd w:val="clear" w:color="auto" w:fill="auto"/>
            <w:noWrap/>
            <w:vAlign w:val="bottom"/>
            <w:hideMark/>
          </w:tcPr>
          <w:p w14:paraId="37FB3861"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-0.289</w:t>
            </w:r>
          </w:p>
        </w:tc>
        <w:tc>
          <w:tcPr>
            <w:tcW w:w="950" w:type="dxa"/>
            <w:tcBorders>
              <w:top w:val="nil"/>
              <w:left w:val="nil"/>
              <w:bottom w:val="nil"/>
              <w:right w:val="nil"/>
            </w:tcBorders>
            <w:shd w:val="clear" w:color="auto" w:fill="auto"/>
            <w:vAlign w:val="bottom"/>
            <w:hideMark/>
          </w:tcPr>
          <w:p w14:paraId="3BAEB2B0"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13,594</w:t>
            </w:r>
          </w:p>
        </w:tc>
        <w:tc>
          <w:tcPr>
            <w:tcW w:w="1247" w:type="dxa"/>
            <w:tcBorders>
              <w:top w:val="nil"/>
              <w:left w:val="nil"/>
              <w:bottom w:val="nil"/>
              <w:right w:val="nil"/>
            </w:tcBorders>
            <w:shd w:val="clear" w:color="auto" w:fill="auto"/>
            <w:noWrap/>
            <w:vAlign w:val="bottom"/>
            <w:hideMark/>
          </w:tcPr>
          <w:p w14:paraId="3809CE6C"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-0.038</w:t>
            </w:r>
          </w:p>
        </w:tc>
      </w:tr>
      <w:tr w:rsidR="00403004" w:rsidRPr="00FA1728" w14:paraId="3219A284" w14:textId="77777777" w:rsidTr="00B5460B">
        <w:trPr>
          <w:trHeight w:val="223"/>
        </w:trPr>
        <w:tc>
          <w:tcPr>
            <w:tcW w:w="1386" w:type="dxa"/>
            <w:tcBorders>
              <w:top w:val="nil"/>
              <w:left w:val="nil"/>
              <w:bottom w:val="single" w:sz="4" w:space="0" w:color="auto"/>
              <w:right w:val="nil"/>
            </w:tcBorders>
            <w:shd w:val="clear" w:color="auto" w:fill="auto"/>
            <w:vAlign w:val="center"/>
            <w:hideMark/>
          </w:tcPr>
          <w:p w14:paraId="32D76C48" w14:textId="77777777" w:rsidR="00403004" w:rsidRPr="00FA1728" w:rsidRDefault="00403004" w:rsidP="00B5460B">
            <w:pPr>
              <w:spacing w:after="0" w:line="240" w:lineRule="auto"/>
              <w:rPr>
                <w:rFonts w:ascii="Times New Roman" w:eastAsia="Times New Roman" w:hAnsi="Times New Roman" w:cs="Times New Roman"/>
                <w:color w:val="000000"/>
                <w:sz w:val="23"/>
                <w:szCs w:val="23"/>
              </w:rPr>
            </w:pPr>
            <w:r w:rsidRPr="00FA1728">
              <w:rPr>
                <w:rFonts w:ascii="Times New Roman" w:eastAsia="Times New Roman" w:hAnsi="Times New Roman" w:cs="Times New Roman"/>
                <w:color w:val="000000"/>
                <w:sz w:val="23"/>
                <w:szCs w:val="23"/>
              </w:rPr>
              <w:t> </w:t>
            </w:r>
          </w:p>
        </w:tc>
        <w:tc>
          <w:tcPr>
            <w:tcW w:w="950" w:type="dxa"/>
            <w:tcBorders>
              <w:top w:val="nil"/>
              <w:left w:val="nil"/>
              <w:bottom w:val="single" w:sz="4" w:space="0" w:color="auto"/>
              <w:right w:val="nil"/>
            </w:tcBorders>
            <w:shd w:val="clear" w:color="auto" w:fill="auto"/>
            <w:vAlign w:val="center"/>
            <w:hideMark/>
          </w:tcPr>
          <w:p w14:paraId="0D61DCB4" w14:textId="77777777" w:rsidR="00403004" w:rsidRPr="00FA1728" w:rsidRDefault="00403004" w:rsidP="00B5460B">
            <w:pPr>
              <w:spacing w:after="0" w:line="240" w:lineRule="auto"/>
              <w:rPr>
                <w:rFonts w:ascii="Times New Roman" w:eastAsia="Times New Roman" w:hAnsi="Times New Roman" w:cs="Times New Roman"/>
                <w:color w:val="000000"/>
                <w:sz w:val="23"/>
                <w:szCs w:val="23"/>
              </w:rPr>
            </w:pPr>
            <w:r w:rsidRPr="00FA1728">
              <w:rPr>
                <w:rFonts w:ascii="Times New Roman" w:eastAsia="Times New Roman" w:hAnsi="Times New Roman" w:cs="Times New Roman"/>
                <w:color w:val="000000"/>
                <w:sz w:val="23"/>
                <w:szCs w:val="23"/>
              </w:rPr>
              <w:t> </w:t>
            </w:r>
          </w:p>
        </w:tc>
        <w:tc>
          <w:tcPr>
            <w:tcW w:w="1445" w:type="dxa"/>
            <w:tcBorders>
              <w:top w:val="nil"/>
              <w:left w:val="nil"/>
              <w:bottom w:val="single" w:sz="4" w:space="0" w:color="auto"/>
              <w:right w:val="nil"/>
            </w:tcBorders>
            <w:shd w:val="clear" w:color="auto" w:fill="auto"/>
            <w:noWrap/>
            <w:vAlign w:val="bottom"/>
            <w:hideMark/>
          </w:tcPr>
          <w:p w14:paraId="7E5C90FF"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(0.899)</w:t>
            </w:r>
          </w:p>
        </w:tc>
        <w:tc>
          <w:tcPr>
            <w:tcW w:w="950" w:type="dxa"/>
            <w:tcBorders>
              <w:top w:val="nil"/>
              <w:left w:val="nil"/>
              <w:bottom w:val="single" w:sz="4" w:space="0" w:color="auto"/>
              <w:right w:val="nil"/>
            </w:tcBorders>
            <w:shd w:val="clear" w:color="auto" w:fill="auto"/>
            <w:vAlign w:val="center"/>
            <w:hideMark/>
          </w:tcPr>
          <w:p w14:paraId="40337BE6" w14:textId="77777777" w:rsidR="00403004" w:rsidRPr="00FA1728" w:rsidRDefault="00403004" w:rsidP="00B5460B">
            <w:pPr>
              <w:spacing w:after="0" w:line="240" w:lineRule="auto"/>
              <w:rPr>
                <w:rFonts w:ascii="Times New Roman" w:eastAsia="Times New Roman" w:hAnsi="Times New Roman" w:cs="Times New Roman"/>
                <w:color w:val="000000"/>
                <w:sz w:val="23"/>
                <w:szCs w:val="23"/>
              </w:rPr>
            </w:pPr>
            <w:r w:rsidRPr="00FA1728">
              <w:rPr>
                <w:rFonts w:ascii="Times New Roman" w:eastAsia="Times New Roman" w:hAnsi="Times New Roman" w:cs="Times New Roman"/>
                <w:color w:val="000000"/>
                <w:sz w:val="23"/>
                <w:szCs w:val="23"/>
              </w:rPr>
              <w:t> </w:t>
            </w:r>
          </w:p>
        </w:tc>
        <w:tc>
          <w:tcPr>
            <w:tcW w:w="1247" w:type="dxa"/>
            <w:tcBorders>
              <w:top w:val="nil"/>
              <w:left w:val="nil"/>
              <w:bottom w:val="single" w:sz="4" w:space="0" w:color="auto"/>
              <w:right w:val="nil"/>
            </w:tcBorders>
            <w:shd w:val="clear" w:color="auto" w:fill="auto"/>
            <w:noWrap/>
            <w:vAlign w:val="bottom"/>
            <w:hideMark/>
          </w:tcPr>
          <w:p w14:paraId="12250ABD" w14:textId="77777777" w:rsidR="00403004" w:rsidRPr="00FA1728" w:rsidRDefault="00403004" w:rsidP="00B5460B">
            <w:pPr>
              <w:spacing w:after="0" w:line="240" w:lineRule="auto"/>
              <w:jc w:val="center"/>
              <w:rPr>
                <w:rFonts w:ascii="Times New Roman" w:eastAsia="Times New Roman" w:hAnsi="Times New Roman" w:cs="Times New Roman"/>
                <w:sz w:val="23"/>
                <w:szCs w:val="23"/>
              </w:rPr>
            </w:pPr>
            <w:r w:rsidRPr="00FA1728">
              <w:rPr>
                <w:rFonts w:ascii="Times New Roman" w:eastAsia="Times New Roman" w:hAnsi="Times New Roman" w:cs="Times New Roman"/>
                <w:sz w:val="23"/>
                <w:szCs w:val="23"/>
              </w:rPr>
              <w:t>(0.067)</w:t>
            </w:r>
          </w:p>
        </w:tc>
      </w:tr>
      <w:tr w:rsidR="00403004" w:rsidRPr="00FA1728" w14:paraId="6F97618D" w14:textId="77777777" w:rsidTr="00B5460B">
        <w:trPr>
          <w:trHeight w:val="1177"/>
        </w:trPr>
        <w:tc>
          <w:tcPr>
            <w:tcW w:w="5981" w:type="dxa"/>
            <w:gridSpan w:val="5"/>
            <w:tcBorders>
              <w:top w:val="single" w:sz="4" w:space="0" w:color="auto"/>
              <w:left w:val="nil"/>
              <w:bottom w:val="nil"/>
              <w:right w:val="nil"/>
            </w:tcBorders>
            <w:shd w:val="clear" w:color="auto" w:fill="auto"/>
            <w:vAlign w:val="bottom"/>
            <w:hideMark/>
          </w:tcPr>
          <w:p w14:paraId="1C7C8217" w14:textId="77777777" w:rsidR="00403004" w:rsidRPr="00FA1728" w:rsidRDefault="00403004" w:rsidP="00B5460B">
            <w:pPr>
              <w:spacing w:after="0" w:line="240" w:lineRule="auto"/>
              <w:rPr>
                <w:rFonts w:ascii="Times New Roman" w:eastAsia="Times New Roman" w:hAnsi="Times New Roman" w:cs="Times New Roman"/>
                <w:color w:val="000000"/>
                <w:sz w:val="20"/>
                <w:szCs w:val="20"/>
              </w:rPr>
            </w:pPr>
            <w:r w:rsidRPr="00FA1728">
              <w:rPr>
                <w:rFonts w:ascii="Times New Roman" w:eastAsia="Times New Roman" w:hAnsi="Times New Roman" w:cs="Times New Roman"/>
                <w:i/>
                <w:color w:val="000000"/>
                <w:sz w:val="20"/>
                <w:szCs w:val="20"/>
                <w:u w:val="single"/>
              </w:rPr>
              <w:t>Note:</w:t>
            </w:r>
            <w:r>
              <w:rPr>
                <w:rFonts w:ascii="Times New Roman" w:eastAsia="Times New Roman" w:hAnsi="Times New Roman" w:cs="Times New Roman"/>
                <w:color w:val="000000"/>
                <w:sz w:val="20"/>
                <w:szCs w:val="20"/>
              </w:rPr>
              <w:t xml:space="preserve"> </w:t>
            </w:r>
            <w:r w:rsidRPr="00FA1728">
              <w:rPr>
                <w:rFonts w:ascii="Times New Roman" w:eastAsia="Times New Roman" w:hAnsi="Times New Roman" w:cs="Times New Roman"/>
                <w:color w:val="000000"/>
                <w:sz w:val="20"/>
                <w:szCs w:val="20"/>
              </w:rPr>
              <w:t xml:space="preserve">In Model 1, the data driven bandwidths were calculated using the msetwo function with triangular kernels to maintain consistency with the main RD analysis. In Model 2, the bandwidth is 1 on either side of the cutoff. Both models include cohort fixed effects. Robust standard errors in parentheses *p &lt; 0.10; **p &lt; 0.05; ***p &lt; 0.01. </w:t>
            </w:r>
          </w:p>
        </w:tc>
      </w:tr>
    </w:tbl>
    <w:p w14:paraId="1C9426E3" w14:textId="77777777" w:rsidR="00403004" w:rsidRDefault="00403004" w:rsidP="00063F17">
      <w:pPr>
        <w:spacing w:line="480" w:lineRule="auto"/>
        <w:rPr>
          <w:rFonts w:ascii="Times New Roman" w:hAnsi="Times New Roman" w:cs="Times New Roman"/>
          <w:sz w:val="24"/>
          <w:szCs w:val="24"/>
        </w:rPr>
      </w:pPr>
    </w:p>
    <w:p w14:paraId="19637183" w14:textId="463C9104"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The final threat to validity that must be investigated is the potential for the high school GPA threshold to reflect more treatments and opportunities than just Tulsa Achieves, which could be the potential mechanism for the effects revealed in the analysis. However, this is unlikely to be an issue because there were no simultaneously occurring reforms at Tulsa Community College during the years 2005-2015 that would meaningfully affect the analysis, according to conversations with programs coordinators at the college. Moreover, the high school GPA eligibility threshold for the major statewide financial aid programs is either not applicable (for the Oklahoma Tuition Aid Grant program) or much higher than a 2.0 (for the Oklahoma’s Promise program).</w:t>
      </w:r>
    </w:p>
    <w:p w14:paraId="1706630B" w14:textId="2BB1A757" w:rsidR="00063F17" w:rsidRPr="00E633D8" w:rsidRDefault="00063F17" w:rsidP="00063F17">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The evidence of the strong discontinuity in the proportion of students receiving Tulsa Achieves above and below the threshold, along with the validity checks support the internal </w:t>
      </w:r>
      <w:r w:rsidRPr="00E633D8">
        <w:rPr>
          <w:rFonts w:ascii="Times New Roman" w:hAnsi="Times New Roman" w:cs="Times New Roman"/>
          <w:sz w:val="24"/>
          <w:szCs w:val="24"/>
        </w:rPr>
        <w:lastRenderedPageBreak/>
        <w:t xml:space="preserve">validity of the regression discontinuity design and the causal nature of the estimates. To obtain estimates capturing the effect of Tulsa Achieves on the outcome variables, I employ an instrumental variables (IV) approach in which I utilize scoring above the GPA threshold as the instrument for receiving Tulsa Achieves, in line with </w:t>
      </w:r>
      <w:r w:rsidRPr="00E633D8">
        <w:rPr>
          <w:rFonts w:ascii="Times New Roman" w:hAnsi="Times New Roman" w:cs="Times New Roman"/>
          <w:sz w:val="24"/>
          <w:szCs w:val="24"/>
        </w:rPr>
        <w:fldChar w:fldCharType="begin"/>
      </w:r>
      <w:r w:rsidRPr="00E633D8">
        <w:rPr>
          <w:rFonts w:ascii="Times New Roman" w:hAnsi="Times New Roman" w:cs="Times New Roman"/>
          <w:sz w:val="24"/>
          <w:szCs w:val="24"/>
        </w:rPr>
        <w:instrText xml:space="preserve"> ADDIN ZOTERO_ITEM CSL_CITATION {"citationID":"uf3PtzHT","properties":{"formattedCitation":"(Imbens &amp; Lemieux, 2007)","plainCitation":"(Imbens &amp; Lemieux, 2007)","noteIndex":0},"citationItems":[{"id":7090,"uris":["http://zotero.org/users/2595715/items/SNRCVF64"],"uri":["http://zotero.org/users/2595715/items/SNRCVF64"],"itemData":{"id":7090,"type":"report","title":"Regression Discontinuity Designs: A Guide to Practice","publisher":"National Bureau of Economic Research","genre":"Working Paper","source":"National Bureau of Economic Research","abstract":"In Regression Discontinuity (RD) designs for evaluating causal effects of interventions, assignment to a treatment is determined at least partly by the value of an observed covariate lying on either side of a fixed threshold. These designs were first introduced in the evaluation literature by Thistlewaite and Campbell (1960). With the exception of a few unpublished theoretical papers, these methods did not attract much attention in the economics literature until recently. Starting in the late 1990s, there has been a large number of studies in economics applying and extending RD methods. In this paper we review some of the practical and theoretical issues involved in the implementation of RD methods.","URL":"http://www.nber.org/papers/w13039","note":"DOI: 10.3386/w13039","number":"13039","shortTitle":"Regression Discontinuity Designs","author":[{"family":"Imbens","given":"Guido"},{"family":"Lemieux","given":"Thomas"}],"issued":{"date-parts":[["2007",4]]},"accessed":{"date-parts":[["2019",1,14]]}}}],"schema":"https://github.com/citation-style-language/schema/raw/master/csl-citation.json"} </w:instrText>
      </w:r>
      <w:r w:rsidRPr="00E633D8">
        <w:rPr>
          <w:rFonts w:ascii="Times New Roman" w:hAnsi="Times New Roman" w:cs="Times New Roman"/>
          <w:sz w:val="24"/>
          <w:szCs w:val="24"/>
        </w:rPr>
        <w:fldChar w:fldCharType="separate"/>
      </w:r>
      <w:r w:rsidRPr="00E633D8">
        <w:rPr>
          <w:rFonts w:ascii="Times New Roman" w:hAnsi="Times New Roman" w:cs="Times New Roman"/>
          <w:sz w:val="24"/>
        </w:rPr>
        <w:t>(Imbens &amp; Lemieux, 2007)</w:t>
      </w:r>
      <w:r w:rsidRPr="00E633D8">
        <w:rPr>
          <w:rFonts w:ascii="Times New Roman" w:hAnsi="Times New Roman" w:cs="Times New Roman"/>
          <w:sz w:val="24"/>
          <w:szCs w:val="24"/>
        </w:rPr>
        <w:fldChar w:fldCharType="end"/>
      </w:r>
      <w:r w:rsidRPr="00E633D8">
        <w:rPr>
          <w:rFonts w:ascii="Times New Roman" w:hAnsi="Times New Roman" w:cs="Times New Roman"/>
          <w:sz w:val="24"/>
          <w:szCs w:val="24"/>
        </w:rPr>
        <w:t xml:space="preserve">. For this instrument to be valid, scoring above the GPA threshold must predict treatment assignment and it must be uncorrelated with the outcomes other than through its effect on Tulsa Achieves receipt. Based on the evidence in Figure </w:t>
      </w:r>
      <w:r w:rsidR="00290299">
        <w:rPr>
          <w:rFonts w:ascii="Times New Roman" w:hAnsi="Times New Roman" w:cs="Times New Roman"/>
          <w:sz w:val="24"/>
          <w:szCs w:val="24"/>
        </w:rPr>
        <w:t>5-8</w:t>
      </w:r>
      <w:r w:rsidRPr="00E633D8">
        <w:rPr>
          <w:rFonts w:ascii="Times New Roman" w:hAnsi="Times New Roman" w:cs="Times New Roman"/>
          <w:sz w:val="24"/>
          <w:szCs w:val="24"/>
        </w:rPr>
        <w:t>, the first condition is met—obtaining a high school GPA above the eligibility threshold is highly correlated to whether a student receives Tulsa Achieves. The second condition, which is not directly testable, should be met as long as the flexible functional form is correctly specified and there is no evidence of manipulation. Given that the validity checks showed no evidence of manipulation, I implement the instrumental variables approach in a two-stage least squares model (2SLS) where Tulsa Achieves recipient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w:rPr>
            <w:rFonts w:ascii="Cambria Math" w:hAnsi="Cambria Math" w:cs="Times New Roman"/>
            <w:sz w:val="24"/>
            <w:szCs w:val="24"/>
          </w:rPr>
          <m:t>)</m:t>
        </m:r>
      </m:oMath>
      <w:r w:rsidRPr="00E633D8">
        <w:rPr>
          <w:rFonts w:ascii="Times New Roman" w:hAnsi="Times New Roman" w:cs="Times New Roman"/>
          <w:sz w:val="24"/>
          <w:szCs w:val="24"/>
        </w:rPr>
        <w:t xml:space="preserve"> is predicted in the following model:</w:t>
      </w:r>
    </w:p>
    <w:p w14:paraId="6B12562A" w14:textId="77777777" w:rsidR="00063F17" w:rsidRPr="00E633D8" w:rsidRDefault="003C3EBF" w:rsidP="00063F17">
      <w:pPr>
        <w:spacing w:line="480" w:lineRule="auto"/>
        <w:ind w:firstLine="720"/>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GPADist</m:t>
                </m:r>
              </m:e>
              <m:sub>
                <m:r>
                  <w:rPr>
                    <w:rFonts w:ascii="Cambria Math" w:hAnsi="Cambria Math" w:cs="Times New Roman"/>
                    <w:sz w:val="24"/>
                    <w:szCs w:val="24"/>
                  </w:rPr>
                  <m:t>i</m:t>
                </m:r>
              </m:sub>
            </m:sSub>
          </m:e>
        </m:d>
        <m:r>
          <w:rPr>
            <w:rFonts w:ascii="Cambria Math" w:hAnsi="Cambria Math" w:cs="Times New Roman"/>
            <w:sz w:val="24"/>
            <w:szCs w:val="24"/>
          </w:rPr>
          <m:t>+θ</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iAbove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π+</m:t>
        </m:r>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oMath>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t>(2)</w:t>
      </w:r>
    </w:p>
    <w:p w14:paraId="398079CD"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 xml:space="preserve">as a function of </w:t>
      </w:r>
      <m:oMath>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GPADist</m:t>
                </m:r>
              </m:e>
              <m:sub>
                <m:r>
                  <w:rPr>
                    <w:rFonts w:ascii="Cambria Math" w:hAnsi="Cambria Math" w:cs="Times New Roman"/>
                    <w:sz w:val="24"/>
                    <w:szCs w:val="24"/>
                  </w:rPr>
                  <m:t>i</m:t>
                </m:r>
              </m:sub>
            </m:sSub>
          </m:e>
        </m:d>
      </m:oMath>
      <w:r w:rsidRPr="00E633D8">
        <w:rPr>
          <w:rFonts w:ascii="Times New Roman" w:eastAsiaTheme="minorEastAsia" w:hAnsi="Times New Roman" w:cs="Times New Roman"/>
          <w:sz w:val="24"/>
          <w:szCs w:val="24"/>
        </w:rPr>
        <w:t xml:space="preserve">, the flexible function of the distance from the GPA threshold,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iAbove</m:t>
            </m:r>
          </m:sub>
        </m:sSub>
      </m:oMath>
      <w:r w:rsidRPr="00E633D8">
        <w:rPr>
          <w:rFonts w:ascii="Times New Roman" w:eastAsiaTheme="minorEastAsia" w:hAnsi="Times New Roman" w:cs="Times New Roman"/>
          <w:sz w:val="24"/>
          <w:szCs w:val="24"/>
        </w:rPr>
        <w:t xml:space="preserve"> is an indicator of scoring above the threshold,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Pr="00E633D8">
        <w:rPr>
          <w:rFonts w:ascii="Times New Roman" w:eastAsiaTheme="minorEastAsia" w:hAnsi="Times New Roman" w:cs="Times New Roman"/>
          <w:sz w:val="24"/>
          <w:szCs w:val="24"/>
        </w:rPr>
        <w:t xml:space="preserve"> is a vector of student characteristics, </w:t>
      </w:r>
      <m:oMath>
        <m:r>
          <m:rPr>
            <m:nor/>
          </m:rPr>
          <w:rPr>
            <w:rFonts w:ascii="Cambria Math" w:hAnsi="Cambria Math" w:cs="Times New Roman"/>
            <w:i/>
            <w:iCs/>
            <w:sz w:val="24"/>
            <w:szCs w:val="24"/>
          </w:rPr>
          <m:t xml:space="preserve"> </m:t>
        </m:r>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oMath>
      <w:r w:rsidRPr="00E633D8">
        <w:rPr>
          <w:rFonts w:ascii="Times New Roman" w:eastAsiaTheme="minorEastAsia" w:hAnsi="Times New Roman" w:cs="Times New Roman"/>
          <w:iCs/>
          <w:sz w:val="24"/>
          <w:szCs w:val="24"/>
        </w:rPr>
        <w:t xml:space="preserve"> are the cohort fixed effects, </w:t>
      </w:r>
      <w:r w:rsidRPr="00E633D8">
        <w:rPr>
          <w:rFonts w:ascii="Times New Roman" w:eastAsiaTheme="minorEastAsia"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oMath>
      <w:r w:rsidRPr="00E633D8">
        <w:rPr>
          <w:rFonts w:ascii="Times New Roman" w:eastAsiaTheme="minorEastAsia" w:hAnsi="Times New Roman" w:cs="Times New Roman"/>
          <w:sz w:val="24"/>
          <w:szCs w:val="24"/>
        </w:rPr>
        <w:t xml:space="preserve"> is the idiosyncratic error term. The predictions for </w:t>
      </w:r>
      <w:r w:rsidRPr="00E633D8">
        <w:rPr>
          <w:rFonts w:ascii="Times New Roman" w:eastAsiaTheme="minorEastAsia" w:hAnsi="Times New Roman" w:cs="Times New Roman"/>
          <w:i/>
          <w:sz w:val="24"/>
          <w:szCs w:val="24"/>
        </w:rPr>
        <w:t xml:space="preserve">T </w:t>
      </w:r>
      <w:r w:rsidRPr="00E633D8">
        <w:rPr>
          <w:rFonts w:ascii="Times New Roman" w:eastAsiaTheme="minorEastAsia" w:hAnsi="Times New Roman" w:cs="Times New Roman"/>
          <w:sz w:val="24"/>
          <w:szCs w:val="24"/>
        </w:rPr>
        <w:t xml:space="preserve">in the equation 2 are denoted as </w:t>
      </w:r>
      <m:oMath>
        <m:acc>
          <m:accPr>
            <m:ctrlPr>
              <w:rPr>
                <w:rFonts w:ascii="Cambria Math" w:hAnsi="Cambria Math" w:cs="Times New Roman"/>
                <w:i/>
                <w:sz w:val="24"/>
                <w:szCs w:val="24"/>
              </w:rPr>
            </m:ctrlPr>
          </m:accPr>
          <m:e>
            <m:r>
              <w:rPr>
                <w:rFonts w:ascii="Cambria Math" w:hAnsi="Cambria Math" w:cs="Times New Roman"/>
                <w:sz w:val="24"/>
                <w:szCs w:val="24"/>
              </w:rPr>
              <m:t>T</m:t>
            </m:r>
          </m:e>
        </m:acc>
      </m:oMath>
      <w:r w:rsidRPr="00E633D8">
        <w:rPr>
          <w:rFonts w:ascii="Times New Roman" w:eastAsiaTheme="minorEastAsia" w:hAnsi="Times New Roman" w:cs="Times New Roman"/>
          <w:sz w:val="24"/>
          <w:szCs w:val="24"/>
        </w:rPr>
        <w:t xml:space="preserve"> in the second stage equation presented below. </w:t>
      </w:r>
      <w:r w:rsidRPr="00E633D8">
        <w:rPr>
          <w:rFonts w:ascii="Times New Roman" w:hAnsi="Times New Roman" w:cs="Times New Roman"/>
          <w:sz w:val="24"/>
          <w:szCs w:val="24"/>
        </w:rPr>
        <w:t>The second stage model is presented in equation 3:</w:t>
      </w:r>
    </w:p>
    <w:p w14:paraId="10CD80B9" w14:textId="77777777" w:rsidR="00063F17" w:rsidRPr="00E633D8" w:rsidRDefault="003C3EBF" w:rsidP="00063F17">
      <w:pPr>
        <w:spacing w:line="48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e>
        </m:d>
        <m:r>
          <w:rPr>
            <w:rFonts w:ascii="Cambria Math" w:hAnsi="Cambria Math" w:cs="Times New Roman"/>
            <w:sz w:val="24"/>
            <w:szCs w:val="24"/>
          </w:rPr>
          <m:t>+φ</m:t>
        </m:r>
        <m:acc>
          <m:accPr>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oMath>
      <w:r w:rsidR="00063F17" w:rsidRPr="00E633D8">
        <w:rPr>
          <w:rFonts w:ascii="Times New Roman" w:eastAsiaTheme="minorEastAsia" w:hAnsi="Times New Roman" w:cs="Times New Roman"/>
          <w:sz w:val="24"/>
          <w:szCs w:val="24"/>
        </w:rPr>
        <w:t xml:space="preserve">  </w:t>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r>
      <w:r w:rsidR="00063F17" w:rsidRPr="00E633D8">
        <w:rPr>
          <w:rFonts w:ascii="Times New Roman" w:eastAsiaTheme="minorEastAsia" w:hAnsi="Times New Roman" w:cs="Times New Roman"/>
          <w:sz w:val="24"/>
          <w:szCs w:val="24"/>
        </w:rPr>
        <w:tab/>
        <w:t>(3)</w:t>
      </w:r>
    </w:p>
    <w:p w14:paraId="36CFE51E" w14:textId="77777777" w:rsidR="00063F17" w:rsidRPr="00E633D8" w:rsidRDefault="00063F17" w:rsidP="00063F17">
      <w:pPr>
        <w:spacing w:line="480" w:lineRule="auto"/>
        <w:rPr>
          <w:rFonts w:ascii="Times New Roman" w:eastAsiaTheme="minorEastAsia" w:hAnsi="Times New Roman" w:cs="Times New Roman"/>
          <w:sz w:val="24"/>
          <w:szCs w:val="24"/>
        </w:rPr>
      </w:pPr>
      <w:r w:rsidRPr="00E633D8">
        <w:rPr>
          <w:rFonts w:ascii="Times New Roman" w:hAnsi="Times New Roman" w:cs="Times New Roman"/>
          <w:sz w:val="24"/>
          <w:szCs w:val="24"/>
        </w:rPr>
        <w:t xml:space="preserve">In this model, </w:t>
      </w:r>
      <m:oMath>
        <m:r>
          <w:rPr>
            <w:rFonts w:ascii="Cambria Math" w:hAnsi="Cambria Math" w:cs="Times New Roman"/>
            <w:sz w:val="24"/>
            <w:szCs w:val="24"/>
          </w:rPr>
          <m:t>φ</m:t>
        </m:r>
      </m:oMath>
      <w:r w:rsidRPr="00E633D8">
        <w:rPr>
          <w:rFonts w:ascii="Times New Roman" w:eastAsiaTheme="minorEastAsia" w:hAnsi="Times New Roman" w:cs="Times New Roman"/>
          <w:sz w:val="24"/>
          <w:szCs w:val="24"/>
        </w:rPr>
        <w:t xml:space="preserve"> represents the local average treatment effect (LATE) of Tulsa Achieves on student retention, credit accumulation, transfer, and graduation. As a result of the instrumental </w:t>
      </w:r>
      <w:r w:rsidRPr="00E633D8">
        <w:rPr>
          <w:rFonts w:ascii="Times New Roman" w:eastAsiaTheme="minorEastAsia" w:hAnsi="Times New Roman" w:cs="Times New Roman"/>
          <w:sz w:val="24"/>
          <w:szCs w:val="24"/>
        </w:rPr>
        <w:lastRenderedPageBreak/>
        <w:t xml:space="preserve">variables approach, </w:t>
      </w:r>
      <m:oMath>
        <m:acc>
          <m:accPr>
            <m:ctrlPr>
              <w:rPr>
                <w:rFonts w:ascii="Cambria Math" w:hAnsi="Cambria Math" w:cs="Times New Roman"/>
                <w:i/>
                <w:sz w:val="24"/>
                <w:szCs w:val="24"/>
              </w:rPr>
            </m:ctrlPr>
          </m:accPr>
          <m:e>
            <m:r>
              <w:rPr>
                <w:rFonts w:ascii="Cambria Math" w:hAnsi="Cambria Math" w:cs="Times New Roman"/>
                <w:sz w:val="24"/>
                <w:szCs w:val="24"/>
              </w:rPr>
              <m:t>T</m:t>
            </m:r>
          </m:e>
        </m:acc>
      </m:oMath>
      <w:r w:rsidRPr="00E633D8">
        <w:rPr>
          <w:rFonts w:ascii="Times New Roman" w:eastAsiaTheme="minorEastAsia" w:hAnsi="Times New Roman" w:cs="Times New Roman"/>
          <w:sz w:val="24"/>
          <w:szCs w:val="24"/>
        </w:rPr>
        <w:t xml:space="preserve"> reflects only the variation in treatment assignment that is attributable to obtaining a high school GPA above the threshold and is thus uncorrelated with </w:t>
      </w:r>
      <m:oMath>
        <m:r>
          <w:rPr>
            <w:rFonts w:ascii="Cambria Math" w:hAnsi="Cambria Math" w:cs="Times New Roman"/>
            <w:sz w:val="24"/>
            <w:szCs w:val="24"/>
          </w:rPr>
          <m:t>ε</m:t>
        </m:r>
      </m:oMath>
      <w:r w:rsidRPr="00E633D8">
        <w:rPr>
          <w:rFonts w:ascii="Times New Roman" w:eastAsiaTheme="minorEastAsia" w:hAnsi="Times New Roman" w:cs="Times New Roman"/>
          <w:sz w:val="24"/>
          <w:szCs w:val="24"/>
        </w:rPr>
        <w:t xml:space="preserve">. This LATE represents the causal impact of Tulsa Achieves on student outcomes for those students near the high school GPA threshold for whom scoring above the threshold would have resulted in receiving Tulsa Achieves. In accordance with best practices suggested by </w:t>
      </w:r>
      <w:r w:rsidRPr="00E633D8">
        <w:rPr>
          <w:rFonts w:ascii="Times New Roman" w:eastAsiaTheme="minorEastAsia" w:hAnsi="Times New Roman" w:cs="Times New Roman"/>
          <w:sz w:val="24"/>
          <w:szCs w:val="24"/>
        </w:rPr>
        <w:fldChar w:fldCharType="begin"/>
      </w:r>
      <w:r w:rsidRPr="00E633D8">
        <w:rPr>
          <w:rFonts w:ascii="Times New Roman" w:eastAsiaTheme="minorEastAsia" w:hAnsi="Times New Roman" w:cs="Times New Roman"/>
          <w:sz w:val="24"/>
          <w:szCs w:val="24"/>
        </w:rPr>
        <w:instrText xml:space="preserve"> ADDIN ZOTERO_ITEM CSL_CITATION {"citationID":"0bQiHSvC","properties":{"formattedCitation":"(Lee &amp; Card, 2008)","plainCitation":"(Lee &amp; Card, 2008)","noteIndex":0},"citationItems":[{"id":7093,"uris":["http://zotero.org/users/2595715/items/YSKX9HAG"],"uri":["http://zotero.org/users/2595715/items/YSKX9HAG"],"itemData":{"id":7093,"type":"article-journal","title":"Regression discontinuity inference with specification error","container-title":"Journal of Econometrics","page":"655-674","volume":"142","issue":"2","source":"Crossref","abstract":"A regression discontinuity (RD) research design is appropriate for program evaluation problems in which treatment status (or the probability of treatment) depends on whether an observed covariate exceeds a ﬁxed threshold. In many applications the treatment-determining covariate is discrete. This makes it impossible to compare outcomes for observations ‘‘just above’’ and ‘‘just below’’ the treatment threshold, and requires the researcher to choose a functional form for the relationship between the treatment variable and the outcomes of interest. We propose a simple econometric procedure to account for uncertainty in the choice of functional form for RD designs with discrete support. In particular, we model deviations of the true regression function from a given approximating function—the speciﬁcation errors—as random. Conventional standard errors ignore the group structure induced by speciﬁcation errors and tend to overstate the precision of the estimated program impacts. The proposed inference procedure that allows for speciﬁcation error also has a natural interpretation within a Bayesian framework.","DOI":"10.1016/j.jeconom.2007.05.003","ISSN":"03044076","language":"en","author":[{"family":"Lee","given":"David S."},{"family":"Card","given":"David"}],"issued":{"date-parts":[["2008",2]]}}}],"schema":"https://github.com/citation-style-language/schema/raw/master/csl-citation.json"} </w:instrText>
      </w:r>
      <w:r w:rsidRPr="00E633D8">
        <w:rPr>
          <w:rFonts w:ascii="Times New Roman" w:eastAsiaTheme="minorEastAsia" w:hAnsi="Times New Roman" w:cs="Times New Roman"/>
          <w:sz w:val="24"/>
          <w:szCs w:val="24"/>
        </w:rPr>
        <w:fldChar w:fldCharType="separate"/>
      </w:r>
      <w:r w:rsidRPr="00E633D8">
        <w:rPr>
          <w:rFonts w:ascii="Times New Roman" w:hAnsi="Times New Roman" w:cs="Times New Roman"/>
          <w:sz w:val="24"/>
        </w:rPr>
        <w:t>(Lee &amp; Card, 2008)</w:t>
      </w:r>
      <w:r w:rsidRPr="00E633D8">
        <w:rPr>
          <w:rFonts w:ascii="Times New Roman" w:eastAsiaTheme="minorEastAsia" w:hAnsi="Times New Roman" w:cs="Times New Roman"/>
          <w:sz w:val="24"/>
          <w:szCs w:val="24"/>
        </w:rPr>
        <w:fldChar w:fldCharType="end"/>
      </w:r>
      <w:r w:rsidRPr="00E633D8">
        <w:rPr>
          <w:rFonts w:ascii="Times New Roman" w:eastAsiaTheme="minorEastAsia" w:hAnsi="Times New Roman" w:cs="Times New Roman"/>
          <w:sz w:val="24"/>
          <w:szCs w:val="24"/>
        </w:rPr>
        <w:t xml:space="preserve">, the errors are clustered by the forcing variable—high school GPA. Additionally, I utilize mse-two bandwidth selection in the baseline results to allow for the data-driven bandwidths to be calculated separately above and below the threshold and present the results with multiple different bandwidths to test whether the results are sensitive to specification </w:t>
      </w:r>
      <w:r w:rsidRPr="00E633D8">
        <w:rPr>
          <w:rFonts w:ascii="Times New Roman" w:eastAsiaTheme="minorEastAsia" w:hAnsi="Times New Roman" w:cs="Times New Roman"/>
          <w:sz w:val="24"/>
          <w:szCs w:val="24"/>
        </w:rPr>
        <w:fldChar w:fldCharType="begin"/>
      </w:r>
      <w:r w:rsidRPr="00E633D8">
        <w:rPr>
          <w:rFonts w:ascii="Times New Roman" w:eastAsiaTheme="minorEastAsia" w:hAnsi="Times New Roman" w:cs="Times New Roman"/>
          <w:sz w:val="24"/>
          <w:szCs w:val="24"/>
        </w:rPr>
        <w:instrText xml:space="preserve"> ADDIN ZOTERO_ITEM CSL_CITATION {"citationID":"NqqonKdn","properties":{"formattedCitation":"(Imbens &amp; Kalyanaraman, 2012)","plainCitation":"(Imbens &amp; Kalyanaraman, 2012)","noteIndex":0},"citationItems":[{"id":7171,"uris":["http://zotero.org/users/2595715/items/ZDIAZT9X"],"uri":["http://zotero.org/users/2595715/items/ZDIAZT9X"],"itemData":{"id":7171,"type":"article-journal","title":"Optimal Bandwidth Choice for the Regression Discontinuity Estimator","container-title":"The Review of Economic Studies","page":"933-959","volume":"79","issue":"3","source":"academic-oup-com.ezproxy.lib.ou.edu","abstract":"Abstract.  We investigate the choice of the bandwidth for the regression discontinuity estimator. We focus on estimation by local linear regression, which was s","DOI":"10.1093/restud/rdr043","ISSN":"0034-6527","journalAbbreviation":"Rev Econ Stud","language":"en","author":[{"family":"Imbens","given":"Guido"},{"family":"Kalyanaraman","given":"Karthik"}],"issued":{"date-parts":[["2012",7,1]]}}}],"schema":"https://github.com/citation-style-language/schema/raw/master/csl-citation.json"} </w:instrText>
      </w:r>
      <w:r w:rsidRPr="00E633D8">
        <w:rPr>
          <w:rFonts w:ascii="Times New Roman" w:eastAsiaTheme="minorEastAsia" w:hAnsi="Times New Roman" w:cs="Times New Roman"/>
          <w:sz w:val="24"/>
          <w:szCs w:val="24"/>
        </w:rPr>
        <w:fldChar w:fldCharType="separate"/>
      </w:r>
      <w:r w:rsidRPr="00E633D8">
        <w:rPr>
          <w:rFonts w:ascii="Times New Roman" w:hAnsi="Times New Roman" w:cs="Times New Roman"/>
          <w:sz w:val="24"/>
        </w:rPr>
        <w:t>(Imbens &amp; Kalyanaraman, 2012)</w:t>
      </w:r>
      <w:r w:rsidRPr="00E633D8">
        <w:rPr>
          <w:rFonts w:ascii="Times New Roman" w:eastAsiaTheme="minorEastAsia" w:hAnsi="Times New Roman" w:cs="Times New Roman"/>
          <w:sz w:val="24"/>
          <w:szCs w:val="24"/>
        </w:rPr>
        <w:fldChar w:fldCharType="end"/>
      </w:r>
      <w:r w:rsidRPr="00E633D8">
        <w:rPr>
          <w:rFonts w:ascii="Times New Roman" w:eastAsiaTheme="minorEastAsia" w:hAnsi="Times New Roman" w:cs="Times New Roman"/>
          <w:sz w:val="24"/>
          <w:szCs w:val="24"/>
        </w:rPr>
        <w:t xml:space="preserve">. </w:t>
      </w:r>
      <w:r w:rsidRPr="00E633D8">
        <w:rPr>
          <w:rFonts w:ascii="Times New Roman" w:hAnsi="Times New Roman" w:cs="Times New Roman"/>
          <w:sz w:val="24"/>
          <w:szCs w:val="24"/>
        </w:rPr>
        <w:t xml:space="preserve">In the section below, the I present the estimates for the local average treatment effect, before pairing this analysis with a difference-in-differences approach. </w:t>
      </w:r>
    </w:p>
    <w:p w14:paraId="6095744E" w14:textId="77777777" w:rsidR="00063F17" w:rsidRPr="00E633D8" w:rsidRDefault="00063F17" w:rsidP="00063F17">
      <w:pPr>
        <w:spacing w:line="480" w:lineRule="auto"/>
        <w:rPr>
          <w:rFonts w:ascii="Times New Roman" w:hAnsi="Times New Roman" w:cs="Times New Roman"/>
          <w:i/>
          <w:sz w:val="24"/>
          <w:szCs w:val="24"/>
        </w:rPr>
      </w:pPr>
      <w:r w:rsidRPr="00E633D8">
        <w:rPr>
          <w:rFonts w:ascii="Times New Roman" w:hAnsi="Times New Roman" w:cs="Times New Roman"/>
          <w:i/>
          <w:sz w:val="24"/>
          <w:szCs w:val="24"/>
        </w:rPr>
        <w:t>Regression-Discontinuity Results</w:t>
      </w:r>
    </w:p>
    <w:p w14:paraId="609BCE51" w14:textId="498023E5" w:rsidR="00063F17" w:rsidRPr="00E633D8" w:rsidRDefault="00063F17" w:rsidP="00063F17">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The main results from the regression discontinuity analysis are presented in Table </w:t>
      </w:r>
      <w:r w:rsidR="00290299">
        <w:rPr>
          <w:rFonts w:ascii="Times New Roman" w:hAnsi="Times New Roman" w:cs="Times New Roman"/>
          <w:sz w:val="24"/>
          <w:szCs w:val="24"/>
        </w:rPr>
        <w:t>5-7</w:t>
      </w:r>
      <w:r w:rsidRPr="00E633D8">
        <w:rPr>
          <w:rFonts w:ascii="Times New Roman" w:hAnsi="Times New Roman" w:cs="Times New Roman"/>
          <w:sz w:val="24"/>
          <w:szCs w:val="24"/>
        </w:rPr>
        <w:t xml:space="preserve">, in which the baseline results are presented in Column 1. For many of the outcome measures, it appears that Tulsa Achieves receipt has no significant impact. However, Tulsa Achieves receipt does significantly positively affect college GPA both in year one and in year three. These effects are meaningful in magnitude, reflecting more than a half point increase in the college GPA of students just above compared to the students just below the threshold. </w:t>
      </w:r>
    </w:p>
    <w:p w14:paraId="4039FA4D" w14:textId="3BC9EC7F" w:rsidR="00063F17"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The baseline results also reveal the positive effect of Tulsa Achieves on the likelihood of transferring to a four-year college—Tulsa Achieves recipients were 16 percentage points more likely to transfer to a four-year college in the baseline specification (p&lt;0.10). The figure below displays the mean of the outcome measure along the GPA threshold for the significant relationships in Table </w:t>
      </w:r>
      <w:r w:rsidR="00290299">
        <w:rPr>
          <w:rFonts w:ascii="Times New Roman" w:hAnsi="Times New Roman" w:cs="Times New Roman"/>
          <w:sz w:val="24"/>
          <w:szCs w:val="24"/>
        </w:rPr>
        <w:t>5-7</w:t>
      </w:r>
      <w:r w:rsidRPr="00E633D8">
        <w:rPr>
          <w:rFonts w:ascii="Times New Roman" w:hAnsi="Times New Roman" w:cs="Times New Roman"/>
          <w:sz w:val="24"/>
          <w:szCs w:val="24"/>
        </w:rPr>
        <w:t>.</w:t>
      </w:r>
    </w:p>
    <w:p w14:paraId="23BA2C06" w14:textId="6068A459" w:rsidR="00403004" w:rsidRPr="00896002" w:rsidRDefault="00403004" w:rsidP="00403004">
      <w:pPr>
        <w:rPr>
          <w:rFonts w:ascii="Cambria" w:hAnsi="Cambria"/>
          <w:sz w:val="24"/>
          <w:szCs w:val="24"/>
        </w:rPr>
      </w:pPr>
      <w:r w:rsidRPr="00062274">
        <w:rPr>
          <w:rFonts w:ascii="Times New Roman" w:eastAsia="Times New Roman" w:hAnsi="Times New Roman" w:cs="Times New Roman"/>
          <w:b/>
          <w:color w:val="000000"/>
          <w:sz w:val="24"/>
          <w:szCs w:val="24"/>
        </w:rPr>
        <w:lastRenderedPageBreak/>
        <w:t xml:space="preserve">Table </w:t>
      </w:r>
      <w:r w:rsidR="00290299">
        <w:rPr>
          <w:rFonts w:ascii="Times New Roman" w:eastAsia="Times New Roman" w:hAnsi="Times New Roman" w:cs="Times New Roman"/>
          <w:b/>
          <w:color w:val="000000"/>
          <w:sz w:val="24"/>
          <w:szCs w:val="24"/>
        </w:rPr>
        <w:t>5-7</w:t>
      </w:r>
      <w:r w:rsidRPr="00062274">
        <w:rPr>
          <w:rFonts w:ascii="Times New Roman" w:eastAsia="Times New Roman" w:hAnsi="Times New Roman" w:cs="Times New Roman"/>
          <w:b/>
          <w:color w:val="000000"/>
          <w:sz w:val="24"/>
          <w:szCs w:val="24"/>
        </w:rPr>
        <w:t xml:space="preserve">. </w:t>
      </w:r>
      <w:r w:rsidRPr="00062274">
        <w:rPr>
          <w:rFonts w:ascii="Times New Roman" w:eastAsia="Times New Roman" w:hAnsi="Times New Roman" w:cs="Times New Roman"/>
          <w:color w:val="000000"/>
          <w:sz w:val="24"/>
          <w:szCs w:val="24"/>
        </w:rPr>
        <w:t>RD Estimates of the Effect of Tulsa Achieves with Eligibility as Instrument for Receipt</w:t>
      </w:r>
    </w:p>
    <w:tbl>
      <w:tblPr>
        <w:tblW w:w="7830" w:type="dxa"/>
        <w:tblLayout w:type="fixed"/>
        <w:tblLook w:val="04A0" w:firstRow="1" w:lastRow="0" w:firstColumn="1" w:lastColumn="0" w:noHBand="0" w:noVBand="1"/>
      </w:tblPr>
      <w:tblGrid>
        <w:gridCol w:w="2700"/>
        <w:gridCol w:w="1260"/>
        <w:gridCol w:w="1080"/>
        <w:gridCol w:w="1260"/>
        <w:gridCol w:w="1530"/>
      </w:tblGrid>
      <w:tr w:rsidR="00403004" w:rsidRPr="007F4F21" w14:paraId="21E0FF76" w14:textId="77777777" w:rsidTr="00B5460B">
        <w:trPr>
          <w:trHeight w:val="300"/>
        </w:trPr>
        <w:tc>
          <w:tcPr>
            <w:tcW w:w="2700" w:type="dxa"/>
            <w:tcBorders>
              <w:top w:val="nil"/>
              <w:left w:val="nil"/>
              <w:bottom w:val="nil"/>
              <w:right w:val="nil"/>
            </w:tcBorders>
            <w:shd w:val="clear" w:color="auto" w:fill="auto"/>
            <w:vAlign w:val="center"/>
            <w:hideMark/>
          </w:tcPr>
          <w:p w14:paraId="3837B01B" w14:textId="77777777" w:rsidR="00403004" w:rsidRPr="007F4F21" w:rsidRDefault="00403004" w:rsidP="00B5460B">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vAlign w:val="center"/>
            <w:hideMark/>
          </w:tcPr>
          <w:p w14:paraId="4B6BD20D" w14:textId="77777777" w:rsidR="00403004" w:rsidRPr="007F4F21" w:rsidRDefault="00403004" w:rsidP="00B5460B">
            <w:pPr>
              <w:spacing w:after="0" w:line="240" w:lineRule="auto"/>
              <w:rPr>
                <w:rFonts w:ascii="Times New Roman" w:eastAsia="Times New Roman" w:hAnsi="Times New Roman" w:cs="Times New Roman"/>
                <w:sz w:val="20"/>
                <w:szCs w:val="20"/>
              </w:rPr>
            </w:pPr>
          </w:p>
        </w:tc>
        <w:tc>
          <w:tcPr>
            <w:tcW w:w="3870" w:type="dxa"/>
            <w:gridSpan w:val="3"/>
            <w:tcBorders>
              <w:top w:val="nil"/>
              <w:left w:val="nil"/>
              <w:bottom w:val="single" w:sz="12" w:space="0" w:color="auto"/>
              <w:right w:val="nil"/>
            </w:tcBorders>
            <w:shd w:val="clear" w:color="auto" w:fill="auto"/>
            <w:vAlign w:val="center"/>
            <w:hideMark/>
          </w:tcPr>
          <w:p w14:paraId="0266193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Robustness Checks</w:t>
            </w:r>
          </w:p>
        </w:tc>
      </w:tr>
      <w:tr w:rsidR="00403004" w:rsidRPr="007F4F21" w14:paraId="0993CBB4" w14:textId="77777777" w:rsidTr="00B5460B">
        <w:trPr>
          <w:trHeight w:val="768"/>
        </w:trPr>
        <w:tc>
          <w:tcPr>
            <w:tcW w:w="2700" w:type="dxa"/>
            <w:tcBorders>
              <w:top w:val="nil"/>
              <w:left w:val="nil"/>
              <w:bottom w:val="double" w:sz="6" w:space="0" w:color="auto"/>
              <w:right w:val="nil"/>
            </w:tcBorders>
            <w:shd w:val="clear" w:color="auto" w:fill="auto"/>
            <w:vAlign w:val="center"/>
            <w:hideMark/>
          </w:tcPr>
          <w:p w14:paraId="4FB50E1C"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Outcome</w:t>
            </w:r>
          </w:p>
        </w:tc>
        <w:tc>
          <w:tcPr>
            <w:tcW w:w="1260" w:type="dxa"/>
            <w:tcBorders>
              <w:top w:val="nil"/>
              <w:left w:val="nil"/>
              <w:bottom w:val="double" w:sz="6" w:space="0" w:color="auto"/>
              <w:right w:val="nil"/>
            </w:tcBorders>
            <w:shd w:val="clear" w:color="auto" w:fill="auto"/>
            <w:vAlign w:val="center"/>
            <w:hideMark/>
          </w:tcPr>
          <w:p w14:paraId="6FEB3A8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(1) MSE Two Bandwidth</w:t>
            </w:r>
          </w:p>
        </w:tc>
        <w:tc>
          <w:tcPr>
            <w:tcW w:w="1080" w:type="dxa"/>
            <w:tcBorders>
              <w:top w:val="single" w:sz="12" w:space="0" w:color="auto"/>
              <w:left w:val="nil"/>
              <w:bottom w:val="double" w:sz="6" w:space="0" w:color="auto"/>
              <w:right w:val="nil"/>
            </w:tcBorders>
            <w:shd w:val="clear" w:color="auto" w:fill="auto"/>
            <w:vAlign w:val="center"/>
            <w:hideMark/>
          </w:tcPr>
          <w:p w14:paraId="2E30947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(2) MSE Two + HS FE</w:t>
            </w:r>
          </w:p>
        </w:tc>
        <w:tc>
          <w:tcPr>
            <w:tcW w:w="1260" w:type="dxa"/>
            <w:tcBorders>
              <w:top w:val="single" w:sz="12" w:space="0" w:color="auto"/>
              <w:left w:val="nil"/>
              <w:bottom w:val="double" w:sz="6" w:space="0" w:color="auto"/>
              <w:right w:val="nil"/>
            </w:tcBorders>
            <w:shd w:val="clear" w:color="auto" w:fill="auto"/>
            <w:vAlign w:val="center"/>
            <w:hideMark/>
          </w:tcPr>
          <w:p w14:paraId="18BCBA8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(3) CER Two Bandwidth</w:t>
            </w:r>
          </w:p>
        </w:tc>
        <w:tc>
          <w:tcPr>
            <w:tcW w:w="1530" w:type="dxa"/>
            <w:tcBorders>
              <w:top w:val="single" w:sz="12" w:space="0" w:color="auto"/>
              <w:left w:val="nil"/>
              <w:bottom w:val="double" w:sz="6" w:space="0" w:color="auto"/>
              <w:right w:val="nil"/>
            </w:tcBorders>
            <w:shd w:val="clear" w:color="auto" w:fill="auto"/>
            <w:vAlign w:val="center"/>
            <w:hideMark/>
          </w:tcPr>
          <w:p w14:paraId="1B4D8FD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w:t>
            </w:r>
            <w:r w:rsidRPr="007F4F2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Quadratic </w:t>
            </w:r>
            <w:r w:rsidRPr="007F4F21">
              <w:rPr>
                <w:rFonts w:ascii="Times New Roman" w:eastAsia="Times New Roman" w:hAnsi="Times New Roman" w:cs="Times New Roman"/>
                <w:color w:val="000000"/>
                <w:sz w:val="20"/>
                <w:szCs w:val="20"/>
              </w:rPr>
              <w:t>MSE Two Bandwidth</w:t>
            </w:r>
          </w:p>
        </w:tc>
      </w:tr>
      <w:tr w:rsidR="00403004" w:rsidRPr="007F4F21" w14:paraId="7718AE05" w14:textId="77777777" w:rsidTr="00B5460B">
        <w:trPr>
          <w:trHeight w:val="300"/>
        </w:trPr>
        <w:tc>
          <w:tcPr>
            <w:tcW w:w="2700" w:type="dxa"/>
            <w:tcBorders>
              <w:top w:val="nil"/>
              <w:left w:val="nil"/>
              <w:bottom w:val="nil"/>
              <w:right w:val="nil"/>
            </w:tcBorders>
            <w:shd w:val="clear" w:color="auto" w:fill="auto"/>
            <w:vAlign w:val="center"/>
            <w:hideMark/>
          </w:tcPr>
          <w:p w14:paraId="05FA6C65"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GPA End of Year 1</w:t>
            </w:r>
          </w:p>
        </w:tc>
        <w:tc>
          <w:tcPr>
            <w:tcW w:w="1260" w:type="dxa"/>
            <w:tcBorders>
              <w:top w:val="nil"/>
              <w:left w:val="nil"/>
              <w:bottom w:val="nil"/>
              <w:right w:val="nil"/>
            </w:tcBorders>
            <w:shd w:val="clear" w:color="auto" w:fill="auto"/>
            <w:vAlign w:val="center"/>
            <w:hideMark/>
          </w:tcPr>
          <w:p w14:paraId="731D146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0.669**</w:t>
            </w:r>
          </w:p>
        </w:tc>
        <w:tc>
          <w:tcPr>
            <w:tcW w:w="1080" w:type="dxa"/>
            <w:tcBorders>
              <w:top w:val="nil"/>
              <w:left w:val="nil"/>
              <w:bottom w:val="nil"/>
              <w:right w:val="nil"/>
            </w:tcBorders>
            <w:shd w:val="clear" w:color="auto" w:fill="auto"/>
            <w:noWrap/>
            <w:vAlign w:val="center"/>
            <w:hideMark/>
          </w:tcPr>
          <w:p w14:paraId="3DA5096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0.674***</w:t>
            </w:r>
          </w:p>
        </w:tc>
        <w:tc>
          <w:tcPr>
            <w:tcW w:w="1260" w:type="dxa"/>
            <w:tcBorders>
              <w:top w:val="nil"/>
              <w:left w:val="nil"/>
              <w:bottom w:val="nil"/>
              <w:right w:val="nil"/>
            </w:tcBorders>
            <w:shd w:val="clear" w:color="auto" w:fill="auto"/>
            <w:noWrap/>
            <w:vAlign w:val="center"/>
            <w:hideMark/>
          </w:tcPr>
          <w:p w14:paraId="7F66F85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0.674**</w:t>
            </w:r>
          </w:p>
        </w:tc>
        <w:tc>
          <w:tcPr>
            <w:tcW w:w="1530" w:type="dxa"/>
            <w:tcBorders>
              <w:top w:val="nil"/>
              <w:left w:val="nil"/>
              <w:bottom w:val="nil"/>
              <w:right w:val="nil"/>
            </w:tcBorders>
            <w:shd w:val="clear" w:color="auto" w:fill="auto"/>
            <w:noWrap/>
            <w:vAlign w:val="center"/>
            <w:hideMark/>
          </w:tcPr>
          <w:p w14:paraId="2C52948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0.889***</w:t>
            </w:r>
          </w:p>
        </w:tc>
      </w:tr>
      <w:tr w:rsidR="00403004" w:rsidRPr="007F4F21" w14:paraId="4DC62CB4" w14:textId="77777777" w:rsidTr="00B5460B">
        <w:trPr>
          <w:trHeight w:val="288"/>
        </w:trPr>
        <w:tc>
          <w:tcPr>
            <w:tcW w:w="2700" w:type="dxa"/>
            <w:tcBorders>
              <w:top w:val="nil"/>
              <w:left w:val="nil"/>
              <w:bottom w:val="nil"/>
              <w:right w:val="nil"/>
            </w:tcBorders>
            <w:shd w:val="clear" w:color="auto" w:fill="auto"/>
            <w:vAlign w:val="bottom"/>
            <w:hideMark/>
          </w:tcPr>
          <w:p w14:paraId="08D8F1C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05BF1703"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(0.263)</w:t>
            </w:r>
          </w:p>
        </w:tc>
        <w:tc>
          <w:tcPr>
            <w:tcW w:w="1080" w:type="dxa"/>
            <w:tcBorders>
              <w:top w:val="nil"/>
              <w:left w:val="nil"/>
              <w:bottom w:val="nil"/>
              <w:right w:val="nil"/>
            </w:tcBorders>
            <w:shd w:val="clear" w:color="auto" w:fill="auto"/>
            <w:noWrap/>
            <w:vAlign w:val="bottom"/>
            <w:hideMark/>
          </w:tcPr>
          <w:p w14:paraId="0EE293C7"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(0.260)</w:t>
            </w:r>
          </w:p>
        </w:tc>
        <w:tc>
          <w:tcPr>
            <w:tcW w:w="1260" w:type="dxa"/>
            <w:tcBorders>
              <w:top w:val="nil"/>
              <w:left w:val="nil"/>
              <w:bottom w:val="nil"/>
              <w:right w:val="nil"/>
            </w:tcBorders>
            <w:shd w:val="clear" w:color="auto" w:fill="auto"/>
            <w:noWrap/>
            <w:vAlign w:val="bottom"/>
            <w:hideMark/>
          </w:tcPr>
          <w:p w14:paraId="254BE9EC"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(0.284)</w:t>
            </w:r>
          </w:p>
        </w:tc>
        <w:tc>
          <w:tcPr>
            <w:tcW w:w="1530" w:type="dxa"/>
            <w:tcBorders>
              <w:top w:val="nil"/>
              <w:left w:val="nil"/>
              <w:bottom w:val="nil"/>
              <w:right w:val="nil"/>
            </w:tcBorders>
            <w:shd w:val="clear" w:color="auto" w:fill="auto"/>
            <w:noWrap/>
            <w:vAlign w:val="bottom"/>
            <w:hideMark/>
          </w:tcPr>
          <w:p w14:paraId="6C59D826"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(0.341)</w:t>
            </w:r>
          </w:p>
        </w:tc>
      </w:tr>
      <w:tr w:rsidR="00403004" w:rsidRPr="007F4F21" w14:paraId="48AA0AE8" w14:textId="77777777" w:rsidTr="00B5460B">
        <w:trPr>
          <w:trHeight w:val="288"/>
        </w:trPr>
        <w:tc>
          <w:tcPr>
            <w:tcW w:w="2700" w:type="dxa"/>
            <w:tcBorders>
              <w:top w:val="nil"/>
              <w:left w:val="nil"/>
              <w:bottom w:val="nil"/>
              <w:right w:val="nil"/>
            </w:tcBorders>
            <w:shd w:val="clear" w:color="auto" w:fill="auto"/>
            <w:vAlign w:val="center"/>
            <w:hideMark/>
          </w:tcPr>
          <w:p w14:paraId="46ADDBD1"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16D6C662"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4,462</w:t>
            </w:r>
          </w:p>
        </w:tc>
        <w:tc>
          <w:tcPr>
            <w:tcW w:w="1080" w:type="dxa"/>
            <w:tcBorders>
              <w:top w:val="nil"/>
              <w:left w:val="nil"/>
              <w:bottom w:val="nil"/>
              <w:right w:val="nil"/>
            </w:tcBorders>
            <w:shd w:val="clear" w:color="auto" w:fill="auto"/>
            <w:noWrap/>
            <w:vAlign w:val="center"/>
            <w:hideMark/>
          </w:tcPr>
          <w:p w14:paraId="48854ED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4,530</w:t>
            </w:r>
          </w:p>
        </w:tc>
        <w:tc>
          <w:tcPr>
            <w:tcW w:w="1260" w:type="dxa"/>
            <w:tcBorders>
              <w:top w:val="nil"/>
              <w:left w:val="nil"/>
              <w:bottom w:val="nil"/>
              <w:right w:val="nil"/>
            </w:tcBorders>
            <w:shd w:val="clear" w:color="auto" w:fill="auto"/>
            <w:noWrap/>
            <w:vAlign w:val="center"/>
            <w:hideMark/>
          </w:tcPr>
          <w:p w14:paraId="3D2E01D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2,765</w:t>
            </w:r>
          </w:p>
        </w:tc>
        <w:tc>
          <w:tcPr>
            <w:tcW w:w="1530" w:type="dxa"/>
            <w:tcBorders>
              <w:top w:val="nil"/>
              <w:left w:val="nil"/>
              <w:bottom w:val="nil"/>
              <w:right w:val="nil"/>
            </w:tcBorders>
            <w:shd w:val="clear" w:color="auto" w:fill="auto"/>
            <w:noWrap/>
            <w:vAlign w:val="center"/>
            <w:hideMark/>
          </w:tcPr>
          <w:p w14:paraId="290890D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6,204</w:t>
            </w:r>
          </w:p>
        </w:tc>
      </w:tr>
      <w:tr w:rsidR="00403004" w:rsidRPr="007F4F21" w14:paraId="4A74D52E" w14:textId="77777777" w:rsidTr="00B5460B">
        <w:trPr>
          <w:trHeight w:val="288"/>
        </w:trPr>
        <w:tc>
          <w:tcPr>
            <w:tcW w:w="2700" w:type="dxa"/>
            <w:tcBorders>
              <w:top w:val="nil"/>
              <w:left w:val="nil"/>
              <w:bottom w:val="nil"/>
              <w:right w:val="nil"/>
            </w:tcBorders>
            <w:shd w:val="clear" w:color="auto" w:fill="auto"/>
            <w:vAlign w:val="center"/>
            <w:hideMark/>
          </w:tcPr>
          <w:p w14:paraId="3E714EF5"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1BEEDD5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0.151</w:t>
            </w:r>
          </w:p>
        </w:tc>
        <w:tc>
          <w:tcPr>
            <w:tcW w:w="1080" w:type="dxa"/>
            <w:tcBorders>
              <w:top w:val="nil"/>
              <w:left w:val="nil"/>
              <w:bottom w:val="nil"/>
              <w:right w:val="nil"/>
            </w:tcBorders>
            <w:shd w:val="clear" w:color="auto" w:fill="auto"/>
            <w:noWrap/>
            <w:vAlign w:val="center"/>
            <w:hideMark/>
          </w:tcPr>
          <w:p w14:paraId="35ADAE9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0.153</w:t>
            </w:r>
          </w:p>
        </w:tc>
        <w:tc>
          <w:tcPr>
            <w:tcW w:w="1260" w:type="dxa"/>
            <w:tcBorders>
              <w:top w:val="nil"/>
              <w:left w:val="nil"/>
              <w:bottom w:val="nil"/>
              <w:right w:val="nil"/>
            </w:tcBorders>
            <w:shd w:val="clear" w:color="auto" w:fill="auto"/>
            <w:noWrap/>
            <w:vAlign w:val="center"/>
            <w:hideMark/>
          </w:tcPr>
          <w:p w14:paraId="630EBC5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0.108</w:t>
            </w:r>
          </w:p>
        </w:tc>
        <w:tc>
          <w:tcPr>
            <w:tcW w:w="1530" w:type="dxa"/>
            <w:tcBorders>
              <w:top w:val="nil"/>
              <w:left w:val="nil"/>
              <w:bottom w:val="nil"/>
              <w:right w:val="nil"/>
            </w:tcBorders>
            <w:shd w:val="clear" w:color="auto" w:fill="auto"/>
            <w:noWrap/>
            <w:vAlign w:val="center"/>
            <w:hideMark/>
          </w:tcPr>
          <w:p w14:paraId="475CB41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0.244</w:t>
            </w:r>
          </w:p>
        </w:tc>
      </w:tr>
      <w:tr w:rsidR="00403004" w:rsidRPr="007F4F21" w14:paraId="24D7B63E"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7F2319DA"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00A3BFB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0.698</w:t>
            </w:r>
          </w:p>
        </w:tc>
        <w:tc>
          <w:tcPr>
            <w:tcW w:w="1080" w:type="dxa"/>
            <w:tcBorders>
              <w:top w:val="nil"/>
              <w:left w:val="nil"/>
              <w:bottom w:val="single" w:sz="8" w:space="0" w:color="auto"/>
              <w:right w:val="nil"/>
            </w:tcBorders>
            <w:shd w:val="clear" w:color="auto" w:fill="auto"/>
            <w:vAlign w:val="center"/>
            <w:hideMark/>
          </w:tcPr>
          <w:p w14:paraId="24FEFC0B"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0.700</w:t>
            </w:r>
          </w:p>
        </w:tc>
        <w:tc>
          <w:tcPr>
            <w:tcW w:w="1260" w:type="dxa"/>
            <w:tcBorders>
              <w:top w:val="nil"/>
              <w:left w:val="nil"/>
              <w:bottom w:val="single" w:sz="8" w:space="0" w:color="auto"/>
              <w:right w:val="nil"/>
            </w:tcBorders>
            <w:shd w:val="clear" w:color="auto" w:fill="auto"/>
            <w:noWrap/>
            <w:vAlign w:val="center"/>
            <w:hideMark/>
          </w:tcPr>
          <w:p w14:paraId="6517F1A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0.498</w:t>
            </w:r>
          </w:p>
        </w:tc>
        <w:tc>
          <w:tcPr>
            <w:tcW w:w="1530" w:type="dxa"/>
            <w:tcBorders>
              <w:top w:val="nil"/>
              <w:left w:val="nil"/>
              <w:bottom w:val="single" w:sz="8" w:space="0" w:color="auto"/>
              <w:right w:val="nil"/>
            </w:tcBorders>
            <w:shd w:val="clear" w:color="auto" w:fill="auto"/>
            <w:noWrap/>
            <w:vAlign w:val="center"/>
            <w:hideMark/>
          </w:tcPr>
          <w:p w14:paraId="629FBB0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0.894</w:t>
            </w:r>
          </w:p>
        </w:tc>
      </w:tr>
      <w:tr w:rsidR="00403004" w:rsidRPr="007F4F21" w14:paraId="5AC90AC6" w14:textId="77777777" w:rsidTr="00B5460B">
        <w:trPr>
          <w:trHeight w:val="288"/>
        </w:trPr>
        <w:tc>
          <w:tcPr>
            <w:tcW w:w="2700" w:type="dxa"/>
            <w:tcBorders>
              <w:top w:val="nil"/>
              <w:left w:val="nil"/>
              <w:bottom w:val="nil"/>
              <w:right w:val="nil"/>
            </w:tcBorders>
            <w:shd w:val="clear" w:color="auto" w:fill="auto"/>
            <w:vAlign w:val="center"/>
            <w:hideMark/>
          </w:tcPr>
          <w:p w14:paraId="02773E2C"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Credits Earned End of Year 1</w:t>
            </w:r>
          </w:p>
        </w:tc>
        <w:tc>
          <w:tcPr>
            <w:tcW w:w="1260" w:type="dxa"/>
            <w:tcBorders>
              <w:top w:val="nil"/>
              <w:left w:val="nil"/>
              <w:bottom w:val="nil"/>
              <w:right w:val="nil"/>
            </w:tcBorders>
            <w:shd w:val="clear" w:color="auto" w:fill="auto"/>
            <w:vAlign w:val="center"/>
            <w:hideMark/>
          </w:tcPr>
          <w:p w14:paraId="3398C2B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1.495</w:t>
            </w:r>
          </w:p>
        </w:tc>
        <w:tc>
          <w:tcPr>
            <w:tcW w:w="1080" w:type="dxa"/>
            <w:tcBorders>
              <w:top w:val="nil"/>
              <w:left w:val="nil"/>
              <w:bottom w:val="nil"/>
              <w:right w:val="nil"/>
            </w:tcBorders>
            <w:shd w:val="clear" w:color="auto" w:fill="auto"/>
            <w:noWrap/>
            <w:vAlign w:val="center"/>
            <w:hideMark/>
          </w:tcPr>
          <w:p w14:paraId="0672270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1.562</w:t>
            </w:r>
          </w:p>
        </w:tc>
        <w:tc>
          <w:tcPr>
            <w:tcW w:w="1260" w:type="dxa"/>
            <w:tcBorders>
              <w:top w:val="nil"/>
              <w:left w:val="nil"/>
              <w:bottom w:val="nil"/>
              <w:right w:val="nil"/>
            </w:tcBorders>
            <w:shd w:val="clear" w:color="auto" w:fill="auto"/>
            <w:noWrap/>
            <w:vAlign w:val="center"/>
            <w:hideMark/>
          </w:tcPr>
          <w:p w14:paraId="644FBB1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1.953</w:t>
            </w:r>
          </w:p>
        </w:tc>
        <w:tc>
          <w:tcPr>
            <w:tcW w:w="1530" w:type="dxa"/>
            <w:tcBorders>
              <w:top w:val="nil"/>
              <w:left w:val="nil"/>
              <w:bottom w:val="nil"/>
              <w:right w:val="nil"/>
            </w:tcBorders>
            <w:shd w:val="clear" w:color="auto" w:fill="auto"/>
            <w:noWrap/>
            <w:vAlign w:val="center"/>
            <w:hideMark/>
          </w:tcPr>
          <w:p w14:paraId="61C8434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2.997*</w:t>
            </w:r>
          </w:p>
        </w:tc>
      </w:tr>
      <w:tr w:rsidR="00403004" w:rsidRPr="007F4F21" w14:paraId="4BADE5EC" w14:textId="77777777" w:rsidTr="00B5460B">
        <w:trPr>
          <w:trHeight w:val="288"/>
        </w:trPr>
        <w:tc>
          <w:tcPr>
            <w:tcW w:w="2700" w:type="dxa"/>
            <w:tcBorders>
              <w:top w:val="nil"/>
              <w:left w:val="nil"/>
              <w:bottom w:val="nil"/>
              <w:right w:val="nil"/>
            </w:tcBorders>
            <w:shd w:val="clear" w:color="auto" w:fill="auto"/>
            <w:vAlign w:val="bottom"/>
            <w:hideMark/>
          </w:tcPr>
          <w:p w14:paraId="6DAF38E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7627C49F"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(1.210)</w:t>
            </w:r>
          </w:p>
        </w:tc>
        <w:tc>
          <w:tcPr>
            <w:tcW w:w="1080" w:type="dxa"/>
            <w:tcBorders>
              <w:top w:val="nil"/>
              <w:left w:val="nil"/>
              <w:bottom w:val="nil"/>
              <w:right w:val="nil"/>
            </w:tcBorders>
            <w:shd w:val="clear" w:color="auto" w:fill="auto"/>
            <w:noWrap/>
            <w:vAlign w:val="bottom"/>
            <w:hideMark/>
          </w:tcPr>
          <w:p w14:paraId="6EAEF095"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(1.204)</w:t>
            </w:r>
          </w:p>
        </w:tc>
        <w:tc>
          <w:tcPr>
            <w:tcW w:w="1260" w:type="dxa"/>
            <w:tcBorders>
              <w:top w:val="nil"/>
              <w:left w:val="nil"/>
              <w:bottom w:val="nil"/>
              <w:right w:val="nil"/>
            </w:tcBorders>
            <w:shd w:val="clear" w:color="auto" w:fill="auto"/>
            <w:noWrap/>
            <w:vAlign w:val="bottom"/>
            <w:hideMark/>
          </w:tcPr>
          <w:p w14:paraId="485088D4"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(1.214)</w:t>
            </w:r>
          </w:p>
        </w:tc>
        <w:tc>
          <w:tcPr>
            <w:tcW w:w="1530" w:type="dxa"/>
            <w:tcBorders>
              <w:top w:val="nil"/>
              <w:left w:val="nil"/>
              <w:bottom w:val="nil"/>
              <w:right w:val="nil"/>
            </w:tcBorders>
            <w:shd w:val="clear" w:color="auto" w:fill="auto"/>
            <w:noWrap/>
            <w:vAlign w:val="bottom"/>
            <w:hideMark/>
          </w:tcPr>
          <w:p w14:paraId="549DFADD"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7F4F21">
              <w:rPr>
                <w:rFonts w:ascii="Times New Roman" w:eastAsia="Times New Roman" w:hAnsi="Times New Roman" w:cs="Times New Roman"/>
                <w:sz w:val="20"/>
                <w:szCs w:val="20"/>
              </w:rPr>
              <w:t>(1.531)</w:t>
            </w:r>
          </w:p>
        </w:tc>
      </w:tr>
      <w:tr w:rsidR="00403004" w:rsidRPr="007F4F21" w14:paraId="25BDFE6B" w14:textId="77777777" w:rsidTr="00B5460B">
        <w:trPr>
          <w:trHeight w:val="288"/>
        </w:trPr>
        <w:tc>
          <w:tcPr>
            <w:tcW w:w="2700" w:type="dxa"/>
            <w:tcBorders>
              <w:top w:val="nil"/>
              <w:left w:val="nil"/>
              <w:bottom w:val="nil"/>
              <w:right w:val="nil"/>
            </w:tcBorders>
            <w:shd w:val="clear" w:color="auto" w:fill="auto"/>
            <w:vAlign w:val="center"/>
            <w:hideMark/>
          </w:tcPr>
          <w:p w14:paraId="695A6F51"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4D6D556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4,134</w:t>
            </w:r>
          </w:p>
        </w:tc>
        <w:tc>
          <w:tcPr>
            <w:tcW w:w="1080" w:type="dxa"/>
            <w:tcBorders>
              <w:top w:val="nil"/>
              <w:left w:val="nil"/>
              <w:bottom w:val="nil"/>
              <w:right w:val="nil"/>
            </w:tcBorders>
            <w:shd w:val="clear" w:color="auto" w:fill="auto"/>
            <w:noWrap/>
            <w:vAlign w:val="center"/>
            <w:hideMark/>
          </w:tcPr>
          <w:p w14:paraId="7673697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4,618</w:t>
            </w:r>
          </w:p>
        </w:tc>
        <w:tc>
          <w:tcPr>
            <w:tcW w:w="1260" w:type="dxa"/>
            <w:tcBorders>
              <w:top w:val="nil"/>
              <w:left w:val="nil"/>
              <w:bottom w:val="nil"/>
              <w:right w:val="nil"/>
            </w:tcBorders>
            <w:shd w:val="clear" w:color="auto" w:fill="auto"/>
            <w:noWrap/>
            <w:vAlign w:val="center"/>
            <w:hideMark/>
          </w:tcPr>
          <w:p w14:paraId="44A150B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2,886</w:t>
            </w:r>
          </w:p>
        </w:tc>
        <w:tc>
          <w:tcPr>
            <w:tcW w:w="1530" w:type="dxa"/>
            <w:tcBorders>
              <w:top w:val="nil"/>
              <w:left w:val="nil"/>
              <w:bottom w:val="nil"/>
              <w:right w:val="nil"/>
            </w:tcBorders>
            <w:shd w:val="clear" w:color="auto" w:fill="auto"/>
            <w:noWrap/>
            <w:vAlign w:val="center"/>
            <w:hideMark/>
          </w:tcPr>
          <w:p w14:paraId="7BA28B1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7,747</w:t>
            </w:r>
          </w:p>
        </w:tc>
      </w:tr>
      <w:tr w:rsidR="00403004" w:rsidRPr="007F4F21" w14:paraId="5DCC9FCF" w14:textId="77777777" w:rsidTr="00B5460B">
        <w:trPr>
          <w:trHeight w:val="288"/>
        </w:trPr>
        <w:tc>
          <w:tcPr>
            <w:tcW w:w="2700" w:type="dxa"/>
            <w:tcBorders>
              <w:top w:val="nil"/>
              <w:left w:val="nil"/>
              <w:bottom w:val="nil"/>
              <w:right w:val="nil"/>
            </w:tcBorders>
            <w:shd w:val="clear" w:color="auto" w:fill="auto"/>
            <w:vAlign w:val="center"/>
            <w:hideMark/>
          </w:tcPr>
          <w:p w14:paraId="04D61070"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234149B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0.159</w:t>
            </w:r>
          </w:p>
        </w:tc>
        <w:tc>
          <w:tcPr>
            <w:tcW w:w="1080" w:type="dxa"/>
            <w:tcBorders>
              <w:top w:val="nil"/>
              <w:left w:val="nil"/>
              <w:bottom w:val="nil"/>
              <w:right w:val="nil"/>
            </w:tcBorders>
            <w:shd w:val="clear" w:color="auto" w:fill="auto"/>
            <w:noWrap/>
            <w:vAlign w:val="center"/>
            <w:hideMark/>
          </w:tcPr>
          <w:p w14:paraId="1AB4DD3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0.158</w:t>
            </w:r>
          </w:p>
        </w:tc>
        <w:tc>
          <w:tcPr>
            <w:tcW w:w="1260" w:type="dxa"/>
            <w:tcBorders>
              <w:top w:val="nil"/>
              <w:left w:val="nil"/>
              <w:bottom w:val="nil"/>
              <w:right w:val="nil"/>
            </w:tcBorders>
            <w:shd w:val="clear" w:color="auto" w:fill="auto"/>
            <w:noWrap/>
            <w:vAlign w:val="center"/>
            <w:hideMark/>
          </w:tcPr>
          <w:p w14:paraId="2796B57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0.114</w:t>
            </w:r>
          </w:p>
        </w:tc>
        <w:tc>
          <w:tcPr>
            <w:tcW w:w="1530" w:type="dxa"/>
            <w:tcBorders>
              <w:top w:val="nil"/>
              <w:left w:val="nil"/>
              <w:bottom w:val="nil"/>
              <w:right w:val="nil"/>
            </w:tcBorders>
            <w:shd w:val="clear" w:color="auto" w:fill="auto"/>
            <w:noWrap/>
            <w:vAlign w:val="center"/>
            <w:hideMark/>
          </w:tcPr>
          <w:p w14:paraId="5BBC31B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0.169</w:t>
            </w:r>
          </w:p>
        </w:tc>
      </w:tr>
      <w:tr w:rsidR="00403004" w:rsidRPr="007F4F21" w14:paraId="7F08ECDB"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0E1BAFFA"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573AD34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0.714</w:t>
            </w:r>
          </w:p>
        </w:tc>
        <w:tc>
          <w:tcPr>
            <w:tcW w:w="1080" w:type="dxa"/>
            <w:tcBorders>
              <w:top w:val="nil"/>
              <w:left w:val="nil"/>
              <w:bottom w:val="single" w:sz="8" w:space="0" w:color="auto"/>
              <w:right w:val="nil"/>
            </w:tcBorders>
            <w:shd w:val="clear" w:color="auto" w:fill="auto"/>
            <w:noWrap/>
            <w:vAlign w:val="center"/>
            <w:hideMark/>
          </w:tcPr>
          <w:p w14:paraId="06C7186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0.712</w:t>
            </w:r>
          </w:p>
        </w:tc>
        <w:tc>
          <w:tcPr>
            <w:tcW w:w="1260" w:type="dxa"/>
            <w:tcBorders>
              <w:top w:val="nil"/>
              <w:left w:val="nil"/>
              <w:bottom w:val="single" w:sz="8" w:space="0" w:color="auto"/>
              <w:right w:val="nil"/>
            </w:tcBorders>
            <w:shd w:val="clear" w:color="auto" w:fill="auto"/>
            <w:noWrap/>
            <w:vAlign w:val="center"/>
            <w:hideMark/>
          </w:tcPr>
          <w:p w14:paraId="1EFF7B8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0.509</w:t>
            </w:r>
          </w:p>
        </w:tc>
        <w:tc>
          <w:tcPr>
            <w:tcW w:w="1530" w:type="dxa"/>
            <w:tcBorders>
              <w:top w:val="nil"/>
              <w:left w:val="nil"/>
              <w:bottom w:val="single" w:sz="8" w:space="0" w:color="auto"/>
              <w:right w:val="nil"/>
            </w:tcBorders>
            <w:shd w:val="clear" w:color="auto" w:fill="auto"/>
            <w:noWrap/>
            <w:vAlign w:val="center"/>
            <w:hideMark/>
          </w:tcPr>
          <w:p w14:paraId="4A32197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1.076</w:t>
            </w:r>
          </w:p>
        </w:tc>
      </w:tr>
      <w:tr w:rsidR="00403004" w:rsidRPr="007F4F21" w14:paraId="02EFC92E" w14:textId="77777777" w:rsidTr="00B5460B">
        <w:trPr>
          <w:trHeight w:val="288"/>
        </w:trPr>
        <w:tc>
          <w:tcPr>
            <w:tcW w:w="2700" w:type="dxa"/>
            <w:tcBorders>
              <w:top w:val="nil"/>
              <w:left w:val="nil"/>
              <w:bottom w:val="nil"/>
              <w:right w:val="nil"/>
            </w:tcBorders>
            <w:shd w:val="clear" w:color="auto" w:fill="auto"/>
            <w:vAlign w:val="center"/>
            <w:hideMark/>
          </w:tcPr>
          <w:p w14:paraId="147397F4"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GPA End of Year 3</w:t>
            </w:r>
          </w:p>
        </w:tc>
        <w:tc>
          <w:tcPr>
            <w:tcW w:w="1260" w:type="dxa"/>
            <w:tcBorders>
              <w:top w:val="nil"/>
              <w:left w:val="nil"/>
              <w:bottom w:val="nil"/>
              <w:right w:val="nil"/>
            </w:tcBorders>
            <w:shd w:val="clear" w:color="auto" w:fill="auto"/>
            <w:vAlign w:val="center"/>
            <w:hideMark/>
          </w:tcPr>
          <w:p w14:paraId="3199320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0.629**</w:t>
            </w:r>
          </w:p>
        </w:tc>
        <w:tc>
          <w:tcPr>
            <w:tcW w:w="1080" w:type="dxa"/>
            <w:tcBorders>
              <w:top w:val="nil"/>
              <w:left w:val="nil"/>
              <w:bottom w:val="nil"/>
              <w:right w:val="nil"/>
            </w:tcBorders>
            <w:shd w:val="clear" w:color="auto" w:fill="auto"/>
            <w:noWrap/>
            <w:vAlign w:val="center"/>
            <w:hideMark/>
          </w:tcPr>
          <w:p w14:paraId="5D1FF2FB"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0.630**</w:t>
            </w:r>
          </w:p>
        </w:tc>
        <w:tc>
          <w:tcPr>
            <w:tcW w:w="1260" w:type="dxa"/>
            <w:tcBorders>
              <w:top w:val="nil"/>
              <w:left w:val="nil"/>
              <w:bottom w:val="nil"/>
              <w:right w:val="nil"/>
            </w:tcBorders>
            <w:shd w:val="clear" w:color="auto" w:fill="auto"/>
            <w:noWrap/>
            <w:vAlign w:val="center"/>
            <w:hideMark/>
          </w:tcPr>
          <w:p w14:paraId="2DB95DE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0.581**</w:t>
            </w:r>
          </w:p>
        </w:tc>
        <w:tc>
          <w:tcPr>
            <w:tcW w:w="1530" w:type="dxa"/>
            <w:tcBorders>
              <w:top w:val="nil"/>
              <w:left w:val="nil"/>
              <w:bottom w:val="nil"/>
              <w:right w:val="nil"/>
            </w:tcBorders>
            <w:shd w:val="clear" w:color="auto" w:fill="auto"/>
            <w:noWrap/>
            <w:vAlign w:val="center"/>
            <w:hideMark/>
          </w:tcPr>
          <w:p w14:paraId="3B533A4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0.820**</w:t>
            </w:r>
          </w:p>
        </w:tc>
      </w:tr>
      <w:tr w:rsidR="00403004" w:rsidRPr="007F4F21" w14:paraId="03E013AF" w14:textId="77777777" w:rsidTr="00B5460B">
        <w:trPr>
          <w:trHeight w:val="288"/>
        </w:trPr>
        <w:tc>
          <w:tcPr>
            <w:tcW w:w="2700" w:type="dxa"/>
            <w:tcBorders>
              <w:top w:val="nil"/>
              <w:left w:val="nil"/>
              <w:bottom w:val="nil"/>
              <w:right w:val="nil"/>
            </w:tcBorders>
            <w:shd w:val="clear" w:color="auto" w:fill="auto"/>
            <w:vAlign w:val="bottom"/>
            <w:hideMark/>
          </w:tcPr>
          <w:p w14:paraId="4405A83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2812991A"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(0.269)</w:t>
            </w:r>
          </w:p>
        </w:tc>
        <w:tc>
          <w:tcPr>
            <w:tcW w:w="1080" w:type="dxa"/>
            <w:tcBorders>
              <w:top w:val="nil"/>
              <w:left w:val="nil"/>
              <w:bottom w:val="nil"/>
              <w:right w:val="nil"/>
            </w:tcBorders>
            <w:shd w:val="clear" w:color="auto" w:fill="auto"/>
            <w:noWrap/>
            <w:vAlign w:val="bottom"/>
            <w:hideMark/>
          </w:tcPr>
          <w:p w14:paraId="6C884C7D"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(0.268)</w:t>
            </w:r>
          </w:p>
        </w:tc>
        <w:tc>
          <w:tcPr>
            <w:tcW w:w="1260" w:type="dxa"/>
            <w:tcBorders>
              <w:top w:val="nil"/>
              <w:left w:val="nil"/>
              <w:bottom w:val="nil"/>
              <w:right w:val="nil"/>
            </w:tcBorders>
            <w:shd w:val="clear" w:color="auto" w:fill="auto"/>
            <w:noWrap/>
            <w:vAlign w:val="bottom"/>
            <w:hideMark/>
          </w:tcPr>
          <w:p w14:paraId="43EB53A4"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(0.279)</w:t>
            </w:r>
          </w:p>
        </w:tc>
        <w:tc>
          <w:tcPr>
            <w:tcW w:w="1530" w:type="dxa"/>
            <w:tcBorders>
              <w:top w:val="nil"/>
              <w:left w:val="nil"/>
              <w:bottom w:val="nil"/>
              <w:right w:val="nil"/>
            </w:tcBorders>
            <w:shd w:val="clear" w:color="auto" w:fill="auto"/>
            <w:noWrap/>
            <w:vAlign w:val="bottom"/>
            <w:hideMark/>
          </w:tcPr>
          <w:p w14:paraId="35F49AB6"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(0.338)</w:t>
            </w:r>
          </w:p>
        </w:tc>
      </w:tr>
      <w:tr w:rsidR="00403004" w:rsidRPr="007F4F21" w14:paraId="3A721CB9" w14:textId="77777777" w:rsidTr="00B5460B">
        <w:trPr>
          <w:trHeight w:val="288"/>
        </w:trPr>
        <w:tc>
          <w:tcPr>
            <w:tcW w:w="2700" w:type="dxa"/>
            <w:tcBorders>
              <w:top w:val="nil"/>
              <w:left w:val="nil"/>
              <w:bottom w:val="nil"/>
              <w:right w:val="nil"/>
            </w:tcBorders>
            <w:shd w:val="clear" w:color="auto" w:fill="auto"/>
            <w:vAlign w:val="center"/>
            <w:hideMark/>
          </w:tcPr>
          <w:p w14:paraId="465FD2B4"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65230AB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4,026</w:t>
            </w:r>
          </w:p>
        </w:tc>
        <w:tc>
          <w:tcPr>
            <w:tcW w:w="1080" w:type="dxa"/>
            <w:tcBorders>
              <w:top w:val="nil"/>
              <w:left w:val="nil"/>
              <w:bottom w:val="nil"/>
              <w:right w:val="nil"/>
            </w:tcBorders>
            <w:shd w:val="clear" w:color="auto" w:fill="auto"/>
            <w:noWrap/>
            <w:vAlign w:val="center"/>
            <w:hideMark/>
          </w:tcPr>
          <w:p w14:paraId="0C5F320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4,026</w:t>
            </w:r>
          </w:p>
        </w:tc>
        <w:tc>
          <w:tcPr>
            <w:tcW w:w="1260" w:type="dxa"/>
            <w:tcBorders>
              <w:top w:val="nil"/>
              <w:left w:val="nil"/>
              <w:bottom w:val="nil"/>
              <w:right w:val="nil"/>
            </w:tcBorders>
            <w:shd w:val="clear" w:color="auto" w:fill="auto"/>
            <w:noWrap/>
            <w:vAlign w:val="center"/>
            <w:hideMark/>
          </w:tcPr>
          <w:p w14:paraId="3B0FE43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2,603</w:t>
            </w:r>
          </w:p>
        </w:tc>
        <w:tc>
          <w:tcPr>
            <w:tcW w:w="1530" w:type="dxa"/>
            <w:tcBorders>
              <w:top w:val="nil"/>
              <w:left w:val="nil"/>
              <w:bottom w:val="nil"/>
              <w:right w:val="nil"/>
            </w:tcBorders>
            <w:shd w:val="clear" w:color="auto" w:fill="auto"/>
            <w:noWrap/>
            <w:vAlign w:val="center"/>
            <w:hideMark/>
          </w:tcPr>
          <w:p w14:paraId="6BB283AB"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7,082</w:t>
            </w:r>
          </w:p>
        </w:tc>
      </w:tr>
      <w:tr w:rsidR="00403004" w:rsidRPr="007F4F21" w14:paraId="62466898" w14:textId="77777777" w:rsidTr="00B5460B">
        <w:trPr>
          <w:trHeight w:val="288"/>
        </w:trPr>
        <w:tc>
          <w:tcPr>
            <w:tcW w:w="2700" w:type="dxa"/>
            <w:tcBorders>
              <w:top w:val="nil"/>
              <w:left w:val="nil"/>
              <w:bottom w:val="nil"/>
              <w:right w:val="nil"/>
            </w:tcBorders>
            <w:shd w:val="clear" w:color="auto" w:fill="auto"/>
            <w:vAlign w:val="center"/>
            <w:hideMark/>
          </w:tcPr>
          <w:p w14:paraId="46C4CABC"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06A26CD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0.151</w:t>
            </w:r>
          </w:p>
        </w:tc>
        <w:tc>
          <w:tcPr>
            <w:tcW w:w="1080" w:type="dxa"/>
            <w:tcBorders>
              <w:top w:val="nil"/>
              <w:left w:val="nil"/>
              <w:bottom w:val="nil"/>
              <w:right w:val="nil"/>
            </w:tcBorders>
            <w:shd w:val="clear" w:color="auto" w:fill="auto"/>
            <w:noWrap/>
            <w:vAlign w:val="center"/>
            <w:hideMark/>
          </w:tcPr>
          <w:p w14:paraId="2036F03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0.151</w:t>
            </w:r>
          </w:p>
        </w:tc>
        <w:tc>
          <w:tcPr>
            <w:tcW w:w="1260" w:type="dxa"/>
            <w:tcBorders>
              <w:top w:val="nil"/>
              <w:left w:val="nil"/>
              <w:bottom w:val="nil"/>
              <w:right w:val="nil"/>
            </w:tcBorders>
            <w:shd w:val="clear" w:color="auto" w:fill="auto"/>
            <w:noWrap/>
            <w:vAlign w:val="center"/>
            <w:hideMark/>
          </w:tcPr>
          <w:p w14:paraId="76AB3677"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0.108</w:t>
            </w:r>
          </w:p>
        </w:tc>
        <w:tc>
          <w:tcPr>
            <w:tcW w:w="1530" w:type="dxa"/>
            <w:tcBorders>
              <w:top w:val="nil"/>
              <w:left w:val="nil"/>
              <w:bottom w:val="nil"/>
              <w:right w:val="nil"/>
            </w:tcBorders>
            <w:shd w:val="clear" w:color="auto" w:fill="auto"/>
            <w:noWrap/>
            <w:vAlign w:val="center"/>
            <w:hideMark/>
          </w:tcPr>
          <w:p w14:paraId="2155590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0.249</w:t>
            </w:r>
          </w:p>
        </w:tc>
      </w:tr>
      <w:tr w:rsidR="00403004" w:rsidRPr="007F4F21" w14:paraId="3898E1BC"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42276862"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7CDC574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0.648</w:t>
            </w:r>
          </w:p>
        </w:tc>
        <w:tc>
          <w:tcPr>
            <w:tcW w:w="1080" w:type="dxa"/>
            <w:tcBorders>
              <w:top w:val="nil"/>
              <w:left w:val="nil"/>
              <w:bottom w:val="single" w:sz="8" w:space="0" w:color="auto"/>
              <w:right w:val="nil"/>
            </w:tcBorders>
            <w:shd w:val="clear" w:color="auto" w:fill="auto"/>
            <w:noWrap/>
            <w:vAlign w:val="center"/>
            <w:hideMark/>
          </w:tcPr>
          <w:p w14:paraId="2C0D63A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0.649</w:t>
            </w:r>
          </w:p>
        </w:tc>
        <w:tc>
          <w:tcPr>
            <w:tcW w:w="1260" w:type="dxa"/>
            <w:tcBorders>
              <w:top w:val="nil"/>
              <w:left w:val="nil"/>
              <w:bottom w:val="single" w:sz="8" w:space="0" w:color="auto"/>
              <w:right w:val="nil"/>
            </w:tcBorders>
            <w:shd w:val="clear" w:color="auto" w:fill="auto"/>
            <w:noWrap/>
            <w:vAlign w:val="center"/>
            <w:hideMark/>
          </w:tcPr>
          <w:p w14:paraId="18B42F12"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0.463</w:t>
            </w:r>
          </w:p>
        </w:tc>
        <w:tc>
          <w:tcPr>
            <w:tcW w:w="1530" w:type="dxa"/>
            <w:tcBorders>
              <w:top w:val="nil"/>
              <w:left w:val="nil"/>
              <w:bottom w:val="single" w:sz="8" w:space="0" w:color="auto"/>
              <w:right w:val="nil"/>
            </w:tcBorders>
            <w:shd w:val="clear" w:color="auto" w:fill="auto"/>
            <w:noWrap/>
            <w:vAlign w:val="center"/>
            <w:hideMark/>
          </w:tcPr>
          <w:p w14:paraId="537E8A9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0.981</w:t>
            </w:r>
          </w:p>
        </w:tc>
      </w:tr>
      <w:tr w:rsidR="00403004" w:rsidRPr="007F4F21" w14:paraId="480C13AA" w14:textId="77777777" w:rsidTr="00B5460B">
        <w:trPr>
          <w:trHeight w:val="288"/>
        </w:trPr>
        <w:tc>
          <w:tcPr>
            <w:tcW w:w="2700" w:type="dxa"/>
            <w:tcBorders>
              <w:top w:val="nil"/>
              <w:left w:val="nil"/>
              <w:bottom w:val="nil"/>
              <w:right w:val="nil"/>
            </w:tcBorders>
            <w:shd w:val="clear" w:color="auto" w:fill="auto"/>
            <w:vAlign w:val="center"/>
            <w:hideMark/>
          </w:tcPr>
          <w:p w14:paraId="5C18B952"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Credits Earned End of Year 3</w:t>
            </w:r>
          </w:p>
        </w:tc>
        <w:tc>
          <w:tcPr>
            <w:tcW w:w="1260" w:type="dxa"/>
            <w:tcBorders>
              <w:top w:val="nil"/>
              <w:left w:val="nil"/>
              <w:bottom w:val="nil"/>
              <w:right w:val="nil"/>
            </w:tcBorders>
            <w:shd w:val="clear" w:color="auto" w:fill="auto"/>
            <w:vAlign w:val="center"/>
            <w:hideMark/>
          </w:tcPr>
          <w:p w14:paraId="3B8A585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3.062</w:t>
            </w:r>
          </w:p>
        </w:tc>
        <w:tc>
          <w:tcPr>
            <w:tcW w:w="1080" w:type="dxa"/>
            <w:tcBorders>
              <w:top w:val="nil"/>
              <w:left w:val="nil"/>
              <w:bottom w:val="nil"/>
              <w:right w:val="nil"/>
            </w:tcBorders>
            <w:shd w:val="clear" w:color="auto" w:fill="auto"/>
            <w:noWrap/>
            <w:vAlign w:val="center"/>
            <w:hideMark/>
          </w:tcPr>
          <w:p w14:paraId="456B6AA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3.032</w:t>
            </w:r>
          </w:p>
        </w:tc>
        <w:tc>
          <w:tcPr>
            <w:tcW w:w="1260" w:type="dxa"/>
            <w:tcBorders>
              <w:top w:val="nil"/>
              <w:left w:val="nil"/>
              <w:bottom w:val="nil"/>
              <w:right w:val="nil"/>
            </w:tcBorders>
            <w:shd w:val="clear" w:color="auto" w:fill="auto"/>
            <w:noWrap/>
            <w:vAlign w:val="center"/>
            <w:hideMark/>
          </w:tcPr>
          <w:p w14:paraId="44E858B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3.536</w:t>
            </w:r>
          </w:p>
        </w:tc>
        <w:tc>
          <w:tcPr>
            <w:tcW w:w="1530" w:type="dxa"/>
            <w:tcBorders>
              <w:top w:val="nil"/>
              <w:left w:val="nil"/>
              <w:bottom w:val="nil"/>
              <w:right w:val="nil"/>
            </w:tcBorders>
            <w:shd w:val="clear" w:color="auto" w:fill="auto"/>
            <w:noWrap/>
            <w:vAlign w:val="center"/>
            <w:hideMark/>
          </w:tcPr>
          <w:p w14:paraId="20A07DF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3.944</w:t>
            </w:r>
          </w:p>
        </w:tc>
      </w:tr>
      <w:tr w:rsidR="00403004" w:rsidRPr="007F4F21" w14:paraId="344D13D9" w14:textId="77777777" w:rsidTr="00B5460B">
        <w:trPr>
          <w:trHeight w:val="288"/>
        </w:trPr>
        <w:tc>
          <w:tcPr>
            <w:tcW w:w="2700" w:type="dxa"/>
            <w:tcBorders>
              <w:top w:val="nil"/>
              <w:left w:val="nil"/>
              <w:bottom w:val="nil"/>
              <w:right w:val="nil"/>
            </w:tcBorders>
            <w:shd w:val="clear" w:color="auto" w:fill="auto"/>
            <w:vAlign w:val="bottom"/>
            <w:hideMark/>
          </w:tcPr>
          <w:p w14:paraId="125B326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4FAA7F5A"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(3.410)</w:t>
            </w:r>
          </w:p>
        </w:tc>
        <w:tc>
          <w:tcPr>
            <w:tcW w:w="1080" w:type="dxa"/>
            <w:tcBorders>
              <w:top w:val="nil"/>
              <w:left w:val="nil"/>
              <w:bottom w:val="nil"/>
              <w:right w:val="nil"/>
            </w:tcBorders>
            <w:shd w:val="clear" w:color="auto" w:fill="auto"/>
            <w:noWrap/>
            <w:vAlign w:val="bottom"/>
            <w:hideMark/>
          </w:tcPr>
          <w:p w14:paraId="5AE46DEB"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(3.414)</w:t>
            </w:r>
          </w:p>
        </w:tc>
        <w:tc>
          <w:tcPr>
            <w:tcW w:w="1260" w:type="dxa"/>
            <w:tcBorders>
              <w:top w:val="nil"/>
              <w:left w:val="nil"/>
              <w:bottom w:val="nil"/>
              <w:right w:val="nil"/>
            </w:tcBorders>
            <w:shd w:val="clear" w:color="auto" w:fill="auto"/>
            <w:noWrap/>
            <w:vAlign w:val="bottom"/>
            <w:hideMark/>
          </w:tcPr>
          <w:p w14:paraId="0859C27E"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(3.751)</w:t>
            </w:r>
          </w:p>
        </w:tc>
        <w:tc>
          <w:tcPr>
            <w:tcW w:w="1530" w:type="dxa"/>
            <w:tcBorders>
              <w:top w:val="nil"/>
              <w:left w:val="nil"/>
              <w:bottom w:val="nil"/>
              <w:right w:val="nil"/>
            </w:tcBorders>
            <w:shd w:val="clear" w:color="auto" w:fill="auto"/>
            <w:noWrap/>
            <w:vAlign w:val="bottom"/>
            <w:hideMark/>
          </w:tcPr>
          <w:p w14:paraId="76870162"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(4.062)</w:t>
            </w:r>
          </w:p>
        </w:tc>
      </w:tr>
      <w:tr w:rsidR="00403004" w:rsidRPr="007F4F21" w14:paraId="2ACB79CA" w14:textId="77777777" w:rsidTr="00B5460B">
        <w:trPr>
          <w:trHeight w:val="288"/>
        </w:trPr>
        <w:tc>
          <w:tcPr>
            <w:tcW w:w="2700" w:type="dxa"/>
            <w:tcBorders>
              <w:top w:val="nil"/>
              <w:left w:val="nil"/>
              <w:bottom w:val="nil"/>
              <w:right w:val="nil"/>
            </w:tcBorders>
            <w:shd w:val="clear" w:color="auto" w:fill="auto"/>
            <w:vAlign w:val="center"/>
            <w:hideMark/>
          </w:tcPr>
          <w:p w14:paraId="0BFF406E"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5A57723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4,012</w:t>
            </w:r>
          </w:p>
        </w:tc>
        <w:tc>
          <w:tcPr>
            <w:tcW w:w="1080" w:type="dxa"/>
            <w:tcBorders>
              <w:top w:val="nil"/>
              <w:left w:val="nil"/>
              <w:bottom w:val="nil"/>
              <w:right w:val="nil"/>
            </w:tcBorders>
            <w:shd w:val="clear" w:color="auto" w:fill="auto"/>
            <w:noWrap/>
            <w:vAlign w:val="center"/>
            <w:hideMark/>
          </w:tcPr>
          <w:p w14:paraId="67C54892"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5,013</w:t>
            </w:r>
          </w:p>
        </w:tc>
        <w:tc>
          <w:tcPr>
            <w:tcW w:w="1260" w:type="dxa"/>
            <w:tcBorders>
              <w:top w:val="nil"/>
              <w:left w:val="nil"/>
              <w:bottom w:val="nil"/>
              <w:right w:val="nil"/>
            </w:tcBorders>
            <w:shd w:val="clear" w:color="auto" w:fill="auto"/>
            <w:noWrap/>
            <w:vAlign w:val="center"/>
            <w:hideMark/>
          </w:tcPr>
          <w:p w14:paraId="167E09C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3,173</w:t>
            </w:r>
          </w:p>
        </w:tc>
        <w:tc>
          <w:tcPr>
            <w:tcW w:w="1530" w:type="dxa"/>
            <w:tcBorders>
              <w:top w:val="nil"/>
              <w:left w:val="nil"/>
              <w:bottom w:val="nil"/>
              <w:right w:val="nil"/>
            </w:tcBorders>
            <w:shd w:val="clear" w:color="auto" w:fill="auto"/>
            <w:noWrap/>
            <w:vAlign w:val="center"/>
            <w:hideMark/>
          </w:tcPr>
          <w:p w14:paraId="7C49804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7,470</w:t>
            </w:r>
          </w:p>
        </w:tc>
      </w:tr>
      <w:tr w:rsidR="00403004" w:rsidRPr="007F4F21" w14:paraId="3C7996E4" w14:textId="77777777" w:rsidTr="00B5460B">
        <w:trPr>
          <w:trHeight w:val="288"/>
        </w:trPr>
        <w:tc>
          <w:tcPr>
            <w:tcW w:w="2700" w:type="dxa"/>
            <w:tcBorders>
              <w:top w:val="nil"/>
              <w:left w:val="nil"/>
              <w:bottom w:val="nil"/>
              <w:right w:val="nil"/>
            </w:tcBorders>
            <w:shd w:val="clear" w:color="auto" w:fill="auto"/>
            <w:vAlign w:val="center"/>
            <w:hideMark/>
          </w:tcPr>
          <w:p w14:paraId="5B0C0B3B"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7817AFE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0.168</w:t>
            </w:r>
          </w:p>
        </w:tc>
        <w:tc>
          <w:tcPr>
            <w:tcW w:w="1080" w:type="dxa"/>
            <w:tcBorders>
              <w:top w:val="nil"/>
              <w:left w:val="nil"/>
              <w:bottom w:val="nil"/>
              <w:right w:val="nil"/>
            </w:tcBorders>
            <w:shd w:val="clear" w:color="auto" w:fill="auto"/>
            <w:noWrap/>
            <w:vAlign w:val="center"/>
            <w:hideMark/>
          </w:tcPr>
          <w:p w14:paraId="3FC3DFC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0.169</w:t>
            </w:r>
          </w:p>
        </w:tc>
        <w:tc>
          <w:tcPr>
            <w:tcW w:w="1260" w:type="dxa"/>
            <w:tcBorders>
              <w:top w:val="nil"/>
              <w:left w:val="nil"/>
              <w:bottom w:val="nil"/>
              <w:right w:val="nil"/>
            </w:tcBorders>
            <w:shd w:val="clear" w:color="auto" w:fill="auto"/>
            <w:noWrap/>
            <w:vAlign w:val="center"/>
            <w:hideMark/>
          </w:tcPr>
          <w:p w14:paraId="586B907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0.12</w:t>
            </w:r>
          </w:p>
        </w:tc>
        <w:tc>
          <w:tcPr>
            <w:tcW w:w="1530" w:type="dxa"/>
            <w:tcBorders>
              <w:top w:val="nil"/>
              <w:left w:val="nil"/>
              <w:bottom w:val="nil"/>
              <w:right w:val="nil"/>
            </w:tcBorders>
            <w:shd w:val="clear" w:color="auto" w:fill="auto"/>
            <w:noWrap/>
            <w:vAlign w:val="center"/>
            <w:hideMark/>
          </w:tcPr>
          <w:p w14:paraId="3191ABD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0.274</w:t>
            </w:r>
          </w:p>
        </w:tc>
      </w:tr>
      <w:tr w:rsidR="00403004" w:rsidRPr="007F4F21" w14:paraId="22993251"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1F9E8F7B"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20F335A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0.763</w:t>
            </w:r>
          </w:p>
        </w:tc>
        <w:tc>
          <w:tcPr>
            <w:tcW w:w="1080" w:type="dxa"/>
            <w:tcBorders>
              <w:top w:val="nil"/>
              <w:left w:val="nil"/>
              <w:bottom w:val="single" w:sz="8" w:space="0" w:color="auto"/>
              <w:right w:val="nil"/>
            </w:tcBorders>
            <w:shd w:val="clear" w:color="auto" w:fill="auto"/>
            <w:noWrap/>
            <w:vAlign w:val="center"/>
            <w:hideMark/>
          </w:tcPr>
          <w:p w14:paraId="2D5F1F7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0.764</w:t>
            </w:r>
          </w:p>
        </w:tc>
        <w:tc>
          <w:tcPr>
            <w:tcW w:w="1260" w:type="dxa"/>
            <w:tcBorders>
              <w:top w:val="nil"/>
              <w:left w:val="nil"/>
              <w:bottom w:val="single" w:sz="8" w:space="0" w:color="auto"/>
              <w:right w:val="nil"/>
            </w:tcBorders>
            <w:shd w:val="clear" w:color="auto" w:fill="auto"/>
            <w:noWrap/>
            <w:vAlign w:val="center"/>
            <w:hideMark/>
          </w:tcPr>
          <w:p w14:paraId="3545F39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0.544</w:t>
            </w:r>
          </w:p>
        </w:tc>
        <w:tc>
          <w:tcPr>
            <w:tcW w:w="1530" w:type="dxa"/>
            <w:tcBorders>
              <w:top w:val="nil"/>
              <w:left w:val="nil"/>
              <w:bottom w:val="single" w:sz="8" w:space="0" w:color="auto"/>
              <w:right w:val="nil"/>
            </w:tcBorders>
            <w:shd w:val="clear" w:color="auto" w:fill="auto"/>
            <w:noWrap/>
            <w:vAlign w:val="center"/>
            <w:hideMark/>
          </w:tcPr>
          <w:p w14:paraId="579FA567"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1.03</w:t>
            </w:r>
          </w:p>
        </w:tc>
      </w:tr>
      <w:tr w:rsidR="00403004" w:rsidRPr="007F4F21" w14:paraId="71D4A830" w14:textId="77777777" w:rsidTr="00B5460B">
        <w:trPr>
          <w:trHeight w:val="288"/>
        </w:trPr>
        <w:tc>
          <w:tcPr>
            <w:tcW w:w="2700" w:type="dxa"/>
            <w:tcBorders>
              <w:top w:val="nil"/>
              <w:left w:val="nil"/>
              <w:bottom w:val="nil"/>
              <w:right w:val="nil"/>
            </w:tcBorders>
            <w:shd w:val="clear" w:color="auto" w:fill="auto"/>
            <w:vAlign w:val="center"/>
            <w:hideMark/>
          </w:tcPr>
          <w:p w14:paraId="6A2C155B"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Semesters Enrolled in 3 Years</w:t>
            </w:r>
          </w:p>
        </w:tc>
        <w:tc>
          <w:tcPr>
            <w:tcW w:w="1260" w:type="dxa"/>
            <w:tcBorders>
              <w:top w:val="nil"/>
              <w:left w:val="nil"/>
              <w:bottom w:val="nil"/>
              <w:right w:val="nil"/>
            </w:tcBorders>
            <w:shd w:val="clear" w:color="auto" w:fill="auto"/>
            <w:vAlign w:val="center"/>
            <w:hideMark/>
          </w:tcPr>
          <w:p w14:paraId="383C2C4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0.091</w:t>
            </w:r>
          </w:p>
        </w:tc>
        <w:tc>
          <w:tcPr>
            <w:tcW w:w="1080" w:type="dxa"/>
            <w:tcBorders>
              <w:top w:val="nil"/>
              <w:left w:val="nil"/>
              <w:bottom w:val="nil"/>
              <w:right w:val="nil"/>
            </w:tcBorders>
            <w:shd w:val="clear" w:color="auto" w:fill="auto"/>
            <w:noWrap/>
            <w:vAlign w:val="center"/>
            <w:hideMark/>
          </w:tcPr>
          <w:p w14:paraId="777BB96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0.130</w:t>
            </w:r>
          </w:p>
        </w:tc>
        <w:tc>
          <w:tcPr>
            <w:tcW w:w="1260" w:type="dxa"/>
            <w:tcBorders>
              <w:top w:val="nil"/>
              <w:left w:val="nil"/>
              <w:bottom w:val="nil"/>
              <w:right w:val="nil"/>
            </w:tcBorders>
            <w:shd w:val="clear" w:color="auto" w:fill="auto"/>
            <w:noWrap/>
            <w:vAlign w:val="center"/>
            <w:hideMark/>
          </w:tcPr>
          <w:p w14:paraId="60843F77"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0.136</w:t>
            </w:r>
          </w:p>
        </w:tc>
        <w:tc>
          <w:tcPr>
            <w:tcW w:w="1530" w:type="dxa"/>
            <w:tcBorders>
              <w:top w:val="nil"/>
              <w:left w:val="nil"/>
              <w:bottom w:val="nil"/>
              <w:right w:val="nil"/>
            </w:tcBorders>
            <w:shd w:val="clear" w:color="auto" w:fill="auto"/>
            <w:noWrap/>
            <w:vAlign w:val="center"/>
            <w:hideMark/>
          </w:tcPr>
          <w:p w14:paraId="4C83A81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0.226</w:t>
            </w:r>
          </w:p>
        </w:tc>
      </w:tr>
      <w:tr w:rsidR="00403004" w:rsidRPr="007F4F21" w14:paraId="607025A4" w14:textId="77777777" w:rsidTr="00B5460B">
        <w:trPr>
          <w:trHeight w:val="288"/>
        </w:trPr>
        <w:tc>
          <w:tcPr>
            <w:tcW w:w="2700" w:type="dxa"/>
            <w:tcBorders>
              <w:top w:val="nil"/>
              <w:left w:val="nil"/>
              <w:bottom w:val="nil"/>
              <w:right w:val="nil"/>
            </w:tcBorders>
            <w:shd w:val="clear" w:color="auto" w:fill="auto"/>
            <w:vAlign w:val="bottom"/>
            <w:hideMark/>
          </w:tcPr>
          <w:p w14:paraId="064522D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255741A4"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(0.903)</w:t>
            </w:r>
          </w:p>
        </w:tc>
        <w:tc>
          <w:tcPr>
            <w:tcW w:w="1080" w:type="dxa"/>
            <w:tcBorders>
              <w:top w:val="nil"/>
              <w:left w:val="nil"/>
              <w:bottom w:val="nil"/>
              <w:right w:val="nil"/>
            </w:tcBorders>
            <w:shd w:val="clear" w:color="auto" w:fill="auto"/>
            <w:noWrap/>
            <w:vAlign w:val="bottom"/>
            <w:hideMark/>
          </w:tcPr>
          <w:p w14:paraId="1F7E03C0"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(0.591)</w:t>
            </w:r>
          </w:p>
        </w:tc>
        <w:tc>
          <w:tcPr>
            <w:tcW w:w="1260" w:type="dxa"/>
            <w:tcBorders>
              <w:top w:val="nil"/>
              <w:left w:val="nil"/>
              <w:bottom w:val="nil"/>
              <w:right w:val="nil"/>
            </w:tcBorders>
            <w:shd w:val="clear" w:color="auto" w:fill="auto"/>
            <w:noWrap/>
            <w:vAlign w:val="bottom"/>
            <w:hideMark/>
          </w:tcPr>
          <w:p w14:paraId="4062A80E"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(0.606)</w:t>
            </w:r>
          </w:p>
        </w:tc>
        <w:tc>
          <w:tcPr>
            <w:tcW w:w="1530" w:type="dxa"/>
            <w:tcBorders>
              <w:top w:val="nil"/>
              <w:left w:val="nil"/>
              <w:bottom w:val="nil"/>
              <w:right w:val="nil"/>
            </w:tcBorders>
            <w:shd w:val="clear" w:color="auto" w:fill="auto"/>
            <w:noWrap/>
            <w:vAlign w:val="bottom"/>
            <w:hideMark/>
          </w:tcPr>
          <w:p w14:paraId="23D5E99E"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(0.714)</w:t>
            </w:r>
          </w:p>
        </w:tc>
      </w:tr>
      <w:tr w:rsidR="00403004" w:rsidRPr="007F4F21" w14:paraId="0347DC9D" w14:textId="77777777" w:rsidTr="00B5460B">
        <w:trPr>
          <w:trHeight w:val="288"/>
        </w:trPr>
        <w:tc>
          <w:tcPr>
            <w:tcW w:w="2700" w:type="dxa"/>
            <w:tcBorders>
              <w:top w:val="nil"/>
              <w:left w:val="nil"/>
              <w:bottom w:val="nil"/>
              <w:right w:val="nil"/>
            </w:tcBorders>
            <w:shd w:val="clear" w:color="auto" w:fill="auto"/>
            <w:vAlign w:val="center"/>
            <w:hideMark/>
          </w:tcPr>
          <w:p w14:paraId="4960FD36"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28DEEB6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4,041</w:t>
            </w:r>
          </w:p>
        </w:tc>
        <w:tc>
          <w:tcPr>
            <w:tcW w:w="1080" w:type="dxa"/>
            <w:tcBorders>
              <w:top w:val="nil"/>
              <w:left w:val="nil"/>
              <w:bottom w:val="nil"/>
              <w:right w:val="nil"/>
            </w:tcBorders>
            <w:shd w:val="clear" w:color="auto" w:fill="auto"/>
            <w:noWrap/>
            <w:vAlign w:val="center"/>
            <w:hideMark/>
          </w:tcPr>
          <w:p w14:paraId="0AF92EF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3,782</w:t>
            </w:r>
          </w:p>
        </w:tc>
        <w:tc>
          <w:tcPr>
            <w:tcW w:w="1260" w:type="dxa"/>
            <w:tcBorders>
              <w:top w:val="nil"/>
              <w:left w:val="nil"/>
              <w:bottom w:val="nil"/>
              <w:right w:val="nil"/>
            </w:tcBorders>
            <w:shd w:val="clear" w:color="auto" w:fill="auto"/>
            <w:noWrap/>
            <w:vAlign w:val="center"/>
            <w:hideMark/>
          </w:tcPr>
          <w:p w14:paraId="148AEF0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2,609</w:t>
            </w:r>
          </w:p>
        </w:tc>
        <w:tc>
          <w:tcPr>
            <w:tcW w:w="1530" w:type="dxa"/>
            <w:tcBorders>
              <w:top w:val="nil"/>
              <w:left w:val="nil"/>
              <w:bottom w:val="nil"/>
              <w:right w:val="nil"/>
            </w:tcBorders>
            <w:shd w:val="clear" w:color="auto" w:fill="auto"/>
            <w:noWrap/>
            <w:vAlign w:val="center"/>
            <w:hideMark/>
          </w:tcPr>
          <w:p w14:paraId="3100B5B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5,821</w:t>
            </w:r>
          </w:p>
        </w:tc>
      </w:tr>
      <w:tr w:rsidR="00403004" w:rsidRPr="007F4F21" w14:paraId="11B8B577" w14:textId="77777777" w:rsidTr="00B5460B">
        <w:trPr>
          <w:trHeight w:val="288"/>
        </w:trPr>
        <w:tc>
          <w:tcPr>
            <w:tcW w:w="2700" w:type="dxa"/>
            <w:tcBorders>
              <w:top w:val="nil"/>
              <w:left w:val="nil"/>
              <w:bottom w:val="nil"/>
              <w:right w:val="nil"/>
            </w:tcBorders>
            <w:shd w:val="clear" w:color="auto" w:fill="auto"/>
            <w:vAlign w:val="center"/>
            <w:hideMark/>
          </w:tcPr>
          <w:p w14:paraId="76E7302C"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1E30109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0.162</w:t>
            </w:r>
          </w:p>
        </w:tc>
        <w:tc>
          <w:tcPr>
            <w:tcW w:w="1080" w:type="dxa"/>
            <w:tcBorders>
              <w:top w:val="nil"/>
              <w:left w:val="nil"/>
              <w:bottom w:val="nil"/>
              <w:right w:val="nil"/>
            </w:tcBorders>
            <w:shd w:val="clear" w:color="auto" w:fill="auto"/>
            <w:noWrap/>
            <w:vAlign w:val="center"/>
            <w:hideMark/>
          </w:tcPr>
          <w:p w14:paraId="34F8F3A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0.163</w:t>
            </w:r>
          </w:p>
        </w:tc>
        <w:tc>
          <w:tcPr>
            <w:tcW w:w="1260" w:type="dxa"/>
            <w:tcBorders>
              <w:top w:val="nil"/>
              <w:left w:val="nil"/>
              <w:bottom w:val="nil"/>
              <w:right w:val="nil"/>
            </w:tcBorders>
            <w:shd w:val="clear" w:color="auto" w:fill="auto"/>
            <w:noWrap/>
            <w:vAlign w:val="center"/>
            <w:hideMark/>
          </w:tcPr>
          <w:p w14:paraId="4DA7369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0.116</w:t>
            </w:r>
          </w:p>
        </w:tc>
        <w:tc>
          <w:tcPr>
            <w:tcW w:w="1530" w:type="dxa"/>
            <w:tcBorders>
              <w:top w:val="nil"/>
              <w:left w:val="nil"/>
              <w:bottom w:val="nil"/>
              <w:right w:val="nil"/>
            </w:tcBorders>
            <w:shd w:val="clear" w:color="auto" w:fill="auto"/>
            <w:noWrap/>
            <w:vAlign w:val="center"/>
            <w:hideMark/>
          </w:tcPr>
          <w:p w14:paraId="22E6F7A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0.264</w:t>
            </w:r>
          </w:p>
        </w:tc>
      </w:tr>
      <w:tr w:rsidR="00403004" w:rsidRPr="007F4F21" w14:paraId="29A95D2A"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7616553E"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51D12282"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0.648</w:t>
            </w:r>
          </w:p>
        </w:tc>
        <w:tc>
          <w:tcPr>
            <w:tcW w:w="1080" w:type="dxa"/>
            <w:tcBorders>
              <w:top w:val="nil"/>
              <w:left w:val="nil"/>
              <w:bottom w:val="single" w:sz="8" w:space="0" w:color="auto"/>
              <w:right w:val="nil"/>
            </w:tcBorders>
            <w:shd w:val="clear" w:color="auto" w:fill="auto"/>
            <w:noWrap/>
            <w:vAlign w:val="center"/>
            <w:hideMark/>
          </w:tcPr>
          <w:p w14:paraId="5F25C02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0.618</w:t>
            </w:r>
          </w:p>
        </w:tc>
        <w:tc>
          <w:tcPr>
            <w:tcW w:w="1260" w:type="dxa"/>
            <w:tcBorders>
              <w:top w:val="nil"/>
              <w:left w:val="nil"/>
              <w:bottom w:val="single" w:sz="8" w:space="0" w:color="auto"/>
              <w:right w:val="nil"/>
            </w:tcBorders>
            <w:shd w:val="clear" w:color="auto" w:fill="auto"/>
            <w:noWrap/>
            <w:vAlign w:val="center"/>
            <w:hideMark/>
          </w:tcPr>
          <w:p w14:paraId="4649535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0.463</w:t>
            </w:r>
          </w:p>
        </w:tc>
        <w:tc>
          <w:tcPr>
            <w:tcW w:w="1530" w:type="dxa"/>
            <w:tcBorders>
              <w:top w:val="nil"/>
              <w:left w:val="nil"/>
              <w:bottom w:val="single" w:sz="8" w:space="0" w:color="auto"/>
              <w:right w:val="nil"/>
            </w:tcBorders>
            <w:shd w:val="clear" w:color="auto" w:fill="auto"/>
            <w:noWrap/>
            <w:vAlign w:val="center"/>
            <w:hideMark/>
          </w:tcPr>
          <w:p w14:paraId="060FDD4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0.846</w:t>
            </w:r>
          </w:p>
        </w:tc>
      </w:tr>
      <w:tr w:rsidR="00403004" w:rsidRPr="007F4F21" w14:paraId="0EB40460" w14:textId="77777777" w:rsidTr="00B5460B">
        <w:trPr>
          <w:trHeight w:val="288"/>
        </w:trPr>
        <w:tc>
          <w:tcPr>
            <w:tcW w:w="2700" w:type="dxa"/>
            <w:tcBorders>
              <w:top w:val="nil"/>
              <w:left w:val="nil"/>
              <w:bottom w:val="nil"/>
              <w:right w:val="nil"/>
            </w:tcBorders>
            <w:shd w:val="clear" w:color="auto" w:fill="auto"/>
            <w:vAlign w:val="center"/>
            <w:hideMark/>
          </w:tcPr>
          <w:p w14:paraId="6167E2B5"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Had 63 Credits by Year 3</w:t>
            </w:r>
          </w:p>
        </w:tc>
        <w:tc>
          <w:tcPr>
            <w:tcW w:w="1260" w:type="dxa"/>
            <w:tcBorders>
              <w:top w:val="nil"/>
              <w:left w:val="nil"/>
              <w:bottom w:val="nil"/>
              <w:right w:val="nil"/>
            </w:tcBorders>
            <w:shd w:val="clear" w:color="auto" w:fill="auto"/>
            <w:vAlign w:val="center"/>
            <w:hideMark/>
          </w:tcPr>
          <w:p w14:paraId="69711A6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-0.036</w:t>
            </w:r>
          </w:p>
        </w:tc>
        <w:tc>
          <w:tcPr>
            <w:tcW w:w="1080" w:type="dxa"/>
            <w:tcBorders>
              <w:top w:val="nil"/>
              <w:left w:val="nil"/>
              <w:bottom w:val="nil"/>
              <w:right w:val="nil"/>
            </w:tcBorders>
            <w:shd w:val="clear" w:color="auto" w:fill="auto"/>
            <w:noWrap/>
            <w:vAlign w:val="center"/>
            <w:hideMark/>
          </w:tcPr>
          <w:p w14:paraId="330F142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-0.037</w:t>
            </w:r>
          </w:p>
        </w:tc>
        <w:tc>
          <w:tcPr>
            <w:tcW w:w="1260" w:type="dxa"/>
            <w:tcBorders>
              <w:top w:val="nil"/>
              <w:left w:val="nil"/>
              <w:bottom w:val="nil"/>
              <w:right w:val="nil"/>
            </w:tcBorders>
            <w:shd w:val="clear" w:color="auto" w:fill="auto"/>
            <w:noWrap/>
            <w:vAlign w:val="center"/>
            <w:hideMark/>
          </w:tcPr>
          <w:p w14:paraId="6483CB4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-0.0485</w:t>
            </w:r>
          </w:p>
        </w:tc>
        <w:tc>
          <w:tcPr>
            <w:tcW w:w="1530" w:type="dxa"/>
            <w:tcBorders>
              <w:top w:val="nil"/>
              <w:left w:val="nil"/>
              <w:bottom w:val="nil"/>
              <w:right w:val="nil"/>
            </w:tcBorders>
            <w:shd w:val="clear" w:color="auto" w:fill="auto"/>
            <w:noWrap/>
            <w:vAlign w:val="center"/>
            <w:hideMark/>
          </w:tcPr>
          <w:p w14:paraId="2F19E00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-0.054</w:t>
            </w:r>
          </w:p>
        </w:tc>
      </w:tr>
      <w:tr w:rsidR="00403004" w:rsidRPr="007F4F21" w14:paraId="2B1E3FBE" w14:textId="77777777" w:rsidTr="00B5460B">
        <w:trPr>
          <w:trHeight w:val="288"/>
        </w:trPr>
        <w:tc>
          <w:tcPr>
            <w:tcW w:w="2700" w:type="dxa"/>
            <w:tcBorders>
              <w:top w:val="nil"/>
              <w:left w:val="nil"/>
              <w:bottom w:val="nil"/>
              <w:right w:val="nil"/>
            </w:tcBorders>
            <w:shd w:val="clear" w:color="auto" w:fill="auto"/>
            <w:vAlign w:val="bottom"/>
            <w:hideMark/>
          </w:tcPr>
          <w:p w14:paraId="2B18813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6621C025"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(0.027)</w:t>
            </w:r>
          </w:p>
        </w:tc>
        <w:tc>
          <w:tcPr>
            <w:tcW w:w="1080" w:type="dxa"/>
            <w:tcBorders>
              <w:top w:val="nil"/>
              <w:left w:val="nil"/>
              <w:bottom w:val="nil"/>
              <w:right w:val="nil"/>
            </w:tcBorders>
            <w:shd w:val="clear" w:color="auto" w:fill="auto"/>
            <w:noWrap/>
            <w:vAlign w:val="bottom"/>
            <w:hideMark/>
          </w:tcPr>
          <w:p w14:paraId="37D528E1"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(0.026)</w:t>
            </w:r>
          </w:p>
        </w:tc>
        <w:tc>
          <w:tcPr>
            <w:tcW w:w="1260" w:type="dxa"/>
            <w:tcBorders>
              <w:top w:val="nil"/>
              <w:left w:val="nil"/>
              <w:bottom w:val="nil"/>
              <w:right w:val="nil"/>
            </w:tcBorders>
            <w:shd w:val="clear" w:color="auto" w:fill="auto"/>
            <w:noWrap/>
            <w:vAlign w:val="bottom"/>
            <w:hideMark/>
          </w:tcPr>
          <w:p w14:paraId="078E06A0"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(0.034)</w:t>
            </w:r>
          </w:p>
        </w:tc>
        <w:tc>
          <w:tcPr>
            <w:tcW w:w="1530" w:type="dxa"/>
            <w:tcBorders>
              <w:top w:val="nil"/>
              <w:left w:val="nil"/>
              <w:bottom w:val="nil"/>
              <w:right w:val="nil"/>
            </w:tcBorders>
            <w:shd w:val="clear" w:color="auto" w:fill="auto"/>
            <w:noWrap/>
            <w:vAlign w:val="bottom"/>
            <w:hideMark/>
          </w:tcPr>
          <w:p w14:paraId="6EA0D528"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(0.035)</w:t>
            </w:r>
          </w:p>
        </w:tc>
      </w:tr>
      <w:tr w:rsidR="00403004" w:rsidRPr="007F4F21" w14:paraId="50A29FBA" w14:textId="77777777" w:rsidTr="00B5460B">
        <w:trPr>
          <w:trHeight w:val="288"/>
        </w:trPr>
        <w:tc>
          <w:tcPr>
            <w:tcW w:w="2700" w:type="dxa"/>
            <w:tcBorders>
              <w:top w:val="nil"/>
              <w:left w:val="nil"/>
              <w:bottom w:val="nil"/>
              <w:right w:val="nil"/>
            </w:tcBorders>
            <w:shd w:val="clear" w:color="auto" w:fill="auto"/>
            <w:vAlign w:val="center"/>
            <w:hideMark/>
          </w:tcPr>
          <w:p w14:paraId="42801831"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472CE42C"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2,564</w:t>
            </w:r>
          </w:p>
        </w:tc>
        <w:tc>
          <w:tcPr>
            <w:tcW w:w="1080" w:type="dxa"/>
            <w:tcBorders>
              <w:top w:val="nil"/>
              <w:left w:val="nil"/>
              <w:bottom w:val="nil"/>
              <w:right w:val="nil"/>
            </w:tcBorders>
            <w:shd w:val="clear" w:color="auto" w:fill="auto"/>
            <w:noWrap/>
            <w:vAlign w:val="center"/>
            <w:hideMark/>
          </w:tcPr>
          <w:p w14:paraId="203A33B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2,554</w:t>
            </w:r>
          </w:p>
        </w:tc>
        <w:tc>
          <w:tcPr>
            <w:tcW w:w="1260" w:type="dxa"/>
            <w:tcBorders>
              <w:top w:val="nil"/>
              <w:left w:val="nil"/>
              <w:bottom w:val="nil"/>
              <w:right w:val="nil"/>
            </w:tcBorders>
            <w:shd w:val="clear" w:color="auto" w:fill="auto"/>
            <w:noWrap/>
            <w:vAlign w:val="center"/>
            <w:hideMark/>
          </w:tcPr>
          <w:p w14:paraId="73DDE09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1,681</w:t>
            </w:r>
          </w:p>
        </w:tc>
        <w:tc>
          <w:tcPr>
            <w:tcW w:w="1530" w:type="dxa"/>
            <w:tcBorders>
              <w:top w:val="nil"/>
              <w:left w:val="nil"/>
              <w:bottom w:val="nil"/>
              <w:right w:val="nil"/>
            </w:tcBorders>
            <w:shd w:val="clear" w:color="auto" w:fill="auto"/>
            <w:noWrap/>
            <w:vAlign w:val="center"/>
            <w:hideMark/>
          </w:tcPr>
          <w:p w14:paraId="21FF0D0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5,031</w:t>
            </w:r>
          </w:p>
        </w:tc>
      </w:tr>
      <w:tr w:rsidR="00403004" w:rsidRPr="007F4F21" w14:paraId="72A629CE" w14:textId="77777777" w:rsidTr="00B5460B">
        <w:trPr>
          <w:trHeight w:val="288"/>
        </w:trPr>
        <w:tc>
          <w:tcPr>
            <w:tcW w:w="2700" w:type="dxa"/>
            <w:tcBorders>
              <w:top w:val="nil"/>
              <w:left w:val="nil"/>
              <w:bottom w:val="nil"/>
              <w:right w:val="nil"/>
            </w:tcBorders>
            <w:shd w:val="clear" w:color="auto" w:fill="auto"/>
            <w:vAlign w:val="center"/>
            <w:hideMark/>
          </w:tcPr>
          <w:p w14:paraId="09D67D89"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bottom w:val="nil"/>
              <w:right w:val="nil"/>
            </w:tcBorders>
            <w:shd w:val="clear" w:color="auto" w:fill="auto"/>
            <w:vAlign w:val="center"/>
            <w:hideMark/>
          </w:tcPr>
          <w:p w14:paraId="049AB7E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0.14</w:t>
            </w:r>
          </w:p>
        </w:tc>
        <w:tc>
          <w:tcPr>
            <w:tcW w:w="1080" w:type="dxa"/>
            <w:tcBorders>
              <w:top w:val="nil"/>
              <w:left w:val="nil"/>
              <w:bottom w:val="nil"/>
              <w:right w:val="nil"/>
            </w:tcBorders>
            <w:shd w:val="clear" w:color="auto" w:fill="auto"/>
            <w:noWrap/>
            <w:vAlign w:val="center"/>
            <w:hideMark/>
          </w:tcPr>
          <w:p w14:paraId="3E8CF4A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0.137</w:t>
            </w:r>
          </w:p>
        </w:tc>
        <w:tc>
          <w:tcPr>
            <w:tcW w:w="1260" w:type="dxa"/>
            <w:tcBorders>
              <w:top w:val="nil"/>
              <w:left w:val="nil"/>
              <w:bottom w:val="nil"/>
              <w:right w:val="nil"/>
            </w:tcBorders>
            <w:shd w:val="clear" w:color="auto" w:fill="auto"/>
            <w:noWrap/>
            <w:vAlign w:val="center"/>
            <w:hideMark/>
          </w:tcPr>
          <w:p w14:paraId="409364B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0.100</w:t>
            </w:r>
          </w:p>
        </w:tc>
        <w:tc>
          <w:tcPr>
            <w:tcW w:w="1530" w:type="dxa"/>
            <w:tcBorders>
              <w:top w:val="nil"/>
              <w:left w:val="nil"/>
              <w:bottom w:val="nil"/>
              <w:right w:val="nil"/>
            </w:tcBorders>
            <w:shd w:val="clear" w:color="auto" w:fill="auto"/>
            <w:noWrap/>
            <w:vAlign w:val="center"/>
            <w:hideMark/>
          </w:tcPr>
          <w:p w14:paraId="718ABDF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0.176</w:t>
            </w:r>
          </w:p>
        </w:tc>
      </w:tr>
      <w:tr w:rsidR="00403004" w:rsidRPr="007F4F21" w14:paraId="0940F7C4" w14:textId="77777777" w:rsidTr="00B5460B">
        <w:trPr>
          <w:trHeight w:val="300"/>
        </w:trPr>
        <w:tc>
          <w:tcPr>
            <w:tcW w:w="2700" w:type="dxa"/>
            <w:tcBorders>
              <w:top w:val="nil"/>
              <w:left w:val="nil"/>
              <w:bottom w:val="single" w:sz="8" w:space="0" w:color="auto"/>
              <w:right w:val="nil"/>
            </w:tcBorders>
            <w:shd w:val="clear" w:color="auto" w:fill="auto"/>
            <w:vAlign w:val="center"/>
            <w:hideMark/>
          </w:tcPr>
          <w:p w14:paraId="6B9EC0E4"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8" w:space="0" w:color="auto"/>
              <w:right w:val="nil"/>
            </w:tcBorders>
            <w:shd w:val="clear" w:color="auto" w:fill="auto"/>
            <w:vAlign w:val="center"/>
            <w:hideMark/>
          </w:tcPr>
          <w:p w14:paraId="445ACAD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0.454</w:t>
            </w:r>
          </w:p>
        </w:tc>
        <w:tc>
          <w:tcPr>
            <w:tcW w:w="1080" w:type="dxa"/>
            <w:tcBorders>
              <w:top w:val="nil"/>
              <w:left w:val="nil"/>
              <w:bottom w:val="single" w:sz="8" w:space="0" w:color="auto"/>
              <w:right w:val="nil"/>
            </w:tcBorders>
            <w:shd w:val="clear" w:color="auto" w:fill="auto"/>
            <w:noWrap/>
            <w:vAlign w:val="center"/>
            <w:hideMark/>
          </w:tcPr>
          <w:p w14:paraId="6A235B43"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0.455</w:t>
            </w:r>
          </w:p>
        </w:tc>
        <w:tc>
          <w:tcPr>
            <w:tcW w:w="1260" w:type="dxa"/>
            <w:tcBorders>
              <w:top w:val="nil"/>
              <w:left w:val="nil"/>
              <w:bottom w:val="single" w:sz="8" w:space="0" w:color="auto"/>
              <w:right w:val="nil"/>
            </w:tcBorders>
            <w:shd w:val="clear" w:color="auto" w:fill="auto"/>
            <w:noWrap/>
            <w:vAlign w:val="center"/>
            <w:hideMark/>
          </w:tcPr>
          <w:p w14:paraId="6971010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0.324</w:t>
            </w:r>
          </w:p>
        </w:tc>
        <w:tc>
          <w:tcPr>
            <w:tcW w:w="1530" w:type="dxa"/>
            <w:tcBorders>
              <w:top w:val="nil"/>
              <w:left w:val="nil"/>
              <w:bottom w:val="single" w:sz="8" w:space="0" w:color="auto"/>
              <w:right w:val="nil"/>
            </w:tcBorders>
            <w:shd w:val="clear" w:color="auto" w:fill="auto"/>
            <w:noWrap/>
            <w:vAlign w:val="center"/>
            <w:hideMark/>
          </w:tcPr>
          <w:p w14:paraId="2F41C57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0.760</w:t>
            </w:r>
          </w:p>
        </w:tc>
      </w:tr>
      <w:tr w:rsidR="00403004" w:rsidRPr="007F4F21" w14:paraId="436294F4" w14:textId="77777777" w:rsidTr="00B5460B">
        <w:trPr>
          <w:trHeight w:val="288"/>
        </w:trPr>
        <w:tc>
          <w:tcPr>
            <w:tcW w:w="2700" w:type="dxa"/>
            <w:tcBorders>
              <w:top w:val="nil"/>
              <w:left w:val="nil"/>
              <w:bottom w:val="nil"/>
              <w:right w:val="nil"/>
            </w:tcBorders>
            <w:shd w:val="clear" w:color="auto" w:fill="auto"/>
            <w:vAlign w:val="center"/>
            <w:hideMark/>
          </w:tcPr>
          <w:p w14:paraId="1C6DE103"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Graduate with Credential</w:t>
            </w:r>
          </w:p>
        </w:tc>
        <w:tc>
          <w:tcPr>
            <w:tcW w:w="1260" w:type="dxa"/>
            <w:tcBorders>
              <w:top w:val="nil"/>
              <w:left w:val="nil"/>
              <w:bottom w:val="nil"/>
              <w:right w:val="nil"/>
            </w:tcBorders>
            <w:shd w:val="clear" w:color="auto" w:fill="auto"/>
            <w:vAlign w:val="center"/>
            <w:hideMark/>
          </w:tcPr>
          <w:p w14:paraId="3E5DFC84"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-0.015</w:t>
            </w:r>
          </w:p>
        </w:tc>
        <w:tc>
          <w:tcPr>
            <w:tcW w:w="1080" w:type="dxa"/>
            <w:tcBorders>
              <w:top w:val="nil"/>
              <w:left w:val="nil"/>
              <w:bottom w:val="nil"/>
              <w:right w:val="nil"/>
            </w:tcBorders>
            <w:shd w:val="clear" w:color="auto" w:fill="auto"/>
            <w:noWrap/>
            <w:vAlign w:val="center"/>
            <w:hideMark/>
          </w:tcPr>
          <w:p w14:paraId="36AD384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-0.016</w:t>
            </w:r>
          </w:p>
        </w:tc>
        <w:tc>
          <w:tcPr>
            <w:tcW w:w="1260" w:type="dxa"/>
            <w:tcBorders>
              <w:top w:val="nil"/>
              <w:left w:val="nil"/>
              <w:bottom w:val="nil"/>
              <w:right w:val="nil"/>
            </w:tcBorders>
            <w:shd w:val="clear" w:color="auto" w:fill="auto"/>
            <w:noWrap/>
            <w:vAlign w:val="center"/>
            <w:hideMark/>
          </w:tcPr>
          <w:p w14:paraId="2E550450"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-0.0313</w:t>
            </w:r>
          </w:p>
        </w:tc>
        <w:tc>
          <w:tcPr>
            <w:tcW w:w="1530" w:type="dxa"/>
            <w:tcBorders>
              <w:top w:val="nil"/>
              <w:left w:val="nil"/>
              <w:bottom w:val="nil"/>
              <w:right w:val="nil"/>
            </w:tcBorders>
            <w:shd w:val="clear" w:color="auto" w:fill="auto"/>
            <w:noWrap/>
            <w:vAlign w:val="center"/>
            <w:hideMark/>
          </w:tcPr>
          <w:p w14:paraId="0E9348F5"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-0.062</w:t>
            </w:r>
          </w:p>
        </w:tc>
      </w:tr>
      <w:tr w:rsidR="00403004" w:rsidRPr="007F4F21" w14:paraId="4151753F" w14:textId="77777777" w:rsidTr="00B5460B">
        <w:trPr>
          <w:trHeight w:val="288"/>
        </w:trPr>
        <w:tc>
          <w:tcPr>
            <w:tcW w:w="2700" w:type="dxa"/>
            <w:tcBorders>
              <w:top w:val="nil"/>
              <w:left w:val="nil"/>
              <w:bottom w:val="nil"/>
              <w:right w:val="nil"/>
            </w:tcBorders>
            <w:shd w:val="clear" w:color="auto" w:fill="auto"/>
            <w:vAlign w:val="bottom"/>
            <w:hideMark/>
          </w:tcPr>
          <w:p w14:paraId="37F92617"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p>
        </w:tc>
        <w:tc>
          <w:tcPr>
            <w:tcW w:w="1260" w:type="dxa"/>
            <w:tcBorders>
              <w:top w:val="nil"/>
              <w:left w:val="nil"/>
              <w:bottom w:val="nil"/>
              <w:right w:val="nil"/>
            </w:tcBorders>
            <w:shd w:val="clear" w:color="auto" w:fill="auto"/>
            <w:noWrap/>
            <w:vAlign w:val="bottom"/>
            <w:hideMark/>
          </w:tcPr>
          <w:p w14:paraId="6C3704D6"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(0.040)</w:t>
            </w:r>
          </w:p>
        </w:tc>
        <w:tc>
          <w:tcPr>
            <w:tcW w:w="1080" w:type="dxa"/>
            <w:tcBorders>
              <w:top w:val="nil"/>
              <w:left w:val="nil"/>
              <w:bottom w:val="nil"/>
              <w:right w:val="nil"/>
            </w:tcBorders>
            <w:shd w:val="clear" w:color="auto" w:fill="auto"/>
            <w:noWrap/>
            <w:vAlign w:val="bottom"/>
            <w:hideMark/>
          </w:tcPr>
          <w:p w14:paraId="15C186B2"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(0.040)</w:t>
            </w:r>
          </w:p>
        </w:tc>
        <w:tc>
          <w:tcPr>
            <w:tcW w:w="1260" w:type="dxa"/>
            <w:tcBorders>
              <w:top w:val="nil"/>
              <w:left w:val="nil"/>
              <w:bottom w:val="nil"/>
              <w:right w:val="nil"/>
            </w:tcBorders>
            <w:shd w:val="clear" w:color="auto" w:fill="auto"/>
            <w:noWrap/>
            <w:vAlign w:val="bottom"/>
            <w:hideMark/>
          </w:tcPr>
          <w:p w14:paraId="3C59255E"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(0.041)</w:t>
            </w:r>
          </w:p>
        </w:tc>
        <w:tc>
          <w:tcPr>
            <w:tcW w:w="1530" w:type="dxa"/>
            <w:tcBorders>
              <w:top w:val="nil"/>
              <w:left w:val="nil"/>
              <w:bottom w:val="nil"/>
              <w:right w:val="nil"/>
            </w:tcBorders>
            <w:shd w:val="clear" w:color="auto" w:fill="auto"/>
            <w:noWrap/>
            <w:vAlign w:val="bottom"/>
            <w:hideMark/>
          </w:tcPr>
          <w:p w14:paraId="42FB64A9" w14:textId="77777777" w:rsidR="00403004" w:rsidRPr="007F4F21" w:rsidRDefault="00403004" w:rsidP="00B5460B">
            <w:pPr>
              <w:spacing w:after="0" w:line="240" w:lineRule="auto"/>
              <w:jc w:val="center"/>
              <w:rPr>
                <w:rFonts w:ascii="Times New Roman" w:eastAsia="Times New Roman" w:hAnsi="Times New Roman" w:cs="Times New Roman"/>
                <w:sz w:val="20"/>
                <w:szCs w:val="20"/>
              </w:rPr>
            </w:pPr>
            <w:r w:rsidRPr="00BC2DD1">
              <w:rPr>
                <w:rFonts w:ascii="Times New Roman" w:hAnsi="Times New Roman" w:cs="Times New Roman"/>
                <w:sz w:val="20"/>
                <w:szCs w:val="20"/>
              </w:rPr>
              <w:t>(0.069)</w:t>
            </w:r>
          </w:p>
        </w:tc>
      </w:tr>
      <w:tr w:rsidR="00403004" w:rsidRPr="007F4F21" w14:paraId="3E90087C" w14:textId="77777777" w:rsidTr="00B5460B">
        <w:trPr>
          <w:trHeight w:val="288"/>
        </w:trPr>
        <w:tc>
          <w:tcPr>
            <w:tcW w:w="2700" w:type="dxa"/>
            <w:tcBorders>
              <w:top w:val="nil"/>
              <w:left w:val="nil"/>
              <w:bottom w:val="nil"/>
              <w:right w:val="nil"/>
            </w:tcBorders>
            <w:shd w:val="clear" w:color="auto" w:fill="auto"/>
            <w:vAlign w:val="center"/>
            <w:hideMark/>
          </w:tcPr>
          <w:p w14:paraId="6D0BC129"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Observations</w:t>
            </w:r>
          </w:p>
        </w:tc>
        <w:tc>
          <w:tcPr>
            <w:tcW w:w="1260" w:type="dxa"/>
            <w:tcBorders>
              <w:top w:val="nil"/>
              <w:left w:val="nil"/>
              <w:bottom w:val="nil"/>
              <w:right w:val="nil"/>
            </w:tcBorders>
            <w:shd w:val="clear" w:color="auto" w:fill="auto"/>
            <w:vAlign w:val="center"/>
            <w:hideMark/>
          </w:tcPr>
          <w:p w14:paraId="76FE2279"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4,935</w:t>
            </w:r>
          </w:p>
        </w:tc>
        <w:tc>
          <w:tcPr>
            <w:tcW w:w="1080" w:type="dxa"/>
            <w:tcBorders>
              <w:top w:val="nil"/>
              <w:left w:val="nil"/>
              <w:bottom w:val="nil"/>
              <w:right w:val="nil"/>
            </w:tcBorders>
            <w:shd w:val="clear" w:color="auto" w:fill="auto"/>
            <w:noWrap/>
            <w:vAlign w:val="center"/>
            <w:hideMark/>
          </w:tcPr>
          <w:p w14:paraId="0E7D816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4,937</w:t>
            </w:r>
          </w:p>
        </w:tc>
        <w:tc>
          <w:tcPr>
            <w:tcW w:w="1260" w:type="dxa"/>
            <w:tcBorders>
              <w:top w:val="nil"/>
              <w:left w:val="nil"/>
              <w:bottom w:val="nil"/>
              <w:right w:val="nil"/>
            </w:tcBorders>
            <w:shd w:val="clear" w:color="auto" w:fill="auto"/>
            <w:noWrap/>
            <w:vAlign w:val="center"/>
            <w:hideMark/>
          </w:tcPr>
          <w:p w14:paraId="7FDA3996"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3,156</w:t>
            </w:r>
          </w:p>
        </w:tc>
        <w:tc>
          <w:tcPr>
            <w:tcW w:w="1530" w:type="dxa"/>
            <w:tcBorders>
              <w:top w:val="nil"/>
              <w:left w:val="nil"/>
              <w:bottom w:val="nil"/>
              <w:right w:val="nil"/>
            </w:tcBorders>
            <w:shd w:val="clear" w:color="auto" w:fill="auto"/>
            <w:noWrap/>
            <w:vAlign w:val="center"/>
            <w:hideMark/>
          </w:tcPr>
          <w:p w14:paraId="71E0224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5,296</w:t>
            </w:r>
          </w:p>
        </w:tc>
      </w:tr>
      <w:tr w:rsidR="00403004" w:rsidRPr="007F4F21" w14:paraId="077C5EC2" w14:textId="77777777" w:rsidTr="00B5460B">
        <w:trPr>
          <w:trHeight w:val="288"/>
        </w:trPr>
        <w:tc>
          <w:tcPr>
            <w:tcW w:w="2700" w:type="dxa"/>
            <w:tcBorders>
              <w:top w:val="nil"/>
              <w:left w:val="nil"/>
              <w:right w:val="nil"/>
            </w:tcBorders>
            <w:shd w:val="clear" w:color="auto" w:fill="auto"/>
            <w:vAlign w:val="center"/>
            <w:hideMark/>
          </w:tcPr>
          <w:p w14:paraId="36A25F47"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Below</w:t>
            </w:r>
          </w:p>
        </w:tc>
        <w:tc>
          <w:tcPr>
            <w:tcW w:w="1260" w:type="dxa"/>
            <w:tcBorders>
              <w:top w:val="nil"/>
              <w:left w:val="nil"/>
              <w:right w:val="nil"/>
            </w:tcBorders>
            <w:shd w:val="clear" w:color="auto" w:fill="auto"/>
            <w:vAlign w:val="center"/>
            <w:hideMark/>
          </w:tcPr>
          <w:p w14:paraId="0E2E05A8"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0.292</w:t>
            </w:r>
          </w:p>
        </w:tc>
        <w:tc>
          <w:tcPr>
            <w:tcW w:w="1080" w:type="dxa"/>
            <w:tcBorders>
              <w:top w:val="nil"/>
              <w:left w:val="nil"/>
              <w:right w:val="nil"/>
            </w:tcBorders>
            <w:shd w:val="clear" w:color="auto" w:fill="auto"/>
            <w:noWrap/>
            <w:vAlign w:val="center"/>
            <w:hideMark/>
          </w:tcPr>
          <w:p w14:paraId="169BAFD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0.296</w:t>
            </w:r>
          </w:p>
        </w:tc>
        <w:tc>
          <w:tcPr>
            <w:tcW w:w="1260" w:type="dxa"/>
            <w:tcBorders>
              <w:top w:val="nil"/>
              <w:left w:val="nil"/>
              <w:right w:val="nil"/>
            </w:tcBorders>
            <w:shd w:val="clear" w:color="auto" w:fill="auto"/>
            <w:noWrap/>
            <w:vAlign w:val="center"/>
            <w:hideMark/>
          </w:tcPr>
          <w:p w14:paraId="6DB65CBE"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0.208</w:t>
            </w:r>
          </w:p>
        </w:tc>
        <w:tc>
          <w:tcPr>
            <w:tcW w:w="1530" w:type="dxa"/>
            <w:tcBorders>
              <w:top w:val="nil"/>
              <w:left w:val="nil"/>
              <w:right w:val="nil"/>
            </w:tcBorders>
            <w:shd w:val="clear" w:color="auto" w:fill="auto"/>
            <w:noWrap/>
            <w:vAlign w:val="center"/>
            <w:hideMark/>
          </w:tcPr>
          <w:p w14:paraId="0810CC5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0.260</w:t>
            </w:r>
          </w:p>
        </w:tc>
      </w:tr>
      <w:tr w:rsidR="00403004" w:rsidRPr="007F4F21" w14:paraId="43D05ED9" w14:textId="77777777" w:rsidTr="00B5460B">
        <w:trPr>
          <w:trHeight w:val="300"/>
        </w:trPr>
        <w:tc>
          <w:tcPr>
            <w:tcW w:w="2700" w:type="dxa"/>
            <w:tcBorders>
              <w:top w:val="nil"/>
              <w:left w:val="nil"/>
              <w:bottom w:val="single" w:sz="4" w:space="0" w:color="auto"/>
              <w:right w:val="nil"/>
            </w:tcBorders>
            <w:shd w:val="clear" w:color="auto" w:fill="auto"/>
            <w:vAlign w:val="center"/>
            <w:hideMark/>
          </w:tcPr>
          <w:p w14:paraId="494BE595" w14:textId="77777777" w:rsidR="00403004" w:rsidRPr="007F4F21" w:rsidRDefault="00403004" w:rsidP="00B5460B">
            <w:pPr>
              <w:spacing w:after="0" w:line="240" w:lineRule="auto"/>
              <w:rPr>
                <w:rFonts w:ascii="Times New Roman" w:eastAsia="Times New Roman" w:hAnsi="Times New Roman" w:cs="Times New Roman"/>
                <w:color w:val="000000"/>
                <w:sz w:val="20"/>
                <w:szCs w:val="20"/>
              </w:rPr>
            </w:pPr>
            <w:r w:rsidRPr="007F4F21">
              <w:rPr>
                <w:rFonts w:ascii="Times New Roman" w:eastAsia="Times New Roman" w:hAnsi="Times New Roman" w:cs="Times New Roman"/>
                <w:color w:val="000000"/>
                <w:sz w:val="20"/>
                <w:szCs w:val="20"/>
              </w:rPr>
              <w:t>Bandwidth Above</w:t>
            </w:r>
          </w:p>
        </w:tc>
        <w:tc>
          <w:tcPr>
            <w:tcW w:w="1260" w:type="dxa"/>
            <w:tcBorders>
              <w:top w:val="nil"/>
              <w:left w:val="nil"/>
              <w:bottom w:val="single" w:sz="4" w:space="0" w:color="auto"/>
              <w:right w:val="nil"/>
            </w:tcBorders>
            <w:shd w:val="clear" w:color="auto" w:fill="auto"/>
            <w:vAlign w:val="center"/>
            <w:hideMark/>
          </w:tcPr>
          <w:p w14:paraId="7FB36C4D"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0.739</w:t>
            </w:r>
          </w:p>
        </w:tc>
        <w:tc>
          <w:tcPr>
            <w:tcW w:w="1080" w:type="dxa"/>
            <w:tcBorders>
              <w:top w:val="nil"/>
              <w:left w:val="nil"/>
              <w:bottom w:val="single" w:sz="4" w:space="0" w:color="auto"/>
              <w:right w:val="nil"/>
            </w:tcBorders>
            <w:shd w:val="clear" w:color="auto" w:fill="auto"/>
            <w:noWrap/>
            <w:vAlign w:val="center"/>
            <w:hideMark/>
          </w:tcPr>
          <w:p w14:paraId="214ECABF"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0.736</w:t>
            </w:r>
          </w:p>
        </w:tc>
        <w:tc>
          <w:tcPr>
            <w:tcW w:w="1260" w:type="dxa"/>
            <w:tcBorders>
              <w:top w:val="nil"/>
              <w:left w:val="nil"/>
              <w:bottom w:val="single" w:sz="4" w:space="0" w:color="auto"/>
              <w:right w:val="nil"/>
            </w:tcBorders>
            <w:shd w:val="clear" w:color="auto" w:fill="auto"/>
            <w:noWrap/>
            <w:vAlign w:val="center"/>
            <w:hideMark/>
          </w:tcPr>
          <w:p w14:paraId="66C4D621"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0.527</w:t>
            </w:r>
          </w:p>
        </w:tc>
        <w:tc>
          <w:tcPr>
            <w:tcW w:w="1530" w:type="dxa"/>
            <w:tcBorders>
              <w:top w:val="nil"/>
              <w:left w:val="nil"/>
              <w:bottom w:val="single" w:sz="4" w:space="0" w:color="auto"/>
              <w:right w:val="nil"/>
            </w:tcBorders>
            <w:shd w:val="clear" w:color="auto" w:fill="auto"/>
            <w:noWrap/>
            <w:vAlign w:val="center"/>
            <w:hideMark/>
          </w:tcPr>
          <w:p w14:paraId="28579A8A" w14:textId="77777777" w:rsidR="00403004" w:rsidRPr="007F4F21" w:rsidRDefault="00403004" w:rsidP="00B5460B">
            <w:pPr>
              <w:spacing w:after="0" w:line="240" w:lineRule="auto"/>
              <w:jc w:val="center"/>
              <w:rPr>
                <w:rFonts w:ascii="Times New Roman" w:eastAsia="Times New Roman" w:hAnsi="Times New Roman" w:cs="Times New Roman"/>
                <w:color w:val="000000"/>
                <w:sz w:val="20"/>
                <w:szCs w:val="20"/>
              </w:rPr>
            </w:pPr>
            <w:r w:rsidRPr="00BC2DD1">
              <w:rPr>
                <w:rFonts w:ascii="Times New Roman" w:hAnsi="Times New Roman" w:cs="Times New Roman"/>
                <w:color w:val="000000"/>
                <w:sz w:val="20"/>
                <w:szCs w:val="20"/>
              </w:rPr>
              <w:t>0.786</w:t>
            </w:r>
          </w:p>
        </w:tc>
      </w:tr>
      <w:tr w:rsidR="00403004" w:rsidRPr="007F4F21" w14:paraId="3DC702D7" w14:textId="77777777" w:rsidTr="00B5460B">
        <w:trPr>
          <w:trHeight w:val="268"/>
        </w:trPr>
        <w:tc>
          <w:tcPr>
            <w:tcW w:w="7830" w:type="dxa"/>
            <w:gridSpan w:val="5"/>
            <w:tcBorders>
              <w:top w:val="single" w:sz="4" w:space="0" w:color="auto"/>
              <w:left w:val="nil"/>
              <w:right w:val="nil"/>
            </w:tcBorders>
            <w:shd w:val="clear" w:color="auto" w:fill="auto"/>
            <w:vAlign w:val="center"/>
          </w:tcPr>
          <w:p w14:paraId="2BD385F2" w14:textId="77777777" w:rsidR="00403004" w:rsidRDefault="00403004" w:rsidP="00B5460B">
            <w:pPr>
              <w:rPr>
                <w:rFonts w:ascii="Times New Roman" w:eastAsia="Times New Roman" w:hAnsi="Times New Roman" w:cs="Times New Roman"/>
                <w:b/>
                <w:color w:val="000000"/>
                <w:sz w:val="24"/>
                <w:szCs w:val="24"/>
              </w:rPr>
            </w:pPr>
          </w:p>
          <w:p w14:paraId="6CC669F5" w14:textId="77777777" w:rsidR="00403004" w:rsidRDefault="00403004" w:rsidP="00B5460B">
            <w:pPr>
              <w:rPr>
                <w:rFonts w:ascii="Times New Roman" w:eastAsia="Times New Roman" w:hAnsi="Times New Roman" w:cs="Times New Roman"/>
                <w:b/>
                <w:color w:val="000000"/>
                <w:sz w:val="24"/>
                <w:szCs w:val="24"/>
              </w:rPr>
            </w:pPr>
          </w:p>
          <w:p w14:paraId="12CA868F" w14:textId="72BBCE21" w:rsidR="00403004" w:rsidRDefault="00403004" w:rsidP="00B5460B">
            <w:pPr>
              <w:rPr>
                <w:rFonts w:ascii="Times New Roman" w:eastAsia="Times New Roman" w:hAnsi="Times New Roman" w:cs="Times New Roman"/>
                <w:color w:val="000000"/>
                <w:sz w:val="24"/>
                <w:szCs w:val="24"/>
              </w:rPr>
            </w:pPr>
            <w:r w:rsidRPr="00062274">
              <w:rPr>
                <w:rFonts w:ascii="Times New Roman" w:eastAsia="Times New Roman" w:hAnsi="Times New Roman" w:cs="Times New Roman"/>
                <w:b/>
                <w:color w:val="000000"/>
                <w:sz w:val="24"/>
                <w:szCs w:val="24"/>
              </w:rPr>
              <w:t xml:space="preserve">Table </w:t>
            </w:r>
            <w:r w:rsidR="00290299">
              <w:rPr>
                <w:rFonts w:ascii="Times New Roman" w:eastAsia="Times New Roman" w:hAnsi="Times New Roman" w:cs="Times New Roman"/>
                <w:b/>
                <w:color w:val="000000"/>
                <w:sz w:val="24"/>
                <w:szCs w:val="24"/>
              </w:rPr>
              <w:t>5-7 Continued</w:t>
            </w:r>
            <w:r w:rsidRPr="00062274">
              <w:rPr>
                <w:rFonts w:ascii="Times New Roman" w:eastAsia="Times New Roman" w:hAnsi="Times New Roman" w:cs="Times New Roman"/>
                <w:color w:val="000000"/>
                <w:sz w:val="24"/>
                <w:szCs w:val="24"/>
              </w:rPr>
              <w:t>. RD Estimates of the Effect of Tulsa Achieves with Eligibility as Instrument for Receipt</w:t>
            </w:r>
          </w:p>
          <w:tbl>
            <w:tblPr>
              <w:tblW w:w="7725" w:type="dxa"/>
              <w:tblLayout w:type="fixed"/>
              <w:tblLook w:val="04A0" w:firstRow="1" w:lastRow="0" w:firstColumn="1" w:lastColumn="0" w:noHBand="0" w:noVBand="1"/>
            </w:tblPr>
            <w:tblGrid>
              <w:gridCol w:w="2955"/>
              <w:gridCol w:w="1170"/>
              <w:gridCol w:w="1080"/>
              <w:gridCol w:w="1170"/>
              <w:gridCol w:w="1350"/>
            </w:tblGrid>
            <w:tr w:rsidR="00403004" w:rsidRPr="00D659E7" w14:paraId="238A2DD2" w14:textId="77777777" w:rsidTr="00B5460B">
              <w:trPr>
                <w:trHeight w:val="66"/>
              </w:trPr>
              <w:tc>
                <w:tcPr>
                  <w:tcW w:w="2955" w:type="dxa"/>
                  <w:tcBorders>
                    <w:top w:val="nil"/>
                    <w:left w:val="nil"/>
                    <w:bottom w:val="nil"/>
                    <w:right w:val="nil"/>
                  </w:tcBorders>
                  <w:shd w:val="clear" w:color="auto" w:fill="auto"/>
                  <w:vAlign w:val="center"/>
                </w:tcPr>
                <w:p w14:paraId="7E98E021"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p>
              </w:tc>
              <w:tc>
                <w:tcPr>
                  <w:tcW w:w="1170" w:type="dxa"/>
                  <w:tcBorders>
                    <w:top w:val="nil"/>
                    <w:left w:val="nil"/>
                    <w:bottom w:val="nil"/>
                    <w:right w:val="nil"/>
                  </w:tcBorders>
                  <w:shd w:val="clear" w:color="auto" w:fill="auto"/>
                  <w:noWrap/>
                  <w:vAlign w:val="center"/>
                </w:tcPr>
                <w:p w14:paraId="49DB5D6E"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p>
              </w:tc>
              <w:tc>
                <w:tcPr>
                  <w:tcW w:w="3600" w:type="dxa"/>
                  <w:gridSpan w:val="3"/>
                  <w:tcBorders>
                    <w:top w:val="nil"/>
                    <w:left w:val="nil"/>
                    <w:bottom w:val="single" w:sz="12" w:space="0" w:color="auto"/>
                    <w:right w:val="nil"/>
                  </w:tcBorders>
                  <w:shd w:val="clear" w:color="auto" w:fill="auto"/>
                  <w:noWrap/>
                  <w:vAlign w:val="center"/>
                </w:tcPr>
                <w:p w14:paraId="7F9C2025"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20"/>
                    </w:rPr>
                    <w:t>Robustness Checks</w:t>
                  </w:r>
                </w:p>
              </w:tc>
            </w:tr>
            <w:tr w:rsidR="00403004" w:rsidRPr="00D659E7" w14:paraId="01DA1FD8" w14:textId="77777777" w:rsidTr="00B5460B">
              <w:trPr>
                <w:trHeight w:val="66"/>
              </w:trPr>
              <w:tc>
                <w:tcPr>
                  <w:tcW w:w="2955" w:type="dxa"/>
                  <w:tcBorders>
                    <w:top w:val="nil"/>
                    <w:left w:val="nil"/>
                    <w:bottom w:val="double" w:sz="4" w:space="0" w:color="auto"/>
                    <w:right w:val="nil"/>
                  </w:tcBorders>
                  <w:shd w:val="clear" w:color="auto" w:fill="auto"/>
                  <w:vAlign w:val="center"/>
                </w:tcPr>
                <w:p w14:paraId="070C86DE"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Outcome</w:t>
                  </w:r>
                </w:p>
              </w:tc>
              <w:tc>
                <w:tcPr>
                  <w:tcW w:w="1170" w:type="dxa"/>
                  <w:tcBorders>
                    <w:top w:val="nil"/>
                    <w:left w:val="nil"/>
                    <w:bottom w:val="double" w:sz="4" w:space="0" w:color="auto"/>
                    <w:right w:val="nil"/>
                  </w:tcBorders>
                  <w:shd w:val="clear" w:color="auto" w:fill="auto"/>
                  <w:noWrap/>
                  <w:vAlign w:val="center"/>
                </w:tcPr>
                <w:p w14:paraId="069EA142"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(1) MSE Two Bandwidth</w:t>
                  </w:r>
                </w:p>
              </w:tc>
              <w:tc>
                <w:tcPr>
                  <w:tcW w:w="1080" w:type="dxa"/>
                  <w:tcBorders>
                    <w:top w:val="single" w:sz="12" w:space="0" w:color="auto"/>
                    <w:left w:val="nil"/>
                    <w:bottom w:val="double" w:sz="4" w:space="0" w:color="auto"/>
                    <w:right w:val="nil"/>
                  </w:tcBorders>
                  <w:shd w:val="clear" w:color="auto" w:fill="auto"/>
                  <w:noWrap/>
                  <w:vAlign w:val="center"/>
                </w:tcPr>
                <w:p w14:paraId="0E9D13B5"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(2) MSE Two + HS FE</w:t>
                  </w:r>
                </w:p>
              </w:tc>
              <w:tc>
                <w:tcPr>
                  <w:tcW w:w="1170" w:type="dxa"/>
                  <w:tcBorders>
                    <w:top w:val="single" w:sz="12" w:space="0" w:color="auto"/>
                    <w:left w:val="nil"/>
                    <w:bottom w:val="double" w:sz="4" w:space="0" w:color="auto"/>
                    <w:right w:val="nil"/>
                  </w:tcBorders>
                  <w:shd w:val="clear" w:color="auto" w:fill="auto"/>
                  <w:noWrap/>
                  <w:vAlign w:val="center"/>
                </w:tcPr>
                <w:p w14:paraId="3B09B91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(3) CER Two Bandwidth</w:t>
                  </w:r>
                </w:p>
              </w:tc>
              <w:tc>
                <w:tcPr>
                  <w:tcW w:w="1350" w:type="dxa"/>
                  <w:tcBorders>
                    <w:top w:val="single" w:sz="12" w:space="0" w:color="auto"/>
                    <w:left w:val="nil"/>
                    <w:bottom w:val="double" w:sz="4" w:space="0" w:color="auto"/>
                    <w:right w:val="nil"/>
                  </w:tcBorders>
                  <w:shd w:val="clear" w:color="auto" w:fill="auto"/>
                  <w:noWrap/>
                  <w:vAlign w:val="center"/>
                </w:tcPr>
                <w:p w14:paraId="7F0F1D0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(4) Quadratic MSE Two Bandwidth</w:t>
                  </w:r>
                </w:p>
              </w:tc>
            </w:tr>
            <w:tr w:rsidR="00403004" w:rsidRPr="00D659E7" w14:paraId="3FACE8C6" w14:textId="77777777" w:rsidTr="00B5460B">
              <w:trPr>
                <w:trHeight w:val="66"/>
              </w:trPr>
              <w:tc>
                <w:tcPr>
                  <w:tcW w:w="2955" w:type="dxa"/>
                  <w:tcBorders>
                    <w:top w:val="double" w:sz="4" w:space="0" w:color="auto"/>
                    <w:left w:val="nil"/>
                    <w:bottom w:val="nil"/>
                    <w:right w:val="nil"/>
                  </w:tcBorders>
                  <w:shd w:val="clear" w:color="auto" w:fill="auto"/>
                  <w:vAlign w:val="center"/>
                </w:tcPr>
                <w:p w14:paraId="280443DD"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Transfer to Four-Year College</w:t>
                  </w:r>
                </w:p>
              </w:tc>
              <w:tc>
                <w:tcPr>
                  <w:tcW w:w="1170" w:type="dxa"/>
                  <w:tcBorders>
                    <w:top w:val="double" w:sz="4" w:space="0" w:color="auto"/>
                    <w:left w:val="nil"/>
                    <w:bottom w:val="nil"/>
                    <w:right w:val="nil"/>
                  </w:tcBorders>
                  <w:shd w:val="clear" w:color="auto" w:fill="auto"/>
                  <w:noWrap/>
                  <w:vAlign w:val="center"/>
                </w:tcPr>
                <w:p w14:paraId="46AC371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0.161*</w:t>
                  </w:r>
                </w:p>
              </w:tc>
              <w:tc>
                <w:tcPr>
                  <w:tcW w:w="1080" w:type="dxa"/>
                  <w:tcBorders>
                    <w:top w:val="double" w:sz="4" w:space="0" w:color="auto"/>
                    <w:left w:val="nil"/>
                    <w:bottom w:val="nil"/>
                    <w:right w:val="nil"/>
                  </w:tcBorders>
                  <w:shd w:val="clear" w:color="auto" w:fill="auto"/>
                  <w:noWrap/>
                  <w:vAlign w:val="center"/>
                </w:tcPr>
                <w:p w14:paraId="57C9B0D0"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0.159*</w:t>
                  </w:r>
                </w:p>
              </w:tc>
              <w:tc>
                <w:tcPr>
                  <w:tcW w:w="1170" w:type="dxa"/>
                  <w:tcBorders>
                    <w:top w:val="double" w:sz="4" w:space="0" w:color="auto"/>
                    <w:left w:val="nil"/>
                    <w:bottom w:val="nil"/>
                    <w:right w:val="nil"/>
                  </w:tcBorders>
                  <w:shd w:val="clear" w:color="auto" w:fill="auto"/>
                  <w:noWrap/>
                  <w:vAlign w:val="center"/>
                </w:tcPr>
                <w:p w14:paraId="6F90FE64"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0.244***</w:t>
                  </w:r>
                </w:p>
              </w:tc>
              <w:tc>
                <w:tcPr>
                  <w:tcW w:w="1350" w:type="dxa"/>
                  <w:tcBorders>
                    <w:top w:val="double" w:sz="4" w:space="0" w:color="auto"/>
                    <w:left w:val="nil"/>
                    <w:bottom w:val="nil"/>
                    <w:right w:val="nil"/>
                  </w:tcBorders>
                  <w:shd w:val="clear" w:color="auto" w:fill="auto"/>
                  <w:noWrap/>
                  <w:vAlign w:val="center"/>
                </w:tcPr>
                <w:p w14:paraId="287C329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0.205*</w:t>
                  </w:r>
                </w:p>
              </w:tc>
            </w:tr>
            <w:tr w:rsidR="00403004" w:rsidRPr="00D659E7" w14:paraId="12C83A41" w14:textId="77777777" w:rsidTr="00B5460B">
              <w:trPr>
                <w:trHeight w:val="288"/>
              </w:trPr>
              <w:tc>
                <w:tcPr>
                  <w:tcW w:w="2955" w:type="dxa"/>
                  <w:tcBorders>
                    <w:top w:val="nil"/>
                    <w:left w:val="nil"/>
                    <w:bottom w:val="nil"/>
                    <w:right w:val="nil"/>
                  </w:tcBorders>
                  <w:shd w:val="clear" w:color="auto" w:fill="auto"/>
                  <w:vAlign w:val="center"/>
                  <w:hideMark/>
                </w:tcPr>
                <w:p w14:paraId="676AD6AF"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p>
              </w:tc>
              <w:tc>
                <w:tcPr>
                  <w:tcW w:w="1170" w:type="dxa"/>
                  <w:tcBorders>
                    <w:top w:val="nil"/>
                    <w:left w:val="nil"/>
                    <w:bottom w:val="nil"/>
                    <w:right w:val="nil"/>
                  </w:tcBorders>
                  <w:shd w:val="clear" w:color="auto" w:fill="auto"/>
                  <w:noWrap/>
                  <w:vAlign w:val="bottom"/>
                  <w:hideMark/>
                </w:tcPr>
                <w:p w14:paraId="08BAE0DA"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(0.087)</w:t>
                  </w:r>
                </w:p>
              </w:tc>
              <w:tc>
                <w:tcPr>
                  <w:tcW w:w="1080" w:type="dxa"/>
                  <w:tcBorders>
                    <w:top w:val="nil"/>
                    <w:left w:val="nil"/>
                    <w:bottom w:val="nil"/>
                    <w:right w:val="nil"/>
                  </w:tcBorders>
                  <w:shd w:val="clear" w:color="auto" w:fill="auto"/>
                  <w:noWrap/>
                  <w:vAlign w:val="bottom"/>
                  <w:hideMark/>
                </w:tcPr>
                <w:p w14:paraId="0450C68B"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(0.087)</w:t>
                  </w:r>
                </w:p>
              </w:tc>
              <w:tc>
                <w:tcPr>
                  <w:tcW w:w="1170" w:type="dxa"/>
                  <w:tcBorders>
                    <w:top w:val="nil"/>
                    <w:left w:val="nil"/>
                    <w:bottom w:val="nil"/>
                    <w:right w:val="nil"/>
                  </w:tcBorders>
                  <w:shd w:val="clear" w:color="auto" w:fill="auto"/>
                  <w:noWrap/>
                  <w:vAlign w:val="bottom"/>
                  <w:hideMark/>
                </w:tcPr>
                <w:p w14:paraId="29DD7094"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(0.0810)</w:t>
                  </w:r>
                </w:p>
              </w:tc>
              <w:tc>
                <w:tcPr>
                  <w:tcW w:w="1350" w:type="dxa"/>
                  <w:tcBorders>
                    <w:top w:val="nil"/>
                    <w:left w:val="nil"/>
                    <w:bottom w:val="nil"/>
                    <w:right w:val="nil"/>
                  </w:tcBorders>
                  <w:shd w:val="clear" w:color="auto" w:fill="auto"/>
                  <w:noWrap/>
                  <w:vAlign w:val="bottom"/>
                  <w:hideMark/>
                </w:tcPr>
                <w:p w14:paraId="2F34AC71"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(0.110)</w:t>
                  </w:r>
                </w:p>
              </w:tc>
            </w:tr>
            <w:tr w:rsidR="00403004" w:rsidRPr="00D659E7" w14:paraId="6E4C6C93" w14:textId="77777777" w:rsidTr="00B5460B">
              <w:trPr>
                <w:trHeight w:val="288"/>
              </w:trPr>
              <w:tc>
                <w:tcPr>
                  <w:tcW w:w="2955" w:type="dxa"/>
                  <w:tcBorders>
                    <w:top w:val="nil"/>
                    <w:left w:val="nil"/>
                    <w:bottom w:val="nil"/>
                    <w:right w:val="nil"/>
                  </w:tcBorders>
                  <w:shd w:val="clear" w:color="auto" w:fill="auto"/>
                  <w:vAlign w:val="center"/>
                  <w:hideMark/>
                </w:tcPr>
                <w:p w14:paraId="266F82DE"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Observations</w:t>
                  </w:r>
                </w:p>
              </w:tc>
              <w:tc>
                <w:tcPr>
                  <w:tcW w:w="1170" w:type="dxa"/>
                  <w:tcBorders>
                    <w:top w:val="nil"/>
                    <w:left w:val="nil"/>
                    <w:bottom w:val="nil"/>
                    <w:right w:val="nil"/>
                  </w:tcBorders>
                  <w:shd w:val="clear" w:color="auto" w:fill="auto"/>
                  <w:noWrap/>
                  <w:vAlign w:val="center"/>
                  <w:hideMark/>
                </w:tcPr>
                <w:p w14:paraId="1EFC3B6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6,091</w:t>
                  </w:r>
                </w:p>
              </w:tc>
              <w:tc>
                <w:tcPr>
                  <w:tcW w:w="1080" w:type="dxa"/>
                  <w:tcBorders>
                    <w:top w:val="nil"/>
                    <w:left w:val="nil"/>
                    <w:bottom w:val="nil"/>
                    <w:right w:val="nil"/>
                  </w:tcBorders>
                  <w:shd w:val="clear" w:color="auto" w:fill="auto"/>
                  <w:noWrap/>
                  <w:vAlign w:val="center"/>
                  <w:hideMark/>
                </w:tcPr>
                <w:p w14:paraId="4D80374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6,192</w:t>
                  </w:r>
                </w:p>
              </w:tc>
              <w:tc>
                <w:tcPr>
                  <w:tcW w:w="1170" w:type="dxa"/>
                  <w:tcBorders>
                    <w:top w:val="nil"/>
                    <w:left w:val="nil"/>
                    <w:bottom w:val="nil"/>
                    <w:right w:val="nil"/>
                  </w:tcBorders>
                  <w:shd w:val="clear" w:color="auto" w:fill="auto"/>
                  <w:noWrap/>
                  <w:vAlign w:val="center"/>
                  <w:hideMark/>
                </w:tcPr>
                <w:p w14:paraId="4AD4D271"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3,969</w:t>
                  </w:r>
                </w:p>
              </w:tc>
              <w:tc>
                <w:tcPr>
                  <w:tcW w:w="1350" w:type="dxa"/>
                  <w:tcBorders>
                    <w:top w:val="nil"/>
                    <w:left w:val="nil"/>
                    <w:bottom w:val="nil"/>
                    <w:right w:val="nil"/>
                  </w:tcBorders>
                  <w:shd w:val="clear" w:color="auto" w:fill="auto"/>
                  <w:noWrap/>
                  <w:vAlign w:val="center"/>
                  <w:hideMark/>
                </w:tcPr>
                <w:p w14:paraId="619A0F5E"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6,784</w:t>
                  </w:r>
                </w:p>
              </w:tc>
            </w:tr>
            <w:tr w:rsidR="00403004" w:rsidRPr="00D659E7" w14:paraId="22C90577" w14:textId="77777777" w:rsidTr="00B5460B">
              <w:trPr>
                <w:trHeight w:val="288"/>
              </w:trPr>
              <w:tc>
                <w:tcPr>
                  <w:tcW w:w="2955" w:type="dxa"/>
                  <w:tcBorders>
                    <w:top w:val="nil"/>
                    <w:left w:val="nil"/>
                    <w:bottom w:val="nil"/>
                    <w:right w:val="nil"/>
                  </w:tcBorders>
                  <w:shd w:val="clear" w:color="auto" w:fill="auto"/>
                  <w:vAlign w:val="center"/>
                  <w:hideMark/>
                </w:tcPr>
                <w:p w14:paraId="04EE4508"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Below</w:t>
                  </w:r>
                </w:p>
              </w:tc>
              <w:tc>
                <w:tcPr>
                  <w:tcW w:w="1170" w:type="dxa"/>
                  <w:tcBorders>
                    <w:top w:val="nil"/>
                    <w:left w:val="nil"/>
                    <w:bottom w:val="nil"/>
                    <w:right w:val="nil"/>
                  </w:tcBorders>
                  <w:shd w:val="clear" w:color="auto" w:fill="auto"/>
                  <w:noWrap/>
                  <w:vAlign w:val="center"/>
                  <w:hideMark/>
                </w:tcPr>
                <w:p w14:paraId="43DB00AC"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0.151</w:t>
                  </w:r>
                </w:p>
              </w:tc>
              <w:tc>
                <w:tcPr>
                  <w:tcW w:w="1080" w:type="dxa"/>
                  <w:tcBorders>
                    <w:top w:val="nil"/>
                    <w:left w:val="nil"/>
                    <w:bottom w:val="nil"/>
                    <w:right w:val="nil"/>
                  </w:tcBorders>
                  <w:shd w:val="clear" w:color="auto" w:fill="auto"/>
                  <w:noWrap/>
                  <w:vAlign w:val="center"/>
                  <w:hideMark/>
                </w:tcPr>
                <w:p w14:paraId="43B5AC3D"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0.153</w:t>
                  </w:r>
                </w:p>
              </w:tc>
              <w:tc>
                <w:tcPr>
                  <w:tcW w:w="1170" w:type="dxa"/>
                  <w:tcBorders>
                    <w:top w:val="nil"/>
                    <w:left w:val="nil"/>
                    <w:bottom w:val="nil"/>
                    <w:right w:val="nil"/>
                  </w:tcBorders>
                  <w:shd w:val="clear" w:color="auto" w:fill="auto"/>
                  <w:noWrap/>
                  <w:vAlign w:val="center"/>
                  <w:hideMark/>
                </w:tcPr>
                <w:p w14:paraId="2B9D6D4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0.108</w:t>
                  </w:r>
                </w:p>
              </w:tc>
              <w:tc>
                <w:tcPr>
                  <w:tcW w:w="1350" w:type="dxa"/>
                  <w:tcBorders>
                    <w:top w:val="nil"/>
                    <w:left w:val="nil"/>
                    <w:bottom w:val="nil"/>
                    <w:right w:val="nil"/>
                  </w:tcBorders>
                  <w:shd w:val="clear" w:color="auto" w:fill="auto"/>
                  <w:noWrap/>
                  <w:vAlign w:val="center"/>
                  <w:hideMark/>
                </w:tcPr>
                <w:p w14:paraId="517579A8"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0.263</w:t>
                  </w:r>
                </w:p>
              </w:tc>
            </w:tr>
            <w:tr w:rsidR="00403004" w:rsidRPr="00D659E7" w14:paraId="7753E4CA" w14:textId="77777777" w:rsidTr="00B5460B">
              <w:trPr>
                <w:trHeight w:val="300"/>
              </w:trPr>
              <w:tc>
                <w:tcPr>
                  <w:tcW w:w="2955" w:type="dxa"/>
                  <w:tcBorders>
                    <w:top w:val="nil"/>
                    <w:left w:val="nil"/>
                    <w:bottom w:val="single" w:sz="8" w:space="0" w:color="auto"/>
                    <w:right w:val="nil"/>
                  </w:tcBorders>
                  <w:shd w:val="clear" w:color="auto" w:fill="auto"/>
                  <w:vAlign w:val="center"/>
                  <w:hideMark/>
                </w:tcPr>
                <w:p w14:paraId="14E35B22"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Above</w:t>
                  </w:r>
                </w:p>
              </w:tc>
              <w:tc>
                <w:tcPr>
                  <w:tcW w:w="1170" w:type="dxa"/>
                  <w:tcBorders>
                    <w:top w:val="nil"/>
                    <w:left w:val="nil"/>
                    <w:bottom w:val="single" w:sz="8" w:space="0" w:color="auto"/>
                    <w:right w:val="nil"/>
                  </w:tcBorders>
                  <w:shd w:val="clear" w:color="auto" w:fill="auto"/>
                  <w:noWrap/>
                  <w:vAlign w:val="center"/>
                  <w:hideMark/>
                </w:tcPr>
                <w:p w14:paraId="712BE3F7"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0.899</w:t>
                  </w:r>
                </w:p>
              </w:tc>
              <w:tc>
                <w:tcPr>
                  <w:tcW w:w="1080" w:type="dxa"/>
                  <w:tcBorders>
                    <w:top w:val="nil"/>
                    <w:left w:val="nil"/>
                    <w:bottom w:val="single" w:sz="8" w:space="0" w:color="auto"/>
                    <w:right w:val="nil"/>
                  </w:tcBorders>
                  <w:shd w:val="clear" w:color="auto" w:fill="auto"/>
                  <w:noWrap/>
                  <w:vAlign w:val="center"/>
                  <w:hideMark/>
                </w:tcPr>
                <w:p w14:paraId="3BD578E9"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0.905</w:t>
                  </w:r>
                </w:p>
              </w:tc>
              <w:tc>
                <w:tcPr>
                  <w:tcW w:w="1170" w:type="dxa"/>
                  <w:tcBorders>
                    <w:top w:val="nil"/>
                    <w:left w:val="nil"/>
                    <w:bottom w:val="single" w:sz="8" w:space="0" w:color="auto"/>
                    <w:right w:val="nil"/>
                  </w:tcBorders>
                  <w:shd w:val="clear" w:color="auto" w:fill="auto"/>
                  <w:noWrap/>
                  <w:vAlign w:val="center"/>
                  <w:hideMark/>
                </w:tcPr>
                <w:p w14:paraId="078C57FE"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0.641</w:t>
                  </w:r>
                </w:p>
              </w:tc>
              <w:tc>
                <w:tcPr>
                  <w:tcW w:w="1350" w:type="dxa"/>
                  <w:tcBorders>
                    <w:top w:val="nil"/>
                    <w:left w:val="nil"/>
                    <w:bottom w:val="single" w:sz="8" w:space="0" w:color="auto"/>
                    <w:right w:val="nil"/>
                  </w:tcBorders>
                  <w:shd w:val="clear" w:color="auto" w:fill="auto"/>
                  <w:noWrap/>
                  <w:vAlign w:val="center"/>
                  <w:hideMark/>
                </w:tcPr>
                <w:p w14:paraId="2E185A7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0.957</w:t>
                  </w:r>
                </w:p>
              </w:tc>
            </w:tr>
            <w:tr w:rsidR="00403004" w:rsidRPr="00D659E7" w14:paraId="10AFB28B" w14:textId="77777777" w:rsidTr="00B5460B">
              <w:trPr>
                <w:trHeight w:val="288"/>
              </w:trPr>
              <w:tc>
                <w:tcPr>
                  <w:tcW w:w="2955" w:type="dxa"/>
                  <w:tcBorders>
                    <w:top w:val="nil"/>
                    <w:left w:val="nil"/>
                    <w:bottom w:val="nil"/>
                    <w:right w:val="nil"/>
                  </w:tcBorders>
                  <w:shd w:val="clear" w:color="auto" w:fill="auto"/>
                  <w:vAlign w:val="center"/>
                  <w:hideMark/>
                </w:tcPr>
                <w:p w14:paraId="687D1DDB"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Bachelor's Degree</w:t>
                  </w:r>
                </w:p>
              </w:tc>
              <w:tc>
                <w:tcPr>
                  <w:tcW w:w="1170" w:type="dxa"/>
                  <w:tcBorders>
                    <w:top w:val="nil"/>
                    <w:left w:val="nil"/>
                    <w:bottom w:val="nil"/>
                    <w:right w:val="nil"/>
                  </w:tcBorders>
                  <w:shd w:val="clear" w:color="auto" w:fill="auto"/>
                  <w:noWrap/>
                  <w:vAlign w:val="center"/>
                  <w:hideMark/>
                </w:tcPr>
                <w:p w14:paraId="22EF39C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0.022</w:t>
                  </w:r>
                </w:p>
              </w:tc>
              <w:tc>
                <w:tcPr>
                  <w:tcW w:w="1080" w:type="dxa"/>
                  <w:tcBorders>
                    <w:top w:val="nil"/>
                    <w:left w:val="nil"/>
                    <w:bottom w:val="nil"/>
                    <w:right w:val="nil"/>
                  </w:tcBorders>
                  <w:shd w:val="clear" w:color="auto" w:fill="auto"/>
                  <w:noWrap/>
                  <w:vAlign w:val="center"/>
                  <w:hideMark/>
                </w:tcPr>
                <w:p w14:paraId="4E88F56A"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0.023</w:t>
                  </w:r>
                </w:p>
              </w:tc>
              <w:tc>
                <w:tcPr>
                  <w:tcW w:w="1170" w:type="dxa"/>
                  <w:tcBorders>
                    <w:top w:val="nil"/>
                    <w:left w:val="nil"/>
                    <w:bottom w:val="nil"/>
                    <w:right w:val="nil"/>
                  </w:tcBorders>
                  <w:shd w:val="clear" w:color="auto" w:fill="auto"/>
                  <w:noWrap/>
                  <w:vAlign w:val="center"/>
                  <w:hideMark/>
                </w:tcPr>
                <w:p w14:paraId="773BC716"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0.0381**</w:t>
                  </w:r>
                </w:p>
              </w:tc>
              <w:tc>
                <w:tcPr>
                  <w:tcW w:w="1350" w:type="dxa"/>
                  <w:tcBorders>
                    <w:top w:val="nil"/>
                    <w:left w:val="nil"/>
                    <w:bottom w:val="nil"/>
                    <w:right w:val="nil"/>
                  </w:tcBorders>
                  <w:shd w:val="clear" w:color="auto" w:fill="auto"/>
                  <w:noWrap/>
                  <w:vAlign w:val="center"/>
                  <w:hideMark/>
                </w:tcPr>
                <w:p w14:paraId="4B518031"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0.012</w:t>
                  </w:r>
                </w:p>
              </w:tc>
            </w:tr>
            <w:tr w:rsidR="00403004" w:rsidRPr="00D659E7" w14:paraId="4C7DA31D" w14:textId="77777777" w:rsidTr="00B5460B">
              <w:trPr>
                <w:trHeight w:val="288"/>
              </w:trPr>
              <w:tc>
                <w:tcPr>
                  <w:tcW w:w="2955" w:type="dxa"/>
                  <w:tcBorders>
                    <w:top w:val="nil"/>
                    <w:left w:val="nil"/>
                    <w:bottom w:val="nil"/>
                    <w:right w:val="nil"/>
                  </w:tcBorders>
                  <w:shd w:val="clear" w:color="auto" w:fill="auto"/>
                  <w:vAlign w:val="center"/>
                  <w:hideMark/>
                </w:tcPr>
                <w:p w14:paraId="3F6130B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p>
              </w:tc>
              <w:tc>
                <w:tcPr>
                  <w:tcW w:w="1170" w:type="dxa"/>
                  <w:tcBorders>
                    <w:top w:val="nil"/>
                    <w:left w:val="nil"/>
                    <w:bottom w:val="nil"/>
                    <w:right w:val="nil"/>
                  </w:tcBorders>
                  <w:shd w:val="clear" w:color="auto" w:fill="auto"/>
                  <w:noWrap/>
                  <w:vAlign w:val="bottom"/>
                  <w:hideMark/>
                </w:tcPr>
                <w:p w14:paraId="0E961155"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(0.015)</w:t>
                  </w:r>
                </w:p>
              </w:tc>
              <w:tc>
                <w:tcPr>
                  <w:tcW w:w="1080" w:type="dxa"/>
                  <w:tcBorders>
                    <w:top w:val="nil"/>
                    <w:left w:val="nil"/>
                    <w:bottom w:val="nil"/>
                    <w:right w:val="nil"/>
                  </w:tcBorders>
                  <w:shd w:val="clear" w:color="auto" w:fill="auto"/>
                  <w:noWrap/>
                  <w:vAlign w:val="bottom"/>
                  <w:hideMark/>
                </w:tcPr>
                <w:p w14:paraId="2E23963D"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(0.014)</w:t>
                  </w:r>
                </w:p>
              </w:tc>
              <w:tc>
                <w:tcPr>
                  <w:tcW w:w="1170" w:type="dxa"/>
                  <w:tcBorders>
                    <w:top w:val="nil"/>
                    <w:left w:val="nil"/>
                    <w:bottom w:val="nil"/>
                    <w:right w:val="nil"/>
                  </w:tcBorders>
                  <w:shd w:val="clear" w:color="auto" w:fill="auto"/>
                  <w:noWrap/>
                  <w:vAlign w:val="bottom"/>
                  <w:hideMark/>
                </w:tcPr>
                <w:p w14:paraId="26476A05"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(0.016)</w:t>
                  </w:r>
                </w:p>
              </w:tc>
              <w:tc>
                <w:tcPr>
                  <w:tcW w:w="1350" w:type="dxa"/>
                  <w:tcBorders>
                    <w:top w:val="nil"/>
                    <w:left w:val="nil"/>
                    <w:bottom w:val="nil"/>
                    <w:right w:val="nil"/>
                  </w:tcBorders>
                  <w:shd w:val="clear" w:color="auto" w:fill="auto"/>
                  <w:noWrap/>
                  <w:vAlign w:val="bottom"/>
                  <w:hideMark/>
                </w:tcPr>
                <w:p w14:paraId="1CBAFCB6"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(0.024)</w:t>
                  </w:r>
                </w:p>
              </w:tc>
            </w:tr>
            <w:tr w:rsidR="00403004" w:rsidRPr="00D659E7" w14:paraId="731524B9" w14:textId="77777777" w:rsidTr="00B5460B">
              <w:trPr>
                <w:trHeight w:val="288"/>
              </w:trPr>
              <w:tc>
                <w:tcPr>
                  <w:tcW w:w="2955" w:type="dxa"/>
                  <w:tcBorders>
                    <w:top w:val="nil"/>
                    <w:left w:val="nil"/>
                    <w:bottom w:val="nil"/>
                    <w:right w:val="nil"/>
                  </w:tcBorders>
                  <w:shd w:val="clear" w:color="auto" w:fill="auto"/>
                  <w:vAlign w:val="center"/>
                  <w:hideMark/>
                </w:tcPr>
                <w:p w14:paraId="0AE776F1"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Observations</w:t>
                  </w:r>
                </w:p>
              </w:tc>
              <w:tc>
                <w:tcPr>
                  <w:tcW w:w="1170" w:type="dxa"/>
                  <w:tcBorders>
                    <w:top w:val="nil"/>
                    <w:left w:val="nil"/>
                    <w:bottom w:val="nil"/>
                    <w:right w:val="nil"/>
                  </w:tcBorders>
                  <w:shd w:val="clear" w:color="auto" w:fill="auto"/>
                  <w:noWrap/>
                  <w:vAlign w:val="center"/>
                  <w:hideMark/>
                </w:tcPr>
                <w:p w14:paraId="6CCAA22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5,031</w:t>
                  </w:r>
                </w:p>
              </w:tc>
              <w:tc>
                <w:tcPr>
                  <w:tcW w:w="1080" w:type="dxa"/>
                  <w:tcBorders>
                    <w:top w:val="nil"/>
                    <w:left w:val="nil"/>
                    <w:bottom w:val="nil"/>
                    <w:right w:val="nil"/>
                  </w:tcBorders>
                  <w:shd w:val="clear" w:color="auto" w:fill="auto"/>
                  <w:noWrap/>
                  <w:vAlign w:val="center"/>
                  <w:hideMark/>
                </w:tcPr>
                <w:p w14:paraId="34BB0776"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5,033</w:t>
                  </w:r>
                </w:p>
              </w:tc>
              <w:tc>
                <w:tcPr>
                  <w:tcW w:w="1170" w:type="dxa"/>
                  <w:tcBorders>
                    <w:top w:val="nil"/>
                    <w:left w:val="nil"/>
                    <w:bottom w:val="nil"/>
                    <w:right w:val="nil"/>
                  </w:tcBorders>
                  <w:shd w:val="clear" w:color="auto" w:fill="auto"/>
                  <w:noWrap/>
                  <w:vAlign w:val="center"/>
                  <w:hideMark/>
                </w:tcPr>
                <w:p w14:paraId="0619FF54"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3,188</w:t>
                  </w:r>
                </w:p>
              </w:tc>
              <w:tc>
                <w:tcPr>
                  <w:tcW w:w="1350" w:type="dxa"/>
                  <w:tcBorders>
                    <w:top w:val="nil"/>
                    <w:left w:val="nil"/>
                    <w:bottom w:val="nil"/>
                    <w:right w:val="nil"/>
                  </w:tcBorders>
                  <w:shd w:val="clear" w:color="auto" w:fill="auto"/>
                  <w:noWrap/>
                  <w:vAlign w:val="center"/>
                  <w:hideMark/>
                </w:tcPr>
                <w:p w14:paraId="2E64FB9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6,116</w:t>
                  </w:r>
                </w:p>
              </w:tc>
            </w:tr>
            <w:tr w:rsidR="00403004" w:rsidRPr="00D659E7" w14:paraId="274AB840" w14:textId="77777777" w:rsidTr="00B5460B">
              <w:trPr>
                <w:trHeight w:val="288"/>
              </w:trPr>
              <w:tc>
                <w:tcPr>
                  <w:tcW w:w="2955" w:type="dxa"/>
                  <w:tcBorders>
                    <w:top w:val="nil"/>
                    <w:left w:val="nil"/>
                    <w:bottom w:val="nil"/>
                    <w:right w:val="nil"/>
                  </w:tcBorders>
                  <w:shd w:val="clear" w:color="auto" w:fill="auto"/>
                  <w:vAlign w:val="center"/>
                  <w:hideMark/>
                </w:tcPr>
                <w:p w14:paraId="0D2ECEFC"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Below</w:t>
                  </w:r>
                </w:p>
              </w:tc>
              <w:tc>
                <w:tcPr>
                  <w:tcW w:w="1170" w:type="dxa"/>
                  <w:tcBorders>
                    <w:top w:val="nil"/>
                    <w:left w:val="nil"/>
                    <w:bottom w:val="nil"/>
                    <w:right w:val="nil"/>
                  </w:tcBorders>
                  <w:shd w:val="clear" w:color="auto" w:fill="auto"/>
                  <w:noWrap/>
                  <w:vAlign w:val="center"/>
                  <w:hideMark/>
                </w:tcPr>
                <w:p w14:paraId="57C76419"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0.172</w:t>
                  </w:r>
                </w:p>
              </w:tc>
              <w:tc>
                <w:tcPr>
                  <w:tcW w:w="1080" w:type="dxa"/>
                  <w:tcBorders>
                    <w:top w:val="nil"/>
                    <w:left w:val="nil"/>
                    <w:bottom w:val="nil"/>
                    <w:right w:val="nil"/>
                  </w:tcBorders>
                  <w:shd w:val="clear" w:color="auto" w:fill="auto"/>
                  <w:noWrap/>
                  <w:vAlign w:val="center"/>
                  <w:hideMark/>
                </w:tcPr>
                <w:p w14:paraId="17580906"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0.173</w:t>
                  </w:r>
                </w:p>
              </w:tc>
              <w:tc>
                <w:tcPr>
                  <w:tcW w:w="1170" w:type="dxa"/>
                  <w:tcBorders>
                    <w:top w:val="nil"/>
                    <w:left w:val="nil"/>
                    <w:bottom w:val="nil"/>
                    <w:right w:val="nil"/>
                  </w:tcBorders>
                  <w:shd w:val="clear" w:color="auto" w:fill="auto"/>
                  <w:noWrap/>
                  <w:vAlign w:val="center"/>
                  <w:hideMark/>
                </w:tcPr>
                <w:p w14:paraId="275EDAE9"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0.122</w:t>
                  </w:r>
                </w:p>
              </w:tc>
              <w:tc>
                <w:tcPr>
                  <w:tcW w:w="1350" w:type="dxa"/>
                  <w:tcBorders>
                    <w:top w:val="nil"/>
                    <w:left w:val="nil"/>
                    <w:bottom w:val="nil"/>
                    <w:right w:val="nil"/>
                  </w:tcBorders>
                  <w:shd w:val="clear" w:color="auto" w:fill="auto"/>
                  <w:noWrap/>
                  <w:vAlign w:val="center"/>
                  <w:hideMark/>
                </w:tcPr>
                <w:p w14:paraId="7D00EB2A"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0.247</w:t>
                  </w:r>
                </w:p>
              </w:tc>
            </w:tr>
            <w:tr w:rsidR="00403004" w:rsidRPr="00D659E7" w14:paraId="09D48D81" w14:textId="77777777" w:rsidTr="00B5460B">
              <w:trPr>
                <w:trHeight w:val="300"/>
              </w:trPr>
              <w:tc>
                <w:tcPr>
                  <w:tcW w:w="2955" w:type="dxa"/>
                  <w:tcBorders>
                    <w:top w:val="nil"/>
                    <w:left w:val="nil"/>
                    <w:bottom w:val="single" w:sz="8" w:space="0" w:color="auto"/>
                    <w:right w:val="nil"/>
                  </w:tcBorders>
                  <w:shd w:val="clear" w:color="auto" w:fill="auto"/>
                  <w:vAlign w:val="center"/>
                  <w:hideMark/>
                </w:tcPr>
                <w:p w14:paraId="788B2AD1"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Above</w:t>
                  </w:r>
                </w:p>
              </w:tc>
              <w:tc>
                <w:tcPr>
                  <w:tcW w:w="1170" w:type="dxa"/>
                  <w:tcBorders>
                    <w:top w:val="nil"/>
                    <w:left w:val="nil"/>
                    <w:bottom w:val="single" w:sz="8" w:space="0" w:color="auto"/>
                    <w:right w:val="nil"/>
                  </w:tcBorders>
                  <w:shd w:val="clear" w:color="auto" w:fill="auto"/>
                  <w:noWrap/>
                  <w:vAlign w:val="center"/>
                  <w:hideMark/>
                </w:tcPr>
                <w:p w14:paraId="0DF67D47"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0.763</w:t>
                  </w:r>
                </w:p>
              </w:tc>
              <w:tc>
                <w:tcPr>
                  <w:tcW w:w="1080" w:type="dxa"/>
                  <w:tcBorders>
                    <w:top w:val="nil"/>
                    <w:left w:val="nil"/>
                    <w:bottom w:val="single" w:sz="8" w:space="0" w:color="auto"/>
                    <w:right w:val="nil"/>
                  </w:tcBorders>
                  <w:shd w:val="clear" w:color="auto" w:fill="auto"/>
                  <w:noWrap/>
                  <w:vAlign w:val="center"/>
                  <w:hideMark/>
                </w:tcPr>
                <w:p w14:paraId="4430CF41"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0.767</w:t>
                  </w:r>
                </w:p>
              </w:tc>
              <w:tc>
                <w:tcPr>
                  <w:tcW w:w="1170" w:type="dxa"/>
                  <w:tcBorders>
                    <w:top w:val="nil"/>
                    <w:left w:val="nil"/>
                    <w:bottom w:val="single" w:sz="8" w:space="0" w:color="auto"/>
                    <w:right w:val="nil"/>
                  </w:tcBorders>
                  <w:shd w:val="clear" w:color="auto" w:fill="auto"/>
                  <w:noWrap/>
                  <w:vAlign w:val="center"/>
                  <w:hideMark/>
                </w:tcPr>
                <w:p w14:paraId="1F8BCEE0"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0.545</w:t>
                  </w:r>
                </w:p>
              </w:tc>
              <w:tc>
                <w:tcPr>
                  <w:tcW w:w="1350" w:type="dxa"/>
                  <w:tcBorders>
                    <w:top w:val="nil"/>
                    <w:left w:val="nil"/>
                    <w:bottom w:val="single" w:sz="8" w:space="0" w:color="auto"/>
                    <w:right w:val="nil"/>
                  </w:tcBorders>
                  <w:shd w:val="clear" w:color="auto" w:fill="auto"/>
                  <w:noWrap/>
                  <w:vAlign w:val="center"/>
                  <w:hideMark/>
                </w:tcPr>
                <w:p w14:paraId="518C2E2E"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0.885</w:t>
                  </w:r>
                </w:p>
              </w:tc>
            </w:tr>
            <w:tr w:rsidR="00403004" w:rsidRPr="00D659E7" w14:paraId="4383ED73" w14:textId="77777777" w:rsidTr="00B5460B">
              <w:trPr>
                <w:trHeight w:val="288"/>
              </w:trPr>
              <w:tc>
                <w:tcPr>
                  <w:tcW w:w="2955" w:type="dxa"/>
                  <w:tcBorders>
                    <w:top w:val="nil"/>
                    <w:left w:val="nil"/>
                    <w:bottom w:val="nil"/>
                    <w:right w:val="nil"/>
                  </w:tcBorders>
                  <w:shd w:val="clear" w:color="auto" w:fill="auto"/>
                  <w:vAlign w:val="center"/>
                  <w:hideMark/>
                </w:tcPr>
                <w:p w14:paraId="3A454BD4"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Bachelor's Degree in 5 Years</w:t>
                  </w:r>
                </w:p>
              </w:tc>
              <w:tc>
                <w:tcPr>
                  <w:tcW w:w="1170" w:type="dxa"/>
                  <w:tcBorders>
                    <w:top w:val="nil"/>
                    <w:left w:val="nil"/>
                    <w:bottom w:val="nil"/>
                    <w:right w:val="nil"/>
                  </w:tcBorders>
                  <w:shd w:val="clear" w:color="auto" w:fill="auto"/>
                  <w:noWrap/>
                  <w:vAlign w:val="center"/>
                  <w:hideMark/>
                </w:tcPr>
                <w:p w14:paraId="0F7AE62D"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-0.014</w:t>
                  </w:r>
                </w:p>
              </w:tc>
              <w:tc>
                <w:tcPr>
                  <w:tcW w:w="1080" w:type="dxa"/>
                  <w:tcBorders>
                    <w:top w:val="nil"/>
                    <w:left w:val="nil"/>
                    <w:bottom w:val="nil"/>
                    <w:right w:val="nil"/>
                  </w:tcBorders>
                  <w:shd w:val="clear" w:color="auto" w:fill="auto"/>
                  <w:noWrap/>
                  <w:vAlign w:val="center"/>
                  <w:hideMark/>
                </w:tcPr>
                <w:p w14:paraId="78DCFDDF"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-0.014</w:t>
                  </w:r>
                </w:p>
              </w:tc>
              <w:tc>
                <w:tcPr>
                  <w:tcW w:w="1170" w:type="dxa"/>
                  <w:tcBorders>
                    <w:top w:val="nil"/>
                    <w:left w:val="nil"/>
                    <w:bottom w:val="nil"/>
                    <w:right w:val="nil"/>
                  </w:tcBorders>
                  <w:shd w:val="clear" w:color="auto" w:fill="auto"/>
                  <w:noWrap/>
                  <w:vAlign w:val="center"/>
                  <w:hideMark/>
                </w:tcPr>
                <w:p w14:paraId="510456B0"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-0.012</w:t>
                  </w:r>
                </w:p>
              </w:tc>
              <w:tc>
                <w:tcPr>
                  <w:tcW w:w="1350" w:type="dxa"/>
                  <w:tcBorders>
                    <w:top w:val="nil"/>
                    <w:left w:val="nil"/>
                    <w:bottom w:val="nil"/>
                    <w:right w:val="nil"/>
                  </w:tcBorders>
                  <w:shd w:val="clear" w:color="auto" w:fill="auto"/>
                  <w:noWrap/>
                  <w:vAlign w:val="center"/>
                  <w:hideMark/>
                </w:tcPr>
                <w:p w14:paraId="2E7E6F63"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-0.006</w:t>
                  </w:r>
                </w:p>
              </w:tc>
            </w:tr>
            <w:tr w:rsidR="00403004" w:rsidRPr="00D659E7" w14:paraId="1CEAC258" w14:textId="77777777" w:rsidTr="00B5460B">
              <w:trPr>
                <w:trHeight w:val="288"/>
              </w:trPr>
              <w:tc>
                <w:tcPr>
                  <w:tcW w:w="2955" w:type="dxa"/>
                  <w:tcBorders>
                    <w:top w:val="nil"/>
                    <w:left w:val="nil"/>
                    <w:bottom w:val="nil"/>
                    <w:right w:val="nil"/>
                  </w:tcBorders>
                  <w:shd w:val="clear" w:color="auto" w:fill="auto"/>
                  <w:vAlign w:val="center"/>
                  <w:hideMark/>
                </w:tcPr>
                <w:p w14:paraId="37392F5E"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p>
              </w:tc>
              <w:tc>
                <w:tcPr>
                  <w:tcW w:w="1170" w:type="dxa"/>
                  <w:tcBorders>
                    <w:top w:val="nil"/>
                    <w:left w:val="nil"/>
                    <w:bottom w:val="nil"/>
                    <w:right w:val="nil"/>
                  </w:tcBorders>
                  <w:shd w:val="clear" w:color="auto" w:fill="auto"/>
                  <w:noWrap/>
                  <w:vAlign w:val="bottom"/>
                  <w:hideMark/>
                </w:tcPr>
                <w:p w14:paraId="27DAF3C7"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(0.022)</w:t>
                  </w:r>
                </w:p>
              </w:tc>
              <w:tc>
                <w:tcPr>
                  <w:tcW w:w="1080" w:type="dxa"/>
                  <w:tcBorders>
                    <w:top w:val="nil"/>
                    <w:left w:val="nil"/>
                    <w:bottom w:val="nil"/>
                    <w:right w:val="nil"/>
                  </w:tcBorders>
                  <w:shd w:val="clear" w:color="auto" w:fill="auto"/>
                  <w:noWrap/>
                  <w:vAlign w:val="bottom"/>
                  <w:hideMark/>
                </w:tcPr>
                <w:p w14:paraId="15C6EFD7"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(0.022)</w:t>
                  </w:r>
                </w:p>
              </w:tc>
              <w:tc>
                <w:tcPr>
                  <w:tcW w:w="1170" w:type="dxa"/>
                  <w:tcBorders>
                    <w:top w:val="nil"/>
                    <w:left w:val="nil"/>
                    <w:bottom w:val="nil"/>
                    <w:right w:val="nil"/>
                  </w:tcBorders>
                  <w:shd w:val="clear" w:color="auto" w:fill="auto"/>
                  <w:noWrap/>
                  <w:vAlign w:val="bottom"/>
                  <w:hideMark/>
                </w:tcPr>
                <w:p w14:paraId="0BEBB6B8"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(0.024)</w:t>
                  </w:r>
                </w:p>
              </w:tc>
              <w:tc>
                <w:tcPr>
                  <w:tcW w:w="1350" w:type="dxa"/>
                  <w:tcBorders>
                    <w:top w:val="nil"/>
                    <w:left w:val="nil"/>
                    <w:bottom w:val="nil"/>
                    <w:right w:val="nil"/>
                  </w:tcBorders>
                  <w:shd w:val="clear" w:color="auto" w:fill="auto"/>
                  <w:noWrap/>
                  <w:vAlign w:val="bottom"/>
                  <w:hideMark/>
                </w:tcPr>
                <w:p w14:paraId="6CCD5961" w14:textId="77777777" w:rsidR="00403004" w:rsidRPr="00D659E7" w:rsidRDefault="00403004" w:rsidP="00B5460B">
                  <w:pPr>
                    <w:spacing w:after="0" w:line="240" w:lineRule="auto"/>
                    <w:jc w:val="center"/>
                    <w:rPr>
                      <w:rFonts w:ascii="Times New Roman" w:eastAsia="Times New Roman" w:hAnsi="Times New Roman" w:cs="Times New Roman"/>
                      <w:sz w:val="20"/>
                      <w:szCs w:val="19"/>
                    </w:rPr>
                  </w:pPr>
                  <w:r w:rsidRPr="00D659E7">
                    <w:rPr>
                      <w:rFonts w:ascii="Times New Roman" w:eastAsia="Times New Roman" w:hAnsi="Times New Roman" w:cs="Times New Roman"/>
                      <w:sz w:val="20"/>
                      <w:szCs w:val="19"/>
                    </w:rPr>
                    <w:t>(0.025)</w:t>
                  </w:r>
                </w:p>
              </w:tc>
            </w:tr>
            <w:tr w:rsidR="00403004" w:rsidRPr="00D659E7" w14:paraId="2B66B7C4" w14:textId="77777777" w:rsidTr="00B5460B">
              <w:trPr>
                <w:trHeight w:val="288"/>
              </w:trPr>
              <w:tc>
                <w:tcPr>
                  <w:tcW w:w="2955" w:type="dxa"/>
                  <w:tcBorders>
                    <w:top w:val="nil"/>
                    <w:left w:val="nil"/>
                    <w:bottom w:val="nil"/>
                    <w:right w:val="nil"/>
                  </w:tcBorders>
                  <w:shd w:val="clear" w:color="auto" w:fill="auto"/>
                  <w:vAlign w:val="center"/>
                  <w:hideMark/>
                </w:tcPr>
                <w:p w14:paraId="752E7738"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Observations</w:t>
                  </w:r>
                </w:p>
              </w:tc>
              <w:tc>
                <w:tcPr>
                  <w:tcW w:w="1170" w:type="dxa"/>
                  <w:tcBorders>
                    <w:top w:val="nil"/>
                    <w:left w:val="nil"/>
                    <w:bottom w:val="nil"/>
                    <w:right w:val="nil"/>
                  </w:tcBorders>
                  <w:shd w:val="clear" w:color="auto" w:fill="auto"/>
                  <w:noWrap/>
                  <w:vAlign w:val="center"/>
                  <w:hideMark/>
                </w:tcPr>
                <w:p w14:paraId="12A0839A"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4,591</w:t>
                  </w:r>
                </w:p>
              </w:tc>
              <w:tc>
                <w:tcPr>
                  <w:tcW w:w="1080" w:type="dxa"/>
                  <w:tcBorders>
                    <w:top w:val="nil"/>
                    <w:left w:val="nil"/>
                    <w:bottom w:val="nil"/>
                    <w:right w:val="nil"/>
                  </w:tcBorders>
                  <w:shd w:val="clear" w:color="auto" w:fill="auto"/>
                  <w:noWrap/>
                  <w:vAlign w:val="center"/>
                  <w:hideMark/>
                </w:tcPr>
                <w:p w14:paraId="32E55FEC"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4,578</w:t>
                  </w:r>
                </w:p>
              </w:tc>
              <w:tc>
                <w:tcPr>
                  <w:tcW w:w="1170" w:type="dxa"/>
                  <w:tcBorders>
                    <w:top w:val="nil"/>
                    <w:left w:val="nil"/>
                    <w:bottom w:val="nil"/>
                    <w:right w:val="nil"/>
                  </w:tcBorders>
                  <w:shd w:val="clear" w:color="auto" w:fill="auto"/>
                  <w:noWrap/>
                  <w:vAlign w:val="center"/>
                  <w:hideMark/>
                </w:tcPr>
                <w:p w14:paraId="249DA452"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2,908</w:t>
                  </w:r>
                </w:p>
              </w:tc>
              <w:tc>
                <w:tcPr>
                  <w:tcW w:w="1350" w:type="dxa"/>
                  <w:tcBorders>
                    <w:top w:val="nil"/>
                    <w:left w:val="nil"/>
                    <w:bottom w:val="nil"/>
                    <w:right w:val="nil"/>
                  </w:tcBorders>
                  <w:shd w:val="clear" w:color="auto" w:fill="auto"/>
                  <w:noWrap/>
                  <w:vAlign w:val="center"/>
                  <w:hideMark/>
                </w:tcPr>
                <w:p w14:paraId="4EB5B17C"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5,317</w:t>
                  </w:r>
                </w:p>
              </w:tc>
            </w:tr>
            <w:tr w:rsidR="00403004" w:rsidRPr="00D659E7" w14:paraId="70FD88EA" w14:textId="77777777" w:rsidTr="00B5460B">
              <w:trPr>
                <w:trHeight w:val="288"/>
              </w:trPr>
              <w:tc>
                <w:tcPr>
                  <w:tcW w:w="2955" w:type="dxa"/>
                  <w:tcBorders>
                    <w:top w:val="nil"/>
                    <w:left w:val="nil"/>
                    <w:bottom w:val="nil"/>
                    <w:right w:val="nil"/>
                  </w:tcBorders>
                  <w:shd w:val="clear" w:color="auto" w:fill="auto"/>
                  <w:vAlign w:val="center"/>
                  <w:hideMark/>
                </w:tcPr>
                <w:p w14:paraId="1EA4AC41"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Below</w:t>
                  </w:r>
                </w:p>
              </w:tc>
              <w:tc>
                <w:tcPr>
                  <w:tcW w:w="1170" w:type="dxa"/>
                  <w:tcBorders>
                    <w:top w:val="nil"/>
                    <w:left w:val="nil"/>
                    <w:bottom w:val="nil"/>
                    <w:right w:val="nil"/>
                  </w:tcBorders>
                  <w:shd w:val="clear" w:color="auto" w:fill="auto"/>
                  <w:noWrap/>
                  <w:vAlign w:val="center"/>
                  <w:hideMark/>
                </w:tcPr>
                <w:p w14:paraId="2E70E91F"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0.235</w:t>
                  </w:r>
                </w:p>
              </w:tc>
              <w:tc>
                <w:tcPr>
                  <w:tcW w:w="1080" w:type="dxa"/>
                  <w:tcBorders>
                    <w:top w:val="nil"/>
                    <w:left w:val="nil"/>
                    <w:bottom w:val="nil"/>
                    <w:right w:val="nil"/>
                  </w:tcBorders>
                  <w:shd w:val="clear" w:color="auto" w:fill="auto"/>
                  <w:noWrap/>
                  <w:vAlign w:val="center"/>
                  <w:hideMark/>
                </w:tcPr>
                <w:p w14:paraId="3CAC03E2"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0.228</w:t>
                  </w:r>
                </w:p>
              </w:tc>
              <w:tc>
                <w:tcPr>
                  <w:tcW w:w="1170" w:type="dxa"/>
                  <w:tcBorders>
                    <w:top w:val="nil"/>
                    <w:left w:val="nil"/>
                    <w:bottom w:val="nil"/>
                    <w:right w:val="nil"/>
                  </w:tcBorders>
                  <w:shd w:val="clear" w:color="auto" w:fill="auto"/>
                  <w:noWrap/>
                  <w:vAlign w:val="center"/>
                  <w:hideMark/>
                </w:tcPr>
                <w:p w14:paraId="2E1DC2BB"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0.168</w:t>
                  </w:r>
                </w:p>
              </w:tc>
              <w:tc>
                <w:tcPr>
                  <w:tcW w:w="1350" w:type="dxa"/>
                  <w:tcBorders>
                    <w:top w:val="nil"/>
                    <w:left w:val="nil"/>
                    <w:bottom w:val="nil"/>
                    <w:right w:val="nil"/>
                  </w:tcBorders>
                  <w:shd w:val="clear" w:color="auto" w:fill="auto"/>
                  <w:noWrap/>
                  <w:vAlign w:val="center"/>
                  <w:hideMark/>
                </w:tcPr>
                <w:p w14:paraId="46C43A4D"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0.437</w:t>
                  </w:r>
                </w:p>
              </w:tc>
            </w:tr>
            <w:tr w:rsidR="00403004" w:rsidRPr="00D659E7" w14:paraId="39A8C850" w14:textId="77777777" w:rsidTr="00B5460B">
              <w:trPr>
                <w:trHeight w:val="300"/>
              </w:trPr>
              <w:tc>
                <w:tcPr>
                  <w:tcW w:w="2955" w:type="dxa"/>
                  <w:tcBorders>
                    <w:top w:val="nil"/>
                    <w:left w:val="nil"/>
                    <w:bottom w:val="single" w:sz="8" w:space="0" w:color="auto"/>
                    <w:right w:val="nil"/>
                  </w:tcBorders>
                  <w:shd w:val="clear" w:color="auto" w:fill="auto"/>
                  <w:vAlign w:val="center"/>
                  <w:hideMark/>
                </w:tcPr>
                <w:p w14:paraId="497A7D42" w14:textId="77777777" w:rsidR="00403004" w:rsidRPr="00D659E7" w:rsidRDefault="00403004" w:rsidP="00B5460B">
                  <w:pPr>
                    <w:spacing w:after="0" w:line="240" w:lineRule="auto"/>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Bandwidth Above</w:t>
                  </w:r>
                </w:p>
              </w:tc>
              <w:tc>
                <w:tcPr>
                  <w:tcW w:w="1170" w:type="dxa"/>
                  <w:tcBorders>
                    <w:top w:val="nil"/>
                    <w:left w:val="nil"/>
                    <w:bottom w:val="single" w:sz="8" w:space="0" w:color="auto"/>
                    <w:right w:val="nil"/>
                  </w:tcBorders>
                  <w:shd w:val="clear" w:color="auto" w:fill="auto"/>
                  <w:noWrap/>
                  <w:vAlign w:val="center"/>
                  <w:hideMark/>
                </w:tcPr>
                <w:p w14:paraId="7B241761"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0.677</w:t>
                  </w:r>
                </w:p>
              </w:tc>
              <w:tc>
                <w:tcPr>
                  <w:tcW w:w="1080" w:type="dxa"/>
                  <w:tcBorders>
                    <w:top w:val="nil"/>
                    <w:left w:val="nil"/>
                    <w:bottom w:val="single" w:sz="8" w:space="0" w:color="auto"/>
                    <w:right w:val="nil"/>
                  </w:tcBorders>
                  <w:shd w:val="clear" w:color="auto" w:fill="auto"/>
                  <w:noWrap/>
                  <w:vAlign w:val="center"/>
                  <w:hideMark/>
                </w:tcPr>
                <w:p w14:paraId="32A1CC3D"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0.677</w:t>
                  </w:r>
                </w:p>
              </w:tc>
              <w:tc>
                <w:tcPr>
                  <w:tcW w:w="1170" w:type="dxa"/>
                  <w:tcBorders>
                    <w:top w:val="nil"/>
                    <w:left w:val="nil"/>
                    <w:bottom w:val="single" w:sz="8" w:space="0" w:color="auto"/>
                    <w:right w:val="nil"/>
                  </w:tcBorders>
                  <w:shd w:val="clear" w:color="auto" w:fill="auto"/>
                  <w:noWrap/>
                  <w:vAlign w:val="center"/>
                  <w:hideMark/>
                </w:tcPr>
                <w:p w14:paraId="04251E80"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0.483</w:t>
                  </w:r>
                </w:p>
              </w:tc>
              <w:tc>
                <w:tcPr>
                  <w:tcW w:w="1350" w:type="dxa"/>
                  <w:tcBorders>
                    <w:top w:val="nil"/>
                    <w:left w:val="nil"/>
                    <w:bottom w:val="single" w:sz="8" w:space="0" w:color="auto"/>
                    <w:right w:val="nil"/>
                  </w:tcBorders>
                  <w:shd w:val="clear" w:color="auto" w:fill="auto"/>
                  <w:noWrap/>
                  <w:vAlign w:val="center"/>
                  <w:hideMark/>
                </w:tcPr>
                <w:p w14:paraId="1F0FBBEA" w14:textId="77777777" w:rsidR="00403004" w:rsidRPr="00D659E7" w:rsidRDefault="00403004" w:rsidP="00B5460B">
                  <w:pPr>
                    <w:spacing w:after="0" w:line="240" w:lineRule="auto"/>
                    <w:jc w:val="center"/>
                    <w:rPr>
                      <w:rFonts w:ascii="Times New Roman" w:eastAsia="Times New Roman" w:hAnsi="Times New Roman" w:cs="Times New Roman"/>
                      <w:color w:val="000000"/>
                      <w:sz w:val="20"/>
                      <w:szCs w:val="19"/>
                    </w:rPr>
                  </w:pPr>
                  <w:r w:rsidRPr="00D659E7">
                    <w:rPr>
                      <w:rFonts w:ascii="Times New Roman" w:eastAsia="Times New Roman" w:hAnsi="Times New Roman" w:cs="Times New Roman"/>
                      <w:color w:val="000000"/>
                      <w:sz w:val="20"/>
                      <w:szCs w:val="19"/>
                    </w:rPr>
                    <w:t>0.749</w:t>
                  </w:r>
                </w:p>
              </w:tc>
            </w:tr>
          </w:tbl>
          <w:p w14:paraId="1B1989C5" w14:textId="77777777" w:rsidR="00403004" w:rsidRPr="00896002" w:rsidRDefault="00403004" w:rsidP="00B5460B">
            <w:pPr>
              <w:rPr>
                <w:rFonts w:ascii="Cambria" w:hAnsi="Cambria"/>
                <w:sz w:val="24"/>
                <w:szCs w:val="24"/>
              </w:rPr>
            </w:pPr>
          </w:p>
        </w:tc>
      </w:tr>
    </w:tbl>
    <w:p w14:paraId="16C4B565" w14:textId="77777777" w:rsidR="00403004" w:rsidRPr="00266061" w:rsidRDefault="00403004" w:rsidP="00403004">
      <w:pPr>
        <w:spacing w:after="0" w:line="240" w:lineRule="auto"/>
        <w:rPr>
          <w:rFonts w:ascii="Times New Roman" w:eastAsia="Times New Roman" w:hAnsi="Times New Roman" w:cs="Times New Roman"/>
          <w:b/>
          <w:bCs/>
          <w:color w:val="000000"/>
          <w:sz w:val="19"/>
          <w:szCs w:val="19"/>
        </w:rPr>
      </w:pPr>
      <w:r w:rsidRPr="007F4F21">
        <w:rPr>
          <w:rFonts w:ascii="Times New Roman" w:eastAsia="Times New Roman" w:hAnsi="Times New Roman" w:cs="Times New Roman"/>
          <w:b/>
          <w:bCs/>
          <w:color w:val="000000"/>
          <w:sz w:val="19"/>
          <w:szCs w:val="19"/>
        </w:rPr>
        <w:lastRenderedPageBreak/>
        <w:t>Note</w:t>
      </w:r>
      <w:r w:rsidRPr="007F4F21">
        <w:rPr>
          <w:rFonts w:ascii="Times New Roman" w:eastAsia="Times New Roman" w:hAnsi="Times New Roman" w:cs="Times New Roman"/>
          <w:color w:val="000000"/>
          <w:sz w:val="19"/>
          <w:szCs w:val="19"/>
        </w:rPr>
        <w:t>: Results based on data-driven bandwidth selectors calculated using local polynomial density estimation and triangular kernels. All regressions include controls for gender, race/ethnicity, age</w:t>
      </w:r>
      <w:r>
        <w:rPr>
          <w:rFonts w:ascii="Times New Roman" w:eastAsia="Times New Roman" w:hAnsi="Times New Roman" w:cs="Times New Roman"/>
          <w:color w:val="000000"/>
          <w:sz w:val="19"/>
          <w:szCs w:val="19"/>
        </w:rPr>
        <w:t xml:space="preserve">, and Pell receipt </w:t>
      </w:r>
      <w:r w:rsidRPr="007F4F21">
        <w:rPr>
          <w:rFonts w:ascii="Times New Roman" w:eastAsia="Times New Roman" w:hAnsi="Times New Roman" w:cs="Times New Roman"/>
          <w:color w:val="000000"/>
          <w:sz w:val="19"/>
          <w:szCs w:val="19"/>
        </w:rPr>
        <w:t>as well as cohort fixed effects. The varying N size is due to the exclusion of cohorts for which the outcome does not apply. For instance, cohorts beginning college in 2013-2015 are excluded from the three-year GPA, credits, and completion measures because the students have not been enrolled for three years. Robust bias-corrected standard errors clustered by high school GPA in parentheses *p&lt;0.10 **p&lt;0.05 ***p&lt;0.01</w:t>
      </w:r>
    </w:p>
    <w:p w14:paraId="136F9B84" w14:textId="77777777" w:rsidR="00403004" w:rsidRDefault="00403004" w:rsidP="00403004">
      <w:pPr>
        <w:rPr>
          <w:rFonts w:ascii="Cambria" w:hAnsi="Cambria"/>
        </w:rPr>
      </w:pPr>
    </w:p>
    <w:p w14:paraId="522A85BC" w14:textId="35A690BA" w:rsidR="00063F17"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Table </w:t>
      </w:r>
      <w:r w:rsidR="00290299">
        <w:rPr>
          <w:rFonts w:ascii="Times New Roman" w:hAnsi="Times New Roman" w:cs="Times New Roman"/>
          <w:sz w:val="24"/>
          <w:szCs w:val="24"/>
        </w:rPr>
        <w:t>5-7</w:t>
      </w:r>
      <w:r w:rsidRPr="00E633D8">
        <w:rPr>
          <w:rFonts w:ascii="Times New Roman" w:hAnsi="Times New Roman" w:cs="Times New Roman"/>
          <w:sz w:val="24"/>
          <w:szCs w:val="24"/>
        </w:rPr>
        <w:t xml:space="preserve"> also suggests that the results are robust to alternative specifications, including different bandwidth calculations and functional forms. In Column 2, I test whether the estimates are robust to the inclusion of high school fixed effects, along with an indicator of whether the high school was unknown.</w:t>
      </w:r>
      <w:r w:rsidRPr="00E3535F">
        <w:rPr>
          <w:rStyle w:val="FootnoteReference"/>
        </w:rPr>
        <w:footnoteReference w:id="32"/>
      </w:r>
      <w:r w:rsidRPr="00E633D8">
        <w:rPr>
          <w:rFonts w:ascii="Times New Roman" w:hAnsi="Times New Roman" w:cs="Times New Roman"/>
          <w:sz w:val="24"/>
          <w:szCs w:val="24"/>
        </w:rPr>
        <w:t xml:space="preserve"> Column 2 reveals almost identical results, suggesting that the inclusion of high school fixed effects has virtually no effect on the estimates. Second, I test whether the estimates are robust to a different bandwidth calculation in Columns 3. Interestingly, </w:t>
      </w:r>
      <w:r w:rsidRPr="00E633D8">
        <w:rPr>
          <w:rFonts w:ascii="Times New Roman" w:hAnsi="Times New Roman" w:cs="Times New Roman"/>
          <w:sz w:val="24"/>
          <w:szCs w:val="24"/>
        </w:rPr>
        <w:lastRenderedPageBreak/>
        <w:t xml:space="preserve">while the results from Column 3 are all substantively in line with the baseline results, the restricted bandwidth calculations do increase the statistical significance of some relationships. For example, while the effect of Tulsa Achieves on transferring to a four-year college remains substantively meaningful in all specifications, the coefficient is largest and highly statistically significant in Column 3 (p&lt;0.01). Moreover, while the estimates Columns 1-2 reveal a positive and statistically insignificant effect on the likelihood of ever earning a bachelor’s degree, the alternative bandwidth specification in Column 3 reveals that Tulsa Achieves recipients are 3.8 percentage points more likely to obtain a bachelor’s degree (p&lt;0.05). Finally, in Column 4, I estimate an identical two-stage model, except for the addition of quadratic terms for </w:t>
      </w:r>
      <m:oMath>
        <m:sSub>
          <m:sSubPr>
            <m:ctrlPr>
              <w:rPr>
                <w:rFonts w:ascii="Cambria Math" w:hAnsi="Cambria Math" w:cs="Times New Roman"/>
                <w:i/>
                <w:sz w:val="24"/>
                <w:szCs w:val="24"/>
              </w:rPr>
            </m:ctrlPr>
          </m:sSubPr>
          <m:e>
            <m:r>
              <w:rPr>
                <w:rFonts w:ascii="Cambria Math" w:hAnsi="Cambria Math" w:cs="Times New Roman"/>
                <w:sz w:val="24"/>
                <w:szCs w:val="24"/>
              </w:rPr>
              <m:t>GPADist</m:t>
            </m:r>
          </m:e>
          <m:sub>
            <m:r>
              <w:rPr>
                <w:rFonts w:ascii="Cambria Math" w:hAnsi="Cambria Math" w:cs="Times New Roman"/>
                <w:sz w:val="24"/>
                <w:szCs w:val="24"/>
              </w:rPr>
              <m:t>i</m:t>
            </m:r>
          </m:sub>
        </m:sSub>
      </m:oMath>
      <w:r w:rsidRPr="00E633D8">
        <w:rPr>
          <w:rFonts w:ascii="Times New Roman" w:hAnsi="Times New Roman" w:cs="Times New Roman"/>
          <w:sz w:val="24"/>
          <w:szCs w:val="24"/>
        </w:rPr>
        <w:t xml:space="preserve"> on each side of the threshold. The only notable differences in Column 4 are the substantially increased standard errors and the movement from statistically insignificant to marginally significant effect of Tulsa Achieves on credits earned in year one—while credits earned in year 1 was positive and insignificant in the main specifications, this relationship becomes positive and marginally significant in the quadratic specification in Column 4. Taken together, the regression discontinuity analysis reveals a consistently positive effect of Tulsa Achieves receipt on college GPA and transfer to four-year colleges.</w:t>
      </w:r>
    </w:p>
    <w:p w14:paraId="2578FC3A"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6286887C"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47E7DDC3"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40A3F91D"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12ECCFF9"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0E329699"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2A6A87F7"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0EBC01F5"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6F2E4B18"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5331D97B"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2426E595"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202EB0B7"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3F9EFCD6"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7C6A49FB" w14:textId="77777777" w:rsidR="00403004" w:rsidRDefault="00403004" w:rsidP="00403004">
      <w:pPr>
        <w:autoSpaceDE w:val="0"/>
        <w:autoSpaceDN w:val="0"/>
        <w:adjustRightInd w:val="0"/>
        <w:spacing w:after="0" w:line="240" w:lineRule="auto"/>
        <w:rPr>
          <w:rFonts w:ascii="Times New Roman" w:hAnsi="Times New Roman" w:cs="Times New Roman"/>
          <w:b/>
          <w:sz w:val="24"/>
          <w:szCs w:val="24"/>
        </w:rPr>
      </w:pPr>
    </w:p>
    <w:p w14:paraId="17416C25" w14:textId="45ABF2AB" w:rsidR="00403004" w:rsidRPr="00DD68EB" w:rsidRDefault="00403004" w:rsidP="00403004">
      <w:pPr>
        <w:autoSpaceDE w:val="0"/>
        <w:autoSpaceDN w:val="0"/>
        <w:adjustRightInd w:val="0"/>
        <w:spacing w:after="0" w:line="240" w:lineRule="auto"/>
        <w:rPr>
          <w:rFonts w:ascii="Times New Roman" w:hAnsi="Times New Roman" w:cs="Times New Roman"/>
          <w:sz w:val="24"/>
          <w:szCs w:val="24"/>
        </w:rPr>
      </w:pPr>
      <w:r w:rsidRPr="0011145C">
        <w:rPr>
          <w:rFonts w:ascii="Times New Roman" w:hAnsi="Times New Roman" w:cs="Times New Roman"/>
          <w:b/>
          <w:sz w:val="24"/>
          <w:szCs w:val="24"/>
        </w:rPr>
        <w:lastRenderedPageBreak/>
        <w:t xml:space="preserve">Figure </w:t>
      </w:r>
      <w:r w:rsidR="00085569">
        <w:rPr>
          <w:rFonts w:ascii="Times New Roman" w:hAnsi="Times New Roman" w:cs="Times New Roman"/>
          <w:b/>
          <w:sz w:val="24"/>
          <w:szCs w:val="24"/>
        </w:rPr>
        <w:t>5-10</w:t>
      </w:r>
      <w:r w:rsidRPr="0011145C">
        <w:rPr>
          <w:rFonts w:ascii="Times New Roman" w:hAnsi="Times New Roman" w:cs="Times New Roman"/>
          <w:b/>
          <w:sz w:val="24"/>
          <w:szCs w:val="24"/>
        </w:rPr>
        <w:t>.</w:t>
      </w:r>
      <w:r w:rsidRPr="00DD68EB">
        <w:rPr>
          <w:rFonts w:ascii="Times New Roman" w:hAnsi="Times New Roman" w:cs="Times New Roman"/>
          <w:sz w:val="24"/>
          <w:szCs w:val="24"/>
        </w:rPr>
        <w:t xml:space="preserve"> Mean of Significant Outcomes of Interest, by Distance from Threshold</w:t>
      </w:r>
    </w:p>
    <w:p w14:paraId="43DE81BC" w14:textId="77777777" w:rsidR="00403004" w:rsidRDefault="00403004" w:rsidP="00403004">
      <w:pPr>
        <w:rPr>
          <w:rFonts w:ascii="Palatino Linotype" w:hAnsi="Palatino Linotype"/>
        </w:rPr>
      </w:pPr>
      <w:r>
        <w:rPr>
          <w:noProof/>
        </w:rPr>
        <w:drawing>
          <wp:anchor distT="0" distB="0" distL="114300" distR="114300" simplePos="0" relativeHeight="251752448" behindDoc="1" locked="0" layoutInCell="1" allowOverlap="1" wp14:anchorId="7F7BBA2C" wp14:editId="48A2204C">
            <wp:simplePos x="0" y="0"/>
            <wp:positionH relativeFrom="column">
              <wp:posOffset>0</wp:posOffset>
            </wp:positionH>
            <wp:positionV relativeFrom="paragraph">
              <wp:posOffset>1577</wp:posOffset>
            </wp:positionV>
            <wp:extent cx="3776472" cy="2743200"/>
            <wp:effectExtent l="0" t="0" r="0" b="0"/>
            <wp:wrapTight wrapText="bothSides">
              <wp:wrapPolygon edited="0">
                <wp:start x="0" y="0"/>
                <wp:lineTo x="0" y="21450"/>
                <wp:lineTo x="21466" y="21450"/>
                <wp:lineTo x="21466"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76472"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3EF46" w14:textId="77777777" w:rsidR="00403004" w:rsidRDefault="00403004" w:rsidP="00403004">
      <w:pPr>
        <w:rPr>
          <w:rFonts w:ascii="Palatino Linotype" w:hAnsi="Palatino Linotype"/>
        </w:rPr>
      </w:pPr>
    </w:p>
    <w:p w14:paraId="5F9F326F" w14:textId="77777777" w:rsidR="00403004" w:rsidRDefault="00403004" w:rsidP="00403004">
      <w:pPr>
        <w:rPr>
          <w:rFonts w:ascii="Palatino Linotype" w:hAnsi="Palatino Linotype"/>
        </w:rPr>
      </w:pPr>
    </w:p>
    <w:p w14:paraId="795EBCA3" w14:textId="77777777" w:rsidR="00403004" w:rsidRDefault="00403004" w:rsidP="00403004">
      <w:pPr>
        <w:rPr>
          <w:rFonts w:ascii="Palatino Linotype" w:hAnsi="Palatino Linotype"/>
        </w:rPr>
      </w:pPr>
    </w:p>
    <w:p w14:paraId="4277C422" w14:textId="77777777" w:rsidR="00403004" w:rsidRDefault="00403004" w:rsidP="00403004">
      <w:pPr>
        <w:rPr>
          <w:rFonts w:ascii="Palatino Linotype" w:hAnsi="Palatino Linotype"/>
        </w:rPr>
      </w:pPr>
    </w:p>
    <w:p w14:paraId="07AC1D34" w14:textId="77777777" w:rsidR="00403004" w:rsidRDefault="00403004" w:rsidP="00403004">
      <w:pPr>
        <w:rPr>
          <w:rFonts w:ascii="Palatino Linotype" w:hAnsi="Palatino Linotype"/>
        </w:rPr>
      </w:pPr>
    </w:p>
    <w:p w14:paraId="70E906FD" w14:textId="77777777" w:rsidR="00403004" w:rsidRDefault="00403004" w:rsidP="00403004">
      <w:pPr>
        <w:rPr>
          <w:rFonts w:ascii="Palatino Linotype" w:hAnsi="Palatino Linotype"/>
        </w:rPr>
      </w:pPr>
    </w:p>
    <w:p w14:paraId="36BE1378" w14:textId="77777777" w:rsidR="00403004" w:rsidRDefault="00403004" w:rsidP="00403004">
      <w:pPr>
        <w:rPr>
          <w:rFonts w:ascii="Palatino Linotype" w:hAnsi="Palatino Linotype"/>
        </w:rPr>
      </w:pPr>
    </w:p>
    <w:p w14:paraId="34FDAA4D" w14:textId="77777777" w:rsidR="00403004" w:rsidRDefault="00403004" w:rsidP="00403004">
      <w:pPr>
        <w:rPr>
          <w:rFonts w:ascii="Palatino Linotype" w:hAnsi="Palatino Linotype"/>
        </w:rPr>
      </w:pPr>
      <w:r>
        <w:rPr>
          <w:noProof/>
        </w:rPr>
        <w:drawing>
          <wp:anchor distT="0" distB="0" distL="114300" distR="114300" simplePos="0" relativeHeight="251753472" behindDoc="1" locked="0" layoutInCell="1" allowOverlap="1" wp14:anchorId="0EBDD642" wp14:editId="23D162DE">
            <wp:simplePos x="0" y="0"/>
            <wp:positionH relativeFrom="margin">
              <wp:align>left</wp:align>
            </wp:positionH>
            <wp:positionV relativeFrom="paragraph">
              <wp:posOffset>209017</wp:posOffset>
            </wp:positionV>
            <wp:extent cx="3776472" cy="2743200"/>
            <wp:effectExtent l="0" t="0" r="0" b="0"/>
            <wp:wrapTight wrapText="bothSides">
              <wp:wrapPolygon edited="0">
                <wp:start x="0" y="0"/>
                <wp:lineTo x="0" y="21450"/>
                <wp:lineTo x="21466" y="21450"/>
                <wp:lineTo x="21466"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76472"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B1F4C" w14:textId="77777777" w:rsidR="00403004" w:rsidRDefault="00403004" w:rsidP="00403004">
      <w:pPr>
        <w:rPr>
          <w:rFonts w:ascii="Palatino Linotype" w:hAnsi="Palatino Linotype"/>
        </w:rPr>
      </w:pPr>
    </w:p>
    <w:p w14:paraId="486C597C" w14:textId="77777777" w:rsidR="00403004" w:rsidRDefault="00403004" w:rsidP="00403004">
      <w:pPr>
        <w:rPr>
          <w:rFonts w:ascii="Palatino Linotype" w:hAnsi="Palatino Linotype"/>
        </w:rPr>
      </w:pPr>
    </w:p>
    <w:p w14:paraId="7FB1D0B3" w14:textId="77777777" w:rsidR="00403004" w:rsidRDefault="00403004" w:rsidP="00403004">
      <w:pPr>
        <w:rPr>
          <w:rFonts w:ascii="Palatino Linotype" w:hAnsi="Palatino Linotype"/>
        </w:rPr>
      </w:pPr>
    </w:p>
    <w:p w14:paraId="63A04E06" w14:textId="77777777" w:rsidR="00403004" w:rsidRDefault="00403004" w:rsidP="00403004">
      <w:pPr>
        <w:rPr>
          <w:rFonts w:ascii="Palatino Linotype" w:hAnsi="Palatino Linotype"/>
        </w:rPr>
      </w:pPr>
    </w:p>
    <w:p w14:paraId="17DE24B5" w14:textId="77777777" w:rsidR="00403004" w:rsidRDefault="00403004" w:rsidP="00403004">
      <w:pPr>
        <w:rPr>
          <w:rFonts w:ascii="Palatino Linotype" w:hAnsi="Palatino Linotype"/>
        </w:rPr>
      </w:pPr>
    </w:p>
    <w:p w14:paraId="4032F624" w14:textId="77777777" w:rsidR="00403004" w:rsidRDefault="00403004" w:rsidP="00403004">
      <w:pPr>
        <w:rPr>
          <w:rFonts w:ascii="Palatino Linotype" w:hAnsi="Palatino Linotype"/>
        </w:rPr>
      </w:pPr>
    </w:p>
    <w:p w14:paraId="7E199A5E" w14:textId="77777777" w:rsidR="00403004" w:rsidRDefault="00403004" w:rsidP="00403004">
      <w:pPr>
        <w:rPr>
          <w:rFonts w:ascii="Palatino Linotype" w:hAnsi="Palatino Linotype"/>
        </w:rPr>
      </w:pPr>
    </w:p>
    <w:p w14:paraId="3743F971" w14:textId="77777777" w:rsidR="00403004" w:rsidRDefault="00403004" w:rsidP="00403004">
      <w:pPr>
        <w:rPr>
          <w:rFonts w:ascii="Palatino Linotype" w:hAnsi="Palatino Linotype"/>
        </w:rPr>
      </w:pPr>
    </w:p>
    <w:p w14:paraId="45C5301A" w14:textId="3ECDDA31" w:rsidR="00403004" w:rsidRDefault="00403004" w:rsidP="00403004">
      <w:pPr>
        <w:rPr>
          <w:rFonts w:ascii="Palatino Linotype" w:hAnsi="Palatino Linotype"/>
        </w:rPr>
      </w:pPr>
      <w:r>
        <w:rPr>
          <w:noProof/>
        </w:rPr>
        <w:drawing>
          <wp:anchor distT="0" distB="0" distL="114300" distR="114300" simplePos="0" relativeHeight="251754496" behindDoc="1" locked="0" layoutInCell="1" allowOverlap="1" wp14:anchorId="32CA9DAA" wp14:editId="7A387120">
            <wp:simplePos x="0" y="0"/>
            <wp:positionH relativeFrom="margin">
              <wp:align>left</wp:align>
            </wp:positionH>
            <wp:positionV relativeFrom="paragraph">
              <wp:posOffset>115570</wp:posOffset>
            </wp:positionV>
            <wp:extent cx="3776472" cy="2743200"/>
            <wp:effectExtent l="0" t="0" r="0" b="0"/>
            <wp:wrapTight wrapText="bothSides">
              <wp:wrapPolygon edited="0">
                <wp:start x="0" y="0"/>
                <wp:lineTo x="0" y="21450"/>
                <wp:lineTo x="21466" y="21450"/>
                <wp:lineTo x="21466" y="0"/>
                <wp:lineTo x="0"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76472"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D33D4C" w14:textId="47D11F6A" w:rsidR="00403004" w:rsidRDefault="00403004" w:rsidP="00403004">
      <w:pPr>
        <w:rPr>
          <w:rFonts w:ascii="Palatino Linotype" w:hAnsi="Palatino Linotype"/>
        </w:rPr>
      </w:pPr>
    </w:p>
    <w:p w14:paraId="1AE35D03" w14:textId="047605EC" w:rsidR="00403004" w:rsidRDefault="00403004" w:rsidP="00403004">
      <w:pPr>
        <w:rPr>
          <w:rFonts w:ascii="Palatino Linotype" w:hAnsi="Palatino Linotype"/>
        </w:rPr>
      </w:pPr>
    </w:p>
    <w:p w14:paraId="1F73EBBF" w14:textId="77777777" w:rsidR="00403004" w:rsidRDefault="00403004" w:rsidP="00403004">
      <w:pPr>
        <w:rPr>
          <w:rFonts w:ascii="Palatino Linotype" w:hAnsi="Palatino Linotype"/>
        </w:rPr>
      </w:pPr>
    </w:p>
    <w:p w14:paraId="3D27C5F2" w14:textId="77777777" w:rsidR="00403004" w:rsidRDefault="00403004" w:rsidP="00403004">
      <w:pPr>
        <w:rPr>
          <w:rFonts w:ascii="Palatino Linotype" w:hAnsi="Palatino Linotype"/>
        </w:rPr>
      </w:pPr>
    </w:p>
    <w:p w14:paraId="39E19A4C" w14:textId="77777777" w:rsidR="00403004" w:rsidRDefault="00403004" w:rsidP="00403004">
      <w:pPr>
        <w:rPr>
          <w:rFonts w:ascii="Palatino Linotype" w:hAnsi="Palatino Linotype"/>
        </w:rPr>
      </w:pPr>
    </w:p>
    <w:p w14:paraId="1EE93718" w14:textId="77777777" w:rsidR="00403004" w:rsidRDefault="00403004" w:rsidP="00403004">
      <w:pPr>
        <w:rPr>
          <w:rFonts w:ascii="NewAster" w:hAnsi="NewAster" w:cs="NewAster"/>
          <w:sz w:val="20"/>
          <w:szCs w:val="20"/>
        </w:rPr>
      </w:pPr>
    </w:p>
    <w:p w14:paraId="73F35341" w14:textId="77777777" w:rsidR="00403004" w:rsidRDefault="00403004" w:rsidP="00403004">
      <w:pPr>
        <w:rPr>
          <w:rFonts w:ascii="NewAster" w:hAnsi="NewAster" w:cs="NewAster"/>
          <w:sz w:val="20"/>
          <w:szCs w:val="20"/>
        </w:rPr>
      </w:pPr>
    </w:p>
    <w:p w14:paraId="58CDE603" w14:textId="77777777" w:rsidR="00403004" w:rsidRDefault="00403004" w:rsidP="00403004">
      <w:pPr>
        <w:rPr>
          <w:rFonts w:ascii="NewAster" w:hAnsi="NewAster" w:cs="NewAster"/>
          <w:sz w:val="20"/>
          <w:szCs w:val="20"/>
        </w:rPr>
      </w:pPr>
    </w:p>
    <w:p w14:paraId="6DFDF59A" w14:textId="77777777" w:rsidR="00403004" w:rsidRDefault="00403004" w:rsidP="00403004">
      <w:pPr>
        <w:rPr>
          <w:rFonts w:ascii="NewAster" w:hAnsi="NewAster" w:cs="NewAster"/>
          <w:sz w:val="20"/>
          <w:szCs w:val="20"/>
        </w:rPr>
      </w:pPr>
    </w:p>
    <w:p w14:paraId="42C40018" w14:textId="77777777" w:rsidR="00403004" w:rsidRDefault="00403004" w:rsidP="00403004">
      <w:pPr>
        <w:rPr>
          <w:rFonts w:ascii="NewAster" w:hAnsi="NewAster" w:cs="NewAster"/>
          <w:sz w:val="20"/>
          <w:szCs w:val="20"/>
        </w:rPr>
      </w:pPr>
    </w:p>
    <w:p w14:paraId="44595F87"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Difference-in-Differences Approach</w:t>
      </w:r>
    </w:p>
    <w:p w14:paraId="33B29CE7" w14:textId="77777777" w:rsidR="00063F17" w:rsidRPr="00E633D8" w:rsidRDefault="00063F17" w:rsidP="00063F17">
      <w:pPr>
        <w:spacing w:line="480" w:lineRule="auto"/>
        <w:ind w:firstLine="720"/>
        <w:rPr>
          <w:rFonts w:ascii="Times New Roman" w:eastAsia="Times New Roman" w:hAnsi="Times New Roman" w:cs="Times New Roman"/>
          <w:sz w:val="24"/>
          <w:szCs w:val="24"/>
        </w:rPr>
      </w:pPr>
      <w:r w:rsidRPr="00E633D8">
        <w:rPr>
          <w:rFonts w:ascii="Times New Roman" w:eastAsia="Times New Roman" w:hAnsi="Times New Roman" w:cs="Times New Roman"/>
          <w:sz w:val="24"/>
          <w:szCs w:val="24"/>
        </w:rPr>
        <w:t xml:space="preserve">To estimate the average treatment effect for students not included in RD analyses, I also implement a difference-in-differences approach. The difference-in-differences design is implemented in a regression framework that is presented in the equation below. </w:t>
      </w:r>
    </w:p>
    <w:p w14:paraId="663A221B" w14:textId="77777777" w:rsidR="00063F17" w:rsidRPr="00E633D8" w:rsidRDefault="00063F17" w:rsidP="00063F17">
      <w:pPr>
        <w:spacing w:line="480" w:lineRule="auto"/>
        <w:jc w:val="center"/>
        <w:rPr>
          <w:rFonts w:ascii="Times New Roman" w:eastAsiaTheme="minorEastAsia" w:hAnsi="Times New Roman" w:cs="Times New Roman"/>
          <w:iCs/>
          <w:sz w:val="24"/>
          <w:szCs w:val="24"/>
        </w:rPr>
      </w:pPr>
      <m:oMath>
        <m:r>
          <m:rPr>
            <m:nor/>
          </m:rPr>
          <w:rPr>
            <w:rFonts w:ascii="Times New Roman" w:hAnsi="Times New Roman" w:cs="Times New Roman"/>
            <w:sz w:val="24"/>
            <w:szCs w:val="24"/>
          </w:rPr>
          <m:t xml:space="preserve">  </m:t>
        </m:r>
        <m:sSub>
          <m:sSubPr>
            <m:ctrlPr>
              <w:rPr>
                <w:rFonts w:ascii="Cambria Math" w:hAnsi="Cambria Math" w:cs="Times New Roman"/>
                <w:sz w:val="24"/>
                <w:szCs w:val="24"/>
              </w:rPr>
            </m:ctrlPr>
          </m:sSubPr>
          <m:e>
            <m:r>
              <m:rPr>
                <m:nor/>
              </m:rPr>
              <w:rPr>
                <w:rFonts w:ascii="Cambria Math" w:hAnsi="Times New Roman" w:cs="Times New Roman"/>
                <w:iCs/>
                <w:sz w:val="24"/>
                <w:szCs w:val="24"/>
              </w:rPr>
              <m:t>Y</m:t>
            </m:r>
          </m:e>
          <m:sub>
            <m:r>
              <m:rPr>
                <m:nor/>
              </m:rPr>
              <w:rPr>
                <w:rFonts w:ascii="Times New Roman" w:hAnsi="Times New Roman" w:cs="Times New Roman"/>
                <w:sz w:val="24"/>
                <w:szCs w:val="24"/>
              </w:rPr>
              <m:t>it</m:t>
            </m:r>
          </m:sub>
        </m:sSub>
        <m:r>
          <m:rPr>
            <m:nor/>
          </m:rPr>
          <w:rPr>
            <w:rFonts w:ascii="Times New Roman" w:hAnsi="Times New Roman" w:cs="Times New Roman"/>
            <w:sz w:val="24"/>
            <w:szCs w:val="24"/>
          </w:rPr>
          <m:t xml:space="preserve">= </m:t>
        </m:r>
        <m:r>
          <m:rPr>
            <m:nor/>
          </m:rPr>
          <w:rPr>
            <w:rFonts w:ascii="Cambria Math" w:hAnsi="Cambria Math" w:cs="Cambria Math"/>
            <w:sz w:val="24"/>
            <w:szCs w:val="24"/>
          </w:rPr>
          <m:t>∝</m:t>
        </m:r>
        <m:r>
          <m:rPr>
            <m:nor/>
          </m:rPr>
          <w:rPr>
            <w:rFonts w:ascii="Times New Roman" w:hAnsi="Times New Roman" w:cs="Times New Roman"/>
            <w:sz w:val="24"/>
            <w:szCs w:val="24"/>
          </w:rPr>
          <m:t xml:space="preserve"> +</m:t>
        </m:r>
        <m:r>
          <m:rPr>
            <m:nor/>
          </m:rPr>
          <w:rPr>
            <w:rFonts w:ascii="Cambria Math" w:hAnsi="Times New Roman"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Post</m:t>
            </m:r>
          </m:e>
          <m:sub>
            <m:r>
              <m:rPr>
                <m:sty m:val="p"/>
              </m:rPr>
              <w:rPr>
                <w:rFonts w:ascii="Cambria Math" w:hAnsi="Cambria Math" w:cs="Times New Roman"/>
                <w:sz w:val="24"/>
                <w:szCs w:val="24"/>
              </w:rPr>
              <m:t>t</m:t>
            </m:r>
          </m:sub>
        </m:sSub>
        <m:r>
          <m:rPr>
            <m:nor/>
          </m:rPr>
          <w:rPr>
            <w:rFonts w:ascii="Cambria Math" w:hAnsi="Times New Roman" w:cs="Times New Roman"/>
            <w:sz w:val="24"/>
            <w:szCs w:val="24"/>
          </w:rPr>
          <m:t>+</m:t>
        </m:r>
        <m:sSub>
          <m:sSubPr>
            <m:ctrlPr>
              <w:rPr>
                <w:rFonts w:ascii="Cambria Math" w:hAnsi="Cambria Math" w:cs="Times New Roman"/>
                <w:sz w:val="24"/>
                <w:szCs w:val="24"/>
              </w:rPr>
            </m:ctrlPr>
          </m:sSubPr>
          <m:e>
            <m:r>
              <m:rPr>
                <m:nor/>
              </m:rPr>
              <w:rPr>
                <w:rFonts w:ascii="Cambria Math" w:hAnsi="Times New Roman" w:cs="Times New Roman"/>
                <w:i/>
                <w:sz w:val="24"/>
                <w:szCs w:val="24"/>
              </w:rPr>
              <m:t>TA</m:t>
            </m:r>
          </m:e>
          <m:sub>
            <m:r>
              <m:rPr>
                <m:nor/>
              </m:rPr>
              <w:rPr>
                <w:rFonts w:ascii="Times New Roman" w:hAnsi="Times New Roman" w:cs="Times New Roman"/>
                <w:sz w:val="24"/>
                <w:szCs w:val="24"/>
              </w:rPr>
              <m:t>i</m:t>
            </m:r>
          </m:sub>
        </m:sSub>
        <m:r>
          <m:rPr>
            <m:nor/>
          </m:rPr>
          <w:rPr>
            <w:rFonts w:ascii="Cambria Math" w:hAnsi="Times New Roman" w:cs="Times New Roman"/>
            <w:sz w:val="24"/>
            <w:szCs w:val="24"/>
          </w:rPr>
          <m:t xml:space="preserve"> + </m:t>
        </m:r>
        <m:r>
          <m:rPr>
            <m:nor/>
          </m:rPr>
          <w:rPr>
            <w:rFonts w:ascii="Times New Roman" w:hAnsi="Times New Roman" w:cs="Times New Roman"/>
            <w:sz w:val="24"/>
            <w:szCs w:val="24"/>
          </w:rPr>
          <m:t>β</m:t>
        </m:r>
        <m:sSub>
          <m:sSubPr>
            <m:ctrlPr>
              <w:rPr>
                <w:rFonts w:ascii="Cambria Math" w:hAnsi="Cambria Math" w:cs="Times New Roman"/>
                <w:sz w:val="24"/>
                <w:szCs w:val="24"/>
              </w:rPr>
            </m:ctrlPr>
          </m:sSubPr>
          <m:e>
            <m:r>
              <m:rPr>
                <m:nor/>
              </m:rPr>
              <w:rPr>
                <w:rFonts w:ascii="Times New Roman" w:hAnsi="Times New Roman" w:cs="Times New Roman"/>
                <w:sz w:val="24"/>
                <w:szCs w:val="24"/>
              </w:rPr>
              <m:t>(</m:t>
            </m:r>
            <m:r>
              <m:rPr>
                <m:nor/>
              </m:rPr>
              <w:rPr>
                <w:rFonts w:ascii="Times New Roman" w:hAnsi="Times New Roman" w:cs="Times New Roman"/>
                <w:i/>
                <w:sz w:val="24"/>
                <w:szCs w:val="24"/>
              </w:rPr>
              <m:t>TA</m:t>
            </m:r>
          </m:e>
          <m:sub>
            <m:r>
              <m:rPr>
                <m:nor/>
              </m:rPr>
              <w:rPr>
                <w:rFonts w:ascii="Times New Roman" w:hAnsi="Times New Roman" w:cs="Times New Roman"/>
                <w:sz w:val="24"/>
                <w:szCs w:val="24"/>
              </w:rPr>
              <m:t>i</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Post</m:t>
            </m:r>
          </m:e>
          <m:sub>
            <m:r>
              <w:rPr>
                <w:rFonts w:ascii="Cambria Math" w:hAnsi="Cambria Math" w:cs="Times New Roman"/>
                <w:sz w:val="24"/>
                <w:szCs w:val="24"/>
              </w:rPr>
              <m:t>t</m:t>
            </m:r>
          </m:sub>
        </m:sSub>
        <m:r>
          <m:rPr>
            <m:nor/>
          </m:rPr>
          <w:rPr>
            <w:rFonts w:ascii="Times New Roman" w:hAnsi="Times New Roman" w:cs="Times New Roman"/>
            <w:sz w:val="24"/>
            <w:szCs w:val="24"/>
          </w:rPr>
          <m:t>)</m:t>
        </m:r>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i/>
                <w:sz w:val="24"/>
                <w:szCs w:val="24"/>
              </w:rPr>
              <m:t>X</m:t>
            </m:r>
            <m:ctrlPr>
              <w:rPr>
                <w:rFonts w:ascii="Cambria Math" w:hAnsi="Cambria Math" w:cs="Times New Roman"/>
                <w:sz w:val="24"/>
                <w:szCs w:val="24"/>
              </w:rPr>
            </m:ctrlPr>
          </m:e>
          <m:sub>
            <m:r>
              <m:rPr>
                <m:nor/>
              </m:rPr>
              <w:rPr>
                <w:rFonts w:ascii="Cambria Math" w:hAnsi="Times New Roman" w:cs="Times New Roman"/>
                <w:iCs/>
                <w:sz w:val="24"/>
                <w:szCs w:val="24"/>
              </w:rPr>
              <m:t>i</m:t>
            </m:r>
            <m:r>
              <m:rPr>
                <m:nor/>
              </m:rPr>
              <w:rPr>
                <w:rFonts w:ascii="Times New Roman" w:hAnsi="Times New Roman" w:cs="Times New Roman"/>
                <w:iCs/>
                <w:sz w:val="24"/>
                <w:szCs w:val="24"/>
              </w:rPr>
              <m:t>t</m:t>
            </m:r>
          </m:sub>
        </m:sSub>
        <m:r>
          <m:rPr>
            <m:nor/>
          </m:rPr>
          <w:rPr>
            <w:rFonts w:ascii="Cambria Math" w:hAnsi="Cambria Math" w:cs="Times New Roman"/>
            <w:iCs/>
            <w:sz w:val="24"/>
            <w:szCs w:val="24"/>
          </w:rPr>
          <m:t>+</m:t>
        </m:r>
        <m:r>
          <m:rPr>
            <m:nor/>
          </m:rPr>
          <w:rPr>
            <w:rFonts w:ascii="Cambria Math" w:hAnsi="Cambria Math" w:cs="Times New Roman"/>
            <w:i/>
            <w:iCs/>
            <w:sz w:val="24"/>
            <w:szCs w:val="24"/>
          </w:rPr>
          <m:t xml:space="preserve"> </m:t>
        </m:r>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sz w:val="24"/>
                <w:szCs w:val="24"/>
              </w:rPr>
              <m:t>ϵ</m:t>
            </m:r>
            <m:ctrlPr>
              <w:rPr>
                <w:rFonts w:ascii="Cambria Math" w:hAnsi="Cambria Math" w:cs="Times New Roman"/>
                <w:sz w:val="24"/>
                <w:szCs w:val="24"/>
              </w:rPr>
            </m:ctrlPr>
          </m:e>
          <m:sub>
            <m:r>
              <m:rPr>
                <m:nor/>
              </m:rPr>
              <w:rPr>
                <w:rFonts w:ascii="Times New Roman" w:hAnsi="Times New Roman" w:cs="Times New Roman"/>
                <w:iCs/>
                <w:sz w:val="24"/>
                <w:szCs w:val="24"/>
              </w:rPr>
              <m:t>it</m:t>
            </m:r>
          </m:sub>
        </m:sSub>
      </m:oMath>
      <w:r w:rsidRPr="00E633D8">
        <w:rPr>
          <w:rFonts w:ascii="Times New Roman" w:eastAsiaTheme="minorEastAsia" w:hAnsi="Times New Roman" w:cs="Times New Roman"/>
          <w:iCs/>
          <w:sz w:val="24"/>
          <w:szCs w:val="24"/>
        </w:rPr>
        <w:tab/>
      </w:r>
      <w:r w:rsidRPr="00E633D8">
        <w:rPr>
          <w:rFonts w:ascii="Times New Roman" w:eastAsiaTheme="minorEastAsia" w:hAnsi="Times New Roman" w:cs="Times New Roman"/>
          <w:iCs/>
          <w:sz w:val="24"/>
          <w:szCs w:val="24"/>
        </w:rPr>
        <w:tab/>
      </w:r>
      <w:r w:rsidRPr="00E633D8">
        <w:rPr>
          <w:rFonts w:ascii="Times New Roman" w:eastAsiaTheme="minorEastAsia" w:hAnsi="Times New Roman" w:cs="Times New Roman"/>
          <w:iCs/>
          <w:sz w:val="24"/>
          <w:szCs w:val="24"/>
        </w:rPr>
        <w:tab/>
        <w:t>(4)</w:t>
      </w:r>
    </w:p>
    <w:p w14:paraId="5F3B5DFE" w14:textId="77777777" w:rsidR="00063F17" w:rsidRPr="00B5460B" w:rsidRDefault="00063F17" w:rsidP="00063F17">
      <w:pPr>
        <w:pStyle w:val="NoSpacing"/>
        <w:spacing w:line="480" w:lineRule="auto"/>
        <w:rPr>
          <w:rFonts w:ascii="Times New Roman" w:hAnsi="Times New Roman" w:cs="Times New Roman"/>
          <w:sz w:val="24"/>
          <w:szCs w:val="24"/>
        </w:rPr>
      </w:pPr>
      <w:r w:rsidRPr="00E633D8">
        <w:rPr>
          <w:iCs/>
        </w:rPr>
        <w:tab/>
      </w:r>
      <w:r w:rsidRPr="00B5460B">
        <w:rPr>
          <w:rFonts w:ascii="Times New Roman" w:hAnsi="Times New Roman" w:cs="Times New Roman"/>
          <w:sz w:val="24"/>
          <w:szCs w:val="24"/>
        </w:rPr>
        <w:t xml:space="preserve">In this model, the outcome variables </w:t>
      </w:r>
      <m:oMath>
        <m:r>
          <m:rPr>
            <m:nor/>
          </m:rPr>
          <w:rPr>
            <w:rFonts w:ascii="Times New Roman" w:hAnsi="Times New Roman" w:cs="Times New Roman"/>
            <w:sz w:val="24"/>
            <w:szCs w:val="24"/>
          </w:rPr>
          <m:t>(</m:t>
        </m:r>
        <m:sSub>
          <m:sSubPr>
            <m:ctrlPr>
              <w:rPr>
                <w:rFonts w:ascii="Cambria Math" w:hAnsi="Cambria Math" w:cs="Times New Roman"/>
                <w:sz w:val="24"/>
                <w:szCs w:val="24"/>
              </w:rPr>
            </m:ctrlPr>
          </m:sSubPr>
          <m:e>
            <m:r>
              <m:rPr>
                <m:nor/>
              </m:rPr>
              <w:rPr>
                <w:rFonts w:ascii="Times New Roman" w:hAnsi="Times New Roman" w:cs="Times New Roman"/>
                <w:iCs/>
                <w:sz w:val="24"/>
                <w:szCs w:val="24"/>
              </w:rPr>
              <m:t>Y</m:t>
            </m:r>
          </m:e>
          <m:sub>
            <m:r>
              <m:rPr>
                <m:nor/>
              </m:rPr>
              <w:rPr>
                <w:rFonts w:ascii="Times New Roman" w:hAnsi="Times New Roman" w:cs="Times New Roman"/>
                <w:sz w:val="24"/>
                <w:szCs w:val="24"/>
              </w:rPr>
              <m:t>it</m:t>
            </m:r>
          </m:sub>
        </m:sSub>
        <m:r>
          <m:rPr>
            <m:nor/>
          </m:rPr>
          <w:rPr>
            <w:rFonts w:ascii="Times New Roman" w:hAnsi="Times New Roman" w:cs="Times New Roman"/>
            <w:sz w:val="24"/>
            <w:szCs w:val="24"/>
          </w:rPr>
          <m:t xml:space="preserve">) </m:t>
        </m:r>
      </m:oMath>
      <w:r w:rsidRPr="00B5460B">
        <w:rPr>
          <w:rFonts w:ascii="Times New Roman" w:hAnsi="Times New Roman" w:cs="Times New Roman"/>
          <w:sz w:val="24"/>
          <w:szCs w:val="24"/>
        </w:rPr>
        <w:t>are a function of a constant (</w:t>
      </w:r>
      <m:oMath>
        <m:r>
          <w:rPr>
            <w:rFonts w:ascii="Cambria Math" w:hAnsi="Cambria Math" w:cs="Times New Roman"/>
            <w:sz w:val="24"/>
            <w:szCs w:val="24"/>
          </w:rPr>
          <m:t>α</m:t>
        </m:r>
      </m:oMath>
      <w:r w:rsidRPr="00B5460B">
        <w:rPr>
          <w:rFonts w:ascii="Times New Roman" w:hAnsi="Times New Roman" w:cs="Times New Roman"/>
          <w:sz w:val="24"/>
          <w:szCs w:val="24"/>
        </w:rPr>
        <w:t xml:space="preserve">), </w:t>
      </w:r>
      <w:r w:rsidRPr="00B5460B">
        <w:rPr>
          <w:rFonts w:ascii="Times New Roman" w:hAnsi="Times New Roman" w:cs="Times New Roman"/>
          <w:iCs/>
          <w:sz w:val="24"/>
          <w:szCs w:val="24"/>
        </w:rPr>
        <w:t>a cohort fixed effect (</w:t>
      </w:r>
      <m:oMath>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r>
          <w:rPr>
            <w:rFonts w:ascii="Cambria Math" w:hAnsi="Cambria Math" w:cs="Times New Roman"/>
            <w:sz w:val="24"/>
            <w:szCs w:val="24"/>
          </w:rPr>
          <m:t>)</m:t>
        </m:r>
      </m:oMath>
      <w:r w:rsidRPr="00B5460B">
        <w:rPr>
          <w:rFonts w:ascii="Times New Roman" w:hAnsi="Times New Roman" w:cs="Times New Roman"/>
          <w:iCs/>
          <w:sz w:val="24"/>
          <w:szCs w:val="24"/>
        </w:rPr>
        <w:t xml:space="preserve">, a set of </w:t>
      </w:r>
      <w:r w:rsidRPr="00B5460B">
        <w:rPr>
          <w:rFonts w:ascii="Times New Roman" w:hAnsi="Times New Roman" w:cs="Times New Roman"/>
          <w:sz w:val="24"/>
          <w:szCs w:val="24"/>
        </w:rPr>
        <w:t>covariates including race, age, gender, and Pell status (</w:t>
      </w:r>
      <w:r w:rsidRPr="00B5460B">
        <w:rPr>
          <w:rFonts w:ascii="Times New Roman" w:hAnsi="Times New Roman" w:cs="Times New Roman"/>
          <w:i/>
          <w:sz w:val="24"/>
          <w:szCs w:val="24"/>
        </w:rPr>
        <w:t>X</w:t>
      </w:r>
      <w:r w:rsidRPr="00B5460B">
        <w:rPr>
          <w:rFonts w:ascii="Times New Roman" w:hAnsi="Times New Roman" w:cs="Times New Roman"/>
          <w:sz w:val="24"/>
          <w:szCs w:val="24"/>
          <w:vertAlign w:val="subscript"/>
        </w:rPr>
        <w:t>it</w:t>
      </w:r>
      <w:r w:rsidRPr="00B5460B">
        <w:rPr>
          <w:rFonts w:ascii="Times New Roman" w:hAnsi="Times New Roman" w:cs="Times New Roman"/>
          <w:sz w:val="24"/>
          <w:szCs w:val="24"/>
        </w:rPr>
        <w:t>), an error term (</w:t>
      </w:r>
      <m:oMath>
        <m:sSub>
          <m:sSubPr>
            <m:ctrlPr>
              <w:rPr>
                <w:rFonts w:ascii="Cambria Math" w:hAnsi="Cambria Math" w:cs="Times New Roman"/>
                <w:i/>
                <w:iCs/>
                <w:sz w:val="24"/>
                <w:szCs w:val="24"/>
              </w:rPr>
            </m:ctrlPr>
          </m:sSubPr>
          <m:e>
            <m:r>
              <m:rPr>
                <m:nor/>
              </m:rPr>
              <w:rPr>
                <w:rFonts w:ascii="Times New Roman" w:hAnsi="Times New Roman" w:cs="Times New Roman"/>
                <w:sz w:val="24"/>
                <w:szCs w:val="24"/>
              </w:rPr>
              <m:t>ϵ</m:t>
            </m:r>
            <m:ctrlPr>
              <w:rPr>
                <w:rFonts w:ascii="Cambria Math" w:hAnsi="Cambria Math" w:cs="Times New Roman"/>
                <w:sz w:val="24"/>
                <w:szCs w:val="24"/>
              </w:rPr>
            </m:ctrlPr>
          </m:e>
          <m:sub>
            <m:r>
              <m:rPr>
                <m:nor/>
              </m:rPr>
              <w:rPr>
                <w:rFonts w:ascii="Times New Roman" w:hAnsi="Times New Roman" w:cs="Times New Roman"/>
                <w:iCs/>
                <w:sz w:val="24"/>
                <w:szCs w:val="24"/>
              </w:rPr>
              <m:t>it</m:t>
            </m:r>
          </m:sub>
        </m:sSub>
        <m:r>
          <w:rPr>
            <w:rFonts w:ascii="Cambria Math" w:hAnsi="Cambria Math" w:cs="Times New Roman"/>
            <w:sz w:val="24"/>
            <w:szCs w:val="24"/>
          </w:rPr>
          <m:t>)</m:t>
        </m:r>
      </m:oMath>
      <w:r w:rsidRPr="00B5460B">
        <w:rPr>
          <w:rFonts w:ascii="Times New Roman" w:hAnsi="Times New Roman" w:cs="Times New Roman"/>
          <w:iCs/>
          <w:sz w:val="24"/>
          <w:szCs w:val="24"/>
        </w:rPr>
        <w:t xml:space="preserve">, and an interaction between </w:t>
      </w:r>
      <w:r w:rsidRPr="00B5460B">
        <w:rPr>
          <w:rFonts w:ascii="Times New Roman" w:hAnsi="Times New Roman" w:cs="Times New Roman"/>
          <w:sz w:val="24"/>
          <w:szCs w:val="24"/>
        </w:rPr>
        <w:t>a dichotomous indicator for eligibility (</w:t>
      </w:r>
      <m:oMath>
        <m:sSub>
          <m:sSubPr>
            <m:ctrlPr>
              <w:rPr>
                <w:rFonts w:ascii="Cambria Math" w:hAnsi="Cambria Math" w:cs="Times New Roman"/>
                <w:sz w:val="24"/>
                <w:szCs w:val="24"/>
              </w:rPr>
            </m:ctrlPr>
          </m:sSubPr>
          <m:e>
            <m:r>
              <m:rPr>
                <m:nor/>
              </m:rPr>
              <w:rPr>
                <w:rFonts w:ascii="Times New Roman" w:hAnsi="Times New Roman" w:cs="Times New Roman"/>
                <w:i/>
                <w:sz w:val="24"/>
                <w:szCs w:val="24"/>
              </w:rPr>
              <m:t>TA</m:t>
            </m:r>
          </m:e>
          <m:sub>
            <m:r>
              <m:rPr>
                <m:nor/>
              </m:rPr>
              <w:rPr>
                <w:rFonts w:ascii="Times New Roman" w:hAnsi="Times New Roman" w:cs="Times New Roman"/>
                <w:sz w:val="24"/>
                <w:szCs w:val="24"/>
              </w:rPr>
              <m:t>i</m:t>
            </m:r>
          </m:sub>
        </m:sSub>
        <m:r>
          <w:rPr>
            <w:rFonts w:ascii="Cambria Math" w:hAnsi="Cambria Math" w:cs="Times New Roman"/>
            <w:sz w:val="24"/>
            <w:szCs w:val="24"/>
          </w:rPr>
          <m:t>)</m:t>
        </m:r>
      </m:oMath>
      <w:r w:rsidRPr="00B5460B">
        <w:rPr>
          <w:rFonts w:ascii="Times New Roman" w:hAnsi="Times New Roman" w:cs="Times New Roman"/>
          <w:sz w:val="24"/>
          <w:szCs w:val="24"/>
        </w:rPr>
        <w:t xml:space="preserve"> and a dichotomous indicator coded as zero in 2005-2006 cohorts and one for post Tulsa Achieves implementation (2007-2015) cohorts (</w:t>
      </w:r>
      <m:oMath>
        <m:sSub>
          <m:sSubPr>
            <m:ctrlPr>
              <w:rPr>
                <w:rFonts w:ascii="Cambria Math" w:hAnsi="Cambria Math" w:cs="Times New Roman"/>
                <w:i/>
                <w:sz w:val="24"/>
                <w:szCs w:val="24"/>
              </w:rPr>
            </m:ctrlPr>
          </m:sSubPr>
          <m:e>
            <m:r>
              <w:rPr>
                <w:rFonts w:ascii="Cambria Math" w:hAnsi="Cambria Math" w:cs="Times New Roman"/>
                <w:sz w:val="24"/>
                <w:szCs w:val="24"/>
              </w:rPr>
              <m:t>Post</m:t>
            </m:r>
          </m:e>
          <m:sub>
            <m:r>
              <w:rPr>
                <w:rFonts w:ascii="Cambria Math" w:hAnsi="Cambria Math" w:cs="Times New Roman"/>
                <w:sz w:val="24"/>
                <w:szCs w:val="24"/>
              </w:rPr>
              <m:t>t</m:t>
            </m:r>
          </m:sub>
        </m:sSub>
        <m:r>
          <w:rPr>
            <w:rFonts w:ascii="Cambria Math" w:hAnsi="Cambria Math" w:cs="Times New Roman"/>
            <w:sz w:val="24"/>
            <w:szCs w:val="24"/>
          </w:rPr>
          <m:t>)</m:t>
        </m:r>
      </m:oMath>
      <w:r w:rsidRPr="00B5460B">
        <w:rPr>
          <w:rFonts w:ascii="Times New Roman" w:hAnsi="Times New Roman" w:cs="Times New Roman"/>
          <w:sz w:val="24"/>
          <w:szCs w:val="24"/>
        </w:rPr>
        <w:t>. The parameter of interest (</w:t>
      </w:r>
      <m:oMath>
        <m:r>
          <m:rPr>
            <m:nor/>
          </m:rPr>
          <w:rPr>
            <w:rFonts w:ascii="Times New Roman" w:hAnsi="Times New Roman" w:cs="Times New Roman"/>
            <w:sz w:val="24"/>
            <w:szCs w:val="24"/>
          </w:rPr>
          <m:t>β</m:t>
        </m:r>
      </m:oMath>
      <w:r w:rsidRPr="00B5460B">
        <w:rPr>
          <w:rFonts w:ascii="Times New Roman" w:hAnsi="Times New Roman" w:cs="Times New Roman"/>
          <w:sz w:val="24"/>
          <w:szCs w:val="24"/>
        </w:rPr>
        <w:t>) reveals the effect of Tulsa Achieves eligibility and the outcomes of interest.</w:t>
      </w:r>
      <w:r w:rsidRPr="00E3535F">
        <w:rPr>
          <w:rStyle w:val="FootnoteReference"/>
        </w:rPr>
        <w:footnoteReference w:id="33"/>
      </w:r>
      <w:r w:rsidRPr="00B5460B">
        <w:rPr>
          <w:rFonts w:ascii="Times New Roman" w:hAnsi="Times New Roman" w:cs="Times New Roman"/>
          <w:sz w:val="24"/>
          <w:szCs w:val="24"/>
        </w:rPr>
        <w:t xml:space="preserve"> This allows for a comparison of the average effect of Tulsa Achieves eligibility, essentially the ITT estimate, but does not allow for estimation of the treatment on the treated (TOT) estimate. </w:t>
      </w:r>
    </w:p>
    <w:p w14:paraId="0391C09B" w14:textId="77777777" w:rsidR="00063F17" w:rsidRPr="00B5460B" w:rsidRDefault="00063F17" w:rsidP="00063F17">
      <w:pPr>
        <w:pStyle w:val="NoSpacing"/>
        <w:spacing w:line="480" w:lineRule="auto"/>
        <w:rPr>
          <w:rFonts w:ascii="Times New Roman" w:hAnsi="Times New Roman" w:cs="Times New Roman"/>
          <w:sz w:val="24"/>
          <w:szCs w:val="24"/>
        </w:rPr>
      </w:pPr>
      <w:r w:rsidRPr="00B5460B">
        <w:rPr>
          <w:rFonts w:ascii="Times New Roman" w:hAnsi="Times New Roman" w:cs="Times New Roman"/>
          <w:sz w:val="24"/>
          <w:szCs w:val="24"/>
        </w:rPr>
        <w:tab/>
        <w:t xml:space="preserve">To estimate the TOT, I implement an instrumental variables (IV) approach in which I leverage the timing of program implementation to reveal the effect of Tulsa Achieves receipt on student outcomes. This technique has been utilized in previous studies on the West Virginia PROMISE as an approximation of the treatment on the treated parameter </w:t>
      </w:r>
      <w:r w:rsidRPr="00B5460B">
        <w:rPr>
          <w:rFonts w:ascii="Times New Roman" w:hAnsi="Times New Roman" w:cs="Times New Roman"/>
          <w:sz w:val="24"/>
          <w:szCs w:val="24"/>
        </w:rPr>
        <w:fldChar w:fldCharType="begin"/>
      </w:r>
      <w:r w:rsidRPr="00B5460B">
        <w:rPr>
          <w:rFonts w:ascii="Times New Roman" w:hAnsi="Times New Roman" w:cs="Times New Roman"/>
          <w:sz w:val="24"/>
          <w:szCs w:val="24"/>
        </w:rPr>
        <w:instrText xml:space="preserve"> ADDIN ZOTERO_ITEM CSL_CITATION {"citationID":"F9c8H8Fc","properties":{"formattedCitation":"(Scott-Clayton, 2011)","plainCitation":"(Scott-Clayton, 2011)","noteIndex":0},"citationItems":[{"id":7088,"uris":["http://zotero.org/users/2595715/items/F6QW6AQQ"],"uri":["http://zotero.org/users/2595715/items/F6QW6AQQ"],"itemData":{"id":7088,"type":"article-journal","title":"On Money and Motivation A Quasi-Experimental Analysis of Financial Incentives for College Achievement","container-title":"Journal of Human Resources","page":"614-646","volume":"46","issue":"3","source":"jhr.uwpress.org","abstract":"Programs linking college aid to academic achievement could work either by lowering the cost of college or by inducing additional student effort. I examine the PROMISE program in West Virginia, which offers free tuition to students who maintain a minimum GPA and course load. Using administrative data, I exploit discontinuities in the eligibility formula and the timing of implementation to estimate causal effects. I find robust and significant impacts on key academic outcomes. Impacts are concentrated around the annual requirements for scholarship renewal, suggesting that the program works via incentives for academic achievement, not simply by relaxing financial constraints.","DOI":"10.3368/jhr.46.3.614","ISSN":"0022-166X, 1548-8004","journalAbbreviation":"J. Human Resources","language":"en","author":[{"family":"Scott-Clayton","given":"Judith"}],"issued":{"date-parts":[["2011",7,1]]}}}],"schema":"https://github.com/citation-style-language/schema/raw/master/csl-citation.json"} </w:instrText>
      </w:r>
      <w:r w:rsidRPr="00B5460B">
        <w:rPr>
          <w:rFonts w:ascii="Times New Roman" w:hAnsi="Times New Roman" w:cs="Times New Roman"/>
          <w:sz w:val="24"/>
          <w:szCs w:val="24"/>
        </w:rPr>
        <w:fldChar w:fldCharType="separate"/>
      </w:r>
      <w:r w:rsidRPr="00B5460B">
        <w:rPr>
          <w:rFonts w:ascii="Times New Roman" w:hAnsi="Times New Roman" w:cs="Times New Roman"/>
          <w:sz w:val="24"/>
          <w:szCs w:val="24"/>
        </w:rPr>
        <w:t>(Scott-Clayton, 2011)</w:t>
      </w:r>
      <w:r w:rsidRPr="00B5460B">
        <w:rPr>
          <w:rFonts w:ascii="Times New Roman" w:hAnsi="Times New Roman" w:cs="Times New Roman"/>
          <w:sz w:val="24"/>
          <w:szCs w:val="24"/>
        </w:rPr>
        <w:fldChar w:fldCharType="end"/>
      </w:r>
      <w:r w:rsidRPr="00B5460B">
        <w:rPr>
          <w:rFonts w:ascii="Times New Roman" w:hAnsi="Times New Roman" w:cs="Times New Roman"/>
          <w:sz w:val="24"/>
          <w:szCs w:val="24"/>
        </w:rPr>
        <w:t xml:space="preserve">. For this analysis, I limit the sample to the 9,605 students that meet the high school GPA and </w:t>
      </w:r>
      <w:r w:rsidRPr="00B5460B">
        <w:rPr>
          <w:rFonts w:ascii="Times New Roman" w:hAnsi="Times New Roman" w:cs="Times New Roman"/>
          <w:sz w:val="24"/>
          <w:szCs w:val="24"/>
        </w:rPr>
        <w:lastRenderedPageBreak/>
        <w:t>Tulsa residency requirements in the two cohorts before Tulsa Achieves (2005-06 and 2006-07) and six cohorts after the program was implemented (2007-2012).</w:t>
      </w:r>
      <w:r w:rsidRPr="00E3535F">
        <w:rPr>
          <w:rStyle w:val="FootnoteReference"/>
        </w:rPr>
        <w:footnoteReference w:id="34"/>
      </w:r>
      <w:r w:rsidRPr="00B5460B">
        <w:rPr>
          <w:rFonts w:ascii="Times New Roman" w:hAnsi="Times New Roman" w:cs="Times New Roman"/>
          <w:sz w:val="24"/>
          <w:szCs w:val="24"/>
        </w:rPr>
        <w:t xml:space="preserve"> </w:t>
      </w:r>
    </w:p>
    <w:p w14:paraId="099699EF" w14:textId="77777777" w:rsidR="00063F17" w:rsidRPr="00B5460B" w:rsidRDefault="00063F17" w:rsidP="00063F17">
      <w:pPr>
        <w:pStyle w:val="NoSpacing"/>
        <w:spacing w:line="480" w:lineRule="auto"/>
        <w:rPr>
          <w:rFonts w:ascii="Times New Roman" w:hAnsi="Times New Roman" w:cs="Times New Roman"/>
          <w:sz w:val="24"/>
          <w:szCs w:val="24"/>
        </w:rPr>
      </w:pPr>
      <w:r w:rsidRPr="00B5460B">
        <w:rPr>
          <w:rFonts w:ascii="Times New Roman" w:hAnsi="Times New Roman" w:cs="Times New Roman"/>
          <w:sz w:val="24"/>
          <w:szCs w:val="24"/>
        </w:rPr>
        <w:tab/>
        <w:t xml:space="preserve">In the equation below, I utilize an IV specification which estimates the causal effects of Tulsa Achieves receipt by using </w:t>
      </w:r>
      <m:oMath>
        <m:sSub>
          <m:sSubPr>
            <m:ctrlPr>
              <w:rPr>
                <w:rFonts w:ascii="Cambria Math" w:hAnsi="Cambria Math" w:cs="Times New Roman"/>
                <w:i/>
                <w:sz w:val="24"/>
                <w:szCs w:val="24"/>
              </w:rPr>
            </m:ctrlPr>
          </m:sSubPr>
          <m:e>
            <m:r>
              <w:rPr>
                <w:rFonts w:ascii="Cambria Math" w:hAnsi="Cambria Math" w:cs="Times New Roman"/>
                <w:sz w:val="24"/>
                <w:szCs w:val="24"/>
              </w:rPr>
              <m:t>Post</m:t>
            </m:r>
          </m:e>
          <m:sub>
            <m:r>
              <w:rPr>
                <w:rFonts w:ascii="Cambria Math" w:hAnsi="Cambria Math" w:cs="Times New Roman"/>
                <w:sz w:val="24"/>
                <w:szCs w:val="24"/>
              </w:rPr>
              <m:t>t</m:t>
            </m:r>
          </m:sub>
        </m:sSub>
      </m:oMath>
      <w:r w:rsidRPr="00B5460B">
        <w:rPr>
          <w:rFonts w:ascii="Times New Roman" w:hAnsi="Times New Roman" w:cs="Times New Roman"/>
          <w:sz w:val="24"/>
          <w:szCs w:val="24"/>
        </w:rPr>
        <w:t xml:space="preserve"> as the plausibly exogenous instrument. These equations reflect a two-stage model:</w:t>
      </w:r>
    </w:p>
    <w:p w14:paraId="719C0BF6" w14:textId="77777777" w:rsidR="00063F17" w:rsidRPr="00B5460B" w:rsidRDefault="003C3EBF" w:rsidP="00063F17">
      <w:pPr>
        <w:spacing w:line="480" w:lineRule="auto"/>
        <w:jc w:val="center"/>
        <w:rPr>
          <w:rFonts w:ascii="Times New Roman" w:eastAsiaTheme="minorEastAsia" w:hAnsi="Times New Roman" w:cs="Times New Roman"/>
          <w:iCs/>
          <w:sz w:val="24"/>
          <w:szCs w:val="24"/>
        </w:rPr>
      </w:pPr>
      <m:oMath>
        <m:sSub>
          <m:sSubPr>
            <m:ctrlPr>
              <w:rPr>
                <w:rFonts w:ascii="Cambria Math" w:hAnsi="Cambria Math" w:cs="Times New Roman"/>
                <w:sz w:val="24"/>
                <w:szCs w:val="24"/>
              </w:rPr>
            </m:ctrlPr>
          </m:sSubPr>
          <m:e>
            <m:r>
              <m:rPr>
                <m:nor/>
              </m:rPr>
              <w:rPr>
                <w:rFonts w:ascii="Times New Roman" w:hAnsi="Times New Roman" w:cs="Times New Roman"/>
                <w:iCs/>
                <w:sz w:val="24"/>
                <w:szCs w:val="24"/>
              </w:rPr>
              <m:t>TA</m:t>
            </m:r>
          </m:e>
          <m:sub>
            <m:r>
              <m:rPr>
                <m:nor/>
              </m:rPr>
              <w:rPr>
                <w:rFonts w:ascii="Times New Roman" w:hAnsi="Times New Roman" w:cs="Times New Roman"/>
                <w:sz w:val="24"/>
                <w:szCs w:val="24"/>
              </w:rPr>
              <m:t>it</m:t>
            </m:r>
          </m:sub>
        </m:sSub>
        <m:r>
          <m:rPr>
            <m:nor/>
          </m:rPr>
          <w:rPr>
            <w:rFonts w:ascii="Times New Roman" w:hAnsi="Times New Roman" w:cs="Times New Roman"/>
            <w:sz w:val="24"/>
            <w:szCs w:val="24"/>
          </w:rPr>
          <m:t xml:space="preserve">= </m:t>
        </m:r>
        <m:r>
          <m:rPr>
            <m:nor/>
          </m:rPr>
          <w:rPr>
            <w:rFonts w:ascii="Cambria Math" w:hAnsi="Cambria Math" w:cs="Cambria Math"/>
            <w:sz w:val="24"/>
            <w:szCs w:val="24"/>
          </w:rPr>
          <m:t>∝</m:t>
        </m:r>
        <m:r>
          <m:rPr>
            <m:nor/>
          </m:rPr>
          <w:rPr>
            <w:rFonts w:ascii="Times New Roman" w:hAnsi="Times New Roman" w:cs="Times New Roman"/>
            <w:sz w:val="24"/>
            <w:szCs w:val="24"/>
          </w:rPr>
          <m:t xml:space="preserve"> + β</m:t>
        </m:r>
        <m:sSub>
          <m:sSubPr>
            <m:ctrlPr>
              <w:rPr>
                <w:rFonts w:ascii="Cambria Math" w:hAnsi="Cambria Math" w:cs="Times New Roman"/>
                <w:i/>
                <w:sz w:val="24"/>
                <w:szCs w:val="24"/>
              </w:rPr>
            </m:ctrlPr>
          </m:sSubPr>
          <m:e>
            <m:r>
              <w:rPr>
                <w:rFonts w:ascii="Cambria Math" w:hAnsi="Cambria Math" w:cs="Times New Roman"/>
                <w:sz w:val="24"/>
                <w:szCs w:val="24"/>
              </w:rPr>
              <m:t>(Post</m:t>
            </m:r>
          </m:e>
          <m:sub>
            <m:r>
              <w:rPr>
                <w:rFonts w:ascii="Cambria Math" w:hAnsi="Cambria Math" w:cs="Times New Roman"/>
                <w:sz w:val="24"/>
                <w:szCs w:val="24"/>
              </w:rPr>
              <m:t>t</m:t>
            </m:r>
          </m:sub>
        </m:sSub>
        <m:r>
          <m:rPr>
            <m:nor/>
          </m:rPr>
          <w:rPr>
            <w:rFonts w:ascii="Times New Roman" w:hAnsi="Times New Roman" w:cs="Times New Roman"/>
            <w:sz w:val="24"/>
            <w:szCs w:val="24"/>
          </w:rPr>
          <m:t>)</m:t>
        </m:r>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i/>
                <w:sz w:val="24"/>
                <w:szCs w:val="24"/>
              </w:rPr>
              <m:t>X</m:t>
            </m:r>
            <m:ctrlPr>
              <w:rPr>
                <w:rFonts w:ascii="Cambria Math" w:hAnsi="Cambria Math" w:cs="Times New Roman"/>
                <w:sz w:val="24"/>
                <w:szCs w:val="24"/>
              </w:rPr>
            </m:ctrlPr>
          </m:e>
          <m:sub>
            <m:r>
              <m:rPr>
                <m:nor/>
              </m:rPr>
              <w:rPr>
                <w:rFonts w:ascii="Times New Roman" w:hAnsi="Times New Roman" w:cs="Times New Roman"/>
                <w:iCs/>
                <w:sz w:val="24"/>
                <w:szCs w:val="24"/>
              </w:rPr>
              <m:t>it</m:t>
            </m:r>
          </m:sub>
        </m:sSub>
        <m:r>
          <m:rPr>
            <m:nor/>
          </m:rPr>
          <w:rPr>
            <w:rFonts w:ascii="Times New Roman" w:hAnsi="Times New Roman" w:cs="Times New Roman"/>
            <w:iCs/>
            <w:sz w:val="24"/>
            <w:szCs w:val="24"/>
          </w:rPr>
          <m:t>+</m:t>
        </m:r>
        <m:r>
          <m:rPr>
            <m:nor/>
          </m:rPr>
          <w:rPr>
            <w:rFonts w:ascii="Times New Roman" w:hAnsi="Times New Roman" w:cs="Times New Roman"/>
            <w:i/>
            <w:iCs/>
            <w:sz w:val="24"/>
            <w:szCs w:val="24"/>
          </w:rPr>
          <m:t xml:space="preserve"> </m:t>
        </m:r>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sz w:val="24"/>
                <w:szCs w:val="24"/>
              </w:rPr>
              <m:t>ϵ</m:t>
            </m:r>
            <m:ctrlPr>
              <w:rPr>
                <w:rFonts w:ascii="Cambria Math" w:hAnsi="Cambria Math" w:cs="Times New Roman"/>
                <w:sz w:val="24"/>
                <w:szCs w:val="24"/>
              </w:rPr>
            </m:ctrlPr>
          </m:e>
          <m:sub>
            <m:r>
              <m:rPr>
                <m:nor/>
              </m:rPr>
              <w:rPr>
                <w:rFonts w:ascii="Times New Roman" w:hAnsi="Times New Roman" w:cs="Times New Roman"/>
                <w:iCs/>
                <w:sz w:val="24"/>
                <w:szCs w:val="24"/>
              </w:rPr>
              <m:t>it</m:t>
            </m:r>
          </m:sub>
        </m:sSub>
      </m:oMath>
      <w:r w:rsidR="00063F17" w:rsidRPr="00B5460B">
        <w:rPr>
          <w:rFonts w:ascii="Times New Roman" w:eastAsiaTheme="minorEastAsia" w:hAnsi="Times New Roman" w:cs="Times New Roman"/>
          <w:iCs/>
          <w:sz w:val="24"/>
          <w:szCs w:val="24"/>
        </w:rPr>
        <w:tab/>
      </w:r>
      <w:r w:rsidR="00063F17" w:rsidRPr="00B5460B">
        <w:rPr>
          <w:rFonts w:ascii="Times New Roman" w:eastAsiaTheme="minorEastAsia" w:hAnsi="Times New Roman" w:cs="Times New Roman"/>
          <w:iCs/>
          <w:sz w:val="24"/>
          <w:szCs w:val="24"/>
        </w:rPr>
        <w:tab/>
      </w:r>
      <w:r w:rsidR="00063F17" w:rsidRPr="00B5460B">
        <w:rPr>
          <w:rFonts w:ascii="Times New Roman" w:eastAsiaTheme="minorEastAsia" w:hAnsi="Times New Roman" w:cs="Times New Roman"/>
          <w:iCs/>
          <w:sz w:val="24"/>
          <w:szCs w:val="24"/>
        </w:rPr>
        <w:tab/>
        <w:t>(5)</w:t>
      </w:r>
    </w:p>
    <w:p w14:paraId="0A83C7AB" w14:textId="77777777" w:rsidR="00063F17" w:rsidRPr="00B5460B" w:rsidRDefault="003C3EBF" w:rsidP="00063F17">
      <w:pPr>
        <w:spacing w:line="480" w:lineRule="auto"/>
        <w:jc w:val="center"/>
        <w:rPr>
          <w:rFonts w:ascii="Times New Roman" w:eastAsiaTheme="minorEastAsia" w:hAnsi="Times New Roman" w:cs="Times New Roman"/>
          <w:iCs/>
          <w:sz w:val="24"/>
          <w:szCs w:val="24"/>
        </w:rPr>
      </w:pPr>
      <m:oMath>
        <m:sSub>
          <m:sSubPr>
            <m:ctrlPr>
              <w:rPr>
                <w:rFonts w:ascii="Cambria Math" w:hAnsi="Cambria Math" w:cs="Times New Roman"/>
                <w:sz w:val="24"/>
                <w:szCs w:val="24"/>
              </w:rPr>
            </m:ctrlPr>
          </m:sSubPr>
          <m:e>
            <m:r>
              <m:rPr>
                <m:nor/>
              </m:rPr>
              <w:rPr>
                <w:rFonts w:ascii="Times New Roman" w:hAnsi="Times New Roman" w:cs="Times New Roman"/>
                <w:iCs/>
                <w:sz w:val="24"/>
                <w:szCs w:val="24"/>
              </w:rPr>
              <m:t>Y</m:t>
            </m:r>
          </m:e>
          <m:sub>
            <m:r>
              <m:rPr>
                <m:nor/>
              </m:rPr>
              <w:rPr>
                <w:rFonts w:ascii="Times New Roman" w:hAnsi="Times New Roman" w:cs="Times New Roman"/>
                <w:sz w:val="24"/>
                <w:szCs w:val="24"/>
              </w:rPr>
              <m:t>it</m:t>
            </m:r>
          </m:sub>
        </m:sSub>
        <m:r>
          <m:rPr>
            <m:nor/>
          </m:rPr>
          <w:rPr>
            <w:rFonts w:ascii="Times New Roman" w:hAnsi="Times New Roman" w:cs="Times New Roman"/>
            <w:sz w:val="24"/>
            <w:szCs w:val="24"/>
          </w:rPr>
          <m:t xml:space="preserve">= </m:t>
        </m:r>
        <m:r>
          <m:rPr>
            <m:nor/>
          </m:rPr>
          <w:rPr>
            <w:rFonts w:ascii="Cambria Math" w:hAnsi="Cambria Math" w:cs="Cambria Math"/>
            <w:sz w:val="24"/>
            <w:szCs w:val="24"/>
          </w:rPr>
          <m:t>∝</m:t>
        </m:r>
        <m:r>
          <m:rPr>
            <m:nor/>
          </m:rPr>
          <w:rPr>
            <w:rFonts w:ascii="Times New Roman" w:hAnsi="Times New Roman" w:cs="Times New Roman"/>
            <w:sz w:val="24"/>
            <w:szCs w:val="24"/>
          </w:rPr>
          <m:t xml:space="preserve"> + β</m:t>
        </m:r>
        <m:sSub>
          <m:sSubPr>
            <m:ctrlPr>
              <w:rPr>
                <w:rFonts w:ascii="Cambria Math" w:hAnsi="Cambria Math" w:cs="Times New Roman"/>
                <w:i/>
                <w:sz w:val="24"/>
                <w:szCs w:val="24"/>
              </w:rPr>
            </m:ctrlPr>
          </m:sSubPr>
          <m:e>
            <m:r>
              <w:rPr>
                <w:rFonts w:ascii="Cambria Math" w:hAnsi="Cambria Math" w:cs="Times New Roman"/>
                <w:sz w:val="24"/>
                <w:szCs w:val="24"/>
              </w:rPr>
              <m:t>(</m:t>
            </m:r>
            <m:acc>
              <m:accPr>
                <m:ctrlPr>
                  <w:rPr>
                    <w:rFonts w:ascii="Cambria Math" w:hAnsi="Cambria Math" w:cs="Times New Roman"/>
                    <w:i/>
                    <w:sz w:val="24"/>
                    <w:szCs w:val="24"/>
                  </w:rPr>
                </m:ctrlPr>
              </m:accPr>
              <m:e>
                <m:r>
                  <w:rPr>
                    <w:rFonts w:ascii="Cambria Math" w:hAnsi="Cambria Math" w:cs="Times New Roman"/>
                    <w:sz w:val="24"/>
                    <w:szCs w:val="24"/>
                  </w:rPr>
                  <m:t>TA</m:t>
                </m:r>
              </m:e>
            </m:acc>
          </m:e>
          <m:sub>
            <m:r>
              <w:rPr>
                <w:rFonts w:ascii="Cambria Math" w:hAnsi="Cambria Math" w:cs="Times New Roman"/>
                <w:sz w:val="24"/>
                <w:szCs w:val="24"/>
              </w:rPr>
              <m:t>it</m:t>
            </m:r>
          </m:sub>
        </m:sSub>
        <m:r>
          <m:rPr>
            <m:nor/>
          </m:rPr>
          <w:rPr>
            <w:rFonts w:ascii="Times New Roman" w:hAnsi="Times New Roman" w:cs="Times New Roman"/>
            <w:sz w:val="24"/>
            <w:szCs w:val="24"/>
          </w:rPr>
          <m:t>)</m:t>
        </m:r>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i/>
                <w:sz w:val="24"/>
                <w:szCs w:val="24"/>
              </w:rPr>
              <m:t>X</m:t>
            </m:r>
            <m:ctrlPr>
              <w:rPr>
                <w:rFonts w:ascii="Cambria Math" w:hAnsi="Cambria Math" w:cs="Times New Roman"/>
                <w:sz w:val="24"/>
                <w:szCs w:val="24"/>
              </w:rPr>
            </m:ctrlPr>
          </m:e>
          <m:sub>
            <m:r>
              <m:rPr>
                <m:nor/>
              </m:rPr>
              <w:rPr>
                <w:rFonts w:ascii="Times New Roman" w:hAnsi="Times New Roman" w:cs="Times New Roman"/>
                <w:iCs/>
                <w:sz w:val="24"/>
                <w:szCs w:val="24"/>
              </w:rPr>
              <m:t>it</m:t>
            </m:r>
          </m:sub>
        </m:sSub>
        <m:r>
          <m:rPr>
            <m:nor/>
          </m:rPr>
          <w:rPr>
            <w:rFonts w:ascii="Times New Roman" w:hAnsi="Times New Roman" w:cs="Times New Roman"/>
            <w:iCs/>
            <w:sz w:val="24"/>
            <w:szCs w:val="24"/>
          </w:rPr>
          <m:t>+</m:t>
        </m:r>
        <m:r>
          <m:rPr>
            <m:nor/>
          </m:rPr>
          <w:rPr>
            <w:rFonts w:ascii="Times New Roman" w:hAnsi="Times New Roman" w:cs="Times New Roman"/>
            <w:i/>
            <w:iCs/>
            <w:sz w:val="24"/>
            <w:szCs w:val="24"/>
          </w:rPr>
          <m:t xml:space="preserve"> </m:t>
        </m:r>
        <m:sSub>
          <m:sSubPr>
            <m:ctrlPr>
              <w:rPr>
                <w:rFonts w:ascii="Cambria Math" w:hAnsi="Cambria Math" w:cs="Times New Roman"/>
                <w:i/>
                <w:iCs/>
                <w:sz w:val="24"/>
                <w:szCs w:val="24"/>
              </w:rPr>
            </m:ctrlPr>
          </m:sSubPr>
          <m:e>
            <m:r>
              <m:rPr>
                <m:nor/>
              </m:rPr>
              <w:rPr>
                <w:rFonts w:ascii="Times New Roman" w:hAnsi="Times New Roman" w:cs="Times New Roman"/>
                <w:sz w:val="24"/>
                <w:szCs w:val="24"/>
              </w:rPr>
              <m:t>λ</m:t>
            </m:r>
            <m:ctrlPr>
              <w:rPr>
                <w:rFonts w:ascii="Cambria Math" w:hAnsi="Cambria Math" w:cs="Times New Roman"/>
                <w:sz w:val="24"/>
                <w:szCs w:val="24"/>
              </w:rPr>
            </m:ctrlPr>
          </m:e>
          <m:sub>
            <m:r>
              <m:rPr>
                <m:nor/>
              </m:rPr>
              <w:rPr>
                <w:rFonts w:ascii="Times New Roman" w:hAnsi="Times New Roman" w:cs="Times New Roman"/>
                <w:iCs/>
                <w:sz w:val="24"/>
                <w:szCs w:val="24"/>
              </w:rPr>
              <m:t>t</m:t>
            </m:r>
          </m:sub>
        </m:sSub>
        <m:r>
          <w:rPr>
            <w:rFonts w:ascii="Cambria Math" w:hAnsi="Cambria Math" w:cs="Times New Roman"/>
            <w:sz w:val="24"/>
            <w:szCs w:val="24"/>
          </w:rPr>
          <m:t>+</m:t>
        </m:r>
        <m:sSub>
          <m:sSubPr>
            <m:ctrlPr>
              <w:rPr>
                <w:rFonts w:ascii="Cambria Math" w:hAnsi="Cambria Math" w:cs="Times New Roman"/>
                <w:i/>
                <w:iCs/>
                <w:sz w:val="24"/>
                <w:szCs w:val="24"/>
              </w:rPr>
            </m:ctrlPr>
          </m:sSubPr>
          <m:e>
            <m:r>
              <m:rPr>
                <m:nor/>
              </m:rPr>
              <w:rPr>
                <w:rFonts w:ascii="Times New Roman" w:hAnsi="Times New Roman" w:cs="Times New Roman"/>
                <w:sz w:val="24"/>
                <w:szCs w:val="24"/>
              </w:rPr>
              <m:t>ϵ</m:t>
            </m:r>
            <m:ctrlPr>
              <w:rPr>
                <w:rFonts w:ascii="Cambria Math" w:hAnsi="Cambria Math" w:cs="Times New Roman"/>
                <w:sz w:val="24"/>
                <w:szCs w:val="24"/>
              </w:rPr>
            </m:ctrlPr>
          </m:e>
          <m:sub>
            <m:r>
              <m:rPr>
                <m:nor/>
              </m:rPr>
              <w:rPr>
                <w:rFonts w:ascii="Times New Roman" w:hAnsi="Times New Roman" w:cs="Times New Roman"/>
                <w:iCs/>
                <w:sz w:val="24"/>
                <w:szCs w:val="24"/>
              </w:rPr>
              <m:t>it</m:t>
            </m:r>
          </m:sub>
        </m:sSub>
      </m:oMath>
      <w:r w:rsidR="00063F17" w:rsidRPr="00B5460B">
        <w:rPr>
          <w:rFonts w:ascii="Times New Roman" w:eastAsiaTheme="minorEastAsia" w:hAnsi="Times New Roman" w:cs="Times New Roman"/>
          <w:iCs/>
          <w:sz w:val="24"/>
          <w:szCs w:val="24"/>
        </w:rPr>
        <w:tab/>
      </w:r>
      <w:r w:rsidR="00063F17" w:rsidRPr="00B5460B">
        <w:rPr>
          <w:rFonts w:ascii="Times New Roman" w:eastAsiaTheme="minorEastAsia" w:hAnsi="Times New Roman" w:cs="Times New Roman"/>
          <w:iCs/>
          <w:sz w:val="24"/>
          <w:szCs w:val="24"/>
        </w:rPr>
        <w:tab/>
      </w:r>
      <w:r w:rsidR="00063F17" w:rsidRPr="00B5460B">
        <w:rPr>
          <w:rFonts w:ascii="Times New Roman" w:eastAsiaTheme="minorEastAsia" w:hAnsi="Times New Roman" w:cs="Times New Roman"/>
          <w:iCs/>
          <w:sz w:val="24"/>
          <w:szCs w:val="24"/>
        </w:rPr>
        <w:tab/>
        <w:t>(6)</w:t>
      </w:r>
    </w:p>
    <w:p w14:paraId="7C8FA2CA" w14:textId="77777777" w:rsidR="00063F17" w:rsidRPr="00B5460B" w:rsidRDefault="00063F17" w:rsidP="00063F17">
      <w:pPr>
        <w:pStyle w:val="NoSpacing"/>
        <w:spacing w:line="480" w:lineRule="auto"/>
        <w:rPr>
          <w:rFonts w:ascii="Times New Roman" w:hAnsi="Times New Roman" w:cs="Times New Roman"/>
          <w:sz w:val="24"/>
          <w:szCs w:val="24"/>
        </w:rPr>
      </w:pPr>
      <w:r w:rsidRPr="00B5460B">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m:rPr>
                <m:nor/>
              </m:rPr>
              <w:rPr>
                <w:rFonts w:ascii="Times New Roman" w:hAnsi="Times New Roman" w:cs="Times New Roman"/>
                <w:iCs/>
                <w:sz w:val="24"/>
                <w:szCs w:val="24"/>
              </w:rPr>
              <m:t>TA</m:t>
            </m:r>
          </m:e>
          <m:sub>
            <m:r>
              <m:rPr>
                <m:nor/>
              </m:rPr>
              <w:rPr>
                <w:rFonts w:ascii="Times New Roman" w:hAnsi="Times New Roman" w:cs="Times New Roman"/>
                <w:sz w:val="24"/>
                <w:szCs w:val="24"/>
              </w:rPr>
              <m:t>it</m:t>
            </m:r>
          </m:sub>
        </m:sSub>
      </m:oMath>
      <w:r w:rsidRPr="00B5460B">
        <w:rPr>
          <w:rFonts w:ascii="Times New Roman" w:eastAsiaTheme="minorEastAsia" w:hAnsi="Times New Roman" w:cs="Times New Roman"/>
          <w:sz w:val="24"/>
          <w:szCs w:val="24"/>
        </w:rPr>
        <w:t xml:space="preserve"> is receipt of Tulsa Achieves,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TA</m:t>
                </m:r>
              </m:e>
            </m:acc>
          </m:e>
          <m:sub>
            <m:r>
              <w:rPr>
                <w:rFonts w:ascii="Cambria Math" w:hAnsi="Cambria Math" w:cs="Times New Roman"/>
                <w:sz w:val="24"/>
                <w:szCs w:val="24"/>
              </w:rPr>
              <m:t>it</m:t>
            </m:r>
          </m:sub>
        </m:sSub>
      </m:oMath>
      <w:r w:rsidRPr="00B5460B">
        <w:rPr>
          <w:rFonts w:ascii="Times New Roman" w:eastAsiaTheme="minorEastAsia" w:hAnsi="Times New Roman" w:cs="Times New Roman"/>
          <w:sz w:val="24"/>
          <w:szCs w:val="24"/>
        </w:rPr>
        <w:t xml:space="preserve"> is the predicted Tulsa Achieves receipt based on Equation 2 and all other variables consistent with previous definitions. </w:t>
      </w:r>
    </w:p>
    <w:p w14:paraId="2D651E03" w14:textId="77777777" w:rsidR="00063F17" w:rsidRPr="00B5460B" w:rsidRDefault="00063F17" w:rsidP="00063F17">
      <w:pPr>
        <w:pStyle w:val="NoSpacing"/>
        <w:spacing w:line="480" w:lineRule="auto"/>
        <w:rPr>
          <w:rFonts w:ascii="Times New Roman" w:hAnsi="Times New Roman" w:cs="Times New Roman"/>
          <w:i/>
          <w:sz w:val="24"/>
          <w:szCs w:val="24"/>
        </w:rPr>
      </w:pPr>
      <w:r w:rsidRPr="00B5460B">
        <w:rPr>
          <w:rFonts w:ascii="Times New Roman" w:hAnsi="Times New Roman" w:cs="Times New Roman"/>
          <w:i/>
          <w:sz w:val="24"/>
          <w:szCs w:val="24"/>
        </w:rPr>
        <w:t>Identification Assumptions</w:t>
      </w:r>
    </w:p>
    <w:p w14:paraId="1B3D3208" w14:textId="77777777" w:rsidR="00063F17" w:rsidRPr="00B5460B" w:rsidRDefault="00063F17" w:rsidP="00063F17">
      <w:pPr>
        <w:pStyle w:val="NoSpacing"/>
        <w:spacing w:line="480" w:lineRule="auto"/>
        <w:ind w:firstLine="720"/>
        <w:rPr>
          <w:rFonts w:ascii="Times New Roman" w:hAnsi="Times New Roman" w:cs="Times New Roman"/>
          <w:sz w:val="24"/>
          <w:szCs w:val="24"/>
        </w:rPr>
      </w:pPr>
      <w:r w:rsidRPr="00B5460B">
        <w:rPr>
          <w:rFonts w:ascii="Times New Roman" w:hAnsi="Times New Roman" w:cs="Times New Roman"/>
          <w:sz w:val="24"/>
          <w:szCs w:val="24"/>
        </w:rPr>
        <w:t>The primary identification assumption of the difference-in-differences research design is that there are parallel pre-treatment trends in the treatment and comparison groups. To formally test this assumption, I also include an event-study model, where I interact each cohort with the indicator for Tulsa Achieves eligibility.</w:t>
      </w:r>
      <w:r w:rsidRPr="00E3535F">
        <w:rPr>
          <w:rStyle w:val="FootnoteReference"/>
        </w:rPr>
        <w:footnoteReference w:id="35"/>
      </w:r>
      <w:r w:rsidRPr="00B5460B">
        <w:rPr>
          <w:rFonts w:ascii="Times New Roman" w:hAnsi="Times New Roman" w:cs="Times New Roman"/>
          <w:sz w:val="24"/>
          <w:szCs w:val="24"/>
        </w:rPr>
        <w:t xml:space="preserve"> This approach is identical to equation 4 with the exception that </w:t>
      </w:r>
      <m:oMath>
        <m:sSub>
          <m:sSubPr>
            <m:ctrlPr>
              <w:rPr>
                <w:rFonts w:ascii="Cambria Math" w:hAnsi="Cambria Math" w:cs="Times New Roman"/>
                <w:sz w:val="24"/>
                <w:szCs w:val="24"/>
              </w:rPr>
            </m:ctrlPr>
          </m:sSubPr>
          <m:e>
            <m:r>
              <m:rPr>
                <m:nor/>
              </m:rPr>
              <w:rPr>
                <w:rFonts w:ascii="Times New Roman" w:hAnsi="Times New Roman" w:cs="Times New Roman"/>
                <w:sz w:val="24"/>
                <w:szCs w:val="24"/>
              </w:rPr>
              <m:t>(</m:t>
            </m:r>
            <m:r>
              <m:rPr>
                <m:nor/>
              </m:rPr>
              <w:rPr>
                <w:rFonts w:ascii="Times New Roman" w:hAnsi="Times New Roman" w:cs="Times New Roman"/>
                <w:i/>
                <w:sz w:val="24"/>
                <w:szCs w:val="24"/>
              </w:rPr>
              <m:t>TA</m:t>
            </m:r>
          </m:e>
          <m:sub>
            <m:r>
              <m:rPr>
                <m:nor/>
              </m:rPr>
              <w:rPr>
                <w:rFonts w:ascii="Times New Roman" w:hAnsi="Times New Roman" w:cs="Times New Roman"/>
                <w:sz w:val="24"/>
                <w:szCs w:val="24"/>
              </w:rPr>
              <m:t>i</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Post</m:t>
            </m:r>
          </m:e>
          <m:sub>
            <m:r>
              <w:rPr>
                <w:rFonts w:ascii="Cambria Math" w:hAnsi="Cambria Math" w:cs="Times New Roman"/>
                <w:sz w:val="24"/>
                <w:szCs w:val="24"/>
              </w:rPr>
              <m:t>t</m:t>
            </m:r>
          </m:sub>
        </m:sSub>
      </m:oMath>
      <w:r w:rsidRPr="00B5460B">
        <w:rPr>
          <w:rFonts w:ascii="Times New Roman" w:eastAsiaTheme="minorEastAsia" w:hAnsi="Times New Roman" w:cs="Times New Roman"/>
          <w:sz w:val="24"/>
          <w:szCs w:val="24"/>
        </w:rPr>
        <w:t xml:space="preserve">) in equation 4 is instead </w:t>
      </w:r>
      <m:oMath>
        <m:sSub>
          <m:sSubPr>
            <m:ctrlPr>
              <w:rPr>
                <w:rFonts w:ascii="Cambria Math" w:hAnsi="Cambria Math" w:cs="Times New Roman"/>
                <w:sz w:val="24"/>
                <w:szCs w:val="24"/>
              </w:rPr>
            </m:ctrlPr>
          </m:sSubPr>
          <m:e>
            <m:r>
              <m:rPr>
                <m:nor/>
              </m:rPr>
              <w:rPr>
                <w:rFonts w:ascii="Times New Roman" w:hAnsi="Times New Roman" w:cs="Times New Roman"/>
                <w:sz w:val="24"/>
                <w:szCs w:val="24"/>
              </w:rPr>
              <m:t>(</m:t>
            </m:r>
            <m:r>
              <m:rPr>
                <m:nor/>
              </m:rPr>
              <w:rPr>
                <w:rFonts w:ascii="Times New Roman" w:hAnsi="Times New Roman" w:cs="Times New Roman"/>
                <w:i/>
                <w:sz w:val="24"/>
                <w:szCs w:val="24"/>
              </w:rPr>
              <m:t>TA</m:t>
            </m:r>
          </m:e>
          <m:sub>
            <m:r>
              <m:rPr>
                <m:nor/>
              </m:rPr>
              <w:rPr>
                <w:rFonts w:ascii="Times New Roman" w:hAnsi="Times New Roman" w:cs="Times New Roman"/>
                <w:sz w:val="24"/>
                <w:szCs w:val="24"/>
              </w:rPr>
              <m:t>i</m:t>
            </m:r>
          </m:sub>
        </m:sSub>
        <m:r>
          <m:rPr>
            <m:nor/>
          </m:rPr>
          <w:rPr>
            <w:rFonts w:ascii="Times New Roman" w:hAnsi="Times New Roman"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Cohort</m:t>
            </m:r>
          </m:e>
          <m:sub>
            <m:r>
              <w:rPr>
                <w:rFonts w:ascii="Cambria Math" w:hAnsi="Cambria Math" w:cs="Times New Roman"/>
                <w:sz w:val="24"/>
                <w:szCs w:val="24"/>
              </w:rPr>
              <m:t>t</m:t>
            </m:r>
          </m:sub>
        </m:sSub>
        <m:r>
          <w:rPr>
            <w:rFonts w:ascii="Cambria Math" w:hAnsi="Cambria Math" w:cs="Times New Roman"/>
            <w:sz w:val="24"/>
            <w:szCs w:val="24"/>
          </w:rPr>
          <m:t>)</m:t>
        </m:r>
      </m:oMath>
      <w:r w:rsidRPr="00B5460B">
        <w:rPr>
          <w:rFonts w:ascii="Times New Roman" w:eastAsiaTheme="minorEastAsia"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Cohort</m:t>
            </m:r>
          </m:e>
          <m:sub>
            <m:r>
              <w:rPr>
                <w:rFonts w:ascii="Cambria Math" w:hAnsi="Cambria Math" w:cs="Times New Roman"/>
                <w:sz w:val="24"/>
                <w:szCs w:val="24"/>
              </w:rPr>
              <m:t>t</m:t>
            </m:r>
          </m:sub>
        </m:sSub>
      </m:oMath>
      <w:r w:rsidRPr="00B5460B">
        <w:rPr>
          <w:rFonts w:ascii="Times New Roman" w:eastAsiaTheme="minorEastAsia" w:hAnsi="Times New Roman" w:cs="Times New Roman"/>
          <w:sz w:val="24"/>
          <w:szCs w:val="24"/>
        </w:rPr>
        <w:t xml:space="preserve"> is an indicator for each cohort from 2005-2015 with the 2006 cohort as the reference category.</w:t>
      </w:r>
      <w:r w:rsidRPr="00B5460B">
        <w:rPr>
          <w:rFonts w:ascii="Times New Roman" w:hAnsi="Times New Roman" w:cs="Times New Roman"/>
          <w:sz w:val="24"/>
          <w:szCs w:val="24"/>
        </w:rPr>
        <w:t xml:space="preserve"> This estimation technique provides multiple analytical benefits: first, it provides insight into whether there are any significant differences in the outcome measures between the treatment and control group in pre-treatment years, and second, it provides insight into whether the treatment effect varies over the post-implementation time period. As I present in the next section, this analysis </w:t>
      </w:r>
      <w:r w:rsidRPr="00B5460B">
        <w:rPr>
          <w:rFonts w:ascii="Times New Roman" w:hAnsi="Times New Roman" w:cs="Times New Roman"/>
          <w:sz w:val="24"/>
          <w:szCs w:val="24"/>
        </w:rPr>
        <w:lastRenderedPageBreak/>
        <w:t xml:space="preserve">further supports the notion that any changes in the outcomes are not a result of differential preexisting trends across treatment and control groups. </w:t>
      </w:r>
    </w:p>
    <w:p w14:paraId="15B527B0" w14:textId="77777777" w:rsidR="00063F17" w:rsidRPr="00B5460B" w:rsidRDefault="00063F17" w:rsidP="00063F17">
      <w:pPr>
        <w:pStyle w:val="NoSpacing"/>
        <w:spacing w:line="480" w:lineRule="auto"/>
        <w:ind w:firstLine="720"/>
        <w:rPr>
          <w:rFonts w:ascii="Times New Roman" w:hAnsi="Times New Roman" w:cs="Times New Roman"/>
          <w:sz w:val="24"/>
          <w:szCs w:val="24"/>
        </w:rPr>
      </w:pPr>
      <w:r w:rsidRPr="00B5460B">
        <w:rPr>
          <w:rFonts w:ascii="Times New Roman" w:hAnsi="Times New Roman" w:cs="Times New Roman"/>
          <w:sz w:val="24"/>
          <w:szCs w:val="24"/>
        </w:rPr>
        <w:t>Another important identification assumption of this design is that any relative shift in the outcomes are attributable to shifts in response to the implementation of the Tulsa Achieves program and not another policy that was implemented simultaneously. According to my discussions with the program administrators at TCC, there were no other major programs implemented in the same year, providing support for the simultaneity assumption.</w:t>
      </w:r>
    </w:p>
    <w:p w14:paraId="61C0490D"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Difference-in-Differences Results</w:t>
      </w:r>
    </w:p>
    <w:p w14:paraId="28BF67D1" w14:textId="229DDAA6"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The results for the difference-in-differences analysis for the effect of Tulsa Achieves eligibility on student outcomes are presented in Table 5</w:t>
      </w:r>
      <w:r w:rsidR="00260EDC">
        <w:rPr>
          <w:rFonts w:ascii="Times New Roman" w:hAnsi="Times New Roman" w:cs="Times New Roman"/>
          <w:sz w:val="24"/>
          <w:szCs w:val="24"/>
        </w:rPr>
        <w:t>-8</w:t>
      </w:r>
      <w:r w:rsidRPr="00E633D8">
        <w:rPr>
          <w:rFonts w:ascii="Times New Roman" w:hAnsi="Times New Roman" w:cs="Times New Roman"/>
          <w:sz w:val="24"/>
          <w:szCs w:val="24"/>
        </w:rPr>
        <w:t xml:space="preserve">. First, this table reveals that the average treatment effect of Tulsa Achieves eligibility is significantly impacting multiple outcomes of interest. First, the estimates reveal a positive impact of Tulsa Achieves eligibility on credits earned in year one and on the number of semesters students enrolled over three years. On the other hand, the estimates also reveal a negative effect of Tulsa Achieves eligibility on the likelihood of graduating from TCC and a negative effect on the likelihood of transferring to a four-year college. In terms of magnitude, these estimates suggest that Tulsa Achieves eligibility is associated with a 3.8 percentage point decrease in the likelihood of graduating from TCC and a 6.6 percentage point decrease in the likelihood of transferring to a four-year college. However, the estimates also demonstrate a positive effect of Tulsa Achieves eligibility on the likelihood of graduating with a bachelor’s degree within five years. </w:t>
      </w:r>
    </w:p>
    <w:p w14:paraId="2D63C077" w14:textId="1FC5D728" w:rsidR="00063F17" w:rsidRDefault="00063F17" w:rsidP="00063F17">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Finally, the consistently insignificant coefficients for the interaction between the 2005 cohort and Tulsa Achieves eligibility show that the treatment and control groups were not significantly different in pre-treatment years. While it would be ideal to have more pre-treatment </w:t>
      </w:r>
      <w:r w:rsidRPr="00E633D8">
        <w:rPr>
          <w:rFonts w:ascii="Times New Roman" w:hAnsi="Times New Roman" w:cs="Times New Roman"/>
          <w:sz w:val="24"/>
          <w:szCs w:val="24"/>
        </w:rPr>
        <w:lastRenderedPageBreak/>
        <w:t>cohorts, this evidence does support the parallel trends assumption, providing further evidence for the validity of the research design.</w:t>
      </w:r>
      <w:r w:rsidRPr="00E3535F">
        <w:rPr>
          <w:rStyle w:val="FootnoteReference"/>
        </w:rPr>
        <w:footnoteReference w:id="36"/>
      </w:r>
      <w:r w:rsidRPr="00E633D8">
        <w:rPr>
          <w:rFonts w:ascii="Times New Roman" w:hAnsi="Times New Roman" w:cs="Times New Roman"/>
          <w:sz w:val="24"/>
          <w:szCs w:val="24"/>
        </w:rPr>
        <w:t xml:space="preserve"> </w:t>
      </w:r>
    </w:p>
    <w:p w14:paraId="261A6BF2" w14:textId="4F5DE2C9" w:rsidR="00B5460B" w:rsidRPr="00D755D8" w:rsidRDefault="00B5460B" w:rsidP="00B5460B">
      <w:pPr>
        <w:rPr>
          <w:rFonts w:ascii="Times New Roman" w:eastAsia="Times New Roman" w:hAnsi="Times New Roman" w:cs="Times New Roman"/>
          <w:bCs/>
          <w:sz w:val="24"/>
          <w:szCs w:val="24"/>
        </w:rPr>
      </w:pPr>
      <w:r w:rsidRPr="00613CD3">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5</w:t>
      </w:r>
      <w:r w:rsidR="00260EDC">
        <w:rPr>
          <w:rFonts w:ascii="Times New Roman" w:eastAsia="Times New Roman" w:hAnsi="Times New Roman" w:cs="Times New Roman"/>
          <w:b/>
          <w:bCs/>
          <w:sz w:val="24"/>
          <w:szCs w:val="24"/>
        </w:rPr>
        <w:t>-8</w:t>
      </w:r>
      <w:r w:rsidRPr="00613CD3">
        <w:rPr>
          <w:rFonts w:ascii="Times New Roman" w:eastAsia="Times New Roman" w:hAnsi="Times New Roman" w:cs="Times New Roman"/>
          <w:b/>
          <w:bCs/>
          <w:sz w:val="24"/>
          <w:szCs w:val="24"/>
        </w:rPr>
        <w:t>.</w:t>
      </w:r>
      <w:r>
        <w:rPr>
          <w:rFonts w:ascii="Palatino Linotype" w:eastAsia="Times New Roman" w:hAnsi="Palatino Linotype" w:cs="Calibri"/>
          <w:b/>
          <w:color w:val="000000"/>
          <w:sz w:val="20"/>
          <w:szCs w:val="20"/>
        </w:rPr>
        <w:t xml:space="preserve"> </w:t>
      </w:r>
      <w:r w:rsidRPr="00D755D8">
        <w:rPr>
          <w:rFonts w:ascii="Times New Roman" w:eastAsia="Times New Roman" w:hAnsi="Times New Roman" w:cs="Times New Roman"/>
          <w:bCs/>
          <w:sz w:val="24"/>
          <w:szCs w:val="24"/>
        </w:rPr>
        <w:t>Difference-in-Difference Results for the Effect of Tulsa Achieves Eligibility on Student Outcomes (ITT)</w:t>
      </w:r>
    </w:p>
    <w:tbl>
      <w:tblPr>
        <w:tblW w:w="9491" w:type="dxa"/>
        <w:tblLayout w:type="fixed"/>
        <w:tblLook w:val="04A0" w:firstRow="1" w:lastRow="0" w:firstColumn="1" w:lastColumn="0" w:noHBand="0" w:noVBand="1"/>
      </w:tblPr>
      <w:tblGrid>
        <w:gridCol w:w="1112"/>
        <w:gridCol w:w="714"/>
        <w:gridCol w:w="873"/>
        <w:gridCol w:w="714"/>
        <w:gridCol w:w="1206"/>
        <w:gridCol w:w="826"/>
        <w:gridCol w:w="747"/>
        <w:gridCol w:w="821"/>
        <w:gridCol w:w="805"/>
        <w:gridCol w:w="797"/>
        <w:gridCol w:w="851"/>
        <w:gridCol w:w="25"/>
      </w:tblGrid>
      <w:tr w:rsidR="001A6B3E" w:rsidRPr="001A6B3E" w14:paraId="3FC1F71D" w14:textId="77777777" w:rsidTr="00284C07">
        <w:trPr>
          <w:gridAfter w:val="1"/>
          <w:wAfter w:w="25" w:type="dxa"/>
          <w:trHeight w:val="407"/>
        </w:trPr>
        <w:tc>
          <w:tcPr>
            <w:tcW w:w="1112" w:type="dxa"/>
            <w:tcBorders>
              <w:top w:val="nil"/>
              <w:left w:val="nil"/>
              <w:bottom w:val="double" w:sz="6" w:space="0" w:color="auto"/>
              <w:right w:val="nil"/>
            </w:tcBorders>
            <w:shd w:val="clear" w:color="auto" w:fill="auto"/>
            <w:noWrap/>
            <w:vAlign w:val="bottom"/>
            <w:hideMark/>
          </w:tcPr>
          <w:p w14:paraId="5EABF8B5"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 </w:t>
            </w:r>
          </w:p>
        </w:tc>
        <w:tc>
          <w:tcPr>
            <w:tcW w:w="714" w:type="dxa"/>
            <w:tcBorders>
              <w:top w:val="nil"/>
              <w:left w:val="nil"/>
              <w:bottom w:val="double" w:sz="6" w:space="0" w:color="auto"/>
              <w:right w:val="nil"/>
            </w:tcBorders>
            <w:shd w:val="clear" w:color="auto" w:fill="auto"/>
            <w:vAlign w:val="bottom"/>
            <w:hideMark/>
          </w:tcPr>
          <w:p w14:paraId="067110C6"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GPA End of Year 1</w:t>
            </w:r>
          </w:p>
        </w:tc>
        <w:tc>
          <w:tcPr>
            <w:tcW w:w="873" w:type="dxa"/>
            <w:tcBorders>
              <w:top w:val="nil"/>
              <w:left w:val="nil"/>
              <w:bottom w:val="double" w:sz="6" w:space="0" w:color="auto"/>
              <w:right w:val="nil"/>
            </w:tcBorders>
            <w:shd w:val="clear" w:color="auto" w:fill="auto"/>
            <w:vAlign w:val="bottom"/>
            <w:hideMark/>
          </w:tcPr>
          <w:p w14:paraId="3A9D275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Credits End of Year 1</w:t>
            </w:r>
          </w:p>
        </w:tc>
        <w:tc>
          <w:tcPr>
            <w:tcW w:w="714" w:type="dxa"/>
            <w:tcBorders>
              <w:top w:val="nil"/>
              <w:left w:val="nil"/>
              <w:bottom w:val="double" w:sz="6" w:space="0" w:color="auto"/>
              <w:right w:val="nil"/>
            </w:tcBorders>
            <w:shd w:val="clear" w:color="auto" w:fill="auto"/>
            <w:vAlign w:val="bottom"/>
            <w:hideMark/>
          </w:tcPr>
          <w:p w14:paraId="39FA086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GPA End of Year 3</w:t>
            </w:r>
          </w:p>
        </w:tc>
        <w:tc>
          <w:tcPr>
            <w:tcW w:w="1206" w:type="dxa"/>
            <w:tcBorders>
              <w:top w:val="nil"/>
              <w:left w:val="nil"/>
              <w:bottom w:val="double" w:sz="6" w:space="0" w:color="auto"/>
              <w:right w:val="nil"/>
            </w:tcBorders>
            <w:shd w:val="clear" w:color="auto" w:fill="auto"/>
            <w:vAlign w:val="bottom"/>
            <w:hideMark/>
          </w:tcPr>
          <w:p w14:paraId="4821E15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Credits End of Year 3</w:t>
            </w:r>
          </w:p>
        </w:tc>
        <w:tc>
          <w:tcPr>
            <w:tcW w:w="826" w:type="dxa"/>
            <w:tcBorders>
              <w:top w:val="nil"/>
              <w:left w:val="nil"/>
              <w:bottom w:val="double" w:sz="6" w:space="0" w:color="auto"/>
              <w:right w:val="nil"/>
            </w:tcBorders>
            <w:shd w:val="clear" w:color="auto" w:fill="auto"/>
            <w:vAlign w:val="bottom"/>
            <w:hideMark/>
          </w:tcPr>
          <w:p w14:paraId="56CE92B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Semesters Enrolled in 3 Years</w:t>
            </w:r>
          </w:p>
        </w:tc>
        <w:tc>
          <w:tcPr>
            <w:tcW w:w="747" w:type="dxa"/>
            <w:tcBorders>
              <w:top w:val="nil"/>
              <w:left w:val="nil"/>
              <w:bottom w:val="double" w:sz="6" w:space="0" w:color="auto"/>
              <w:right w:val="nil"/>
            </w:tcBorders>
            <w:shd w:val="clear" w:color="auto" w:fill="auto"/>
            <w:vAlign w:val="bottom"/>
            <w:hideMark/>
          </w:tcPr>
          <w:p w14:paraId="4DDFFEC1"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Had 63 Credits by Year 3</w:t>
            </w:r>
          </w:p>
        </w:tc>
        <w:tc>
          <w:tcPr>
            <w:tcW w:w="821" w:type="dxa"/>
            <w:tcBorders>
              <w:top w:val="nil"/>
              <w:left w:val="nil"/>
              <w:bottom w:val="double" w:sz="6" w:space="0" w:color="auto"/>
              <w:right w:val="nil"/>
            </w:tcBorders>
            <w:shd w:val="clear" w:color="auto" w:fill="auto"/>
            <w:vAlign w:val="bottom"/>
            <w:hideMark/>
          </w:tcPr>
          <w:p w14:paraId="253CFE64"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 xml:space="preserve">Graduate with Credential </w:t>
            </w:r>
          </w:p>
        </w:tc>
        <w:tc>
          <w:tcPr>
            <w:tcW w:w="805" w:type="dxa"/>
            <w:tcBorders>
              <w:top w:val="nil"/>
              <w:left w:val="nil"/>
              <w:bottom w:val="double" w:sz="6" w:space="0" w:color="auto"/>
              <w:right w:val="nil"/>
            </w:tcBorders>
            <w:shd w:val="clear" w:color="auto" w:fill="auto"/>
            <w:vAlign w:val="bottom"/>
            <w:hideMark/>
          </w:tcPr>
          <w:p w14:paraId="2FF818B9"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Transfer to Four Year College</w:t>
            </w:r>
          </w:p>
        </w:tc>
        <w:tc>
          <w:tcPr>
            <w:tcW w:w="797" w:type="dxa"/>
            <w:tcBorders>
              <w:top w:val="nil"/>
              <w:left w:val="nil"/>
              <w:bottom w:val="double" w:sz="6" w:space="0" w:color="auto"/>
              <w:right w:val="nil"/>
            </w:tcBorders>
            <w:shd w:val="clear" w:color="auto" w:fill="auto"/>
            <w:vAlign w:val="bottom"/>
            <w:hideMark/>
          </w:tcPr>
          <w:p w14:paraId="5BD9353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Bachelors Degree</w:t>
            </w:r>
          </w:p>
        </w:tc>
        <w:tc>
          <w:tcPr>
            <w:tcW w:w="851" w:type="dxa"/>
            <w:tcBorders>
              <w:top w:val="nil"/>
              <w:left w:val="nil"/>
              <w:bottom w:val="double" w:sz="6" w:space="0" w:color="auto"/>
              <w:right w:val="nil"/>
            </w:tcBorders>
            <w:shd w:val="clear" w:color="auto" w:fill="auto"/>
            <w:vAlign w:val="bottom"/>
            <w:hideMark/>
          </w:tcPr>
          <w:p w14:paraId="36DC62AA"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1"/>
              </w:rPr>
            </w:pPr>
            <w:r w:rsidRPr="001A6B3E">
              <w:rPr>
                <w:rFonts w:ascii="Times New Roman" w:eastAsia="Times New Roman" w:hAnsi="Times New Roman" w:cs="Times New Roman"/>
                <w:color w:val="000000"/>
                <w:sz w:val="16"/>
                <w:szCs w:val="21"/>
              </w:rPr>
              <w:t>Bachelors Degree in 5 Years</w:t>
            </w:r>
          </w:p>
        </w:tc>
      </w:tr>
      <w:tr w:rsidR="001A6B3E" w:rsidRPr="001A6B3E" w14:paraId="42C6E13A" w14:textId="77777777" w:rsidTr="00284C07">
        <w:trPr>
          <w:gridAfter w:val="1"/>
          <w:wAfter w:w="25" w:type="dxa"/>
          <w:trHeight w:val="137"/>
        </w:trPr>
        <w:tc>
          <w:tcPr>
            <w:tcW w:w="1112" w:type="dxa"/>
            <w:tcBorders>
              <w:top w:val="nil"/>
              <w:left w:val="nil"/>
              <w:bottom w:val="nil"/>
              <w:right w:val="nil"/>
            </w:tcBorders>
            <w:shd w:val="clear" w:color="auto" w:fill="auto"/>
            <w:noWrap/>
            <w:vAlign w:val="bottom"/>
            <w:hideMark/>
          </w:tcPr>
          <w:p w14:paraId="0F31E7D5" w14:textId="77777777" w:rsidR="00B5460B" w:rsidRPr="001A6B3E" w:rsidRDefault="00B5460B" w:rsidP="00B5460B">
            <w:pPr>
              <w:spacing w:after="0" w:line="240" w:lineRule="auto"/>
              <w:jc w:val="center"/>
              <w:rPr>
                <w:rFonts w:ascii="Times New Roman" w:eastAsia="Times New Roman" w:hAnsi="Times New Roman" w:cs="Times New Roman"/>
                <w:color w:val="000000"/>
                <w:sz w:val="16"/>
              </w:rPr>
            </w:pPr>
          </w:p>
        </w:tc>
        <w:tc>
          <w:tcPr>
            <w:tcW w:w="714" w:type="dxa"/>
            <w:tcBorders>
              <w:top w:val="nil"/>
              <w:left w:val="nil"/>
              <w:bottom w:val="nil"/>
              <w:right w:val="nil"/>
            </w:tcBorders>
            <w:shd w:val="clear" w:color="auto" w:fill="auto"/>
            <w:noWrap/>
            <w:vAlign w:val="bottom"/>
            <w:hideMark/>
          </w:tcPr>
          <w:p w14:paraId="0897971F" w14:textId="77777777" w:rsidR="00B5460B" w:rsidRPr="001A6B3E" w:rsidRDefault="00B5460B" w:rsidP="00B5460B">
            <w:pPr>
              <w:spacing w:after="0" w:line="240" w:lineRule="auto"/>
              <w:rPr>
                <w:rFonts w:ascii="Times New Roman" w:eastAsia="Times New Roman" w:hAnsi="Times New Roman" w:cs="Times New Roman"/>
                <w:sz w:val="16"/>
                <w:szCs w:val="20"/>
              </w:rPr>
            </w:pPr>
          </w:p>
        </w:tc>
        <w:tc>
          <w:tcPr>
            <w:tcW w:w="873" w:type="dxa"/>
            <w:tcBorders>
              <w:top w:val="nil"/>
              <w:left w:val="nil"/>
              <w:bottom w:val="nil"/>
              <w:right w:val="nil"/>
            </w:tcBorders>
            <w:shd w:val="clear" w:color="auto" w:fill="auto"/>
            <w:noWrap/>
            <w:vAlign w:val="bottom"/>
            <w:hideMark/>
          </w:tcPr>
          <w:p w14:paraId="3A8D3157"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14" w:type="dxa"/>
            <w:tcBorders>
              <w:top w:val="nil"/>
              <w:left w:val="nil"/>
              <w:bottom w:val="nil"/>
              <w:right w:val="nil"/>
            </w:tcBorders>
            <w:shd w:val="clear" w:color="auto" w:fill="auto"/>
            <w:noWrap/>
            <w:vAlign w:val="bottom"/>
            <w:hideMark/>
          </w:tcPr>
          <w:p w14:paraId="55AAAF78"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1206" w:type="dxa"/>
            <w:tcBorders>
              <w:top w:val="nil"/>
              <w:left w:val="nil"/>
              <w:bottom w:val="nil"/>
              <w:right w:val="nil"/>
            </w:tcBorders>
            <w:shd w:val="clear" w:color="auto" w:fill="auto"/>
            <w:noWrap/>
            <w:vAlign w:val="bottom"/>
            <w:hideMark/>
          </w:tcPr>
          <w:p w14:paraId="101A78C5"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26" w:type="dxa"/>
            <w:tcBorders>
              <w:top w:val="nil"/>
              <w:left w:val="nil"/>
              <w:bottom w:val="nil"/>
              <w:right w:val="nil"/>
            </w:tcBorders>
            <w:shd w:val="clear" w:color="auto" w:fill="auto"/>
            <w:noWrap/>
            <w:vAlign w:val="bottom"/>
            <w:hideMark/>
          </w:tcPr>
          <w:p w14:paraId="6297DFCD"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47" w:type="dxa"/>
            <w:tcBorders>
              <w:top w:val="nil"/>
              <w:left w:val="nil"/>
              <w:bottom w:val="nil"/>
              <w:right w:val="nil"/>
            </w:tcBorders>
            <w:shd w:val="clear" w:color="auto" w:fill="auto"/>
            <w:noWrap/>
            <w:vAlign w:val="bottom"/>
            <w:hideMark/>
          </w:tcPr>
          <w:p w14:paraId="7771AB30"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21" w:type="dxa"/>
            <w:tcBorders>
              <w:top w:val="nil"/>
              <w:left w:val="nil"/>
              <w:bottom w:val="nil"/>
              <w:right w:val="nil"/>
            </w:tcBorders>
            <w:shd w:val="clear" w:color="auto" w:fill="auto"/>
            <w:noWrap/>
            <w:vAlign w:val="bottom"/>
            <w:hideMark/>
          </w:tcPr>
          <w:p w14:paraId="5EC149F8"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383FA0E9"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97" w:type="dxa"/>
            <w:tcBorders>
              <w:top w:val="nil"/>
              <w:left w:val="nil"/>
              <w:bottom w:val="nil"/>
              <w:right w:val="nil"/>
            </w:tcBorders>
            <w:shd w:val="clear" w:color="auto" w:fill="auto"/>
            <w:noWrap/>
            <w:vAlign w:val="bottom"/>
            <w:hideMark/>
          </w:tcPr>
          <w:p w14:paraId="7C0CE11C"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51" w:type="dxa"/>
            <w:tcBorders>
              <w:top w:val="nil"/>
              <w:left w:val="nil"/>
              <w:bottom w:val="nil"/>
              <w:right w:val="nil"/>
            </w:tcBorders>
            <w:shd w:val="clear" w:color="auto" w:fill="auto"/>
            <w:noWrap/>
            <w:vAlign w:val="bottom"/>
            <w:hideMark/>
          </w:tcPr>
          <w:p w14:paraId="1524E08B"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r>
      <w:tr w:rsidR="001A6B3E" w:rsidRPr="001A6B3E" w14:paraId="54F12DEE" w14:textId="77777777" w:rsidTr="00284C07">
        <w:trPr>
          <w:gridAfter w:val="1"/>
          <w:wAfter w:w="25" w:type="dxa"/>
          <w:trHeight w:val="29"/>
        </w:trPr>
        <w:tc>
          <w:tcPr>
            <w:tcW w:w="1112" w:type="dxa"/>
            <w:tcBorders>
              <w:top w:val="nil"/>
              <w:left w:val="nil"/>
              <w:bottom w:val="nil"/>
              <w:right w:val="nil"/>
            </w:tcBorders>
            <w:shd w:val="clear" w:color="auto" w:fill="auto"/>
            <w:vAlign w:val="bottom"/>
            <w:hideMark/>
          </w:tcPr>
          <w:p w14:paraId="62BB58C4"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2005 Cohort*Tulsa Achieves Eligibility</w:t>
            </w:r>
          </w:p>
        </w:tc>
        <w:tc>
          <w:tcPr>
            <w:tcW w:w="714" w:type="dxa"/>
            <w:tcBorders>
              <w:top w:val="nil"/>
              <w:left w:val="nil"/>
              <w:bottom w:val="nil"/>
              <w:right w:val="nil"/>
            </w:tcBorders>
            <w:shd w:val="clear" w:color="auto" w:fill="auto"/>
            <w:noWrap/>
            <w:vAlign w:val="center"/>
            <w:hideMark/>
          </w:tcPr>
          <w:p w14:paraId="48494A3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0.039</w:t>
            </w:r>
          </w:p>
        </w:tc>
        <w:tc>
          <w:tcPr>
            <w:tcW w:w="873" w:type="dxa"/>
            <w:tcBorders>
              <w:top w:val="nil"/>
              <w:left w:val="nil"/>
              <w:bottom w:val="nil"/>
              <w:right w:val="nil"/>
            </w:tcBorders>
            <w:shd w:val="clear" w:color="auto" w:fill="auto"/>
            <w:noWrap/>
            <w:vAlign w:val="center"/>
            <w:hideMark/>
          </w:tcPr>
          <w:p w14:paraId="3EB1193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-0.150</w:t>
            </w:r>
          </w:p>
        </w:tc>
        <w:tc>
          <w:tcPr>
            <w:tcW w:w="714" w:type="dxa"/>
            <w:tcBorders>
              <w:top w:val="nil"/>
              <w:left w:val="nil"/>
              <w:bottom w:val="nil"/>
              <w:right w:val="nil"/>
            </w:tcBorders>
            <w:shd w:val="clear" w:color="auto" w:fill="auto"/>
            <w:noWrap/>
            <w:vAlign w:val="center"/>
            <w:hideMark/>
          </w:tcPr>
          <w:p w14:paraId="2B2128C6"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0.023</w:t>
            </w:r>
          </w:p>
        </w:tc>
        <w:tc>
          <w:tcPr>
            <w:tcW w:w="1206" w:type="dxa"/>
            <w:tcBorders>
              <w:top w:val="nil"/>
              <w:left w:val="nil"/>
              <w:bottom w:val="nil"/>
              <w:right w:val="nil"/>
            </w:tcBorders>
            <w:shd w:val="clear" w:color="auto" w:fill="auto"/>
            <w:noWrap/>
            <w:vAlign w:val="center"/>
            <w:hideMark/>
          </w:tcPr>
          <w:p w14:paraId="32260CF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-1.271</w:t>
            </w:r>
          </w:p>
        </w:tc>
        <w:tc>
          <w:tcPr>
            <w:tcW w:w="826" w:type="dxa"/>
            <w:tcBorders>
              <w:top w:val="nil"/>
              <w:left w:val="nil"/>
              <w:bottom w:val="nil"/>
              <w:right w:val="nil"/>
            </w:tcBorders>
            <w:shd w:val="clear" w:color="auto" w:fill="auto"/>
            <w:noWrap/>
            <w:vAlign w:val="center"/>
            <w:hideMark/>
          </w:tcPr>
          <w:p w14:paraId="78CB71A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0.052</w:t>
            </w:r>
          </w:p>
        </w:tc>
        <w:tc>
          <w:tcPr>
            <w:tcW w:w="747" w:type="dxa"/>
            <w:tcBorders>
              <w:top w:val="nil"/>
              <w:left w:val="nil"/>
              <w:bottom w:val="nil"/>
              <w:right w:val="nil"/>
            </w:tcBorders>
            <w:shd w:val="clear" w:color="auto" w:fill="auto"/>
            <w:noWrap/>
            <w:vAlign w:val="center"/>
            <w:hideMark/>
          </w:tcPr>
          <w:p w14:paraId="2FD440C1"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-0.014</w:t>
            </w:r>
          </w:p>
        </w:tc>
        <w:tc>
          <w:tcPr>
            <w:tcW w:w="821" w:type="dxa"/>
            <w:tcBorders>
              <w:top w:val="nil"/>
              <w:left w:val="nil"/>
              <w:bottom w:val="nil"/>
              <w:right w:val="nil"/>
            </w:tcBorders>
            <w:shd w:val="clear" w:color="auto" w:fill="auto"/>
            <w:noWrap/>
            <w:vAlign w:val="center"/>
            <w:hideMark/>
          </w:tcPr>
          <w:p w14:paraId="7CC4F65D"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-0.011</w:t>
            </w:r>
          </w:p>
        </w:tc>
        <w:tc>
          <w:tcPr>
            <w:tcW w:w="805" w:type="dxa"/>
            <w:tcBorders>
              <w:top w:val="nil"/>
              <w:left w:val="nil"/>
              <w:bottom w:val="nil"/>
              <w:right w:val="nil"/>
            </w:tcBorders>
            <w:shd w:val="clear" w:color="auto" w:fill="auto"/>
            <w:noWrap/>
            <w:vAlign w:val="center"/>
            <w:hideMark/>
          </w:tcPr>
          <w:p w14:paraId="2B2C4E3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0.024</w:t>
            </w:r>
          </w:p>
        </w:tc>
        <w:tc>
          <w:tcPr>
            <w:tcW w:w="797" w:type="dxa"/>
            <w:tcBorders>
              <w:top w:val="nil"/>
              <w:left w:val="nil"/>
              <w:bottom w:val="nil"/>
              <w:right w:val="nil"/>
            </w:tcBorders>
            <w:shd w:val="clear" w:color="auto" w:fill="auto"/>
            <w:noWrap/>
            <w:vAlign w:val="center"/>
            <w:hideMark/>
          </w:tcPr>
          <w:p w14:paraId="5DC1545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-0.005</w:t>
            </w:r>
          </w:p>
        </w:tc>
        <w:tc>
          <w:tcPr>
            <w:tcW w:w="851" w:type="dxa"/>
            <w:tcBorders>
              <w:top w:val="nil"/>
              <w:left w:val="nil"/>
              <w:bottom w:val="nil"/>
              <w:right w:val="nil"/>
            </w:tcBorders>
            <w:shd w:val="clear" w:color="auto" w:fill="auto"/>
            <w:noWrap/>
            <w:vAlign w:val="center"/>
            <w:hideMark/>
          </w:tcPr>
          <w:p w14:paraId="5CCD8EE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0.014</w:t>
            </w:r>
          </w:p>
        </w:tc>
      </w:tr>
      <w:tr w:rsidR="001A6B3E" w:rsidRPr="001A6B3E" w14:paraId="448E5BB7" w14:textId="77777777" w:rsidTr="00284C07">
        <w:trPr>
          <w:gridAfter w:val="1"/>
          <w:wAfter w:w="25" w:type="dxa"/>
          <w:trHeight w:val="132"/>
        </w:trPr>
        <w:tc>
          <w:tcPr>
            <w:tcW w:w="1112" w:type="dxa"/>
            <w:tcBorders>
              <w:top w:val="nil"/>
              <w:left w:val="nil"/>
              <w:bottom w:val="nil"/>
              <w:right w:val="nil"/>
            </w:tcBorders>
            <w:shd w:val="clear" w:color="auto" w:fill="auto"/>
            <w:vAlign w:val="bottom"/>
            <w:hideMark/>
          </w:tcPr>
          <w:p w14:paraId="437BEBC3" w14:textId="77777777" w:rsidR="00B5460B" w:rsidRPr="001A6B3E" w:rsidRDefault="00B5460B" w:rsidP="00B5460B">
            <w:pPr>
              <w:spacing w:after="0" w:line="240" w:lineRule="auto"/>
              <w:jc w:val="center"/>
              <w:rPr>
                <w:rFonts w:ascii="Times New Roman" w:eastAsia="Times New Roman" w:hAnsi="Times New Roman" w:cs="Times New Roman"/>
                <w:color w:val="000000"/>
                <w:sz w:val="16"/>
              </w:rPr>
            </w:pPr>
          </w:p>
        </w:tc>
        <w:tc>
          <w:tcPr>
            <w:tcW w:w="714" w:type="dxa"/>
            <w:tcBorders>
              <w:top w:val="nil"/>
              <w:left w:val="nil"/>
              <w:bottom w:val="nil"/>
              <w:right w:val="nil"/>
            </w:tcBorders>
            <w:shd w:val="clear" w:color="auto" w:fill="auto"/>
            <w:noWrap/>
            <w:vAlign w:val="center"/>
            <w:hideMark/>
          </w:tcPr>
          <w:p w14:paraId="04106BB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(0.085)</w:t>
            </w:r>
          </w:p>
        </w:tc>
        <w:tc>
          <w:tcPr>
            <w:tcW w:w="873" w:type="dxa"/>
            <w:tcBorders>
              <w:top w:val="nil"/>
              <w:left w:val="nil"/>
              <w:bottom w:val="nil"/>
              <w:right w:val="nil"/>
            </w:tcBorders>
            <w:shd w:val="clear" w:color="auto" w:fill="auto"/>
            <w:noWrap/>
            <w:vAlign w:val="center"/>
            <w:hideMark/>
          </w:tcPr>
          <w:p w14:paraId="04FFFC3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(0.581)</w:t>
            </w:r>
          </w:p>
        </w:tc>
        <w:tc>
          <w:tcPr>
            <w:tcW w:w="714" w:type="dxa"/>
            <w:tcBorders>
              <w:top w:val="nil"/>
              <w:left w:val="nil"/>
              <w:bottom w:val="nil"/>
              <w:right w:val="nil"/>
            </w:tcBorders>
            <w:shd w:val="clear" w:color="auto" w:fill="auto"/>
            <w:noWrap/>
            <w:vAlign w:val="center"/>
            <w:hideMark/>
          </w:tcPr>
          <w:p w14:paraId="6B7C2D3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(0.079)</w:t>
            </w:r>
          </w:p>
        </w:tc>
        <w:tc>
          <w:tcPr>
            <w:tcW w:w="1206" w:type="dxa"/>
            <w:tcBorders>
              <w:top w:val="nil"/>
              <w:left w:val="nil"/>
              <w:bottom w:val="nil"/>
              <w:right w:val="nil"/>
            </w:tcBorders>
            <w:shd w:val="clear" w:color="auto" w:fill="auto"/>
            <w:noWrap/>
            <w:vAlign w:val="center"/>
            <w:hideMark/>
          </w:tcPr>
          <w:p w14:paraId="15E053C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(1.412)</w:t>
            </w:r>
          </w:p>
        </w:tc>
        <w:tc>
          <w:tcPr>
            <w:tcW w:w="826" w:type="dxa"/>
            <w:tcBorders>
              <w:top w:val="nil"/>
              <w:left w:val="nil"/>
              <w:bottom w:val="nil"/>
              <w:right w:val="nil"/>
            </w:tcBorders>
            <w:shd w:val="clear" w:color="auto" w:fill="auto"/>
            <w:noWrap/>
            <w:vAlign w:val="center"/>
            <w:hideMark/>
          </w:tcPr>
          <w:p w14:paraId="59FAD23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(0.249)</w:t>
            </w:r>
          </w:p>
        </w:tc>
        <w:tc>
          <w:tcPr>
            <w:tcW w:w="747" w:type="dxa"/>
            <w:tcBorders>
              <w:top w:val="nil"/>
              <w:left w:val="nil"/>
              <w:bottom w:val="nil"/>
              <w:right w:val="nil"/>
            </w:tcBorders>
            <w:shd w:val="clear" w:color="auto" w:fill="auto"/>
            <w:noWrap/>
            <w:vAlign w:val="center"/>
            <w:hideMark/>
          </w:tcPr>
          <w:p w14:paraId="06601294"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(0.016)</w:t>
            </w:r>
          </w:p>
        </w:tc>
        <w:tc>
          <w:tcPr>
            <w:tcW w:w="821" w:type="dxa"/>
            <w:tcBorders>
              <w:top w:val="nil"/>
              <w:left w:val="nil"/>
              <w:bottom w:val="nil"/>
              <w:right w:val="nil"/>
            </w:tcBorders>
            <w:shd w:val="clear" w:color="auto" w:fill="auto"/>
            <w:noWrap/>
            <w:vAlign w:val="center"/>
            <w:hideMark/>
          </w:tcPr>
          <w:p w14:paraId="2EB575E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(0.030)</w:t>
            </w:r>
          </w:p>
        </w:tc>
        <w:tc>
          <w:tcPr>
            <w:tcW w:w="805" w:type="dxa"/>
            <w:tcBorders>
              <w:top w:val="nil"/>
              <w:left w:val="nil"/>
              <w:bottom w:val="nil"/>
              <w:right w:val="nil"/>
            </w:tcBorders>
            <w:shd w:val="clear" w:color="auto" w:fill="auto"/>
            <w:noWrap/>
            <w:vAlign w:val="center"/>
            <w:hideMark/>
          </w:tcPr>
          <w:p w14:paraId="027828D6"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(0.034)</w:t>
            </w:r>
          </w:p>
        </w:tc>
        <w:tc>
          <w:tcPr>
            <w:tcW w:w="797" w:type="dxa"/>
            <w:tcBorders>
              <w:top w:val="nil"/>
              <w:left w:val="nil"/>
              <w:bottom w:val="nil"/>
              <w:right w:val="nil"/>
            </w:tcBorders>
            <w:shd w:val="clear" w:color="auto" w:fill="auto"/>
            <w:noWrap/>
            <w:vAlign w:val="center"/>
            <w:hideMark/>
          </w:tcPr>
          <w:p w14:paraId="56C3430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(0.027)</w:t>
            </w:r>
          </w:p>
        </w:tc>
        <w:tc>
          <w:tcPr>
            <w:tcW w:w="851" w:type="dxa"/>
            <w:tcBorders>
              <w:top w:val="nil"/>
              <w:left w:val="nil"/>
              <w:bottom w:val="nil"/>
              <w:right w:val="nil"/>
            </w:tcBorders>
            <w:shd w:val="clear" w:color="auto" w:fill="auto"/>
            <w:noWrap/>
            <w:vAlign w:val="center"/>
            <w:hideMark/>
          </w:tcPr>
          <w:p w14:paraId="1BEF409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(0.017)</w:t>
            </w:r>
          </w:p>
        </w:tc>
      </w:tr>
      <w:tr w:rsidR="001A6B3E" w:rsidRPr="001A6B3E" w14:paraId="0F707785" w14:textId="77777777" w:rsidTr="00284C07">
        <w:trPr>
          <w:gridAfter w:val="1"/>
          <w:wAfter w:w="25" w:type="dxa"/>
          <w:trHeight w:val="267"/>
        </w:trPr>
        <w:tc>
          <w:tcPr>
            <w:tcW w:w="1112" w:type="dxa"/>
            <w:tcBorders>
              <w:top w:val="nil"/>
              <w:left w:val="nil"/>
              <w:bottom w:val="nil"/>
              <w:right w:val="nil"/>
            </w:tcBorders>
            <w:shd w:val="clear" w:color="auto" w:fill="auto"/>
            <w:vAlign w:val="bottom"/>
            <w:hideMark/>
          </w:tcPr>
          <w:p w14:paraId="24615A6B"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2006 Cohort*Tulsa Achieves Eligibility</w:t>
            </w:r>
          </w:p>
        </w:tc>
        <w:tc>
          <w:tcPr>
            <w:tcW w:w="714" w:type="dxa"/>
            <w:tcBorders>
              <w:top w:val="nil"/>
              <w:left w:val="nil"/>
              <w:bottom w:val="nil"/>
              <w:right w:val="nil"/>
            </w:tcBorders>
            <w:shd w:val="clear" w:color="auto" w:fill="auto"/>
            <w:noWrap/>
            <w:vAlign w:val="center"/>
            <w:hideMark/>
          </w:tcPr>
          <w:p w14:paraId="45D673A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873" w:type="dxa"/>
            <w:tcBorders>
              <w:top w:val="nil"/>
              <w:left w:val="nil"/>
              <w:bottom w:val="nil"/>
              <w:right w:val="nil"/>
            </w:tcBorders>
            <w:shd w:val="clear" w:color="auto" w:fill="auto"/>
            <w:noWrap/>
            <w:vAlign w:val="center"/>
            <w:hideMark/>
          </w:tcPr>
          <w:p w14:paraId="4F2034D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714" w:type="dxa"/>
            <w:tcBorders>
              <w:top w:val="nil"/>
              <w:left w:val="nil"/>
              <w:bottom w:val="nil"/>
              <w:right w:val="nil"/>
            </w:tcBorders>
            <w:shd w:val="clear" w:color="auto" w:fill="auto"/>
            <w:noWrap/>
            <w:vAlign w:val="center"/>
            <w:hideMark/>
          </w:tcPr>
          <w:p w14:paraId="219743F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1206" w:type="dxa"/>
            <w:tcBorders>
              <w:top w:val="nil"/>
              <w:left w:val="nil"/>
              <w:bottom w:val="nil"/>
              <w:right w:val="nil"/>
            </w:tcBorders>
            <w:shd w:val="clear" w:color="auto" w:fill="auto"/>
            <w:noWrap/>
            <w:vAlign w:val="center"/>
            <w:hideMark/>
          </w:tcPr>
          <w:p w14:paraId="431829B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826" w:type="dxa"/>
            <w:tcBorders>
              <w:top w:val="nil"/>
              <w:left w:val="nil"/>
              <w:bottom w:val="nil"/>
              <w:right w:val="nil"/>
            </w:tcBorders>
            <w:shd w:val="clear" w:color="auto" w:fill="auto"/>
            <w:noWrap/>
            <w:vAlign w:val="center"/>
            <w:hideMark/>
          </w:tcPr>
          <w:p w14:paraId="1105EF8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747" w:type="dxa"/>
            <w:tcBorders>
              <w:top w:val="nil"/>
              <w:left w:val="nil"/>
              <w:bottom w:val="nil"/>
              <w:right w:val="nil"/>
            </w:tcBorders>
            <w:shd w:val="clear" w:color="auto" w:fill="auto"/>
            <w:noWrap/>
            <w:vAlign w:val="center"/>
            <w:hideMark/>
          </w:tcPr>
          <w:p w14:paraId="2BC407C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821" w:type="dxa"/>
            <w:tcBorders>
              <w:top w:val="nil"/>
              <w:left w:val="nil"/>
              <w:bottom w:val="nil"/>
              <w:right w:val="nil"/>
            </w:tcBorders>
            <w:shd w:val="clear" w:color="auto" w:fill="auto"/>
            <w:noWrap/>
            <w:vAlign w:val="center"/>
            <w:hideMark/>
          </w:tcPr>
          <w:p w14:paraId="1A6A69E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805" w:type="dxa"/>
            <w:tcBorders>
              <w:top w:val="nil"/>
              <w:left w:val="nil"/>
              <w:bottom w:val="nil"/>
              <w:right w:val="nil"/>
            </w:tcBorders>
            <w:shd w:val="clear" w:color="auto" w:fill="auto"/>
            <w:noWrap/>
            <w:vAlign w:val="center"/>
            <w:hideMark/>
          </w:tcPr>
          <w:p w14:paraId="7F6DA73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797" w:type="dxa"/>
            <w:tcBorders>
              <w:top w:val="nil"/>
              <w:left w:val="nil"/>
              <w:bottom w:val="nil"/>
              <w:right w:val="nil"/>
            </w:tcBorders>
            <w:shd w:val="clear" w:color="auto" w:fill="auto"/>
            <w:noWrap/>
            <w:vAlign w:val="center"/>
            <w:hideMark/>
          </w:tcPr>
          <w:p w14:paraId="2CB5FE0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c>
          <w:tcPr>
            <w:tcW w:w="851" w:type="dxa"/>
            <w:tcBorders>
              <w:top w:val="nil"/>
              <w:left w:val="nil"/>
              <w:bottom w:val="nil"/>
              <w:right w:val="nil"/>
            </w:tcBorders>
            <w:shd w:val="clear" w:color="auto" w:fill="auto"/>
            <w:noWrap/>
            <w:vAlign w:val="center"/>
            <w:hideMark/>
          </w:tcPr>
          <w:p w14:paraId="5CDFC409"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OMIT</w:t>
            </w:r>
          </w:p>
        </w:tc>
      </w:tr>
      <w:tr w:rsidR="001A6B3E" w:rsidRPr="001A6B3E" w14:paraId="1BC44891" w14:textId="77777777" w:rsidTr="00284C07">
        <w:trPr>
          <w:gridAfter w:val="1"/>
          <w:wAfter w:w="25" w:type="dxa"/>
          <w:trHeight w:val="267"/>
        </w:trPr>
        <w:tc>
          <w:tcPr>
            <w:tcW w:w="1112" w:type="dxa"/>
            <w:tcBorders>
              <w:top w:val="nil"/>
              <w:left w:val="nil"/>
              <w:bottom w:val="nil"/>
              <w:right w:val="nil"/>
            </w:tcBorders>
            <w:shd w:val="clear" w:color="auto" w:fill="auto"/>
            <w:vAlign w:val="bottom"/>
            <w:hideMark/>
          </w:tcPr>
          <w:p w14:paraId="3AE39353"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Post Cohort*Tulsa Achieves Eligibility</w:t>
            </w:r>
          </w:p>
        </w:tc>
        <w:tc>
          <w:tcPr>
            <w:tcW w:w="714" w:type="dxa"/>
            <w:tcBorders>
              <w:top w:val="nil"/>
              <w:left w:val="nil"/>
              <w:bottom w:val="nil"/>
              <w:right w:val="nil"/>
            </w:tcBorders>
            <w:shd w:val="clear" w:color="auto" w:fill="auto"/>
            <w:noWrap/>
            <w:vAlign w:val="center"/>
            <w:hideMark/>
          </w:tcPr>
          <w:p w14:paraId="4797B41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0.048</w:t>
            </w:r>
          </w:p>
        </w:tc>
        <w:tc>
          <w:tcPr>
            <w:tcW w:w="873" w:type="dxa"/>
            <w:tcBorders>
              <w:top w:val="nil"/>
              <w:left w:val="nil"/>
              <w:bottom w:val="nil"/>
              <w:right w:val="nil"/>
            </w:tcBorders>
            <w:shd w:val="clear" w:color="auto" w:fill="auto"/>
            <w:noWrap/>
            <w:vAlign w:val="center"/>
            <w:hideMark/>
          </w:tcPr>
          <w:p w14:paraId="21E3ACA5"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0.706*</w:t>
            </w:r>
          </w:p>
        </w:tc>
        <w:tc>
          <w:tcPr>
            <w:tcW w:w="714" w:type="dxa"/>
            <w:tcBorders>
              <w:top w:val="nil"/>
              <w:left w:val="nil"/>
              <w:bottom w:val="nil"/>
              <w:right w:val="nil"/>
            </w:tcBorders>
            <w:shd w:val="clear" w:color="auto" w:fill="auto"/>
            <w:noWrap/>
            <w:vAlign w:val="center"/>
            <w:hideMark/>
          </w:tcPr>
          <w:p w14:paraId="3662FFD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0.043</w:t>
            </w:r>
          </w:p>
        </w:tc>
        <w:tc>
          <w:tcPr>
            <w:tcW w:w="1206" w:type="dxa"/>
            <w:tcBorders>
              <w:top w:val="nil"/>
              <w:left w:val="nil"/>
              <w:bottom w:val="nil"/>
              <w:right w:val="nil"/>
            </w:tcBorders>
            <w:shd w:val="clear" w:color="auto" w:fill="auto"/>
            <w:noWrap/>
            <w:vAlign w:val="center"/>
            <w:hideMark/>
          </w:tcPr>
          <w:p w14:paraId="0EFCF8E1"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1.190</w:t>
            </w:r>
          </w:p>
        </w:tc>
        <w:tc>
          <w:tcPr>
            <w:tcW w:w="826" w:type="dxa"/>
            <w:tcBorders>
              <w:top w:val="nil"/>
              <w:left w:val="nil"/>
              <w:bottom w:val="nil"/>
              <w:right w:val="nil"/>
            </w:tcBorders>
            <w:shd w:val="clear" w:color="auto" w:fill="auto"/>
            <w:noWrap/>
            <w:vAlign w:val="center"/>
            <w:hideMark/>
          </w:tcPr>
          <w:p w14:paraId="19E47E3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0.285*</w:t>
            </w:r>
          </w:p>
        </w:tc>
        <w:tc>
          <w:tcPr>
            <w:tcW w:w="747" w:type="dxa"/>
            <w:tcBorders>
              <w:top w:val="nil"/>
              <w:left w:val="nil"/>
              <w:bottom w:val="nil"/>
              <w:right w:val="nil"/>
            </w:tcBorders>
            <w:shd w:val="clear" w:color="auto" w:fill="auto"/>
            <w:noWrap/>
            <w:vAlign w:val="center"/>
            <w:hideMark/>
          </w:tcPr>
          <w:p w14:paraId="6DCA0F51"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0.012</w:t>
            </w:r>
          </w:p>
        </w:tc>
        <w:tc>
          <w:tcPr>
            <w:tcW w:w="821" w:type="dxa"/>
            <w:tcBorders>
              <w:top w:val="nil"/>
              <w:left w:val="nil"/>
              <w:bottom w:val="nil"/>
              <w:right w:val="nil"/>
            </w:tcBorders>
            <w:shd w:val="clear" w:color="auto" w:fill="auto"/>
            <w:noWrap/>
            <w:vAlign w:val="center"/>
            <w:hideMark/>
          </w:tcPr>
          <w:p w14:paraId="7BBA7761"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0.004</w:t>
            </w:r>
          </w:p>
        </w:tc>
        <w:tc>
          <w:tcPr>
            <w:tcW w:w="805" w:type="dxa"/>
            <w:tcBorders>
              <w:top w:val="nil"/>
              <w:left w:val="nil"/>
              <w:bottom w:val="nil"/>
              <w:right w:val="nil"/>
            </w:tcBorders>
            <w:shd w:val="clear" w:color="auto" w:fill="auto"/>
            <w:noWrap/>
            <w:vAlign w:val="center"/>
            <w:hideMark/>
          </w:tcPr>
          <w:p w14:paraId="3B82C63D"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-0.066***</w:t>
            </w:r>
          </w:p>
        </w:tc>
        <w:tc>
          <w:tcPr>
            <w:tcW w:w="797" w:type="dxa"/>
            <w:tcBorders>
              <w:top w:val="nil"/>
              <w:left w:val="nil"/>
              <w:bottom w:val="nil"/>
              <w:right w:val="nil"/>
            </w:tcBorders>
            <w:shd w:val="clear" w:color="auto" w:fill="auto"/>
            <w:noWrap/>
            <w:vAlign w:val="center"/>
            <w:hideMark/>
          </w:tcPr>
          <w:p w14:paraId="22FBF1B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0.010</w:t>
            </w:r>
          </w:p>
        </w:tc>
        <w:tc>
          <w:tcPr>
            <w:tcW w:w="851" w:type="dxa"/>
            <w:tcBorders>
              <w:top w:val="nil"/>
              <w:left w:val="nil"/>
              <w:bottom w:val="nil"/>
              <w:right w:val="nil"/>
            </w:tcBorders>
            <w:shd w:val="clear" w:color="auto" w:fill="auto"/>
            <w:noWrap/>
            <w:vAlign w:val="center"/>
            <w:hideMark/>
          </w:tcPr>
          <w:p w14:paraId="367403D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0.028**</w:t>
            </w:r>
          </w:p>
        </w:tc>
      </w:tr>
      <w:tr w:rsidR="001A6B3E" w:rsidRPr="001A6B3E" w14:paraId="19CDB460" w14:textId="77777777" w:rsidTr="00284C07">
        <w:trPr>
          <w:gridAfter w:val="1"/>
          <w:wAfter w:w="25" w:type="dxa"/>
          <w:trHeight w:val="132"/>
        </w:trPr>
        <w:tc>
          <w:tcPr>
            <w:tcW w:w="1112" w:type="dxa"/>
            <w:tcBorders>
              <w:top w:val="nil"/>
              <w:left w:val="nil"/>
              <w:bottom w:val="nil"/>
              <w:right w:val="nil"/>
            </w:tcBorders>
            <w:shd w:val="clear" w:color="auto" w:fill="auto"/>
            <w:noWrap/>
            <w:vAlign w:val="bottom"/>
            <w:hideMark/>
          </w:tcPr>
          <w:p w14:paraId="5420A70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rPr>
            </w:pPr>
          </w:p>
        </w:tc>
        <w:tc>
          <w:tcPr>
            <w:tcW w:w="714" w:type="dxa"/>
            <w:tcBorders>
              <w:top w:val="nil"/>
              <w:left w:val="nil"/>
              <w:bottom w:val="nil"/>
              <w:right w:val="nil"/>
            </w:tcBorders>
            <w:shd w:val="clear" w:color="auto" w:fill="auto"/>
            <w:noWrap/>
            <w:vAlign w:val="center"/>
            <w:hideMark/>
          </w:tcPr>
          <w:p w14:paraId="03B3EAB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(0.060)</w:t>
            </w:r>
          </w:p>
        </w:tc>
        <w:tc>
          <w:tcPr>
            <w:tcW w:w="873" w:type="dxa"/>
            <w:tcBorders>
              <w:top w:val="nil"/>
              <w:left w:val="nil"/>
              <w:bottom w:val="nil"/>
              <w:right w:val="nil"/>
            </w:tcBorders>
            <w:shd w:val="clear" w:color="auto" w:fill="auto"/>
            <w:noWrap/>
            <w:vAlign w:val="center"/>
            <w:hideMark/>
          </w:tcPr>
          <w:p w14:paraId="28414DE5"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(0.412)</w:t>
            </w:r>
          </w:p>
        </w:tc>
        <w:tc>
          <w:tcPr>
            <w:tcW w:w="714" w:type="dxa"/>
            <w:tcBorders>
              <w:top w:val="nil"/>
              <w:left w:val="nil"/>
              <w:bottom w:val="nil"/>
              <w:right w:val="nil"/>
            </w:tcBorders>
            <w:shd w:val="clear" w:color="auto" w:fill="auto"/>
            <w:noWrap/>
            <w:vAlign w:val="center"/>
            <w:hideMark/>
          </w:tcPr>
          <w:p w14:paraId="6C561FF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(0.055)</w:t>
            </w:r>
          </w:p>
        </w:tc>
        <w:tc>
          <w:tcPr>
            <w:tcW w:w="1206" w:type="dxa"/>
            <w:tcBorders>
              <w:top w:val="nil"/>
              <w:left w:val="nil"/>
              <w:bottom w:val="nil"/>
              <w:right w:val="nil"/>
            </w:tcBorders>
            <w:shd w:val="clear" w:color="auto" w:fill="auto"/>
            <w:noWrap/>
            <w:vAlign w:val="center"/>
            <w:hideMark/>
          </w:tcPr>
          <w:p w14:paraId="3F15DF9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(0.987)</w:t>
            </w:r>
          </w:p>
        </w:tc>
        <w:tc>
          <w:tcPr>
            <w:tcW w:w="826" w:type="dxa"/>
            <w:tcBorders>
              <w:top w:val="nil"/>
              <w:left w:val="nil"/>
              <w:bottom w:val="nil"/>
              <w:right w:val="nil"/>
            </w:tcBorders>
            <w:shd w:val="clear" w:color="auto" w:fill="auto"/>
            <w:noWrap/>
            <w:vAlign w:val="center"/>
            <w:hideMark/>
          </w:tcPr>
          <w:p w14:paraId="452E690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(0.171)</w:t>
            </w:r>
          </w:p>
        </w:tc>
        <w:tc>
          <w:tcPr>
            <w:tcW w:w="747" w:type="dxa"/>
            <w:tcBorders>
              <w:top w:val="nil"/>
              <w:left w:val="nil"/>
              <w:bottom w:val="nil"/>
              <w:right w:val="nil"/>
            </w:tcBorders>
            <w:shd w:val="clear" w:color="auto" w:fill="auto"/>
            <w:noWrap/>
            <w:vAlign w:val="center"/>
            <w:hideMark/>
          </w:tcPr>
          <w:p w14:paraId="208144C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(0.012)</w:t>
            </w:r>
          </w:p>
        </w:tc>
        <w:tc>
          <w:tcPr>
            <w:tcW w:w="821" w:type="dxa"/>
            <w:tcBorders>
              <w:top w:val="nil"/>
              <w:left w:val="nil"/>
              <w:bottom w:val="nil"/>
              <w:right w:val="nil"/>
            </w:tcBorders>
            <w:shd w:val="clear" w:color="auto" w:fill="auto"/>
            <w:noWrap/>
            <w:vAlign w:val="center"/>
            <w:hideMark/>
          </w:tcPr>
          <w:p w14:paraId="1A39834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(0.020)</w:t>
            </w:r>
          </w:p>
        </w:tc>
        <w:tc>
          <w:tcPr>
            <w:tcW w:w="805" w:type="dxa"/>
            <w:tcBorders>
              <w:top w:val="nil"/>
              <w:left w:val="nil"/>
              <w:bottom w:val="nil"/>
              <w:right w:val="nil"/>
            </w:tcBorders>
            <w:shd w:val="clear" w:color="auto" w:fill="auto"/>
            <w:noWrap/>
            <w:vAlign w:val="center"/>
            <w:hideMark/>
          </w:tcPr>
          <w:p w14:paraId="2B6F137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(0.023)</w:t>
            </w:r>
          </w:p>
        </w:tc>
        <w:tc>
          <w:tcPr>
            <w:tcW w:w="797" w:type="dxa"/>
            <w:tcBorders>
              <w:top w:val="nil"/>
              <w:left w:val="nil"/>
              <w:bottom w:val="nil"/>
              <w:right w:val="nil"/>
            </w:tcBorders>
            <w:shd w:val="clear" w:color="auto" w:fill="auto"/>
            <w:noWrap/>
            <w:vAlign w:val="center"/>
            <w:hideMark/>
          </w:tcPr>
          <w:p w14:paraId="5F4A84A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(0.019)</w:t>
            </w:r>
          </w:p>
        </w:tc>
        <w:tc>
          <w:tcPr>
            <w:tcW w:w="851" w:type="dxa"/>
            <w:tcBorders>
              <w:top w:val="nil"/>
              <w:left w:val="nil"/>
              <w:bottom w:val="nil"/>
              <w:right w:val="nil"/>
            </w:tcBorders>
            <w:shd w:val="clear" w:color="auto" w:fill="auto"/>
            <w:noWrap/>
            <w:vAlign w:val="center"/>
            <w:hideMark/>
          </w:tcPr>
          <w:p w14:paraId="48D1203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(0.011)</w:t>
            </w:r>
          </w:p>
        </w:tc>
      </w:tr>
      <w:tr w:rsidR="001A6B3E" w:rsidRPr="001A6B3E" w14:paraId="03A80B87" w14:textId="77777777" w:rsidTr="00284C07">
        <w:trPr>
          <w:gridAfter w:val="1"/>
          <w:wAfter w:w="25" w:type="dxa"/>
          <w:trHeight w:val="132"/>
        </w:trPr>
        <w:tc>
          <w:tcPr>
            <w:tcW w:w="1112" w:type="dxa"/>
            <w:tcBorders>
              <w:top w:val="nil"/>
              <w:left w:val="nil"/>
              <w:bottom w:val="nil"/>
              <w:right w:val="nil"/>
            </w:tcBorders>
            <w:shd w:val="clear" w:color="auto" w:fill="auto"/>
            <w:noWrap/>
            <w:vAlign w:val="bottom"/>
            <w:hideMark/>
          </w:tcPr>
          <w:p w14:paraId="038D8AEA" w14:textId="77777777" w:rsidR="00B5460B" w:rsidRPr="001A6B3E" w:rsidRDefault="00B5460B" w:rsidP="00B5460B">
            <w:pPr>
              <w:spacing w:after="0" w:line="240" w:lineRule="auto"/>
              <w:jc w:val="center"/>
              <w:rPr>
                <w:rFonts w:ascii="Times New Roman" w:eastAsia="Times New Roman" w:hAnsi="Times New Roman" w:cs="Times New Roman"/>
                <w:color w:val="000000"/>
                <w:sz w:val="16"/>
              </w:rPr>
            </w:pPr>
          </w:p>
        </w:tc>
        <w:tc>
          <w:tcPr>
            <w:tcW w:w="714" w:type="dxa"/>
            <w:tcBorders>
              <w:top w:val="nil"/>
              <w:left w:val="nil"/>
              <w:bottom w:val="nil"/>
              <w:right w:val="nil"/>
            </w:tcBorders>
            <w:shd w:val="clear" w:color="auto" w:fill="auto"/>
            <w:noWrap/>
            <w:vAlign w:val="bottom"/>
            <w:hideMark/>
          </w:tcPr>
          <w:p w14:paraId="6816E3C9" w14:textId="77777777" w:rsidR="00B5460B" w:rsidRPr="001A6B3E" w:rsidRDefault="00B5460B" w:rsidP="00B5460B">
            <w:pPr>
              <w:spacing w:after="0" w:line="240" w:lineRule="auto"/>
              <w:rPr>
                <w:rFonts w:ascii="Times New Roman" w:eastAsia="Times New Roman" w:hAnsi="Times New Roman" w:cs="Times New Roman"/>
                <w:sz w:val="16"/>
                <w:szCs w:val="20"/>
              </w:rPr>
            </w:pPr>
          </w:p>
        </w:tc>
        <w:tc>
          <w:tcPr>
            <w:tcW w:w="873" w:type="dxa"/>
            <w:tcBorders>
              <w:top w:val="nil"/>
              <w:left w:val="nil"/>
              <w:bottom w:val="nil"/>
              <w:right w:val="nil"/>
            </w:tcBorders>
            <w:shd w:val="clear" w:color="auto" w:fill="auto"/>
            <w:noWrap/>
            <w:vAlign w:val="bottom"/>
            <w:hideMark/>
          </w:tcPr>
          <w:p w14:paraId="512D7960"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14" w:type="dxa"/>
            <w:tcBorders>
              <w:top w:val="nil"/>
              <w:left w:val="nil"/>
              <w:bottom w:val="nil"/>
              <w:right w:val="nil"/>
            </w:tcBorders>
            <w:shd w:val="clear" w:color="auto" w:fill="auto"/>
            <w:noWrap/>
            <w:vAlign w:val="bottom"/>
            <w:hideMark/>
          </w:tcPr>
          <w:p w14:paraId="58962C2B"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1206" w:type="dxa"/>
            <w:tcBorders>
              <w:top w:val="nil"/>
              <w:left w:val="nil"/>
              <w:bottom w:val="nil"/>
              <w:right w:val="nil"/>
            </w:tcBorders>
            <w:shd w:val="clear" w:color="auto" w:fill="auto"/>
            <w:noWrap/>
            <w:vAlign w:val="bottom"/>
            <w:hideMark/>
          </w:tcPr>
          <w:p w14:paraId="142954BA"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26" w:type="dxa"/>
            <w:tcBorders>
              <w:top w:val="nil"/>
              <w:left w:val="nil"/>
              <w:bottom w:val="nil"/>
              <w:right w:val="nil"/>
            </w:tcBorders>
            <w:shd w:val="clear" w:color="auto" w:fill="auto"/>
            <w:noWrap/>
            <w:vAlign w:val="bottom"/>
            <w:hideMark/>
          </w:tcPr>
          <w:p w14:paraId="10A414A7"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47" w:type="dxa"/>
            <w:tcBorders>
              <w:top w:val="nil"/>
              <w:left w:val="nil"/>
              <w:bottom w:val="nil"/>
              <w:right w:val="nil"/>
            </w:tcBorders>
            <w:shd w:val="clear" w:color="auto" w:fill="auto"/>
            <w:noWrap/>
            <w:vAlign w:val="bottom"/>
            <w:hideMark/>
          </w:tcPr>
          <w:p w14:paraId="01B8FD2C"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21" w:type="dxa"/>
            <w:tcBorders>
              <w:top w:val="nil"/>
              <w:left w:val="nil"/>
              <w:bottom w:val="nil"/>
              <w:right w:val="nil"/>
            </w:tcBorders>
            <w:shd w:val="clear" w:color="auto" w:fill="auto"/>
            <w:noWrap/>
            <w:vAlign w:val="bottom"/>
            <w:hideMark/>
          </w:tcPr>
          <w:p w14:paraId="30D544CC"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00BD085A"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797" w:type="dxa"/>
            <w:tcBorders>
              <w:top w:val="nil"/>
              <w:left w:val="nil"/>
              <w:bottom w:val="nil"/>
              <w:right w:val="nil"/>
            </w:tcBorders>
            <w:shd w:val="clear" w:color="auto" w:fill="auto"/>
            <w:noWrap/>
            <w:vAlign w:val="bottom"/>
            <w:hideMark/>
          </w:tcPr>
          <w:p w14:paraId="6EF61EB0"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c>
          <w:tcPr>
            <w:tcW w:w="851" w:type="dxa"/>
            <w:tcBorders>
              <w:top w:val="nil"/>
              <w:left w:val="nil"/>
              <w:bottom w:val="nil"/>
              <w:right w:val="nil"/>
            </w:tcBorders>
            <w:shd w:val="clear" w:color="auto" w:fill="auto"/>
            <w:noWrap/>
            <w:vAlign w:val="bottom"/>
            <w:hideMark/>
          </w:tcPr>
          <w:p w14:paraId="73043667" w14:textId="77777777" w:rsidR="00B5460B" w:rsidRPr="001A6B3E" w:rsidRDefault="00B5460B" w:rsidP="00B5460B">
            <w:pPr>
              <w:spacing w:after="0" w:line="240" w:lineRule="auto"/>
              <w:jc w:val="center"/>
              <w:rPr>
                <w:rFonts w:ascii="Times New Roman" w:eastAsia="Times New Roman" w:hAnsi="Times New Roman" w:cs="Times New Roman"/>
                <w:sz w:val="16"/>
                <w:szCs w:val="20"/>
              </w:rPr>
            </w:pPr>
          </w:p>
        </w:tc>
      </w:tr>
      <w:tr w:rsidR="001A6B3E" w:rsidRPr="001A6B3E" w14:paraId="7E6B0C19" w14:textId="77777777" w:rsidTr="00284C07">
        <w:trPr>
          <w:gridAfter w:val="1"/>
          <w:wAfter w:w="25" w:type="dxa"/>
          <w:trHeight w:val="132"/>
        </w:trPr>
        <w:tc>
          <w:tcPr>
            <w:tcW w:w="1112" w:type="dxa"/>
            <w:tcBorders>
              <w:top w:val="nil"/>
              <w:left w:val="nil"/>
              <w:bottom w:val="nil"/>
              <w:right w:val="nil"/>
            </w:tcBorders>
            <w:shd w:val="clear" w:color="auto" w:fill="auto"/>
            <w:noWrap/>
            <w:vAlign w:val="bottom"/>
            <w:hideMark/>
          </w:tcPr>
          <w:p w14:paraId="60CEE221"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Observations</w:t>
            </w:r>
          </w:p>
        </w:tc>
        <w:tc>
          <w:tcPr>
            <w:tcW w:w="714" w:type="dxa"/>
            <w:tcBorders>
              <w:top w:val="nil"/>
              <w:left w:val="nil"/>
              <w:bottom w:val="nil"/>
              <w:right w:val="nil"/>
            </w:tcBorders>
            <w:shd w:val="clear" w:color="auto" w:fill="auto"/>
            <w:noWrap/>
            <w:vAlign w:val="bottom"/>
            <w:hideMark/>
          </w:tcPr>
          <w:p w14:paraId="7BC5ECA4"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35,452</w:t>
            </w:r>
          </w:p>
        </w:tc>
        <w:tc>
          <w:tcPr>
            <w:tcW w:w="873" w:type="dxa"/>
            <w:tcBorders>
              <w:top w:val="nil"/>
              <w:left w:val="nil"/>
              <w:bottom w:val="nil"/>
              <w:right w:val="nil"/>
            </w:tcBorders>
            <w:shd w:val="clear" w:color="auto" w:fill="auto"/>
            <w:noWrap/>
            <w:vAlign w:val="bottom"/>
            <w:hideMark/>
          </w:tcPr>
          <w:p w14:paraId="73145BEB"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714" w:type="dxa"/>
            <w:tcBorders>
              <w:top w:val="nil"/>
              <w:left w:val="nil"/>
              <w:bottom w:val="nil"/>
              <w:right w:val="nil"/>
            </w:tcBorders>
            <w:shd w:val="clear" w:color="auto" w:fill="auto"/>
            <w:noWrap/>
            <w:vAlign w:val="bottom"/>
            <w:hideMark/>
          </w:tcPr>
          <w:p w14:paraId="6F172873"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35,455</w:t>
            </w:r>
          </w:p>
        </w:tc>
        <w:tc>
          <w:tcPr>
            <w:tcW w:w="1206" w:type="dxa"/>
            <w:tcBorders>
              <w:top w:val="nil"/>
              <w:left w:val="nil"/>
              <w:bottom w:val="nil"/>
              <w:right w:val="nil"/>
            </w:tcBorders>
            <w:shd w:val="clear" w:color="auto" w:fill="auto"/>
            <w:noWrap/>
            <w:vAlign w:val="bottom"/>
            <w:hideMark/>
          </w:tcPr>
          <w:p w14:paraId="6677BB23"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826" w:type="dxa"/>
            <w:tcBorders>
              <w:top w:val="nil"/>
              <w:left w:val="nil"/>
              <w:bottom w:val="nil"/>
              <w:right w:val="nil"/>
            </w:tcBorders>
            <w:shd w:val="clear" w:color="auto" w:fill="auto"/>
            <w:noWrap/>
            <w:vAlign w:val="bottom"/>
            <w:hideMark/>
          </w:tcPr>
          <w:p w14:paraId="1A531532"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747" w:type="dxa"/>
            <w:tcBorders>
              <w:top w:val="nil"/>
              <w:left w:val="nil"/>
              <w:bottom w:val="nil"/>
              <w:right w:val="nil"/>
            </w:tcBorders>
            <w:shd w:val="clear" w:color="auto" w:fill="auto"/>
            <w:noWrap/>
            <w:vAlign w:val="bottom"/>
            <w:hideMark/>
          </w:tcPr>
          <w:p w14:paraId="0060CCBA"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821" w:type="dxa"/>
            <w:tcBorders>
              <w:top w:val="nil"/>
              <w:left w:val="nil"/>
              <w:bottom w:val="nil"/>
              <w:right w:val="nil"/>
            </w:tcBorders>
            <w:shd w:val="clear" w:color="auto" w:fill="auto"/>
            <w:noWrap/>
            <w:vAlign w:val="bottom"/>
            <w:hideMark/>
          </w:tcPr>
          <w:p w14:paraId="1C9A9978"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805" w:type="dxa"/>
            <w:tcBorders>
              <w:top w:val="nil"/>
              <w:left w:val="nil"/>
              <w:bottom w:val="nil"/>
              <w:right w:val="nil"/>
            </w:tcBorders>
            <w:shd w:val="clear" w:color="auto" w:fill="auto"/>
            <w:noWrap/>
            <w:vAlign w:val="bottom"/>
            <w:hideMark/>
          </w:tcPr>
          <w:p w14:paraId="71FE5647"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797" w:type="dxa"/>
            <w:tcBorders>
              <w:top w:val="nil"/>
              <w:left w:val="nil"/>
              <w:bottom w:val="nil"/>
              <w:right w:val="nil"/>
            </w:tcBorders>
            <w:shd w:val="clear" w:color="auto" w:fill="auto"/>
            <w:noWrap/>
            <w:vAlign w:val="bottom"/>
            <w:hideMark/>
          </w:tcPr>
          <w:p w14:paraId="4540C72C"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c>
          <w:tcPr>
            <w:tcW w:w="851" w:type="dxa"/>
            <w:tcBorders>
              <w:top w:val="nil"/>
              <w:left w:val="nil"/>
              <w:bottom w:val="nil"/>
              <w:right w:val="nil"/>
            </w:tcBorders>
            <w:shd w:val="clear" w:color="auto" w:fill="auto"/>
            <w:noWrap/>
            <w:vAlign w:val="bottom"/>
            <w:hideMark/>
          </w:tcPr>
          <w:p w14:paraId="6125B3AE"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35,458</w:t>
            </w:r>
          </w:p>
        </w:tc>
      </w:tr>
      <w:tr w:rsidR="001A6B3E" w:rsidRPr="001A6B3E" w14:paraId="0FF9DBFC" w14:textId="77777777" w:rsidTr="00284C07">
        <w:trPr>
          <w:gridAfter w:val="1"/>
          <w:wAfter w:w="25" w:type="dxa"/>
          <w:trHeight w:val="132"/>
        </w:trPr>
        <w:tc>
          <w:tcPr>
            <w:tcW w:w="1112" w:type="dxa"/>
            <w:tcBorders>
              <w:top w:val="nil"/>
              <w:left w:val="nil"/>
              <w:bottom w:val="single" w:sz="4" w:space="0" w:color="auto"/>
              <w:right w:val="nil"/>
            </w:tcBorders>
            <w:shd w:val="clear" w:color="auto" w:fill="auto"/>
            <w:noWrap/>
            <w:vAlign w:val="bottom"/>
            <w:hideMark/>
          </w:tcPr>
          <w:p w14:paraId="6BBC1EE1"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R-squared</w:t>
            </w:r>
          </w:p>
        </w:tc>
        <w:tc>
          <w:tcPr>
            <w:tcW w:w="714" w:type="dxa"/>
            <w:tcBorders>
              <w:top w:val="nil"/>
              <w:left w:val="nil"/>
              <w:bottom w:val="single" w:sz="4" w:space="0" w:color="auto"/>
              <w:right w:val="nil"/>
            </w:tcBorders>
            <w:shd w:val="clear" w:color="auto" w:fill="auto"/>
            <w:noWrap/>
            <w:vAlign w:val="bottom"/>
            <w:hideMark/>
          </w:tcPr>
          <w:p w14:paraId="2AF98B0F"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0.168</w:t>
            </w:r>
          </w:p>
        </w:tc>
        <w:tc>
          <w:tcPr>
            <w:tcW w:w="873" w:type="dxa"/>
            <w:tcBorders>
              <w:top w:val="nil"/>
              <w:left w:val="nil"/>
              <w:bottom w:val="single" w:sz="4" w:space="0" w:color="auto"/>
              <w:right w:val="nil"/>
            </w:tcBorders>
            <w:shd w:val="clear" w:color="auto" w:fill="auto"/>
            <w:noWrap/>
            <w:vAlign w:val="bottom"/>
            <w:hideMark/>
          </w:tcPr>
          <w:p w14:paraId="425898E3"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0.196</w:t>
            </w:r>
          </w:p>
        </w:tc>
        <w:tc>
          <w:tcPr>
            <w:tcW w:w="714" w:type="dxa"/>
            <w:tcBorders>
              <w:top w:val="nil"/>
              <w:left w:val="nil"/>
              <w:bottom w:val="single" w:sz="4" w:space="0" w:color="auto"/>
              <w:right w:val="nil"/>
            </w:tcBorders>
            <w:shd w:val="clear" w:color="auto" w:fill="auto"/>
            <w:noWrap/>
            <w:vAlign w:val="bottom"/>
            <w:hideMark/>
          </w:tcPr>
          <w:p w14:paraId="5BEE1F85"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0.180</w:t>
            </w:r>
          </w:p>
        </w:tc>
        <w:tc>
          <w:tcPr>
            <w:tcW w:w="1206" w:type="dxa"/>
            <w:tcBorders>
              <w:top w:val="nil"/>
              <w:left w:val="nil"/>
              <w:bottom w:val="single" w:sz="4" w:space="0" w:color="auto"/>
              <w:right w:val="nil"/>
            </w:tcBorders>
            <w:shd w:val="clear" w:color="auto" w:fill="auto"/>
            <w:noWrap/>
            <w:vAlign w:val="bottom"/>
            <w:hideMark/>
          </w:tcPr>
          <w:p w14:paraId="593C1019"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0.228</w:t>
            </w:r>
          </w:p>
        </w:tc>
        <w:tc>
          <w:tcPr>
            <w:tcW w:w="826" w:type="dxa"/>
            <w:tcBorders>
              <w:top w:val="nil"/>
              <w:left w:val="nil"/>
              <w:bottom w:val="single" w:sz="4" w:space="0" w:color="auto"/>
              <w:right w:val="nil"/>
            </w:tcBorders>
            <w:shd w:val="clear" w:color="auto" w:fill="auto"/>
            <w:noWrap/>
            <w:vAlign w:val="bottom"/>
            <w:hideMark/>
          </w:tcPr>
          <w:p w14:paraId="704286AA"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0.220</w:t>
            </w:r>
          </w:p>
        </w:tc>
        <w:tc>
          <w:tcPr>
            <w:tcW w:w="747" w:type="dxa"/>
            <w:tcBorders>
              <w:top w:val="nil"/>
              <w:left w:val="nil"/>
              <w:bottom w:val="single" w:sz="4" w:space="0" w:color="auto"/>
              <w:right w:val="nil"/>
            </w:tcBorders>
            <w:shd w:val="clear" w:color="auto" w:fill="auto"/>
            <w:noWrap/>
            <w:vAlign w:val="bottom"/>
            <w:hideMark/>
          </w:tcPr>
          <w:p w14:paraId="4335241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0.062</w:t>
            </w:r>
          </w:p>
        </w:tc>
        <w:tc>
          <w:tcPr>
            <w:tcW w:w="821" w:type="dxa"/>
            <w:tcBorders>
              <w:top w:val="nil"/>
              <w:left w:val="nil"/>
              <w:bottom w:val="single" w:sz="4" w:space="0" w:color="auto"/>
              <w:right w:val="nil"/>
            </w:tcBorders>
            <w:shd w:val="clear" w:color="auto" w:fill="auto"/>
            <w:noWrap/>
            <w:vAlign w:val="bottom"/>
            <w:hideMark/>
          </w:tcPr>
          <w:p w14:paraId="68B560D6"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0.132</w:t>
            </w:r>
          </w:p>
        </w:tc>
        <w:tc>
          <w:tcPr>
            <w:tcW w:w="805" w:type="dxa"/>
            <w:tcBorders>
              <w:top w:val="nil"/>
              <w:left w:val="nil"/>
              <w:bottom w:val="single" w:sz="4" w:space="0" w:color="auto"/>
              <w:right w:val="nil"/>
            </w:tcBorders>
            <w:shd w:val="clear" w:color="auto" w:fill="auto"/>
            <w:noWrap/>
            <w:vAlign w:val="bottom"/>
            <w:hideMark/>
          </w:tcPr>
          <w:p w14:paraId="1150E895"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0.081</w:t>
            </w:r>
          </w:p>
        </w:tc>
        <w:tc>
          <w:tcPr>
            <w:tcW w:w="797" w:type="dxa"/>
            <w:tcBorders>
              <w:top w:val="nil"/>
              <w:left w:val="nil"/>
              <w:bottom w:val="single" w:sz="4" w:space="0" w:color="auto"/>
              <w:right w:val="nil"/>
            </w:tcBorders>
            <w:shd w:val="clear" w:color="auto" w:fill="auto"/>
            <w:noWrap/>
            <w:vAlign w:val="bottom"/>
            <w:hideMark/>
          </w:tcPr>
          <w:p w14:paraId="67F752C0"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0.111</w:t>
            </w:r>
          </w:p>
        </w:tc>
        <w:tc>
          <w:tcPr>
            <w:tcW w:w="851" w:type="dxa"/>
            <w:tcBorders>
              <w:top w:val="nil"/>
              <w:left w:val="nil"/>
              <w:bottom w:val="single" w:sz="4" w:space="0" w:color="auto"/>
              <w:right w:val="nil"/>
            </w:tcBorders>
            <w:shd w:val="clear" w:color="auto" w:fill="auto"/>
            <w:noWrap/>
            <w:vAlign w:val="bottom"/>
            <w:hideMark/>
          </w:tcPr>
          <w:p w14:paraId="162E798D" w14:textId="77777777" w:rsidR="00B5460B" w:rsidRPr="001A6B3E" w:rsidRDefault="00B5460B" w:rsidP="00B5460B">
            <w:pPr>
              <w:spacing w:after="0" w:line="240" w:lineRule="auto"/>
              <w:jc w:val="center"/>
              <w:rPr>
                <w:rFonts w:ascii="Times New Roman" w:eastAsia="Times New Roman" w:hAnsi="Times New Roman" w:cs="Times New Roman"/>
                <w:color w:val="000000"/>
                <w:sz w:val="16"/>
                <w:szCs w:val="20"/>
              </w:rPr>
            </w:pPr>
            <w:r w:rsidRPr="001A6B3E">
              <w:rPr>
                <w:rFonts w:ascii="Times New Roman" w:eastAsia="Times New Roman" w:hAnsi="Times New Roman" w:cs="Times New Roman"/>
                <w:color w:val="000000"/>
                <w:sz w:val="16"/>
                <w:szCs w:val="20"/>
              </w:rPr>
              <w:t>0.064</w:t>
            </w:r>
          </w:p>
        </w:tc>
      </w:tr>
      <w:tr w:rsidR="00B5460B" w:rsidRPr="001A6B3E" w14:paraId="6186FEBD" w14:textId="77777777" w:rsidTr="00284C07">
        <w:trPr>
          <w:trHeight w:val="583"/>
        </w:trPr>
        <w:tc>
          <w:tcPr>
            <w:tcW w:w="9491" w:type="dxa"/>
            <w:gridSpan w:val="12"/>
            <w:tcBorders>
              <w:top w:val="single" w:sz="4" w:space="0" w:color="auto"/>
              <w:left w:val="nil"/>
              <w:bottom w:val="nil"/>
              <w:right w:val="nil"/>
            </w:tcBorders>
            <w:shd w:val="clear" w:color="auto" w:fill="auto"/>
            <w:vAlign w:val="bottom"/>
            <w:hideMark/>
          </w:tcPr>
          <w:p w14:paraId="7F790A24" w14:textId="77777777" w:rsidR="00B5460B" w:rsidRPr="001A6B3E" w:rsidRDefault="00B5460B" w:rsidP="00B5460B">
            <w:pPr>
              <w:spacing w:after="0" w:line="240" w:lineRule="auto"/>
              <w:rPr>
                <w:rFonts w:ascii="Times New Roman" w:eastAsia="Times New Roman" w:hAnsi="Times New Roman" w:cs="Times New Roman"/>
                <w:color w:val="000000"/>
                <w:sz w:val="16"/>
              </w:rPr>
            </w:pPr>
            <w:r w:rsidRPr="001A6B3E">
              <w:rPr>
                <w:rFonts w:ascii="Times New Roman" w:eastAsia="Times New Roman" w:hAnsi="Times New Roman" w:cs="Times New Roman"/>
                <w:color w:val="000000"/>
                <w:sz w:val="16"/>
              </w:rPr>
              <w:t>The reference year utilized in each model is the year before Tulsa Achieves implementation, which is the 2006 cohort. The 2005 cohort coefficient provides an estimate of whether the eligible and ineligible groups were significantly difference in pre-treatment years. Each model includes controls for race/ethnicity, gender, age, pell, and an indicator of receipt of another scholarship. Robust standard errors in parentheses *** p&lt;0.01, ** p&lt;0.05, * p&lt;0.1</w:t>
            </w:r>
          </w:p>
        </w:tc>
      </w:tr>
    </w:tbl>
    <w:p w14:paraId="03DBE630" w14:textId="77777777" w:rsidR="00B5460B" w:rsidRPr="00E633D8" w:rsidRDefault="00B5460B" w:rsidP="00B5460B">
      <w:pPr>
        <w:spacing w:line="480" w:lineRule="auto"/>
        <w:rPr>
          <w:rFonts w:ascii="Times New Roman" w:hAnsi="Times New Roman" w:cs="Times New Roman"/>
          <w:sz w:val="24"/>
          <w:szCs w:val="24"/>
        </w:rPr>
      </w:pPr>
    </w:p>
    <w:p w14:paraId="6EF3BEC1" w14:textId="38AA04B1" w:rsidR="003448CB" w:rsidRDefault="00063F17" w:rsidP="003448CB">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The estimates presented in Table 5</w:t>
      </w:r>
      <w:r w:rsidR="00260EDC">
        <w:rPr>
          <w:rFonts w:ascii="Times New Roman" w:hAnsi="Times New Roman" w:cs="Times New Roman"/>
          <w:sz w:val="24"/>
          <w:szCs w:val="24"/>
        </w:rPr>
        <w:t>-8</w:t>
      </w:r>
      <w:r w:rsidRPr="00E633D8">
        <w:rPr>
          <w:rFonts w:ascii="Times New Roman" w:hAnsi="Times New Roman" w:cs="Times New Roman"/>
          <w:sz w:val="24"/>
          <w:szCs w:val="24"/>
        </w:rPr>
        <w:t xml:space="preserve">, although insightful, mask heterogeneity in the treatment effect over the post treatment time period. To provide insight into the dynamic effects </w:t>
      </w:r>
      <w:r w:rsidRPr="00600C45">
        <w:rPr>
          <w:rFonts w:ascii="Times New Roman" w:hAnsi="Times New Roman" w:cs="Times New Roman"/>
          <w:sz w:val="24"/>
          <w:szCs w:val="24"/>
        </w:rPr>
        <w:t xml:space="preserve">of Tulsa Achieves eligibility over time, I present the event-study analysis in Table </w:t>
      </w:r>
      <w:r w:rsidR="00260EDC" w:rsidRPr="00600C45">
        <w:rPr>
          <w:rFonts w:ascii="Times New Roman" w:hAnsi="Times New Roman" w:cs="Times New Roman"/>
          <w:sz w:val="24"/>
          <w:szCs w:val="24"/>
        </w:rPr>
        <w:t>5-9</w:t>
      </w:r>
      <w:r w:rsidRPr="00600C45">
        <w:rPr>
          <w:rFonts w:ascii="Times New Roman" w:hAnsi="Times New Roman" w:cs="Times New Roman"/>
          <w:sz w:val="24"/>
          <w:szCs w:val="24"/>
        </w:rPr>
        <w:t xml:space="preserve"> and Figure </w:t>
      </w:r>
      <w:r w:rsidR="00600C45">
        <w:rPr>
          <w:rFonts w:ascii="Times New Roman" w:hAnsi="Times New Roman" w:cs="Times New Roman"/>
          <w:sz w:val="24"/>
          <w:szCs w:val="24"/>
        </w:rPr>
        <w:t>5-11</w:t>
      </w:r>
      <w:r w:rsidRPr="00600C45">
        <w:rPr>
          <w:rFonts w:ascii="Times New Roman" w:hAnsi="Times New Roman" w:cs="Times New Roman"/>
          <w:sz w:val="24"/>
          <w:szCs w:val="24"/>
        </w:rPr>
        <w:t>.</w:t>
      </w:r>
      <w:r w:rsidR="003448CB">
        <w:rPr>
          <w:rFonts w:ascii="Times New Roman" w:hAnsi="Times New Roman" w:cs="Times New Roman"/>
          <w:sz w:val="24"/>
          <w:szCs w:val="24"/>
        </w:rPr>
        <w:t xml:space="preserve"> </w:t>
      </w:r>
      <w:r w:rsidRPr="00E633D8">
        <w:rPr>
          <w:rFonts w:ascii="Times New Roman" w:hAnsi="Times New Roman" w:cs="Times New Roman"/>
          <w:sz w:val="24"/>
          <w:szCs w:val="24"/>
        </w:rPr>
        <w:t xml:space="preserve">When the average treatment effect estimates are allowed to vary based on the treatment cohort, as shown in Table </w:t>
      </w:r>
      <w:r w:rsidR="00600C45">
        <w:rPr>
          <w:rFonts w:ascii="Times New Roman" w:hAnsi="Times New Roman" w:cs="Times New Roman"/>
          <w:sz w:val="24"/>
          <w:szCs w:val="24"/>
        </w:rPr>
        <w:t>5-9,</w:t>
      </w:r>
      <w:r w:rsidRPr="00E633D8">
        <w:rPr>
          <w:rFonts w:ascii="Times New Roman" w:hAnsi="Times New Roman" w:cs="Times New Roman"/>
          <w:sz w:val="24"/>
          <w:szCs w:val="24"/>
        </w:rPr>
        <w:t xml:space="preserve"> significant heterogeneity emerges in the average treatment effect across cohorts. </w:t>
      </w:r>
    </w:p>
    <w:p w14:paraId="03587251" w14:textId="77777777" w:rsidR="003448CB" w:rsidRDefault="003448CB" w:rsidP="003448CB">
      <w:pPr>
        <w:spacing w:line="480" w:lineRule="auto"/>
        <w:ind w:firstLine="720"/>
        <w:rPr>
          <w:rFonts w:ascii="Times New Roman" w:hAnsi="Times New Roman" w:cs="Times New Roman"/>
          <w:sz w:val="24"/>
          <w:szCs w:val="24"/>
        </w:rPr>
      </w:pPr>
    </w:p>
    <w:p w14:paraId="7FC1877D" w14:textId="3A412406" w:rsidR="003448CB" w:rsidRPr="00E41AFB" w:rsidRDefault="003448CB" w:rsidP="003448CB">
      <w:pPr>
        <w:rPr>
          <w:rFonts w:ascii="Times New Roman" w:eastAsia="Times New Roman" w:hAnsi="Times New Roman" w:cs="Times New Roman"/>
          <w:bCs/>
          <w:sz w:val="24"/>
          <w:szCs w:val="24"/>
        </w:rPr>
      </w:pPr>
      <w:r w:rsidRPr="005A0D63">
        <w:rPr>
          <w:rFonts w:ascii="Times New Roman" w:eastAsia="Times New Roman" w:hAnsi="Times New Roman" w:cs="Times New Roman"/>
          <w:b/>
          <w:bCs/>
          <w:sz w:val="24"/>
          <w:szCs w:val="24"/>
        </w:rPr>
        <w:lastRenderedPageBreak/>
        <w:t>Table</w:t>
      </w:r>
      <w:r>
        <w:rPr>
          <w:rFonts w:ascii="Times New Roman" w:eastAsia="Times New Roman" w:hAnsi="Times New Roman" w:cs="Times New Roman"/>
          <w:color w:val="000000"/>
          <w:sz w:val="21"/>
          <w:szCs w:val="21"/>
        </w:rPr>
        <w:t xml:space="preserve"> </w:t>
      </w:r>
      <w:r w:rsidR="006149E5">
        <w:rPr>
          <w:rFonts w:ascii="Times New Roman" w:eastAsia="Times New Roman" w:hAnsi="Times New Roman" w:cs="Times New Roman"/>
          <w:b/>
          <w:bCs/>
          <w:sz w:val="24"/>
          <w:szCs w:val="24"/>
        </w:rPr>
        <w:t>5-9</w:t>
      </w:r>
      <w:r w:rsidRPr="005A0D63">
        <w:rPr>
          <w:rFonts w:ascii="Times New Roman" w:eastAsia="Times New Roman" w:hAnsi="Times New Roman" w:cs="Times New Roman"/>
          <w:b/>
          <w:bCs/>
          <w:sz w:val="24"/>
          <w:szCs w:val="24"/>
        </w:rPr>
        <w:t xml:space="preserve">. </w:t>
      </w:r>
      <w:r w:rsidRPr="00E41AFB">
        <w:rPr>
          <w:rFonts w:ascii="Times New Roman" w:eastAsia="Times New Roman" w:hAnsi="Times New Roman" w:cs="Times New Roman"/>
          <w:bCs/>
          <w:sz w:val="24"/>
          <w:szCs w:val="24"/>
        </w:rPr>
        <w:t>Event-Study</w:t>
      </w:r>
      <w:r w:rsidRPr="00E41AFB">
        <w:rPr>
          <w:rFonts w:ascii="Times New Roman" w:eastAsia="Times New Roman" w:hAnsi="Times New Roman" w:cs="Times New Roman"/>
          <w:color w:val="000000"/>
          <w:sz w:val="21"/>
          <w:szCs w:val="21"/>
        </w:rPr>
        <w:t xml:space="preserve"> </w:t>
      </w:r>
      <w:r w:rsidRPr="00E41AFB">
        <w:rPr>
          <w:rFonts w:ascii="Times New Roman" w:eastAsia="Times New Roman" w:hAnsi="Times New Roman" w:cs="Times New Roman"/>
          <w:bCs/>
          <w:sz w:val="24"/>
          <w:szCs w:val="24"/>
        </w:rPr>
        <w:t>Results for the Effect of Tulsa Achieves Eligibility on Student Outcomes (ITT)</w:t>
      </w:r>
    </w:p>
    <w:tbl>
      <w:tblPr>
        <w:tblW w:w="9582" w:type="dxa"/>
        <w:tblLayout w:type="fixed"/>
        <w:tblLook w:val="04A0" w:firstRow="1" w:lastRow="0" w:firstColumn="1" w:lastColumn="0" w:noHBand="0" w:noVBand="1"/>
      </w:tblPr>
      <w:tblGrid>
        <w:gridCol w:w="1395"/>
        <w:gridCol w:w="721"/>
        <w:gridCol w:w="721"/>
        <w:gridCol w:w="721"/>
        <w:gridCol w:w="806"/>
        <w:gridCol w:w="935"/>
        <w:gridCol w:w="834"/>
        <w:gridCol w:w="909"/>
        <w:gridCol w:w="867"/>
        <w:gridCol w:w="820"/>
        <w:gridCol w:w="853"/>
      </w:tblGrid>
      <w:tr w:rsidR="003448CB" w:rsidRPr="00284C07" w14:paraId="205732A2" w14:textId="77777777" w:rsidTr="00284C07">
        <w:trPr>
          <w:trHeight w:val="382"/>
        </w:trPr>
        <w:tc>
          <w:tcPr>
            <w:tcW w:w="1395" w:type="dxa"/>
            <w:tcBorders>
              <w:top w:val="nil"/>
              <w:left w:val="nil"/>
              <w:bottom w:val="double" w:sz="6" w:space="0" w:color="auto"/>
              <w:right w:val="nil"/>
            </w:tcBorders>
            <w:shd w:val="clear" w:color="auto" w:fill="auto"/>
            <w:noWrap/>
            <w:vAlign w:val="bottom"/>
            <w:hideMark/>
          </w:tcPr>
          <w:p w14:paraId="3E77CF14"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 </w:t>
            </w:r>
          </w:p>
        </w:tc>
        <w:tc>
          <w:tcPr>
            <w:tcW w:w="721" w:type="dxa"/>
            <w:tcBorders>
              <w:top w:val="nil"/>
              <w:left w:val="nil"/>
              <w:bottom w:val="double" w:sz="6" w:space="0" w:color="auto"/>
              <w:right w:val="nil"/>
            </w:tcBorders>
            <w:shd w:val="clear" w:color="auto" w:fill="auto"/>
            <w:vAlign w:val="bottom"/>
            <w:hideMark/>
          </w:tcPr>
          <w:p w14:paraId="1550181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GPA End of Year 1</w:t>
            </w:r>
          </w:p>
        </w:tc>
        <w:tc>
          <w:tcPr>
            <w:tcW w:w="721" w:type="dxa"/>
            <w:tcBorders>
              <w:top w:val="nil"/>
              <w:left w:val="nil"/>
              <w:bottom w:val="double" w:sz="6" w:space="0" w:color="auto"/>
              <w:right w:val="nil"/>
            </w:tcBorders>
            <w:shd w:val="clear" w:color="auto" w:fill="auto"/>
            <w:vAlign w:val="bottom"/>
            <w:hideMark/>
          </w:tcPr>
          <w:p w14:paraId="3CB924C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Credits Year 1</w:t>
            </w:r>
          </w:p>
        </w:tc>
        <w:tc>
          <w:tcPr>
            <w:tcW w:w="721" w:type="dxa"/>
            <w:tcBorders>
              <w:top w:val="nil"/>
              <w:left w:val="nil"/>
              <w:bottom w:val="double" w:sz="6" w:space="0" w:color="auto"/>
              <w:right w:val="nil"/>
            </w:tcBorders>
            <w:shd w:val="clear" w:color="auto" w:fill="auto"/>
            <w:vAlign w:val="bottom"/>
            <w:hideMark/>
          </w:tcPr>
          <w:p w14:paraId="25C52B9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GPA End of Year 3</w:t>
            </w:r>
          </w:p>
        </w:tc>
        <w:tc>
          <w:tcPr>
            <w:tcW w:w="806" w:type="dxa"/>
            <w:tcBorders>
              <w:top w:val="nil"/>
              <w:left w:val="nil"/>
              <w:bottom w:val="double" w:sz="6" w:space="0" w:color="auto"/>
              <w:right w:val="nil"/>
            </w:tcBorders>
            <w:shd w:val="clear" w:color="auto" w:fill="auto"/>
            <w:vAlign w:val="bottom"/>
            <w:hideMark/>
          </w:tcPr>
          <w:p w14:paraId="1825B09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Credits Year 3</w:t>
            </w:r>
          </w:p>
        </w:tc>
        <w:tc>
          <w:tcPr>
            <w:tcW w:w="935" w:type="dxa"/>
            <w:tcBorders>
              <w:top w:val="nil"/>
              <w:left w:val="nil"/>
              <w:bottom w:val="double" w:sz="6" w:space="0" w:color="auto"/>
              <w:right w:val="nil"/>
            </w:tcBorders>
            <w:shd w:val="clear" w:color="auto" w:fill="auto"/>
            <w:vAlign w:val="bottom"/>
            <w:hideMark/>
          </w:tcPr>
          <w:p w14:paraId="78F3A8C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Semesters Enrolled in 3 Years</w:t>
            </w:r>
          </w:p>
        </w:tc>
        <w:tc>
          <w:tcPr>
            <w:tcW w:w="834" w:type="dxa"/>
            <w:tcBorders>
              <w:top w:val="nil"/>
              <w:left w:val="nil"/>
              <w:bottom w:val="double" w:sz="6" w:space="0" w:color="auto"/>
              <w:right w:val="nil"/>
            </w:tcBorders>
            <w:shd w:val="clear" w:color="auto" w:fill="auto"/>
            <w:vAlign w:val="bottom"/>
            <w:hideMark/>
          </w:tcPr>
          <w:p w14:paraId="369ECF0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Had 63 Credits by Year 3</w:t>
            </w:r>
          </w:p>
        </w:tc>
        <w:tc>
          <w:tcPr>
            <w:tcW w:w="909" w:type="dxa"/>
            <w:tcBorders>
              <w:top w:val="nil"/>
              <w:left w:val="nil"/>
              <w:bottom w:val="double" w:sz="6" w:space="0" w:color="auto"/>
              <w:right w:val="nil"/>
            </w:tcBorders>
            <w:shd w:val="clear" w:color="auto" w:fill="auto"/>
            <w:vAlign w:val="bottom"/>
            <w:hideMark/>
          </w:tcPr>
          <w:p w14:paraId="05793FC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Graduate with Credential</w:t>
            </w:r>
          </w:p>
        </w:tc>
        <w:tc>
          <w:tcPr>
            <w:tcW w:w="867" w:type="dxa"/>
            <w:tcBorders>
              <w:top w:val="nil"/>
              <w:left w:val="nil"/>
              <w:bottom w:val="double" w:sz="6" w:space="0" w:color="auto"/>
              <w:right w:val="nil"/>
            </w:tcBorders>
            <w:shd w:val="clear" w:color="auto" w:fill="auto"/>
            <w:vAlign w:val="bottom"/>
            <w:hideMark/>
          </w:tcPr>
          <w:p w14:paraId="178F541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Transfer to Four Year</w:t>
            </w:r>
          </w:p>
        </w:tc>
        <w:tc>
          <w:tcPr>
            <w:tcW w:w="820" w:type="dxa"/>
            <w:tcBorders>
              <w:top w:val="nil"/>
              <w:left w:val="nil"/>
              <w:bottom w:val="double" w:sz="6" w:space="0" w:color="auto"/>
              <w:right w:val="nil"/>
            </w:tcBorders>
            <w:shd w:val="clear" w:color="auto" w:fill="auto"/>
            <w:vAlign w:val="bottom"/>
            <w:hideMark/>
          </w:tcPr>
          <w:p w14:paraId="70989CD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Bachelors Degree</w:t>
            </w:r>
          </w:p>
        </w:tc>
        <w:tc>
          <w:tcPr>
            <w:tcW w:w="853" w:type="dxa"/>
            <w:tcBorders>
              <w:top w:val="nil"/>
              <w:left w:val="nil"/>
              <w:bottom w:val="double" w:sz="6" w:space="0" w:color="auto"/>
              <w:right w:val="nil"/>
            </w:tcBorders>
          </w:tcPr>
          <w:p w14:paraId="29C5B25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Bachelors Degree in 5 Years</w:t>
            </w:r>
          </w:p>
        </w:tc>
      </w:tr>
      <w:tr w:rsidR="003448CB" w:rsidRPr="00284C07" w14:paraId="56DF7174" w14:textId="77777777" w:rsidTr="00284C07">
        <w:trPr>
          <w:trHeight w:val="335"/>
        </w:trPr>
        <w:tc>
          <w:tcPr>
            <w:tcW w:w="1395" w:type="dxa"/>
            <w:tcBorders>
              <w:top w:val="nil"/>
              <w:left w:val="nil"/>
              <w:bottom w:val="nil"/>
              <w:right w:val="nil"/>
            </w:tcBorders>
            <w:shd w:val="clear" w:color="auto" w:fill="auto"/>
            <w:vAlign w:val="bottom"/>
            <w:hideMark/>
          </w:tcPr>
          <w:p w14:paraId="4C3E3CD4"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2005 Cohort*TA Eligibility</w:t>
            </w:r>
          </w:p>
        </w:tc>
        <w:tc>
          <w:tcPr>
            <w:tcW w:w="721" w:type="dxa"/>
            <w:tcBorders>
              <w:top w:val="nil"/>
              <w:left w:val="nil"/>
              <w:bottom w:val="nil"/>
              <w:right w:val="nil"/>
            </w:tcBorders>
            <w:shd w:val="clear" w:color="auto" w:fill="auto"/>
            <w:noWrap/>
            <w:vAlign w:val="center"/>
            <w:hideMark/>
          </w:tcPr>
          <w:p w14:paraId="0AB071E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0.039</w:t>
            </w:r>
          </w:p>
        </w:tc>
        <w:tc>
          <w:tcPr>
            <w:tcW w:w="721" w:type="dxa"/>
            <w:tcBorders>
              <w:top w:val="nil"/>
              <w:left w:val="nil"/>
              <w:bottom w:val="nil"/>
              <w:right w:val="nil"/>
            </w:tcBorders>
            <w:shd w:val="clear" w:color="auto" w:fill="auto"/>
            <w:noWrap/>
            <w:vAlign w:val="center"/>
            <w:hideMark/>
          </w:tcPr>
          <w:p w14:paraId="2E0E591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0.026</w:t>
            </w:r>
          </w:p>
        </w:tc>
        <w:tc>
          <w:tcPr>
            <w:tcW w:w="721" w:type="dxa"/>
            <w:tcBorders>
              <w:top w:val="nil"/>
              <w:left w:val="nil"/>
              <w:bottom w:val="nil"/>
              <w:right w:val="nil"/>
            </w:tcBorders>
            <w:shd w:val="clear" w:color="auto" w:fill="auto"/>
            <w:noWrap/>
            <w:vAlign w:val="center"/>
            <w:hideMark/>
          </w:tcPr>
          <w:p w14:paraId="777C038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06" w:type="dxa"/>
            <w:tcBorders>
              <w:top w:val="nil"/>
              <w:left w:val="nil"/>
              <w:bottom w:val="nil"/>
              <w:right w:val="nil"/>
            </w:tcBorders>
            <w:shd w:val="clear" w:color="auto" w:fill="auto"/>
            <w:noWrap/>
            <w:vAlign w:val="center"/>
            <w:hideMark/>
          </w:tcPr>
          <w:p w14:paraId="6BA0DCE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-0.993</w:t>
            </w:r>
          </w:p>
        </w:tc>
        <w:tc>
          <w:tcPr>
            <w:tcW w:w="935" w:type="dxa"/>
            <w:tcBorders>
              <w:top w:val="nil"/>
              <w:left w:val="nil"/>
              <w:bottom w:val="nil"/>
              <w:right w:val="nil"/>
            </w:tcBorders>
            <w:shd w:val="clear" w:color="auto" w:fill="auto"/>
            <w:noWrap/>
            <w:vAlign w:val="center"/>
            <w:hideMark/>
          </w:tcPr>
          <w:p w14:paraId="1548BD5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0.085</w:t>
            </w:r>
          </w:p>
        </w:tc>
        <w:tc>
          <w:tcPr>
            <w:tcW w:w="834" w:type="dxa"/>
            <w:tcBorders>
              <w:top w:val="nil"/>
              <w:left w:val="nil"/>
              <w:bottom w:val="nil"/>
              <w:right w:val="nil"/>
            </w:tcBorders>
            <w:shd w:val="clear" w:color="auto" w:fill="auto"/>
            <w:noWrap/>
            <w:vAlign w:val="center"/>
            <w:hideMark/>
          </w:tcPr>
          <w:p w14:paraId="229406C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-0.013</w:t>
            </w:r>
          </w:p>
        </w:tc>
        <w:tc>
          <w:tcPr>
            <w:tcW w:w="909" w:type="dxa"/>
            <w:tcBorders>
              <w:top w:val="nil"/>
              <w:left w:val="nil"/>
              <w:bottom w:val="nil"/>
              <w:right w:val="nil"/>
            </w:tcBorders>
            <w:shd w:val="clear" w:color="auto" w:fill="auto"/>
            <w:noWrap/>
            <w:vAlign w:val="center"/>
            <w:hideMark/>
          </w:tcPr>
          <w:p w14:paraId="23D4A9C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-0.008</w:t>
            </w:r>
          </w:p>
        </w:tc>
        <w:tc>
          <w:tcPr>
            <w:tcW w:w="867" w:type="dxa"/>
            <w:tcBorders>
              <w:top w:val="nil"/>
              <w:left w:val="nil"/>
              <w:bottom w:val="nil"/>
              <w:right w:val="nil"/>
            </w:tcBorders>
            <w:shd w:val="clear" w:color="auto" w:fill="auto"/>
            <w:noWrap/>
            <w:vAlign w:val="center"/>
            <w:hideMark/>
          </w:tcPr>
          <w:p w14:paraId="30830F7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0.024</w:t>
            </w:r>
          </w:p>
        </w:tc>
        <w:tc>
          <w:tcPr>
            <w:tcW w:w="820" w:type="dxa"/>
            <w:tcBorders>
              <w:top w:val="nil"/>
              <w:left w:val="nil"/>
              <w:bottom w:val="nil"/>
              <w:right w:val="nil"/>
            </w:tcBorders>
            <w:shd w:val="clear" w:color="auto" w:fill="auto"/>
            <w:noWrap/>
            <w:vAlign w:val="center"/>
            <w:hideMark/>
          </w:tcPr>
          <w:p w14:paraId="2EF4201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0.000</w:t>
            </w:r>
          </w:p>
        </w:tc>
        <w:tc>
          <w:tcPr>
            <w:tcW w:w="853" w:type="dxa"/>
            <w:tcBorders>
              <w:top w:val="nil"/>
              <w:left w:val="nil"/>
              <w:bottom w:val="nil"/>
              <w:right w:val="nil"/>
            </w:tcBorders>
            <w:shd w:val="clear" w:color="auto" w:fill="auto"/>
            <w:vAlign w:val="center"/>
          </w:tcPr>
          <w:p w14:paraId="667FFB7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r>
      <w:tr w:rsidR="003448CB" w:rsidRPr="00284C07" w14:paraId="20C318C3" w14:textId="77777777" w:rsidTr="00284C07">
        <w:trPr>
          <w:trHeight w:val="278"/>
        </w:trPr>
        <w:tc>
          <w:tcPr>
            <w:tcW w:w="1395" w:type="dxa"/>
            <w:tcBorders>
              <w:top w:val="nil"/>
              <w:left w:val="nil"/>
              <w:bottom w:val="nil"/>
              <w:right w:val="nil"/>
            </w:tcBorders>
            <w:shd w:val="clear" w:color="auto" w:fill="auto"/>
            <w:vAlign w:val="bottom"/>
            <w:hideMark/>
          </w:tcPr>
          <w:p w14:paraId="55104BD3"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6D39D1F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(0.085)</w:t>
            </w:r>
          </w:p>
        </w:tc>
        <w:tc>
          <w:tcPr>
            <w:tcW w:w="721" w:type="dxa"/>
            <w:tcBorders>
              <w:top w:val="nil"/>
              <w:left w:val="nil"/>
              <w:bottom w:val="nil"/>
              <w:right w:val="nil"/>
            </w:tcBorders>
            <w:shd w:val="clear" w:color="auto" w:fill="auto"/>
            <w:noWrap/>
            <w:vAlign w:val="center"/>
            <w:hideMark/>
          </w:tcPr>
          <w:p w14:paraId="5E37E0C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(0.566)</w:t>
            </w:r>
          </w:p>
        </w:tc>
        <w:tc>
          <w:tcPr>
            <w:tcW w:w="721" w:type="dxa"/>
            <w:tcBorders>
              <w:top w:val="nil"/>
              <w:left w:val="nil"/>
              <w:bottom w:val="nil"/>
              <w:right w:val="nil"/>
            </w:tcBorders>
            <w:shd w:val="clear" w:color="auto" w:fill="auto"/>
            <w:noWrap/>
            <w:vAlign w:val="center"/>
            <w:hideMark/>
          </w:tcPr>
          <w:p w14:paraId="20B7A84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(0.079)</w:t>
            </w:r>
          </w:p>
        </w:tc>
        <w:tc>
          <w:tcPr>
            <w:tcW w:w="806" w:type="dxa"/>
            <w:tcBorders>
              <w:top w:val="nil"/>
              <w:left w:val="nil"/>
              <w:bottom w:val="nil"/>
              <w:right w:val="nil"/>
            </w:tcBorders>
            <w:shd w:val="clear" w:color="auto" w:fill="auto"/>
            <w:noWrap/>
            <w:vAlign w:val="center"/>
            <w:hideMark/>
          </w:tcPr>
          <w:p w14:paraId="40BFB88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(1.594)</w:t>
            </w:r>
          </w:p>
        </w:tc>
        <w:tc>
          <w:tcPr>
            <w:tcW w:w="935" w:type="dxa"/>
            <w:tcBorders>
              <w:top w:val="nil"/>
              <w:left w:val="nil"/>
              <w:bottom w:val="nil"/>
              <w:right w:val="nil"/>
            </w:tcBorders>
            <w:shd w:val="clear" w:color="auto" w:fill="auto"/>
            <w:noWrap/>
            <w:vAlign w:val="center"/>
            <w:hideMark/>
          </w:tcPr>
          <w:p w14:paraId="161631B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(0.250)</w:t>
            </w:r>
          </w:p>
        </w:tc>
        <w:tc>
          <w:tcPr>
            <w:tcW w:w="834" w:type="dxa"/>
            <w:tcBorders>
              <w:top w:val="nil"/>
              <w:left w:val="nil"/>
              <w:bottom w:val="nil"/>
              <w:right w:val="nil"/>
            </w:tcBorders>
            <w:shd w:val="clear" w:color="auto" w:fill="auto"/>
            <w:noWrap/>
            <w:vAlign w:val="center"/>
            <w:hideMark/>
          </w:tcPr>
          <w:p w14:paraId="6C7DEED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(0.020)</w:t>
            </w:r>
          </w:p>
        </w:tc>
        <w:tc>
          <w:tcPr>
            <w:tcW w:w="909" w:type="dxa"/>
            <w:tcBorders>
              <w:top w:val="nil"/>
              <w:left w:val="nil"/>
              <w:bottom w:val="nil"/>
              <w:right w:val="nil"/>
            </w:tcBorders>
            <w:shd w:val="clear" w:color="auto" w:fill="auto"/>
            <w:noWrap/>
            <w:vAlign w:val="center"/>
            <w:hideMark/>
          </w:tcPr>
          <w:p w14:paraId="3640217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(0.030)</w:t>
            </w:r>
          </w:p>
        </w:tc>
        <w:tc>
          <w:tcPr>
            <w:tcW w:w="867" w:type="dxa"/>
            <w:tcBorders>
              <w:top w:val="nil"/>
              <w:left w:val="nil"/>
              <w:bottom w:val="nil"/>
              <w:right w:val="nil"/>
            </w:tcBorders>
            <w:shd w:val="clear" w:color="auto" w:fill="auto"/>
            <w:noWrap/>
            <w:vAlign w:val="center"/>
            <w:hideMark/>
          </w:tcPr>
          <w:p w14:paraId="554FD19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(0.034)</w:t>
            </w:r>
          </w:p>
        </w:tc>
        <w:tc>
          <w:tcPr>
            <w:tcW w:w="820" w:type="dxa"/>
            <w:tcBorders>
              <w:top w:val="nil"/>
              <w:left w:val="nil"/>
              <w:bottom w:val="nil"/>
              <w:right w:val="nil"/>
            </w:tcBorders>
            <w:shd w:val="clear" w:color="auto" w:fill="auto"/>
            <w:noWrap/>
            <w:vAlign w:val="center"/>
            <w:hideMark/>
          </w:tcPr>
          <w:p w14:paraId="7227F95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(0.027)</w:t>
            </w:r>
          </w:p>
        </w:tc>
        <w:tc>
          <w:tcPr>
            <w:tcW w:w="853" w:type="dxa"/>
            <w:tcBorders>
              <w:top w:val="nil"/>
              <w:left w:val="nil"/>
              <w:bottom w:val="nil"/>
              <w:right w:val="nil"/>
            </w:tcBorders>
            <w:shd w:val="clear" w:color="auto" w:fill="auto"/>
            <w:vAlign w:val="center"/>
          </w:tcPr>
          <w:p w14:paraId="0294C7D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r>
      <w:tr w:rsidR="003448CB" w:rsidRPr="00284C07" w14:paraId="04D40D1A" w14:textId="77777777" w:rsidTr="00284C07">
        <w:trPr>
          <w:trHeight w:val="533"/>
        </w:trPr>
        <w:tc>
          <w:tcPr>
            <w:tcW w:w="1395" w:type="dxa"/>
            <w:tcBorders>
              <w:top w:val="nil"/>
              <w:left w:val="nil"/>
              <w:bottom w:val="nil"/>
              <w:right w:val="nil"/>
            </w:tcBorders>
            <w:shd w:val="clear" w:color="auto" w:fill="auto"/>
            <w:vAlign w:val="bottom"/>
            <w:hideMark/>
          </w:tcPr>
          <w:p w14:paraId="7799B746"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2006 Cohort*TA Eligibility</w:t>
            </w:r>
          </w:p>
        </w:tc>
        <w:tc>
          <w:tcPr>
            <w:tcW w:w="721" w:type="dxa"/>
            <w:tcBorders>
              <w:top w:val="nil"/>
              <w:left w:val="nil"/>
              <w:bottom w:val="nil"/>
              <w:right w:val="nil"/>
            </w:tcBorders>
            <w:shd w:val="clear" w:color="auto" w:fill="auto"/>
            <w:noWrap/>
            <w:vAlign w:val="center"/>
            <w:hideMark/>
          </w:tcPr>
          <w:p w14:paraId="5F18DF6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721" w:type="dxa"/>
            <w:tcBorders>
              <w:top w:val="nil"/>
              <w:left w:val="nil"/>
              <w:bottom w:val="nil"/>
              <w:right w:val="nil"/>
            </w:tcBorders>
            <w:shd w:val="clear" w:color="auto" w:fill="auto"/>
            <w:noWrap/>
            <w:vAlign w:val="center"/>
            <w:hideMark/>
          </w:tcPr>
          <w:p w14:paraId="583E7C4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721" w:type="dxa"/>
            <w:tcBorders>
              <w:top w:val="nil"/>
              <w:left w:val="nil"/>
              <w:bottom w:val="nil"/>
              <w:right w:val="nil"/>
            </w:tcBorders>
            <w:shd w:val="clear" w:color="auto" w:fill="auto"/>
            <w:noWrap/>
            <w:vAlign w:val="center"/>
            <w:hideMark/>
          </w:tcPr>
          <w:p w14:paraId="7031B8A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806" w:type="dxa"/>
            <w:tcBorders>
              <w:top w:val="nil"/>
              <w:left w:val="nil"/>
              <w:bottom w:val="nil"/>
              <w:right w:val="nil"/>
            </w:tcBorders>
            <w:shd w:val="clear" w:color="auto" w:fill="auto"/>
            <w:noWrap/>
            <w:vAlign w:val="center"/>
            <w:hideMark/>
          </w:tcPr>
          <w:p w14:paraId="3E85E63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935" w:type="dxa"/>
            <w:tcBorders>
              <w:top w:val="nil"/>
              <w:left w:val="nil"/>
              <w:bottom w:val="nil"/>
              <w:right w:val="nil"/>
            </w:tcBorders>
            <w:shd w:val="clear" w:color="auto" w:fill="auto"/>
            <w:noWrap/>
            <w:vAlign w:val="center"/>
            <w:hideMark/>
          </w:tcPr>
          <w:p w14:paraId="31DD961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834" w:type="dxa"/>
            <w:tcBorders>
              <w:top w:val="nil"/>
              <w:left w:val="nil"/>
              <w:bottom w:val="nil"/>
              <w:right w:val="nil"/>
            </w:tcBorders>
            <w:shd w:val="clear" w:color="auto" w:fill="auto"/>
            <w:noWrap/>
            <w:vAlign w:val="center"/>
            <w:hideMark/>
          </w:tcPr>
          <w:p w14:paraId="1CD396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909" w:type="dxa"/>
            <w:tcBorders>
              <w:top w:val="nil"/>
              <w:left w:val="nil"/>
              <w:bottom w:val="nil"/>
              <w:right w:val="nil"/>
            </w:tcBorders>
            <w:shd w:val="clear" w:color="auto" w:fill="auto"/>
            <w:noWrap/>
            <w:vAlign w:val="center"/>
            <w:hideMark/>
          </w:tcPr>
          <w:p w14:paraId="7C32EBB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867" w:type="dxa"/>
            <w:tcBorders>
              <w:top w:val="nil"/>
              <w:left w:val="nil"/>
              <w:bottom w:val="nil"/>
              <w:right w:val="nil"/>
            </w:tcBorders>
            <w:shd w:val="clear" w:color="auto" w:fill="auto"/>
            <w:noWrap/>
            <w:vAlign w:val="center"/>
            <w:hideMark/>
          </w:tcPr>
          <w:p w14:paraId="4889BE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820" w:type="dxa"/>
            <w:tcBorders>
              <w:top w:val="nil"/>
              <w:left w:val="nil"/>
              <w:bottom w:val="nil"/>
              <w:right w:val="nil"/>
            </w:tcBorders>
            <w:shd w:val="clear" w:color="auto" w:fill="auto"/>
            <w:noWrap/>
            <w:vAlign w:val="center"/>
            <w:hideMark/>
          </w:tcPr>
          <w:p w14:paraId="674F81C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c>
          <w:tcPr>
            <w:tcW w:w="853" w:type="dxa"/>
            <w:tcBorders>
              <w:top w:val="nil"/>
              <w:left w:val="nil"/>
              <w:bottom w:val="nil"/>
              <w:right w:val="nil"/>
            </w:tcBorders>
            <w:shd w:val="clear" w:color="auto" w:fill="auto"/>
            <w:vAlign w:val="center"/>
          </w:tcPr>
          <w:p w14:paraId="70338DC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OMIT</w:t>
            </w:r>
          </w:p>
        </w:tc>
      </w:tr>
      <w:tr w:rsidR="003448CB" w:rsidRPr="00284C07" w14:paraId="6DA7E86D" w14:textId="77777777" w:rsidTr="00284C07">
        <w:trPr>
          <w:trHeight w:val="326"/>
        </w:trPr>
        <w:tc>
          <w:tcPr>
            <w:tcW w:w="1395" w:type="dxa"/>
            <w:tcBorders>
              <w:top w:val="nil"/>
              <w:left w:val="nil"/>
              <w:bottom w:val="nil"/>
              <w:right w:val="nil"/>
            </w:tcBorders>
            <w:shd w:val="clear" w:color="auto" w:fill="auto"/>
            <w:vAlign w:val="bottom"/>
            <w:hideMark/>
          </w:tcPr>
          <w:p w14:paraId="56075C43"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2007 Cohort*TA Eligibility</w:t>
            </w:r>
          </w:p>
        </w:tc>
        <w:tc>
          <w:tcPr>
            <w:tcW w:w="721" w:type="dxa"/>
            <w:tcBorders>
              <w:top w:val="nil"/>
              <w:left w:val="nil"/>
              <w:bottom w:val="nil"/>
              <w:right w:val="nil"/>
            </w:tcBorders>
            <w:shd w:val="clear" w:color="auto" w:fill="auto"/>
            <w:noWrap/>
            <w:vAlign w:val="center"/>
            <w:hideMark/>
          </w:tcPr>
          <w:p w14:paraId="736B4A8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0.173**</w:t>
            </w:r>
          </w:p>
        </w:tc>
        <w:tc>
          <w:tcPr>
            <w:tcW w:w="721" w:type="dxa"/>
            <w:tcBorders>
              <w:top w:val="nil"/>
              <w:left w:val="nil"/>
              <w:bottom w:val="nil"/>
              <w:right w:val="nil"/>
            </w:tcBorders>
            <w:shd w:val="clear" w:color="auto" w:fill="auto"/>
            <w:noWrap/>
            <w:vAlign w:val="center"/>
            <w:hideMark/>
          </w:tcPr>
          <w:p w14:paraId="7618301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1.448**</w:t>
            </w:r>
          </w:p>
        </w:tc>
        <w:tc>
          <w:tcPr>
            <w:tcW w:w="721" w:type="dxa"/>
            <w:tcBorders>
              <w:top w:val="nil"/>
              <w:left w:val="nil"/>
              <w:bottom w:val="nil"/>
              <w:right w:val="nil"/>
            </w:tcBorders>
            <w:shd w:val="clear" w:color="auto" w:fill="auto"/>
            <w:noWrap/>
            <w:vAlign w:val="center"/>
            <w:hideMark/>
          </w:tcPr>
          <w:p w14:paraId="18F9714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0.181**</w:t>
            </w:r>
          </w:p>
        </w:tc>
        <w:tc>
          <w:tcPr>
            <w:tcW w:w="806" w:type="dxa"/>
            <w:tcBorders>
              <w:top w:val="nil"/>
              <w:left w:val="nil"/>
              <w:bottom w:val="nil"/>
              <w:right w:val="nil"/>
            </w:tcBorders>
            <w:shd w:val="clear" w:color="auto" w:fill="auto"/>
            <w:noWrap/>
            <w:vAlign w:val="center"/>
            <w:hideMark/>
          </w:tcPr>
          <w:p w14:paraId="347B1D3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2.868**</w:t>
            </w:r>
          </w:p>
        </w:tc>
        <w:tc>
          <w:tcPr>
            <w:tcW w:w="935" w:type="dxa"/>
            <w:tcBorders>
              <w:top w:val="nil"/>
              <w:left w:val="nil"/>
              <w:bottom w:val="nil"/>
              <w:right w:val="nil"/>
            </w:tcBorders>
            <w:shd w:val="clear" w:color="auto" w:fill="auto"/>
            <w:noWrap/>
            <w:vAlign w:val="center"/>
            <w:hideMark/>
          </w:tcPr>
          <w:p w14:paraId="721D775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0.363</w:t>
            </w:r>
          </w:p>
        </w:tc>
        <w:tc>
          <w:tcPr>
            <w:tcW w:w="834" w:type="dxa"/>
            <w:tcBorders>
              <w:top w:val="nil"/>
              <w:left w:val="nil"/>
              <w:bottom w:val="nil"/>
              <w:right w:val="nil"/>
            </w:tcBorders>
            <w:shd w:val="clear" w:color="auto" w:fill="auto"/>
            <w:noWrap/>
            <w:vAlign w:val="center"/>
            <w:hideMark/>
          </w:tcPr>
          <w:p w14:paraId="6F7817B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0.012</w:t>
            </w:r>
          </w:p>
        </w:tc>
        <w:tc>
          <w:tcPr>
            <w:tcW w:w="909" w:type="dxa"/>
            <w:tcBorders>
              <w:top w:val="nil"/>
              <w:left w:val="nil"/>
              <w:bottom w:val="nil"/>
              <w:right w:val="nil"/>
            </w:tcBorders>
            <w:shd w:val="clear" w:color="auto" w:fill="auto"/>
            <w:noWrap/>
            <w:vAlign w:val="center"/>
            <w:hideMark/>
          </w:tcPr>
          <w:p w14:paraId="6D3218CC"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67" w:type="dxa"/>
            <w:tcBorders>
              <w:top w:val="nil"/>
              <w:left w:val="nil"/>
              <w:bottom w:val="nil"/>
              <w:right w:val="nil"/>
            </w:tcBorders>
            <w:shd w:val="clear" w:color="auto" w:fill="auto"/>
            <w:noWrap/>
            <w:vAlign w:val="center"/>
            <w:hideMark/>
          </w:tcPr>
          <w:p w14:paraId="35EE442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0.008</w:t>
            </w:r>
          </w:p>
        </w:tc>
        <w:tc>
          <w:tcPr>
            <w:tcW w:w="820" w:type="dxa"/>
            <w:tcBorders>
              <w:top w:val="nil"/>
              <w:left w:val="nil"/>
              <w:bottom w:val="nil"/>
              <w:right w:val="nil"/>
            </w:tcBorders>
            <w:shd w:val="clear" w:color="auto" w:fill="auto"/>
            <w:noWrap/>
            <w:vAlign w:val="center"/>
            <w:hideMark/>
          </w:tcPr>
          <w:p w14:paraId="10B9FB6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0.012</w:t>
            </w:r>
          </w:p>
        </w:tc>
        <w:tc>
          <w:tcPr>
            <w:tcW w:w="853" w:type="dxa"/>
            <w:tcBorders>
              <w:top w:val="nil"/>
              <w:left w:val="nil"/>
              <w:bottom w:val="nil"/>
              <w:right w:val="nil"/>
            </w:tcBorders>
            <w:shd w:val="clear" w:color="auto" w:fill="auto"/>
            <w:vAlign w:val="center"/>
          </w:tcPr>
          <w:p w14:paraId="49EEEA8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0.11</w:t>
            </w:r>
          </w:p>
        </w:tc>
      </w:tr>
      <w:tr w:rsidR="003448CB" w:rsidRPr="00284C07" w14:paraId="2CE189A8" w14:textId="77777777" w:rsidTr="00284C07">
        <w:trPr>
          <w:trHeight w:val="278"/>
        </w:trPr>
        <w:tc>
          <w:tcPr>
            <w:tcW w:w="1395" w:type="dxa"/>
            <w:tcBorders>
              <w:top w:val="nil"/>
              <w:left w:val="nil"/>
              <w:bottom w:val="nil"/>
              <w:right w:val="nil"/>
            </w:tcBorders>
            <w:shd w:val="clear" w:color="auto" w:fill="auto"/>
            <w:vAlign w:val="bottom"/>
            <w:hideMark/>
          </w:tcPr>
          <w:p w14:paraId="5D8C7DF4"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71C8EA4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(0.082)</w:t>
            </w:r>
          </w:p>
        </w:tc>
        <w:tc>
          <w:tcPr>
            <w:tcW w:w="721" w:type="dxa"/>
            <w:tcBorders>
              <w:top w:val="nil"/>
              <w:left w:val="nil"/>
              <w:bottom w:val="nil"/>
              <w:right w:val="nil"/>
            </w:tcBorders>
            <w:shd w:val="clear" w:color="auto" w:fill="auto"/>
            <w:noWrap/>
            <w:vAlign w:val="center"/>
            <w:hideMark/>
          </w:tcPr>
          <w:p w14:paraId="43CFC00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(0.583)</w:t>
            </w:r>
          </w:p>
        </w:tc>
        <w:tc>
          <w:tcPr>
            <w:tcW w:w="721" w:type="dxa"/>
            <w:tcBorders>
              <w:top w:val="nil"/>
              <w:left w:val="nil"/>
              <w:bottom w:val="nil"/>
              <w:right w:val="nil"/>
            </w:tcBorders>
            <w:shd w:val="clear" w:color="auto" w:fill="auto"/>
            <w:noWrap/>
            <w:vAlign w:val="center"/>
            <w:hideMark/>
          </w:tcPr>
          <w:p w14:paraId="1407265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(0.076)</w:t>
            </w:r>
          </w:p>
        </w:tc>
        <w:tc>
          <w:tcPr>
            <w:tcW w:w="806" w:type="dxa"/>
            <w:tcBorders>
              <w:top w:val="nil"/>
              <w:left w:val="nil"/>
              <w:bottom w:val="nil"/>
              <w:right w:val="nil"/>
            </w:tcBorders>
            <w:shd w:val="clear" w:color="auto" w:fill="auto"/>
            <w:noWrap/>
            <w:vAlign w:val="center"/>
            <w:hideMark/>
          </w:tcPr>
          <w:p w14:paraId="7157726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(1.430)</w:t>
            </w:r>
          </w:p>
        </w:tc>
        <w:tc>
          <w:tcPr>
            <w:tcW w:w="935" w:type="dxa"/>
            <w:tcBorders>
              <w:top w:val="nil"/>
              <w:left w:val="nil"/>
              <w:bottom w:val="nil"/>
              <w:right w:val="nil"/>
            </w:tcBorders>
            <w:shd w:val="clear" w:color="auto" w:fill="auto"/>
            <w:noWrap/>
            <w:vAlign w:val="center"/>
            <w:hideMark/>
          </w:tcPr>
          <w:p w14:paraId="42CC071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(0.241)</w:t>
            </w:r>
          </w:p>
        </w:tc>
        <w:tc>
          <w:tcPr>
            <w:tcW w:w="834" w:type="dxa"/>
            <w:tcBorders>
              <w:top w:val="nil"/>
              <w:left w:val="nil"/>
              <w:bottom w:val="nil"/>
              <w:right w:val="nil"/>
            </w:tcBorders>
            <w:shd w:val="clear" w:color="auto" w:fill="auto"/>
            <w:noWrap/>
            <w:vAlign w:val="center"/>
            <w:hideMark/>
          </w:tcPr>
          <w:p w14:paraId="283825E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(0.018)</w:t>
            </w:r>
          </w:p>
        </w:tc>
        <w:tc>
          <w:tcPr>
            <w:tcW w:w="909" w:type="dxa"/>
            <w:tcBorders>
              <w:top w:val="nil"/>
              <w:left w:val="nil"/>
              <w:bottom w:val="nil"/>
              <w:right w:val="nil"/>
            </w:tcBorders>
            <w:shd w:val="clear" w:color="auto" w:fill="auto"/>
            <w:noWrap/>
            <w:vAlign w:val="center"/>
            <w:hideMark/>
          </w:tcPr>
          <w:p w14:paraId="0D135CD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(0.029)</w:t>
            </w:r>
          </w:p>
        </w:tc>
        <w:tc>
          <w:tcPr>
            <w:tcW w:w="867" w:type="dxa"/>
            <w:tcBorders>
              <w:top w:val="nil"/>
              <w:left w:val="nil"/>
              <w:bottom w:val="nil"/>
              <w:right w:val="nil"/>
            </w:tcBorders>
            <w:shd w:val="clear" w:color="auto" w:fill="auto"/>
            <w:noWrap/>
            <w:vAlign w:val="center"/>
            <w:hideMark/>
          </w:tcPr>
          <w:p w14:paraId="3ADCC3D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(0.032)</w:t>
            </w:r>
          </w:p>
        </w:tc>
        <w:tc>
          <w:tcPr>
            <w:tcW w:w="820" w:type="dxa"/>
            <w:tcBorders>
              <w:top w:val="nil"/>
              <w:left w:val="nil"/>
              <w:bottom w:val="nil"/>
              <w:right w:val="nil"/>
            </w:tcBorders>
            <w:shd w:val="clear" w:color="auto" w:fill="auto"/>
            <w:noWrap/>
            <w:vAlign w:val="center"/>
            <w:hideMark/>
          </w:tcPr>
          <w:p w14:paraId="42513FD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(0.026)</w:t>
            </w:r>
          </w:p>
        </w:tc>
        <w:tc>
          <w:tcPr>
            <w:tcW w:w="853" w:type="dxa"/>
            <w:tcBorders>
              <w:top w:val="nil"/>
              <w:left w:val="nil"/>
              <w:bottom w:val="nil"/>
              <w:right w:val="nil"/>
            </w:tcBorders>
            <w:shd w:val="clear" w:color="auto" w:fill="auto"/>
            <w:vAlign w:val="center"/>
          </w:tcPr>
          <w:p w14:paraId="420AA17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r>
      <w:tr w:rsidR="003448CB" w:rsidRPr="00284C07" w14:paraId="5C1CBFE5" w14:textId="77777777" w:rsidTr="00284C07">
        <w:trPr>
          <w:trHeight w:val="181"/>
        </w:trPr>
        <w:tc>
          <w:tcPr>
            <w:tcW w:w="1395" w:type="dxa"/>
            <w:tcBorders>
              <w:top w:val="nil"/>
              <w:left w:val="nil"/>
              <w:bottom w:val="nil"/>
              <w:right w:val="nil"/>
            </w:tcBorders>
            <w:shd w:val="clear" w:color="auto" w:fill="auto"/>
            <w:vAlign w:val="bottom"/>
            <w:hideMark/>
          </w:tcPr>
          <w:p w14:paraId="636ABEAE"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2008 Cohort*TA Eligibility</w:t>
            </w:r>
          </w:p>
        </w:tc>
        <w:tc>
          <w:tcPr>
            <w:tcW w:w="721" w:type="dxa"/>
            <w:tcBorders>
              <w:top w:val="nil"/>
              <w:left w:val="nil"/>
              <w:bottom w:val="nil"/>
              <w:right w:val="nil"/>
            </w:tcBorders>
            <w:shd w:val="clear" w:color="auto" w:fill="auto"/>
            <w:noWrap/>
            <w:vAlign w:val="center"/>
            <w:hideMark/>
          </w:tcPr>
          <w:p w14:paraId="1122127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0.128</w:t>
            </w:r>
          </w:p>
        </w:tc>
        <w:tc>
          <w:tcPr>
            <w:tcW w:w="721" w:type="dxa"/>
            <w:tcBorders>
              <w:top w:val="nil"/>
              <w:left w:val="nil"/>
              <w:bottom w:val="nil"/>
              <w:right w:val="nil"/>
            </w:tcBorders>
            <w:shd w:val="clear" w:color="auto" w:fill="auto"/>
            <w:noWrap/>
            <w:vAlign w:val="center"/>
            <w:hideMark/>
          </w:tcPr>
          <w:p w14:paraId="632A753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0.564</w:t>
            </w:r>
          </w:p>
        </w:tc>
        <w:tc>
          <w:tcPr>
            <w:tcW w:w="721" w:type="dxa"/>
            <w:tcBorders>
              <w:top w:val="nil"/>
              <w:left w:val="nil"/>
              <w:bottom w:val="nil"/>
              <w:right w:val="nil"/>
            </w:tcBorders>
            <w:shd w:val="clear" w:color="auto" w:fill="auto"/>
            <w:noWrap/>
            <w:vAlign w:val="center"/>
            <w:hideMark/>
          </w:tcPr>
          <w:p w14:paraId="6EDF4B4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0.142*</w:t>
            </w:r>
          </w:p>
        </w:tc>
        <w:tc>
          <w:tcPr>
            <w:tcW w:w="806" w:type="dxa"/>
            <w:tcBorders>
              <w:top w:val="nil"/>
              <w:left w:val="nil"/>
              <w:bottom w:val="nil"/>
              <w:right w:val="nil"/>
            </w:tcBorders>
            <w:shd w:val="clear" w:color="auto" w:fill="auto"/>
            <w:noWrap/>
            <w:vAlign w:val="center"/>
            <w:hideMark/>
          </w:tcPr>
          <w:p w14:paraId="075767D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1.982</w:t>
            </w:r>
          </w:p>
        </w:tc>
        <w:tc>
          <w:tcPr>
            <w:tcW w:w="935" w:type="dxa"/>
            <w:tcBorders>
              <w:top w:val="nil"/>
              <w:left w:val="nil"/>
              <w:bottom w:val="nil"/>
              <w:right w:val="nil"/>
            </w:tcBorders>
            <w:shd w:val="clear" w:color="auto" w:fill="auto"/>
            <w:noWrap/>
            <w:vAlign w:val="center"/>
            <w:hideMark/>
          </w:tcPr>
          <w:p w14:paraId="3F3676F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0.316</w:t>
            </w:r>
          </w:p>
        </w:tc>
        <w:tc>
          <w:tcPr>
            <w:tcW w:w="834" w:type="dxa"/>
            <w:tcBorders>
              <w:top w:val="nil"/>
              <w:left w:val="nil"/>
              <w:bottom w:val="nil"/>
              <w:right w:val="nil"/>
            </w:tcBorders>
            <w:shd w:val="clear" w:color="auto" w:fill="auto"/>
            <w:noWrap/>
            <w:vAlign w:val="center"/>
            <w:hideMark/>
          </w:tcPr>
          <w:p w14:paraId="277FE5B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0.018</w:t>
            </w:r>
          </w:p>
        </w:tc>
        <w:tc>
          <w:tcPr>
            <w:tcW w:w="909" w:type="dxa"/>
            <w:tcBorders>
              <w:top w:val="nil"/>
              <w:left w:val="nil"/>
              <w:bottom w:val="nil"/>
              <w:right w:val="nil"/>
            </w:tcBorders>
            <w:shd w:val="clear" w:color="auto" w:fill="auto"/>
            <w:noWrap/>
            <w:vAlign w:val="center"/>
            <w:hideMark/>
          </w:tcPr>
          <w:p w14:paraId="709C3F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0.013</w:t>
            </w:r>
          </w:p>
        </w:tc>
        <w:tc>
          <w:tcPr>
            <w:tcW w:w="867" w:type="dxa"/>
            <w:tcBorders>
              <w:top w:val="nil"/>
              <w:left w:val="nil"/>
              <w:bottom w:val="nil"/>
              <w:right w:val="nil"/>
            </w:tcBorders>
            <w:shd w:val="clear" w:color="auto" w:fill="auto"/>
            <w:noWrap/>
            <w:vAlign w:val="center"/>
            <w:hideMark/>
          </w:tcPr>
          <w:p w14:paraId="352E777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-0.016</w:t>
            </w:r>
          </w:p>
        </w:tc>
        <w:tc>
          <w:tcPr>
            <w:tcW w:w="820" w:type="dxa"/>
            <w:tcBorders>
              <w:top w:val="nil"/>
              <w:left w:val="nil"/>
              <w:bottom w:val="nil"/>
              <w:right w:val="nil"/>
            </w:tcBorders>
            <w:shd w:val="clear" w:color="auto" w:fill="auto"/>
            <w:noWrap/>
            <w:vAlign w:val="center"/>
            <w:hideMark/>
          </w:tcPr>
          <w:p w14:paraId="52A98C4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0.004</w:t>
            </w:r>
          </w:p>
        </w:tc>
        <w:tc>
          <w:tcPr>
            <w:tcW w:w="853" w:type="dxa"/>
            <w:tcBorders>
              <w:top w:val="nil"/>
              <w:left w:val="nil"/>
              <w:bottom w:val="nil"/>
              <w:right w:val="nil"/>
            </w:tcBorders>
            <w:shd w:val="clear" w:color="auto" w:fill="auto"/>
            <w:vAlign w:val="center"/>
          </w:tcPr>
          <w:p w14:paraId="4D76A82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0.018</w:t>
            </w:r>
          </w:p>
        </w:tc>
      </w:tr>
      <w:tr w:rsidR="003448CB" w:rsidRPr="00284C07" w14:paraId="3A813FF8" w14:textId="77777777" w:rsidTr="00284C07">
        <w:trPr>
          <w:trHeight w:val="278"/>
        </w:trPr>
        <w:tc>
          <w:tcPr>
            <w:tcW w:w="1395" w:type="dxa"/>
            <w:tcBorders>
              <w:top w:val="nil"/>
              <w:left w:val="nil"/>
              <w:bottom w:val="nil"/>
              <w:right w:val="nil"/>
            </w:tcBorders>
            <w:shd w:val="clear" w:color="auto" w:fill="auto"/>
            <w:vAlign w:val="bottom"/>
            <w:hideMark/>
          </w:tcPr>
          <w:p w14:paraId="55FAA016"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0ADC5B6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(0.080)</w:t>
            </w:r>
          </w:p>
        </w:tc>
        <w:tc>
          <w:tcPr>
            <w:tcW w:w="721" w:type="dxa"/>
            <w:tcBorders>
              <w:top w:val="nil"/>
              <w:left w:val="nil"/>
              <w:bottom w:val="nil"/>
              <w:right w:val="nil"/>
            </w:tcBorders>
            <w:shd w:val="clear" w:color="auto" w:fill="auto"/>
            <w:noWrap/>
            <w:vAlign w:val="center"/>
            <w:hideMark/>
          </w:tcPr>
          <w:p w14:paraId="42ABA8C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(0.569)</w:t>
            </w:r>
          </w:p>
        </w:tc>
        <w:tc>
          <w:tcPr>
            <w:tcW w:w="721" w:type="dxa"/>
            <w:tcBorders>
              <w:top w:val="nil"/>
              <w:left w:val="nil"/>
              <w:bottom w:val="nil"/>
              <w:right w:val="nil"/>
            </w:tcBorders>
            <w:shd w:val="clear" w:color="auto" w:fill="auto"/>
            <w:noWrap/>
            <w:vAlign w:val="center"/>
            <w:hideMark/>
          </w:tcPr>
          <w:p w14:paraId="4E77C29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(0.073)</w:t>
            </w:r>
          </w:p>
        </w:tc>
        <w:tc>
          <w:tcPr>
            <w:tcW w:w="806" w:type="dxa"/>
            <w:tcBorders>
              <w:top w:val="nil"/>
              <w:left w:val="nil"/>
              <w:bottom w:val="nil"/>
              <w:right w:val="nil"/>
            </w:tcBorders>
            <w:shd w:val="clear" w:color="auto" w:fill="auto"/>
            <w:noWrap/>
            <w:vAlign w:val="center"/>
            <w:hideMark/>
          </w:tcPr>
          <w:p w14:paraId="63723B2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(1.386)</w:t>
            </w:r>
          </w:p>
        </w:tc>
        <w:tc>
          <w:tcPr>
            <w:tcW w:w="935" w:type="dxa"/>
            <w:tcBorders>
              <w:top w:val="nil"/>
              <w:left w:val="nil"/>
              <w:bottom w:val="nil"/>
              <w:right w:val="nil"/>
            </w:tcBorders>
            <w:shd w:val="clear" w:color="auto" w:fill="auto"/>
            <w:noWrap/>
            <w:vAlign w:val="center"/>
            <w:hideMark/>
          </w:tcPr>
          <w:p w14:paraId="30544ED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(0.234)</w:t>
            </w:r>
          </w:p>
        </w:tc>
        <w:tc>
          <w:tcPr>
            <w:tcW w:w="834" w:type="dxa"/>
            <w:tcBorders>
              <w:top w:val="nil"/>
              <w:left w:val="nil"/>
              <w:bottom w:val="nil"/>
              <w:right w:val="nil"/>
            </w:tcBorders>
            <w:shd w:val="clear" w:color="auto" w:fill="auto"/>
            <w:noWrap/>
            <w:vAlign w:val="center"/>
            <w:hideMark/>
          </w:tcPr>
          <w:p w14:paraId="2D624C4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c>
          <w:tcPr>
            <w:tcW w:w="909" w:type="dxa"/>
            <w:tcBorders>
              <w:top w:val="nil"/>
              <w:left w:val="nil"/>
              <w:bottom w:val="nil"/>
              <w:right w:val="nil"/>
            </w:tcBorders>
            <w:shd w:val="clear" w:color="auto" w:fill="auto"/>
            <w:noWrap/>
            <w:vAlign w:val="center"/>
            <w:hideMark/>
          </w:tcPr>
          <w:p w14:paraId="2F14168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67" w:type="dxa"/>
            <w:tcBorders>
              <w:top w:val="nil"/>
              <w:left w:val="nil"/>
              <w:bottom w:val="nil"/>
              <w:right w:val="nil"/>
            </w:tcBorders>
            <w:shd w:val="clear" w:color="auto" w:fill="auto"/>
            <w:noWrap/>
            <w:vAlign w:val="center"/>
            <w:hideMark/>
          </w:tcPr>
          <w:p w14:paraId="30B12CBC"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(0.031)</w:t>
            </w:r>
          </w:p>
        </w:tc>
        <w:tc>
          <w:tcPr>
            <w:tcW w:w="820" w:type="dxa"/>
            <w:tcBorders>
              <w:top w:val="nil"/>
              <w:left w:val="nil"/>
              <w:bottom w:val="nil"/>
              <w:right w:val="nil"/>
            </w:tcBorders>
            <w:shd w:val="clear" w:color="auto" w:fill="auto"/>
            <w:noWrap/>
            <w:vAlign w:val="center"/>
            <w:hideMark/>
          </w:tcPr>
          <w:p w14:paraId="180DED2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(0.025)</w:t>
            </w:r>
          </w:p>
        </w:tc>
        <w:tc>
          <w:tcPr>
            <w:tcW w:w="853" w:type="dxa"/>
            <w:tcBorders>
              <w:top w:val="nil"/>
              <w:left w:val="nil"/>
              <w:bottom w:val="nil"/>
              <w:right w:val="nil"/>
            </w:tcBorders>
            <w:shd w:val="clear" w:color="auto" w:fill="auto"/>
            <w:vAlign w:val="center"/>
          </w:tcPr>
          <w:p w14:paraId="694FEE9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r>
      <w:tr w:rsidR="003448CB" w:rsidRPr="00284C07" w14:paraId="3D227E10" w14:textId="77777777" w:rsidTr="00284C07">
        <w:trPr>
          <w:trHeight w:val="135"/>
        </w:trPr>
        <w:tc>
          <w:tcPr>
            <w:tcW w:w="1395" w:type="dxa"/>
            <w:tcBorders>
              <w:top w:val="nil"/>
              <w:left w:val="nil"/>
              <w:bottom w:val="nil"/>
              <w:right w:val="nil"/>
            </w:tcBorders>
            <w:shd w:val="clear" w:color="auto" w:fill="auto"/>
            <w:vAlign w:val="bottom"/>
            <w:hideMark/>
          </w:tcPr>
          <w:p w14:paraId="0B7FE583"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2009 Cohort*TA Eligibility</w:t>
            </w:r>
          </w:p>
        </w:tc>
        <w:tc>
          <w:tcPr>
            <w:tcW w:w="721" w:type="dxa"/>
            <w:tcBorders>
              <w:top w:val="nil"/>
              <w:left w:val="nil"/>
              <w:bottom w:val="nil"/>
              <w:right w:val="nil"/>
            </w:tcBorders>
            <w:shd w:val="clear" w:color="auto" w:fill="auto"/>
            <w:noWrap/>
            <w:vAlign w:val="center"/>
            <w:hideMark/>
          </w:tcPr>
          <w:p w14:paraId="449492F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0.023</w:t>
            </w:r>
          </w:p>
        </w:tc>
        <w:tc>
          <w:tcPr>
            <w:tcW w:w="721" w:type="dxa"/>
            <w:tcBorders>
              <w:top w:val="nil"/>
              <w:left w:val="nil"/>
              <w:bottom w:val="nil"/>
              <w:right w:val="nil"/>
            </w:tcBorders>
            <w:shd w:val="clear" w:color="auto" w:fill="auto"/>
            <w:noWrap/>
            <w:vAlign w:val="center"/>
            <w:hideMark/>
          </w:tcPr>
          <w:p w14:paraId="12D6759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1.078**</w:t>
            </w:r>
          </w:p>
        </w:tc>
        <w:tc>
          <w:tcPr>
            <w:tcW w:w="721" w:type="dxa"/>
            <w:tcBorders>
              <w:top w:val="nil"/>
              <w:left w:val="nil"/>
              <w:bottom w:val="nil"/>
              <w:right w:val="nil"/>
            </w:tcBorders>
            <w:shd w:val="clear" w:color="auto" w:fill="auto"/>
            <w:noWrap/>
            <w:vAlign w:val="center"/>
            <w:hideMark/>
          </w:tcPr>
          <w:p w14:paraId="486A826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0.001</w:t>
            </w:r>
          </w:p>
        </w:tc>
        <w:tc>
          <w:tcPr>
            <w:tcW w:w="806" w:type="dxa"/>
            <w:tcBorders>
              <w:top w:val="nil"/>
              <w:left w:val="nil"/>
              <w:bottom w:val="nil"/>
              <w:right w:val="nil"/>
            </w:tcBorders>
            <w:shd w:val="clear" w:color="auto" w:fill="auto"/>
            <w:noWrap/>
            <w:vAlign w:val="center"/>
            <w:hideMark/>
          </w:tcPr>
          <w:p w14:paraId="391A04C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1.329</w:t>
            </w:r>
          </w:p>
        </w:tc>
        <w:tc>
          <w:tcPr>
            <w:tcW w:w="935" w:type="dxa"/>
            <w:tcBorders>
              <w:top w:val="nil"/>
              <w:left w:val="nil"/>
              <w:bottom w:val="nil"/>
              <w:right w:val="nil"/>
            </w:tcBorders>
            <w:shd w:val="clear" w:color="auto" w:fill="auto"/>
            <w:noWrap/>
            <w:vAlign w:val="center"/>
            <w:hideMark/>
          </w:tcPr>
          <w:p w14:paraId="36374D0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0.245</w:t>
            </w:r>
          </w:p>
        </w:tc>
        <w:tc>
          <w:tcPr>
            <w:tcW w:w="834" w:type="dxa"/>
            <w:tcBorders>
              <w:top w:val="nil"/>
              <w:left w:val="nil"/>
              <w:bottom w:val="nil"/>
              <w:right w:val="nil"/>
            </w:tcBorders>
            <w:shd w:val="clear" w:color="auto" w:fill="auto"/>
            <w:noWrap/>
            <w:vAlign w:val="center"/>
            <w:hideMark/>
          </w:tcPr>
          <w:p w14:paraId="029382A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0.025*</w:t>
            </w:r>
          </w:p>
        </w:tc>
        <w:tc>
          <w:tcPr>
            <w:tcW w:w="909" w:type="dxa"/>
            <w:tcBorders>
              <w:top w:val="nil"/>
              <w:left w:val="nil"/>
              <w:bottom w:val="nil"/>
              <w:right w:val="nil"/>
            </w:tcBorders>
            <w:shd w:val="clear" w:color="auto" w:fill="auto"/>
            <w:noWrap/>
            <w:vAlign w:val="center"/>
            <w:hideMark/>
          </w:tcPr>
          <w:p w14:paraId="70080A7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c>
          <w:tcPr>
            <w:tcW w:w="867" w:type="dxa"/>
            <w:tcBorders>
              <w:top w:val="nil"/>
              <w:left w:val="nil"/>
              <w:bottom w:val="nil"/>
              <w:right w:val="nil"/>
            </w:tcBorders>
            <w:shd w:val="clear" w:color="auto" w:fill="auto"/>
            <w:noWrap/>
            <w:vAlign w:val="center"/>
            <w:hideMark/>
          </w:tcPr>
          <w:p w14:paraId="7F869A9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-0.073***</w:t>
            </w:r>
          </w:p>
        </w:tc>
        <w:tc>
          <w:tcPr>
            <w:tcW w:w="820" w:type="dxa"/>
            <w:tcBorders>
              <w:top w:val="nil"/>
              <w:left w:val="nil"/>
              <w:bottom w:val="nil"/>
              <w:right w:val="nil"/>
            </w:tcBorders>
            <w:shd w:val="clear" w:color="auto" w:fill="auto"/>
            <w:noWrap/>
            <w:vAlign w:val="center"/>
            <w:hideMark/>
          </w:tcPr>
          <w:p w14:paraId="69E4E96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53" w:type="dxa"/>
            <w:tcBorders>
              <w:top w:val="nil"/>
              <w:left w:val="nil"/>
              <w:bottom w:val="nil"/>
              <w:right w:val="nil"/>
            </w:tcBorders>
            <w:shd w:val="clear" w:color="auto" w:fill="auto"/>
            <w:vAlign w:val="center"/>
          </w:tcPr>
          <w:p w14:paraId="0DDB9CF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0.025*</w:t>
            </w:r>
          </w:p>
        </w:tc>
      </w:tr>
      <w:tr w:rsidR="003448CB" w:rsidRPr="00284C07" w14:paraId="345CE726" w14:textId="77777777" w:rsidTr="00284C07">
        <w:trPr>
          <w:trHeight w:val="278"/>
        </w:trPr>
        <w:tc>
          <w:tcPr>
            <w:tcW w:w="1395" w:type="dxa"/>
            <w:tcBorders>
              <w:top w:val="nil"/>
              <w:left w:val="nil"/>
              <w:bottom w:val="nil"/>
              <w:right w:val="nil"/>
            </w:tcBorders>
            <w:shd w:val="clear" w:color="auto" w:fill="auto"/>
            <w:vAlign w:val="bottom"/>
            <w:hideMark/>
          </w:tcPr>
          <w:p w14:paraId="6F4AF1B8"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29280BB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(0.071)</w:t>
            </w:r>
          </w:p>
        </w:tc>
        <w:tc>
          <w:tcPr>
            <w:tcW w:w="721" w:type="dxa"/>
            <w:tcBorders>
              <w:top w:val="nil"/>
              <w:left w:val="nil"/>
              <w:bottom w:val="nil"/>
              <w:right w:val="nil"/>
            </w:tcBorders>
            <w:shd w:val="clear" w:color="auto" w:fill="auto"/>
            <w:noWrap/>
            <w:vAlign w:val="center"/>
            <w:hideMark/>
          </w:tcPr>
          <w:p w14:paraId="0057411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(0.484)</w:t>
            </w:r>
          </w:p>
        </w:tc>
        <w:tc>
          <w:tcPr>
            <w:tcW w:w="721" w:type="dxa"/>
            <w:tcBorders>
              <w:top w:val="nil"/>
              <w:left w:val="nil"/>
              <w:bottom w:val="nil"/>
              <w:right w:val="nil"/>
            </w:tcBorders>
            <w:shd w:val="clear" w:color="auto" w:fill="auto"/>
            <w:noWrap/>
            <w:vAlign w:val="center"/>
            <w:hideMark/>
          </w:tcPr>
          <w:p w14:paraId="2E6879E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(0.066)</w:t>
            </w:r>
          </w:p>
        </w:tc>
        <w:tc>
          <w:tcPr>
            <w:tcW w:w="806" w:type="dxa"/>
            <w:tcBorders>
              <w:top w:val="nil"/>
              <w:left w:val="nil"/>
              <w:bottom w:val="nil"/>
              <w:right w:val="nil"/>
            </w:tcBorders>
            <w:shd w:val="clear" w:color="auto" w:fill="auto"/>
            <w:noWrap/>
            <w:vAlign w:val="center"/>
            <w:hideMark/>
          </w:tcPr>
          <w:p w14:paraId="791A54E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(1.159)</w:t>
            </w:r>
          </w:p>
        </w:tc>
        <w:tc>
          <w:tcPr>
            <w:tcW w:w="935" w:type="dxa"/>
            <w:tcBorders>
              <w:top w:val="nil"/>
              <w:left w:val="nil"/>
              <w:bottom w:val="nil"/>
              <w:right w:val="nil"/>
            </w:tcBorders>
            <w:shd w:val="clear" w:color="auto" w:fill="auto"/>
            <w:noWrap/>
            <w:vAlign w:val="center"/>
            <w:hideMark/>
          </w:tcPr>
          <w:p w14:paraId="02375DE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(0.201)</w:t>
            </w:r>
          </w:p>
        </w:tc>
        <w:tc>
          <w:tcPr>
            <w:tcW w:w="834" w:type="dxa"/>
            <w:tcBorders>
              <w:top w:val="nil"/>
              <w:left w:val="nil"/>
              <w:bottom w:val="nil"/>
              <w:right w:val="nil"/>
            </w:tcBorders>
            <w:shd w:val="clear" w:color="auto" w:fill="auto"/>
            <w:noWrap/>
            <w:vAlign w:val="center"/>
            <w:hideMark/>
          </w:tcPr>
          <w:p w14:paraId="211983A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c>
          <w:tcPr>
            <w:tcW w:w="909" w:type="dxa"/>
            <w:tcBorders>
              <w:top w:val="nil"/>
              <w:left w:val="nil"/>
              <w:bottom w:val="nil"/>
              <w:right w:val="nil"/>
            </w:tcBorders>
            <w:shd w:val="clear" w:color="auto" w:fill="auto"/>
            <w:noWrap/>
            <w:vAlign w:val="center"/>
            <w:hideMark/>
          </w:tcPr>
          <w:p w14:paraId="6ADBEA9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(0.024)</w:t>
            </w:r>
          </w:p>
        </w:tc>
        <w:tc>
          <w:tcPr>
            <w:tcW w:w="867" w:type="dxa"/>
            <w:tcBorders>
              <w:top w:val="nil"/>
              <w:left w:val="nil"/>
              <w:bottom w:val="nil"/>
              <w:right w:val="nil"/>
            </w:tcBorders>
            <w:shd w:val="clear" w:color="auto" w:fill="auto"/>
            <w:noWrap/>
            <w:vAlign w:val="center"/>
            <w:hideMark/>
          </w:tcPr>
          <w:p w14:paraId="11C2B22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(0.027)</w:t>
            </w:r>
          </w:p>
        </w:tc>
        <w:tc>
          <w:tcPr>
            <w:tcW w:w="820" w:type="dxa"/>
            <w:tcBorders>
              <w:top w:val="nil"/>
              <w:left w:val="nil"/>
              <w:bottom w:val="nil"/>
              <w:right w:val="nil"/>
            </w:tcBorders>
            <w:shd w:val="clear" w:color="auto" w:fill="auto"/>
            <w:noWrap/>
            <w:vAlign w:val="center"/>
            <w:hideMark/>
          </w:tcPr>
          <w:p w14:paraId="7539C7E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53" w:type="dxa"/>
            <w:tcBorders>
              <w:top w:val="nil"/>
              <w:left w:val="nil"/>
              <w:bottom w:val="nil"/>
              <w:right w:val="nil"/>
            </w:tcBorders>
            <w:shd w:val="clear" w:color="auto" w:fill="auto"/>
            <w:vAlign w:val="center"/>
          </w:tcPr>
          <w:p w14:paraId="44B6D02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r>
      <w:tr w:rsidR="003448CB" w:rsidRPr="00284C07" w14:paraId="46110F97" w14:textId="77777777" w:rsidTr="00284C07">
        <w:trPr>
          <w:trHeight w:val="99"/>
        </w:trPr>
        <w:tc>
          <w:tcPr>
            <w:tcW w:w="1395" w:type="dxa"/>
            <w:tcBorders>
              <w:top w:val="nil"/>
              <w:left w:val="nil"/>
              <w:bottom w:val="nil"/>
              <w:right w:val="nil"/>
            </w:tcBorders>
            <w:shd w:val="clear" w:color="auto" w:fill="auto"/>
            <w:vAlign w:val="bottom"/>
            <w:hideMark/>
          </w:tcPr>
          <w:p w14:paraId="6B1C7B5D"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2010 Cohort*TA Eligibility</w:t>
            </w:r>
          </w:p>
        </w:tc>
        <w:tc>
          <w:tcPr>
            <w:tcW w:w="721" w:type="dxa"/>
            <w:tcBorders>
              <w:top w:val="nil"/>
              <w:left w:val="nil"/>
              <w:bottom w:val="nil"/>
              <w:right w:val="nil"/>
            </w:tcBorders>
            <w:shd w:val="clear" w:color="auto" w:fill="auto"/>
            <w:noWrap/>
            <w:vAlign w:val="center"/>
            <w:hideMark/>
          </w:tcPr>
          <w:p w14:paraId="3EB5817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0.151**</w:t>
            </w:r>
          </w:p>
        </w:tc>
        <w:tc>
          <w:tcPr>
            <w:tcW w:w="721" w:type="dxa"/>
            <w:tcBorders>
              <w:top w:val="nil"/>
              <w:left w:val="nil"/>
              <w:bottom w:val="nil"/>
              <w:right w:val="nil"/>
            </w:tcBorders>
            <w:shd w:val="clear" w:color="auto" w:fill="auto"/>
            <w:noWrap/>
            <w:vAlign w:val="center"/>
            <w:hideMark/>
          </w:tcPr>
          <w:p w14:paraId="5434949C"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0.952*</w:t>
            </w:r>
          </w:p>
        </w:tc>
        <w:tc>
          <w:tcPr>
            <w:tcW w:w="721" w:type="dxa"/>
            <w:tcBorders>
              <w:top w:val="nil"/>
              <w:left w:val="nil"/>
              <w:bottom w:val="nil"/>
              <w:right w:val="nil"/>
            </w:tcBorders>
            <w:shd w:val="clear" w:color="auto" w:fill="auto"/>
            <w:noWrap/>
            <w:vAlign w:val="center"/>
            <w:hideMark/>
          </w:tcPr>
          <w:p w14:paraId="0036117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0.128*</w:t>
            </w:r>
          </w:p>
        </w:tc>
        <w:tc>
          <w:tcPr>
            <w:tcW w:w="806" w:type="dxa"/>
            <w:tcBorders>
              <w:top w:val="nil"/>
              <w:left w:val="nil"/>
              <w:bottom w:val="nil"/>
              <w:right w:val="nil"/>
            </w:tcBorders>
            <w:shd w:val="clear" w:color="auto" w:fill="auto"/>
            <w:noWrap/>
            <w:vAlign w:val="center"/>
            <w:hideMark/>
          </w:tcPr>
          <w:p w14:paraId="3548F88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3.087***</w:t>
            </w:r>
          </w:p>
        </w:tc>
        <w:tc>
          <w:tcPr>
            <w:tcW w:w="935" w:type="dxa"/>
            <w:tcBorders>
              <w:top w:val="nil"/>
              <w:left w:val="nil"/>
              <w:bottom w:val="nil"/>
              <w:right w:val="nil"/>
            </w:tcBorders>
            <w:shd w:val="clear" w:color="auto" w:fill="auto"/>
            <w:noWrap/>
            <w:vAlign w:val="center"/>
            <w:hideMark/>
          </w:tcPr>
          <w:p w14:paraId="4B73BF1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0.711***</w:t>
            </w:r>
          </w:p>
        </w:tc>
        <w:tc>
          <w:tcPr>
            <w:tcW w:w="834" w:type="dxa"/>
            <w:tcBorders>
              <w:top w:val="nil"/>
              <w:left w:val="nil"/>
              <w:bottom w:val="nil"/>
              <w:right w:val="nil"/>
            </w:tcBorders>
            <w:shd w:val="clear" w:color="auto" w:fill="auto"/>
            <w:noWrap/>
            <w:vAlign w:val="center"/>
            <w:hideMark/>
          </w:tcPr>
          <w:p w14:paraId="3275DDD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0.030**</w:t>
            </w:r>
          </w:p>
        </w:tc>
        <w:tc>
          <w:tcPr>
            <w:tcW w:w="909" w:type="dxa"/>
            <w:tcBorders>
              <w:top w:val="nil"/>
              <w:left w:val="nil"/>
              <w:bottom w:val="nil"/>
              <w:right w:val="nil"/>
            </w:tcBorders>
            <w:shd w:val="clear" w:color="auto" w:fill="auto"/>
            <w:noWrap/>
            <w:vAlign w:val="center"/>
            <w:hideMark/>
          </w:tcPr>
          <w:p w14:paraId="6ECC8C2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0.039*</w:t>
            </w:r>
          </w:p>
        </w:tc>
        <w:tc>
          <w:tcPr>
            <w:tcW w:w="867" w:type="dxa"/>
            <w:tcBorders>
              <w:top w:val="nil"/>
              <w:left w:val="nil"/>
              <w:bottom w:val="nil"/>
              <w:right w:val="nil"/>
            </w:tcBorders>
            <w:shd w:val="clear" w:color="auto" w:fill="auto"/>
            <w:noWrap/>
            <w:vAlign w:val="center"/>
            <w:hideMark/>
          </w:tcPr>
          <w:p w14:paraId="382A529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-0.033</w:t>
            </w:r>
          </w:p>
        </w:tc>
        <w:tc>
          <w:tcPr>
            <w:tcW w:w="820" w:type="dxa"/>
            <w:tcBorders>
              <w:top w:val="nil"/>
              <w:left w:val="nil"/>
              <w:bottom w:val="nil"/>
              <w:right w:val="nil"/>
            </w:tcBorders>
            <w:shd w:val="clear" w:color="auto" w:fill="auto"/>
            <w:noWrap/>
            <w:vAlign w:val="center"/>
            <w:hideMark/>
          </w:tcPr>
          <w:p w14:paraId="4AB061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0.036*</w:t>
            </w:r>
          </w:p>
        </w:tc>
        <w:tc>
          <w:tcPr>
            <w:tcW w:w="853" w:type="dxa"/>
            <w:tcBorders>
              <w:top w:val="nil"/>
              <w:left w:val="nil"/>
              <w:bottom w:val="nil"/>
              <w:right w:val="nil"/>
            </w:tcBorders>
            <w:shd w:val="clear" w:color="auto" w:fill="auto"/>
            <w:vAlign w:val="center"/>
          </w:tcPr>
          <w:p w14:paraId="6B8AC76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0.035**</w:t>
            </w:r>
          </w:p>
        </w:tc>
      </w:tr>
      <w:tr w:rsidR="003448CB" w:rsidRPr="00284C07" w14:paraId="3E2F4BB3" w14:textId="77777777" w:rsidTr="00284C07">
        <w:trPr>
          <w:trHeight w:val="278"/>
        </w:trPr>
        <w:tc>
          <w:tcPr>
            <w:tcW w:w="1395" w:type="dxa"/>
            <w:tcBorders>
              <w:top w:val="nil"/>
              <w:left w:val="nil"/>
              <w:bottom w:val="nil"/>
              <w:right w:val="nil"/>
            </w:tcBorders>
            <w:shd w:val="clear" w:color="auto" w:fill="auto"/>
            <w:vAlign w:val="bottom"/>
            <w:hideMark/>
          </w:tcPr>
          <w:p w14:paraId="178FE4DB"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064B669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(0.073)</w:t>
            </w:r>
          </w:p>
        </w:tc>
        <w:tc>
          <w:tcPr>
            <w:tcW w:w="721" w:type="dxa"/>
            <w:tcBorders>
              <w:top w:val="nil"/>
              <w:left w:val="nil"/>
              <w:bottom w:val="nil"/>
              <w:right w:val="nil"/>
            </w:tcBorders>
            <w:shd w:val="clear" w:color="auto" w:fill="auto"/>
            <w:noWrap/>
            <w:vAlign w:val="center"/>
            <w:hideMark/>
          </w:tcPr>
          <w:p w14:paraId="15ABC88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(0.488)</w:t>
            </w:r>
          </w:p>
        </w:tc>
        <w:tc>
          <w:tcPr>
            <w:tcW w:w="721" w:type="dxa"/>
            <w:tcBorders>
              <w:top w:val="nil"/>
              <w:left w:val="nil"/>
              <w:bottom w:val="nil"/>
              <w:right w:val="nil"/>
            </w:tcBorders>
            <w:shd w:val="clear" w:color="auto" w:fill="auto"/>
            <w:noWrap/>
            <w:vAlign w:val="center"/>
            <w:hideMark/>
          </w:tcPr>
          <w:p w14:paraId="7A38F82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(0.067)</w:t>
            </w:r>
          </w:p>
        </w:tc>
        <w:tc>
          <w:tcPr>
            <w:tcW w:w="806" w:type="dxa"/>
            <w:tcBorders>
              <w:top w:val="nil"/>
              <w:left w:val="nil"/>
              <w:bottom w:val="nil"/>
              <w:right w:val="nil"/>
            </w:tcBorders>
            <w:shd w:val="clear" w:color="auto" w:fill="auto"/>
            <w:noWrap/>
            <w:vAlign w:val="center"/>
            <w:hideMark/>
          </w:tcPr>
          <w:p w14:paraId="7694B57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(1.168)</w:t>
            </w:r>
          </w:p>
        </w:tc>
        <w:tc>
          <w:tcPr>
            <w:tcW w:w="935" w:type="dxa"/>
            <w:tcBorders>
              <w:top w:val="nil"/>
              <w:left w:val="nil"/>
              <w:bottom w:val="nil"/>
              <w:right w:val="nil"/>
            </w:tcBorders>
            <w:shd w:val="clear" w:color="auto" w:fill="auto"/>
            <w:noWrap/>
            <w:vAlign w:val="center"/>
            <w:hideMark/>
          </w:tcPr>
          <w:p w14:paraId="4202E3E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(0.201)</w:t>
            </w:r>
          </w:p>
        </w:tc>
        <w:tc>
          <w:tcPr>
            <w:tcW w:w="834" w:type="dxa"/>
            <w:tcBorders>
              <w:top w:val="nil"/>
              <w:left w:val="nil"/>
              <w:bottom w:val="nil"/>
              <w:right w:val="nil"/>
            </w:tcBorders>
            <w:shd w:val="clear" w:color="auto" w:fill="auto"/>
            <w:noWrap/>
            <w:vAlign w:val="center"/>
            <w:hideMark/>
          </w:tcPr>
          <w:p w14:paraId="03EE2C5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c>
          <w:tcPr>
            <w:tcW w:w="909" w:type="dxa"/>
            <w:tcBorders>
              <w:top w:val="nil"/>
              <w:left w:val="nil"/>
              <w:bottom w:val="nil"/>
              <w:right w:val="nil"/>
            </w:tcBorders>
            <w:shd w:val="clear" w:color="auto" w:fill="auto"/>
            <w:noWrap/>
            <w:vAlign w:val="center"/>
            <w:hideMark/>
          </w:tcPr>
          <w:p w14:paraId="63282FD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(0.024)</w:t>
            </w:r>
          </w:p>
        </w:tc>
        <w:tc>
          <w:tcPr>
            <w:tcW w:w="867" w:type="dxa"/>
            <w:tcBorders>
              <w:top w:val="nil"/>
              <w:left w:val="nil"/>
              <w:bottom w:val="nil"/>
              <w:right w:val="nil"/>
            </w:tcBorders>
            <w:shd w:val="clear" w:color="auto" w:fill="auto"/>
            <w:noWrap/>
            <w:vAlign w:val="center"/>
            <w:hideMark/>
          </w:tcPr>
          <w:p w14:paraId="17C03F5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4549FC1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53" w:type="dxa"/>
            <w:tcBorders>
              <w:top w:val="nil"/>
              <w:left w:val="nil"/>
              <w:bottom w:val="nil"/>
              <w:right w:val="nil"/>
            </w:tcBorders>
            <w:shd w:val="clear" w:color="auto" w:fill="auto"/>
            <w:vAlign w:val="center"/>
          </w:tcPr>
          <w:p w14:paraId="4257D26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r>
      <w:tr w:rsidR="003448CB" w:rsidRPr="00284C07" w14:paraId="4C29E63B" w14:textId="77777777" w:rsidTr="00284C07">
        <w:trPr>
          <w:trHeight w:val="66"/>
        </w:trPr>
        <w:tc>
          <w:tcPr>
            <w:tcW w:w="1395" w:type="dxa"/>
            <w:tcBorders>
              <w:top w:val="nil"/>
              <w:left w:val="nil"/>
              <w:bottom w:val="nil"/>
              <w:right w:val="nil"/>
            </w:tcBorders>
            <w:shd w:val="clear" w:color="auto" w:fill="auto"/>
            <w:vAlign w:val="bottom"/>
            <w:hideMark/>
          </w:tcPr>
          <w:p w14:paraId="3777F828"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2011 Cohort*TA Eligibility</w:t>
            </w:r>
          </w:p>
        </w:tc>
        <w:tc>
          <w:tcPr>
            <w:tcW w:w="721" w:type="dxa"/>
            <w:tcBorders>
              <w:top w:val="nil"/>
              <w:left w:val="nil"/>
              <w:bottom w:val="nil"/>
              <w:right w:val="nil"/>
            </w:tcBorders>
            <w:shd w:val="clear" w:color="auto" w:fill="auto"/>
            <w:noWrap/>
            <w:vAlign w:val="center"/>
            <w:hideMark/>
          </w:tcPr>
          <w:p w14:paraId="1077E01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0.087</w:t>
            </w:r>
          </w:p>
        </w:tc>
        <w:tc>
          <w:tcPr>
            <w:tcW w:w="721" w:type="dxa"/>
            <w:tcBorders>
              <w:top w:val="nil"/>
              <w:left w:val="nil"/>
              <w:bottom w:val="nil"/>
              <w:right w:val="nil"/>
            </w:tcBorders>
            <w:shd w:val="clear" w:color="auto" w:fill="auto"/>
            <w:noWrap/>
            <w:vAlign w:val="center"/>
            <w:hideMark/>
          </w:tcPr>
          <w:p w14:paraId="61DD7A3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0.786</w:t>
            </w:r>
          </w:p>
        </w:tc>
        <w:tc>
          <w:tcPr>
            <w:tcW w:w="721" w:type="dxa"/>
            <w:tcBorders>
              <w:top w:val="nil"/>
              <w:left w:val="nil"/>
              <w:bottom w:val="nil"/>
              <w:right w:val="nil"/>
            </w:tcBorders>
            <w:shd w:val="clear" w:color="auto" w:fill="auto"/>
            <w:noWrap/>
            <w:vAlign w:val="center"/>
            <w:hideMark/>
          </w:tcPr>
          <w:p w14:paraId="08A7A83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0.070</w:t>
            </w:r>
          </w:p>
        </w:tc>
        <w:tc>
          <w:tcPr>
            <w:tcW w:w="806" w:type="dxa"/>
            <w:tcBorders>
              <w:top w:val="nil"/>
              <w:left w:val="nil"/>
              <w:bottom w:val="nil"/>
              <w:right w:val="nil"/>
            </w:tcBorders>
            <w:shd w:val="clear" w:color="auto" w:fill="auto"/>
            <w:noWrap/>
            <w:vAlign w:val="center"/>
            <w:hideMark/>
          </w:tcPr>
          <w:p w14:paraId="22EC297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1.738</w:t>
            </w:r>
          </w:p>
        </w:tc>
        <w:tc>
          <w:tcPr>
            <w:tcW w:w="935" w:type="dxa"/>
            <w:tcBorders>
              <w:top w:val="nil"/>
              <w:left w:val="nil"/>
              <w:bottom w:val="nil"/>
              <w:right w:val="nil"/>
            </w:tcBorders>
            <w:shd w:val="clear" w:color="auto" w:fill="auto"/>
            <w:noWrap/>
            <w:vAlign w:val="center"/>
            <w:hideMark/>
          </w:tcPr>
          <w:p w14:paraId="58FF362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0.502**</w:t>
            </w:r>
          </w:p>
        </w:tc>
        <w:tc>
          <w:tcPr>
            <w:tcW w:w="834" w:type="dxa"/>
            <w:tcBorders>
              <w:top w:val="nil"/>
              <w:left w:val="nil"/>
              <w:bottom w:val="nil"/>
              <w:right w:val="nil"/>
            </w:tcBorders>
            <w:shd w:val="clear" w:color="auto" w:fill="auto"/>
            <w:noWrap/>
            <w:vAlign w:val="center"/>
            <w:hideMark/>
          </w:tcPr>
          <w:p w14:paraId="51CE8A4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0.002</w:t>
            </w:r>
          </w:p>
        </w:tc>
        <w:tc>
          <w:tcPr>
            <w:tcW w:w="909" w:type="dxa"/>
            <w:tcBorders>
              <w:top w:val="nil"/>
              <w:left w:val="nil"/>
              <w:bottom w:val="nil"/>
              <w:right w:val="nil"/>
            </w:tcBorders>
            <w:shd w:val="clear" w:color="auto" w:fill="auto"/>
            <w:noWrap/>
            <w:vAlign w:val="center"/>
            <w:hideMark/>
          </w:tcPr>
          <w:p w14:paraId="7B9AD00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0.010</w:t>
            </w:r>
          </w:p>
        </w:tc>
        <w:tc>
          <w:tcPr>
            <w:tcW w:w="867" w:type="dxa"/>
            <w:tcBorders>
              <w:top w:val="nil"/>
              <w:left w:val="nil"/>
              <w:bottom w:val="nil"/>
              <w:right w:val="nil"/>
            </w:tcBorders>
            <w:shd w:val="clear" w:color="auto" w:fill="auto"/>
            <w:noWrap/>
            <w:vAlign w:val="center"/>
            <w:hideMark/>
          </w:tcPr>
          <w:p w14:paraId="7D2AA1E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-0.077***</w:t>
            </w:r>
          </w:p>
        </w:tc>
        <w:tc>
          <w:tcPr>
            <w:tcW w:w="820" w:type="dxa"/>
            <w:tcBorders>
              <w:top w:val="nil"/>
              <w:left w:val="nil"/>
              <w:bottom w:val="nil"/>
              <w:right w:val="nil"/>
            </w:tcBorders>
            <w:shd w:val="clear" w:color="auto" w:fill="auto"/>
            <w:noWrap/>
            <w:vAlign w:val="center"/>
            <w:hideMark/>
          </w:tcPr>
          <w:p w14:paraId="67914E1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0.017</w:t>
            </w:r>
          </w:p>
        </w:tc>
        <w:tc>
          <w:tcPr>
            <w:tcW w:w="853" w:type="dxa"/>
            <w:tcBorders>
              <w:top w:val="nil"/>
              <w:left w:val="nil"/>
              <w:bottom w:val="nil"/>
              <w:right w:val="nil"/>
            </w:tcBorders>
            <w:shd w:val="clear" w:color="auto" w:fill="auto"/>
            <w:vAlign w:val="center"/>
          </w:tcPr>
          <w:p w14:paraId="4C6EA7D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0.041***</w:t>
            </w:r>
          </w:p>
        </w:tc>
      </w:tr>
      <w:tr w:rsidR="003448CB" w:rsidRPr="00284C07" w14:paraId="285D058A" w14:textId="77777777" w:rsidTr="00284C07">
        <w:trPr>
          <w:trHeight w:val="278"/>
        </w:trPr>
        <w:tc>
          <w:tcPr>
            <w:tcW w:w="1395" w:type="dxa"/>
            <w:tcBorders>
              <w:top w:val="nil"/>
              <w:left w:val="nil"/>
              <w:bottom w:val="nil"/>
              <w:right w:val="nil"/>
            </w:tcBorders>
            <w:shd w:val="clear" w:color="auto" w:fill="auto"/>
            <w:vAlign w:val="bottom"/>
            <w:hideMark/>
          </w:tcPr>
          <w:p w14:paraId="7E723A53"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7F347AA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(0.073)</w:t>
            </w:r>
          </w:p>
        </w:tc>
        <w:tc>
          <w:tcPr>
            <w:tcW w:w="721" w:type="dxa"/>
            <w:tcBorders>
              <w:top w:val="nil"/>
              <w:left w:val="nil"/>
              <w:bottom w:val="nil"/>
              <w:right w:val="nil"/>
            </w:tcBorders>
            <w:shd w:val="clear" w:color="auto" w:fill="auto"/>
            <w:noWrap/>
            <w:vAlign w:val="center"/>
            <w:hideMark/>
          </w:tcPr>
          <w:p w14:paraId="1B519C0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(0.493)</w:t>
            </w:r>
          </w:p>
        </w:tc>
        <w:tc>
          <w:tcPr>
            <w:tcW w:w="721" w:type="dxa"/>
            <w:tcBorders>
              <w:top w:val="nil"/>
              <w:left w:val="nil"/>
              <w:bottom w:val="nil"/>
              <w:right w:val="nil"/>
            </w:tcBorders>
            <w:shd w:val="clear" w:color="auto" w:fill="auto"/>
            <w:noWrap/>
            <w:vAlign w:val="center"/>
            <w:hideMark/>
          </w:tcPr>
          <w:p w14:paraId="24DC7AA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(0.068)</w:t>
            </w:r>
          </w:p>
        </w:tc>
        <w:tc>
          <w:tcPr>
            <w:tcW w:w="806" w:type="dxa"/>
            <w:tcBorders>
              <w:top w:val="nil"/>
              <w:left w:val="nil"/>
              <w:bottom w:val="nil"/>
              <w:right w:val="nil"/>
            </w:tcBorders>
            <w:shd w:val="clear" w:color="auto" w:fill="auto"/>
            <w:noWrap/>
            <w:vAlign w:val="center"/>
            <w:hideMark/>
          </w:tcPr>
          <w:p w14:paraId="395A7A5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(1.192)</w:t>
            </w:r>
          </w:p>
        </w:tc>
        <w:tc>
          <w:tcPr>
            <w:tcW w:w="935" w:type="dxa"/>
            <w:tcBorders>
              <w:top w:val="nil"/>
              <w:left w:val="nil"/>
              <w:bottom w:val="nil"/>
              <w:right w:val="nil"/>
            </w:tcBorders>
            <w:shd w:val="clear" w:color="auto" w:fill="auto"/>
            <w:noWrap/>
            <w:vAlign w:val="center"/>
            <w:hideMark/>
          </w:tcPr>
          <w:p w14:paraId="5F151AE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(0.205)</w:t>
            </w:r>
          </w:p>
        </w:tc>
        <w:tc>
          <w:tcPr>
            <w:tcW w:w="834" w:type="dxa"/>
            <w:tcBorders>
              <w:top w:val="nil"/>
              <w:left w:val="nil"/>
              <w:bottom w:val="nil"/>
              <w:right w:val="nil"/>
            </w:tcBorders>
            <w:shd w:val="clear" w:color="auto" w:fill="auto"/>
            <w:noWrap/>
            <w:vAlign w:val="center"/>
            <w:hideMark/>
          </w:tcPr>
          <w:p w14:paraId="47B4DC1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c>
          <w:tcPr>
            <w:tcW w:w="909" w:type="dxa"/>
            <w:tcBorders>
              <w:top w:val="nil"/>
              <w:left w:val="nil"/>
              <w:bottom w:val="nil"/>
              <w:right w:val="nil"/>
            </w:tcBorders>
            <w:shd w:val="clear" w:color="auto" w:fill="auto"/>
            <w:noWrap/>
            <w:vAlign w:val="center"/>
            <w:hideMark/>
          </w:tcPr>
          <w:p w14:paraId="006C3A9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(0.024)</w:t>
            </w:r>
          </w:p>
        </w:tc>
        <w:tc>
          <w:tcPr>
            <w:tcW w:w="867" w:type="dxa"/>
            <w:tcBorders>
              <w:top w:val="nil"/>
              <w:left w:val="nil"/>
              <w:bottom w:val="nil"/>
              <w:right w:val="nil"/>
            </w:tcBorders>
            <w:shd w:val="clear" w:color="auto" w:fill="auto"/>
            <w:noWrap/>
            <w:vAlign w:val="center"/>
            <w:hideMark/>
          </w:tcPr>
          <w:p w14:paraId="5310A3B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4064D2A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53" w:type="dxa"/>
            <w:tcBorders>
              <w:top w:val="nil"/>
              <w:left w:val="nil"/>
              <w:bottom w:val="nil"/>
              <w:right w:val="nil"/>
            </w:tcBorders>
            <w:shd w:val="clear" w:color="auto" w:fill="auto"/>
            <w:vAlign w:val="center"/>
          </w:tcPr>
          <w:p w14:paraId="76F1768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r>
      <w:tr w:rsidR="003448CB" w:rsidRPr="00284C07" w14:paraId="503324E0" w14:textId="77777777" w:rsidTr="00284C07">
        <w:trPr>
          <w:trHeight w:val="108"/>
        </w:trPr>
        <w:tc>
          <w:tcPr>
            <w:tcW w:w="1395" w:type="dxa"/>
            <w:tcBorders>
              <w:top w:val="nil"/>
              <w:left w:val="nil"/>
              <w:bottom w:val="nil"/>
              <w:right w:val="nil"/>
            </w:tcBorders>
            <w:shd w:val="clear" w:color="auto" w:fill="auto"/>
            <w:vAlign w:val="bottom"/>
            <w:hideMark/>
          </w:tcPr>
          <w:p w14:paraId="13AA5993"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2012 Cohort*TA Eligibility</w:t>
            </w:r>
          </w:p>
        </w:tc>
        <w:tc>
          <w:tcPr>
            <w:tcW w:w="721" w:type="dxa"/>
            <w:tcBorders>
              <w:top w:val="nil"/>
              <w:left w:val="nil"/>
              <w:bottom w:val="nil"/>
              <w:right w:val="nil"/>
            </w:tcBorders>
            <w:shd w:val="clear" w:color="auto" w:fill="auto"/>
            <w:noWrap/>
            <w:vAlign w:val="center"/>
            <w:hideMark/>
          </w:tcPr>
          <w:p w14:paraId="093B191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0.027</w:t>
            </w:r>
          </w:p>
        </w:tc>
        <w:tc>
          <w:tcPr>
            <w:tcW w:w="721" w:type="dxa"/>
            <w:tcBorders>
              <w:top w:val="nil"/>
              <w:left w:val="nil"/>
              <w:bottom w:val="nil"/>
              <w:right w:val="nil"/>
            </w:tcBorders>
            <w:shd w:val="clear" w:color="auto" w:fill="auto"/>
            <w:noWrap/>
            <w:vAlign w:val="center"/>
            <w:hideMark/>
          </w:tcPr>
          <w:p w14:paraId="3B3E8C8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0.633</w:t>
            </w:r>
          </w:p>
        </w:tc>
        <w:tc>
          <w:tcPr>
            <w:tcW w:w="721" w:type="dxa"/>
            <w:tcBorders>
              <w:top w:val="nil"/>
              <w:left w:val="nil"/>
              <w:bottom w:val="nil"/>
              <w:right w:val="nil"/>
            </w:tcBorders>
            <w:shd w:val="clear" w:color="auto" w:fill="auto"/>
            <w:noWrap/>
            <w:vAlign w:val="center"/>
            <w:hideMark/>
          </w:tcPr>
          <w:p w14:paraId="69A1021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0.022</w:t>
            </w:r>
          </w:p>
        </w:tc>
        <w:tc>
          <w:tcPr>
            <w:tcW w:w="806" w:type="dxa"/>
            <w:tcBorders>
              <w:top w:val="nil"/>
              <w:left w:val="nil"/>
              <w:bottom w:val="nil"/>
              <w:right w:val="nil"/>
            </w:tcBorders>
            <w:shd w:val="clear" w:color="auto" w:fill="auto"/>
            <w:noWrap/>
            <w:vAlign w:val="center"/>
            <w:hideMark/>
          </w:tcPr>
          <w:p w14:paraId="60D9DBE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1.470</w:t>
            </w:r>
          </w:p>
        </w:tc>
        <w:tc>
          <w:tcPr>
            <w:tcW w:w="935" w:type="dxa"/>
            <w:tcBorders>
              <w:top w:val="nil"/>
              <w:left w:val="nil"/>
              <w:bottom w:val="nil"/>
              <w:right w:val="nil"/>
            </w:tcBorders>
            <w:shd w:val="clear" w:color="auto" w:fill="auto"/>
            <w:noWrap/>
            <w:vAlign w:val="center"/>
            <w:hideMark/>
          </w:tcPr>
          <w:p w14:paraId="20D746C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0.400*</w:t>
            </w:r>
          </w:p>
        </w:tc>
        <w:tc>
          <w:tcPr>
            <w:tcW w:w="834" w:type="dxa"/>
            <w:tcBorders>
              <w:top w:val="nil"/>
              <w:left w:val="nil"/>
              <w:bottom w:val="nil"/>
              <w:right w:val="nil"/>
            </w:tcBorders>
            <w:shd w:val="clear" w:color="auto" w:fill="auto"/>
            <w:noWrap/>
            <w:vAlign w:val="center"/>
            <w:hideMark/>
          </w:tcPr>
          <w:p w14:paraId="7DC309C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c>
          <w:tcPr>
            <w:tcW w:w="909" w:type="dxa"/>
            <w:tcBorders>
              <w:top w:val="nil"/>
              <w:left w:val="nil"/>
              <w:bottom w:val="nil"/>
              <w:right w:val="nil"/>
            </w:tcBorders>
            <w:shd w:val="clear" w:color="auto" w:fill="auto"/>
            <w:noWrap/>
            <w:vAlign w:val="center"/>
            <w:hideMark/>
          </w:tcPr>
          <w:p w14:paraId="3E5BB83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-0.008</w:t>
            </w:r>
          </w:p>
        </w:tc>
        <w:tc>
          <w:tcPr>
            <w:tcW w:w="867" w:type="dxa"/>
            <w:tcBorders>
              <w:top w:val="nil"/>
              <w:left w:val="nil"/>
              <w:bottom w:val="nil"/>
              <w:right w:val="nil"/>
            </w:tcBorders>
            <w:shd w:val="clear" w:color="auto" w:fill="auto"/>
            <w:noWrap/>
            <w:vAlign w:val="center"/>
            <w:hideMark/>
          </w:tcPr>
          <w:p w14:paraId="5FB6FF6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-0.096***</w:t>
            </w:r>
          </w:p>
        </w:tc>
        <w:tc>
          <w:tcPr>
            <w:tcW w:w="820" w:type="dxa"/>
            <w:tcBorders>
              <w:top w:val="nil"/>
              <w:left w:val="nil"/>
              <w:bottom w:val="nil"/>
              <w:right w:val="nil"/>
            </w:tcBorders>
            <w:shd w:val="clear" w:color="auto" w:fill="auto"/>
            <w:noWrap/>
            <w:vAlign w:val="center"/>
            <w:hideMark/>
          </w:tcPr>
          <w:p w14:paraId="0A71021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0.003</w:t>
            </w:r>
          </w:p>
        </w:tc>
        <w:tc>
          <w:tcPr>
            <w:tcW w:w="853" w:type="dxa"/>
            <w:tcBorders>
              <w:top w:val="nil"/>
              <w:left w:val="nil"/>
              <w:bottom w:val="nil"/>
              <w:right w:val="nil"/>
            </w:tcBorders>
            <w:shd w:val="clear" w:color="auto" w:fill="auto"/>
            <w:vAlign w:val="center"/>
          </w:tcPr>
          <w:p w14:paraId="2C68EC0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0.033**</w:t>
            </w:r>
          </w:p>
        </w:tc>
      </w:tr>
      <w:tr w:rsidR="003448CB" w:rsidRPr="00284C07" w14:paraId="31486CAA" w14:textId="77777777" w:rsidTr="00284C07">
        <w:trPr>
          <w:trHeight w:val="278"/>
        </w:trPr>
        <w:tc>
          <w:tcPr>
            <w:tcW w:w="1395" w:type="dxa"/>
            <w:tcBorders>
              <w:top w:val="nil"/>
              <w:left w:val="nil"/>
              <w:bottom w:val="nil"/>
              <w:right w:val="nil"/>
            </w:tcBorders>
            <w:shd w:val="clear" w:color="auto" w:fill="auto"/>
            <w:vAlign w:val="bottom"/>
            <w:hideMark/>
          </w:tcPr>
          <w:p w14:paraId="551A93E5"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77A88EF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(0.075)</w:t>
            </w:r>
          </w:p>
        </w:tc>
        <w:tc>
          <w:tcPr>
            <w:tcW w:w="721" w:type="dxa"/>
            <w:tcBorders>
              <w:top w:val="nil"/>
              <w:left w:val="nil"/>
              <w:bottom w:val="nil"/>
              <w:right w:val="nil"/>
            </w:tcBorders>
            <w:shd w:val="clear" w:color="auto" w:fill="auto"/>
            <w:noWrap/>
            <w:vAlign w:val="center"/>
            <w:hideMark/>
          </w:tcPr>
          <w:p w14:paraId="188133E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(0.500)</w:t>
            </w:r>
          </w:p>
        </w:tc>
        <w:tc>
          <w:tcPr>
            <w:tcW w:w="721" w:type="dxa"/>
            <w:tcBorders>
              <w:top w:val="nil"/>
              <w:left w:val="nil"/>
              <w:bottom w:val="nil"/>
              <w:right w:val="nil"/>
            </w:tcBorders>
            <w:shd w:val="clear" w:color="auto" w:fill="auto"/>
            <w:noWrap/>
            <w:vAlign w:val="center"/>
            <w:hideMark/>
          </w:tcPr>
          <w:p w14:paraId="2FB027B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(0.069)</w:t>
            </w:r>
          </w:p>
        </w:tc>
        <w:tc>
          <w:tcPr>
            <w:tcW w:w="806" w:type="dxa"/>
            <w:tcBorders>
              <w:top w:val="nil"/>
              <w:left w:val="nil"/>
              <w:bottom w:val="nil"/>
              <w:right w:val="nil"/>
            </w:tcBorders>
            <w:shd w:val="clear" w:color="auto" w:fill="auto"/>
            <w:noWrap/>
            <w:vAlign w:val="center"/>
            <w:hideMark/>
          </w:tcPr>
          <w:p w14:paraId="13F05D5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(1.189)</w:t>
            </w:r>
          </w:p>
        </w:tc>
        <w:tc>
          <w:tcPr>
            <w:tcW w:w="935" w:type="dxa"/>
            <w:tcBorders>
              <w:top w:val="nil"/>
              <w:left w:val="nil"/>
              <w:bottom w:val="nil"/>
              <w:right w:val="nil"/>
            </w:tcBorders>
            <w:shd w:val="clear" w:color="auto" w:fill="auto"/>
            <w:noWrap/>
            <w:vAlign w:val="center"/>
            <w:hideMark/>
          </w:tcPr>
          <w:p w14:paraId="0738AAF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(0.207)</w:t>
            </w:r>
          </w:p>
        </w:tc>
        <w:tc>
          <w:tcPr>
            <w:tcW w:w="834" w:type="dxa"/>
            <w:tcBorders>
              <w:top w:val="nil"/>
              <w:left w:val="nil"/>
              <w:bottom w:val="nil"/>
              <w:right w:val="nil"/>
            </w:tcBorders>
            <w:shd w:val="clear" w:color="auto" w:fill="auto"/>
            <w:noWrap/>
            <w:vAlign w:val="center"/>
            <w:hideMark/>
          </w:tcPr>
          <w:p w14:paraId="24049F7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c>
          <w:tcPr>
            <w:tcW w:w="909" w:type="dxa"/>
            <w:tcBorders>
              <w:top w:val="nil"/>
              <w:left w:val="nil"/>
              <w:bottom w:val="nil"/>
              <w:right w:val="nil"/>
            </w:tcBorders>
            <w:shd w:val="clear" w:color="auto" w:fill="auto"/>
            <w:noWrap/>
            <w:vAlign w:val="center"/>
            <w:hideMark/>
          </w:tcPr>
          <w:p w14:paraId="6065DC1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(0.023)</w:t>
            </w:r>
          </w:p>
        </w:tc>
        <w:tc>
          <w:tcPr>
            <w:tcW w:w="867" w:type="dxa"/>
            <w:tcBorders>
              <w:top w:val="nil"/>
              <w:left w:val="nil"/>
              <w:bottom w:val="nil"/>
              <w:right w:val="nil"/>
            </w:tcBorders>
            <w:shd w:val="clear" w:color="auto" w:fill="auto"/>
            <w:noWrap/>
            <w:vAlign w:val="center"/>
            <w:hideMark/>
          </w:tcPr>
          <w:p w14:paraId="3EB831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3B414DE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(0.020)</w:t>
            </w:r>
          </w:p>
        </w:tc>
        <w:tc>
          <w:tcPr>
            <w:tcW w:w="853" w:type="dxa"/>
            <w:tcBorders>
              <w:top w:val="nil"/>
              <w:left w:val="nil"/>
              <w:bottom w:val="nil"/>
              <w:right w:val="nil"/>
            </w:tcBorders>
            <w:shd w:val="clear" w:color="auto" w:fill="auto"/>
            <w:vAlign w:val="center"/>
          </w:tcPr>
          <w:p w14:paraId="5356500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(0.014)</w:t>
            </w:r>
          </w:p>
        </w:tc>
      </w:tr>
      <w:tr w:rsidR="003448CB" w:rsidRPr="00284C07" w14:paraId="3066815C" w14:textId="77777777" w:rsidTr="00284C07">
        <w:trPr>
          <w:trHeight w:val="72"/>
        </w:trPr>
        <w:tc>
          <w:tcPr>
            <w:tcW w:w="1395" w:type="dxa"/>
            <w:tcBorders>
              <w:top w:val="nil"/>
              <w:left w:val="nil"/>
              <w:bottom w:val="nil"/>
              <w:right w:val="nil"/>
            </w:tcBorders>
            <w:shd w:val="clear" w:color="auto" w:fill="auto"/>
            <w:vAlign w:val="bottom"/>
            <w:hideMark/>
          </w:tcPr>
          <w:p w14:paraId="427D8CF9"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2013 Cohort*TA Eligibility</w:t>
            </w:r>
          </w:p>
        </w:tc>
        <w:tc>
          <w:tcPr>
            <w:tcW w:w="721" w:type="dxa"/>
            <w:tcBorders>
              <w:top w:val="nil"/>
              <w:left w:val="nil"/>
              <w:bottom w:val="nil"/>
              <w:right w:val="nil"/>
            </w:tcBorders>
            <w:shd w:val="clear" w:color="auto" w:fill="auto"/>
            <w:noWrap/>
            <w:vAlign w:val="center"/>
            <w:hideMark/>
          </w:tcPr>
          <w:p w14:paraId="659616C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-0.032</w:t>
            </w:r>
          </w:p>
        </w:tc>
        <w:tc>
          <w:tcPr>
            <w:tcW w:w="721" w:type="dxa"/>
            <w:tcBorders>
              <w:top w:val="nil"/>
              <w:left w:val="nil"/>
              <w:bottom w:val="nil"/>
              <w:right w:val="nil"/>
            </w:tcBorders>
            <w:shd w:val="clear" w:color="auto" w:fill="auto"/>
            <w:noWrap/>
            <w:vAlign w:val="center"/>
            <w:hideMark/>
          </w:tcPr>
          <w:p w14:paraId="49F4C6D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0.371</w:t>
            </w:r>
          </w:p>
        </w:tc>
        <w:tc>
          <w:tcPr>
            <w:tcW w:w="721" w:type="dxa"/>
            <w:tcBorders>
              <w:top w:val="nil"/>
              <w:left w:val="nil"/>
              <w:bottom w:val="nil"/>
              <w:right w:val="nil"/>
            </w:tcBorders>
            <w:shd w:val="clear" w:color="auto" w:fill="auto"/>
            <w:noWrap/>
            <w:vAlign w:val="center"/>
            <w:hideMark/>
          </w:tcPr>
          <w:p w14:paraId="4E7C9A7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06" w:type="dxa"/>
            <w:tcBorders>
              <w:top w:val="nil"/>
              <w:left w:val="nil"/>
              <w:bottom w:val="nil"/>
              <w:right w:val="nil"/>
            </w:tcBorders>
            <w:shd w:val="clear" w:color="auto" w:fill="auto"/>
            <w:noWrap/>
            <w:vAlign w:val="center"/>
            <w:hideMark/>
          </w:tcPr>
          <w:p w14:paraId="1D3FA7B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0.966</w:t>
            </w:r>
          </w:p>
        </w:tc>
        <w:tc>
          <w:tcPr>
            <w:tcW w:w="935" w:type="dxa"/>
            <w:tcBorders>
              <w:top w:val="nil"/>
              <w:left w:val="nil"/>
              <w:bottom w:val="nil"/>
              <w:right w:val="nil"/>
            </w:tcBorders>
            <w:shd w:val="clear" w:color="auto" w:fill="auto"/>
            <w:noWrap/>
            <w:vAlign w:val="center"/>
            <w:hideMark/>
          </w:tcPr>
          <w:p w14:paraId="2E111BE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0.210</w:t>
            </w:r>
          </w:p>
        </w:tc>
        <w:tc>
          <w:tcPr>
            <w:tcW w:w="834" w:type="dxa"/>
            <w:tcBorders>
              <w:top w:val="nil"/>
              <w:left w:val="nil"/>
              <w:bottom w:val="nil"/>
              <w:right w:val="nil"/>
            </w:tcBorders>
            <w:shd w:val="clear" w:color="auto" w:fill="auto"/>
            <w:noWrap/>
            <w:vAlign w:val="center"/>
            <w:hideMark/>
          </w:tcPr>
          <w:p w14:paraId="616918C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0.006</w:t>
            </w:r>
          </w:p>
        </w:tc>
        <w:tc>
          <w:tcPr>
            <w:tcW w:w="909" w:type="dxa"/>
            <w:tcBorders>
              <w:top w:val="nil"/>
              <w:left w:val="nil"/>
              <w:bottom w:val="nil"/>
              <w:right w:val="nil"/>
            </w:tcBorders>
            <w:shd w:val="clear" w:color="auto" w:fill="auto"/>
            <w:noWrap/>
            <w:vAlign w:val="center"/>
            <w:hideMark/>
          </w:tcPr>
          <w:p w14:paraId="17E887A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-0.020</w:t>
            </w:r>
          </w:p>
        </w:tc>
        <w:tc>
          <w:tcPr>
            <w:tcW w:w="867" w:type="dxa"/>
            <w:tcBorders>
              <w:top w:val="nil"/>
              <w:left w:val="nil"/>
              <w:bottom w:val="nil"/>
              <w:right w:val="nil"/>
            </w:tcBorders>
            <w:shd w:val="clear" w:color="auto" w:fill="auto"/>
            <w:noWrap/>
            <w:vAlign w:val="center"/>
            <w:hideMark/>
          </w:tcPr>
          <w:p w14:paraId="4EA8C0B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-0.069**</w:t>
            </w:r>
          </w:p>
        </w:tc>
        <w:tc>
          <w:tcPr>
            <w:tcW w:w="820" w:type="dxa"/>
            <w:tcBorders>
              <w:top w:val="nil"/>
              <w:left w:val="nil"/>
              <w:bottom w:val="nil"/>
              <w:right w:val="nil"/>
            </w:tcBorders>
            <w:shd w:val="clear" w:color="auto" w:fill="auto"/>
            <w:noWrap/>
            <w:vAlign w:val="center"/>
            <w:hideMark/>
          </w:tcPr>
          <w:p w14:paraId="3AF655B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-0.001</w:t>
            </w:r>
          </w:p>
        </w:tc>
        <w:tc>
          <w:tcPr>
            <w:tcW w:w="853" w:type="dxa"/>
            <w:tcBorders>
              <w:top w:val="nil"/>
              <w:left w:val="nil"/>
              <w:bottom w:val="nil"/>
              <w:right w:val="nil"/>
            </w:tcBorders>
            <w:shd w:val="clear" w:color="auto" w:fill="auto"/>
            <w:vAlign w:val="center"/>
          </w:tcPr>
          <w:p w14:paraId="1744406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r>
      <w:tr w:rsidR="003448CB" w:rsidRPr="00284C07" w14:paraId="5F5B36D6" w14:textId="77777777" w:rsidTr="00284C07">
        <w:trPr>
          <w:trHeight w:val="278"/>
        </w:trPr>
        <w:tc>
          <w:tcPr>
            <w:tcW w:w="1395" w:type="dxa"/>
            <w:tcBorders>
              <w:top w:val="nil"/>
              <w:left w:val="nil"/>
              <w:bottom w:val="nil"/>
              <w:right w:val="nil"/>
            </w:tcBorders>
            <w:shd w:val="clear" w:color="auto" w:fill="auto"/>
            <w:vAlign w:val="bottom"/>
            <w:hideMark/>
          </w:tcPr>
          <w:p w14:paraId="677D8222"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54F638C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(0.074)</w:t>
            </w:r>
          </w:p>
        </w:tc>
        <w:tc>
          <w:tcPr>
            <w:tcW w:w="721" w:type="dxa"/>
            <w:tcBorders>
              <w:top w:val="nil"/>
              <w:left w:val="nil"/>
              <w:bottom w:val="nil"/>
              <w:right w:val="nil"/>
            </w:tcBorders>
            <w:shd w:val="clear" w:color="auto" w:fill="auto"/>
            <w:noWrap/>
            <w:vAlign w:val="center"/>
            <w:hideMark/>
          </w:tcPr>
          <w:p w14:paraId="04ED0FC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(0.498)</w:t>
            </w:r>
          </w:p>
        </w:tc>
        <w:tc>
          <w:tcPr>
            <w:tcW w:w="721" w:type="dxa"/>
            <w:tcBorders>
              <w:top w:val="nil"/>
              <w:left w:val="nil"/>
              <w:bottom w:val="nil"/>
              <w:right w:val="nil"/>
            </w:tcBorders>
            <w:shd w:val="clear" w:color="auto" w:fill="auto"/>
            <w:noWrap/>
            <w:vAlign w:val="center"/>
            <w:hideMark/>
          </w:tcPr>
          <w:p w14:paraId="1581E9F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(0.068)</w:t>
            </w:r>
          </w:p>
        </w:tc>
        <w:tc>
          <w:tcPr>
            <w:tcW w:w="806" w:type="dxa"/>
            <w:tcBorders>
              <w:top w:val="nil"/>
              <w:left w:val="nil"/>
              <w:bottom w:val="nil"/>
              <w:right w:val="nil"/>
            </w:tcBorders>
            <w:shd w:val="clear" w:color="auto" w:fill="auto"/>
            <w:noWrap/>
            <w:vAlign w:val="center"/>
            <w:hideMark/>
          </w:tcPr>
          <w:p w14:paraId="33FA029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(1.158)</w:t>
            </w:r>
          </w:p>
        </w:tc>
        <w:tc>
          <w:tcPr>
            <w:tcW w:w="935" w:type="dxa"/>
            <w:tcBorders>
              <w:top w:val="nil"/>
              <w:left w:val="nil"/>
              <w:bottom w:val="nil"/>
              <w:right w:val="nil"/>
            </w:tcBorders>
            <w:shd w:val="clear" w:color="auto" w:fill="auto"/>
            <w:noWrap/>
            <w:vAlign w:val="center"/>
            <w:hideMark/>
          </w:tcPr>
          <w:p w14:paraId="19436FB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(0.198)</w:t>
            </w:r>
          </w:p>
        </w:tc>
        <w:tc>
          <w:tcPr>
            <w:tcW w:w="834" w:type="dxa"/>
            <w:tcBorders>
              <w:top w:val="nil"/>
              <w:left w:val="nil"/>
              <w:bottom w:val="nil"/>
              <w:right w:val="nil"/>
            </w:tcBorders>
            <w:shd w:val="clear" w:color="auto" w:fill="auto"/>
            <w:noWrap/>
            <w:vAlign w:val="center"/>
            <w:hideMark/>
          </w:tcPr>
          <w:p w14:paraId="4B20C2A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(0.013)</w:t>
            </w:r>
          </w:p>
        </w:tc>
        <w:tc>
          <w:tcPr>
            <w:tcW w:w="909" w:type="dxa"/>
            <w:tcBorders>
              <w:top w:val="nil"/>
              <w:left w:val="nil"/>
              <w:bottom w:val="nil"/>
              <w:right w:val="nil"/>
            </w:tcBorders>
            <w:shd w:val="clear" w:color="auto" w:fill="auto"/>
            <w:noWrap/>
            <w:vAlign w:val="center"/>
            <w:hideMark/>
          </w:tcPr>
          <w:p w14:paraId="42D842F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(0.022)</w:t>
            </w:r>
          </w:p>
        </w:tc>
        <w:tc>
          <w:tcPr>
            <w:tcW w:w="867" w:type="dxa"/>
            <w:tcBorders>
              <w:top w:val="nil"/>
              <w:left w:val="nil"/>
              <w:bottom w:val="nil"/>
              <w:right w:val="nil"/>
            </w:tcBorders>
            <w:shd w:val="clear" w:color="auto" w:fill="auto"/>
            <w:noWrap/>
            <w:vAlign w:val="center"/>
            <w:hideMark/>
          </w:tcPr>
          <w:p w14:paraId="7D8E678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5B25B54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(0.019)</w:t>
            </w:r>
          </w:p>
        </w:tc>
        <w:tc>
          <w:tcPr>
            <w:tcW w:w="853" w:type="dxa"/>
            <w:tcBorders>
              <w:top w:val="nil"/>
              <w:left w:val="nil"/>
              <w:bottom w:val="nil"/>
              <w:right w:val="nil"/>
            </w:tcBorders>
            <w:shd w:val="clear" w:color="auto" w:fill="auto"/>
            <w:vAlign w:val="center"/>
          </w:tcPr>
          <w:p w14:paraId="50A8308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(0.013)</w:t>
            </w:r>
          </w:p>
        </w:tc>
      </w:tr>
      <w:tr w:rsidR="003448CB" w:rsidRPr="00284C07" w14:paraId="341FD0B6" w14:textId="77777777" w:rsidTr="00284C07">
        <w:trPr>
          <w:trHeight w:val="66"/>
        </w:trPr>
        <w:tc>
          <w:tcPr>
            <w:tcW w:w="1395" w:type="dxa"/>
            <w:tcBorders>
              <w:top w:val="nil"/>
              <w:left w:val="nil"/>
              <w:bottom w:val="nil"/>
              <w:right w:val="nil"/>
            </w:tcBorders>
            <w:shd w:val="clear" w:color="auto" w:fill="auto"/>
            <w:vAlign w:val="bottom"/>
            <w:hideMark/>
          </w:tcPr>
          <w:p w14:paraId="495390A0"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2014 Cohort*TA Eligibility</w:t>
            </w:r>
          </w:p>
        </w:tc>
        <w:tc>
          <w:tcPr>
            <w:tcW w:w="721" w:type="dxa"/>
            <w:tcBorders>
              <w:top w:val="nil"/>
              <w:left w:val="nil"/>
              <w:bottom w:val="nil"/>
              <w:right w:val="nil"/>
            </w:tcBorders>
            <w:shd w:val="clear" w:color="auto" w:fill="auto"/>
            <w:noWrap/>
            <w:vAlign w:val="center"/>
            <w:hideMark/>
          </w:tcPr>
          <w:p w14:paraId="25E01EA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-0.009</w:t>
            </w:r>
          </w:p>
        </w:tc>
        <w:tc>
          <w:tcPr>
            <w:tcW w:w="721" w:type="dxa"/>
            <w:tcBorders>
              <w:top w:val="nil"/>
              <w:left w:val="nil"/>
              <w:bottom w:val="nil"/>
              <w:right w:val="nil"/>
            </w:tcBorders>
            <w:shd w:val="clear" w:color="auto" w:fill="auto"/>
            <w:noWrap/>
            <w:vAlign w:val="center"/>
            <w:hideMark/>
          </w:tcPr>
          <w:p w14:paraId="2204759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0.636</w:t>
            </w:r>
          </w:p>
        </w:tc>
        <w:tc>
          <w:tcPr>
            <w:tcW w:w="721" w:type="dxa"/>
            <w:tcBorders>
              <w:top w:val="nil"/>
              <w:left w:val="nil"/>
              <w:bottom w:val="nil"/>
              <w:right w:val="nil"/>
            </w:tcBorders>
            <w:shd w:val="clear" w:color="auto" w:fill="auto"/>
            <w:noWrap/>
            <w:vAlign w:val="center"/>
            <w:hideMark/>
          </w:tcPr>
          <w:p w14:paraId="201FC69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-0.001</w:t>
            </w:r>
          </w:p>
        </w:tc>
        <w:tc>
          <w:tcPr>
            <w:tcW w:w="806" w:type="dxa"/>
            <w:tcBorders>
              <w:top w:val="nil"/>
              <w:left w:val="nil"/>
              <w:bottom w:val="nil"/>
              <w:right w:val="nil"/>
            </w:tcBorders>
            <w:shd w:val="clear" w:color="auto" w:fill="auto"/>
            <w:noWrap/>
            <w:vAlign w:val="center"/>
            <w:hideMark/>
          </w:tcPr>
          <w:p w14:paraId="7E11A90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-0.428</w:t>
            </w:r>
          </w:p>
        </w:tc>
        <w:tc>
          <w:tcPr>
            <w:tcW w:w="935" w:type="dxa"/>
            <w:tcBorders>
              <w:top w:val="nil"/>
              <w:left w:val="nil"/>
              <w:bottom w:val="nil"/>
              <w:right w:val="nil"/>
            </w:tcBorders>
            <w:shd w:val="clear" w:color="auto" w:fill="auto"/>
            <w:noWrap/>
            <w:vAlign w:val="center"/>
            <w:hideMark/>
          </w:tcPr>
          <w:p w14:paraId="068E512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-0.013</w:t>
            </w:r>
          </w:p>
        </w:tc>
        <w:tc>
          <w:tcPr>
            <w:tcW w:w="834" w:type="dxa"/>
            <w:tcBorders>
              <w:top w:val="nil"/>
              <w:left w:val="nil"/>
              <w:bottom w:val="nil"/>
              <w:right w:val="nil"/>
            </w:tcBorders>
            <w:shd w:val="clear" w:color="auto" w:fill="auto"/>
            <w:noWrap/>
            <w:vAlign w:val="center"/>
            <w:hideMark/>
          </w:tcPr>
          <w:p w14:paraId="1CCC165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0.000</w:t>
            </w:r>
          </w:p>
        </w:tc>
        <w:tc>
          <w:tcPr>
            <w:tcW w:w="909" w:type="dxa"/>
            <w:tcBorders>
              <w:top w:val="nil"/>
              <w:left w:val="nil"/>
              <w:bottom w:val="nil"/>
              <w:right w:val="nil"/>
            </w:tcBorders>
            <w:shd w:val="clear" w:color="auto" w:fill="auto"/>
            <w:noWrap/>
            <w:vAlign w:val="center"/>
            <w:hideMark/>
          </w:tcPr>
          <w:p w14:paraId="5C80F06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-0.022</w:t>
            </w:r>
          </w:p>
        </w:tc>
        <w:tc>
          <w:tcPr>
            <w:tcW w:w="867" w:type="dxa"/>
            <w:tcBorders>
              <w:top w:val="nil"/>
              <w:left w:val="nil"/>
              <w:bottom w:val="nil"/>
              <w:right w:val="nil"/>
            </w:tcBorders>
            <w:shd w:val="clear" w:color="auto" w:fill="auto"/>
            <w:noWrap/>
            <w:vAlign w:val="center"/>
            <w:hideMark/>
          </w:tcPr>
          <w:p w14:paraId="5993642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-0.082***</w:t>
            </w:r>
          </w:p>
        </w:tc>
        <w:tc>
          <w:tcPr>
            <w:tcW w:w="820" w:type="dxa"/>
            <w:tcBorders>
              <w:top w:val="nil"/>
              <w:left w:val="nil"/>
              <w:bottom w:val="nil"/>
              <w:right w:val="nil"/>
            </w:tcBorders>
            <w:shd w:val="clear" w:color="auto" w:fill="auto"/>
            <w:noWrap/>
            <w:vAlign w:val="center"/>
            <w:hideMark/>
          </w:tcPr>
          <w:p w14:paraId="06750F1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-0.009</w:t>
            </w:r>
          </w:p>
        </w:tc>
        <w:tc>
          <w:tcPr>
            <w:tcW w:w="853" w:type="dxa"/>
            <w:tcBorders>
              <w:top w:val="nil"/>
              <w:left w:val="nil"/>
              <w:bottom w:val="nil"/>
              <w:right w:val="nil"/>
            </w:tcBorders>
            <w:shd w:val="clear" w:color="auto" w:fill="auto"/>
            <w:vAlign w:val="center"/>
          </w:tcPr>
          <w:p w14:paraId="53D1D68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0.026**</w:t>
            </w:r>
          </w:p>
        </w:tc>
      </w:tr>
      <w:tr w:rsidR="003448CB" w:rsidRPr="00284C07" w14:paraId="34A4C2FF" w14:textId="77777777" w:rsidTr="00284C07">
        <w:trPr>
          <w:trHeight w:val="278"/>
        </w:trPr>
        <w:tc>
          <w:tcPr>
            <w:tcW w:w="1395" w:type="dxa"/>
            <w:tcBorders>
              <w:top w:val="nil"/>
              <w:left w:val="nil"/>
              <w:bottom w:val="nil"/>
              <w:right w:val="nil"/>
            </w:tcBorders>
            <w:shd w:val="clear" w:color="auto" w:fill="auto"/>
            <w:vAlign w:val="bottom"/>
            <w:hideMark/>
          </w:tcPr>
          <w:p w14:paraId="43969D86"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0425FB7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(0.074)</w:t>
            </w:r>
          </w:p>
        </w:tc>
        <w:tc>
          <w:tcPr>
            <w:tcW w:w="721" w:type="dxa"/>
            <w:tcBorders>
              <w:top w:val="nil"/>
              <w:left w:val="nil"/>
              <w:bottom w:val="nil"/>
              <w:right w:val="nil"/>
            </w:tcBorders>
            <w:shd w:val="clear" w:color="auto" w:fill="auto"/>
            <w:noWrap/>
            <w:vAlign w:val="center"/>
            <w:hideMark/>
          </w:tcPr>
          <w:p w14:paraId="402DD42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(0.501)</w:t>
            </w:r>
          </w:p>
        </w:tc>
        <w:tc>
          <w:tcPr>
            <w:tcW w:w="721" w:type="dxa"/>
            <w:tcBorders>
              <w:top w:val="nil"/>
              <w:left w:val="nil"/>
              <w:bottom w:val="nil"/>
              <w:right w:val="nil"/>
            </w:tcBorders>
            <w:shd w:val="clear" w:color="auto" w:fill="auto"/>
            <w:noWrap/>
            <w:vAlign w:val="center"/>
            <w:hideMark/>
          </w:tcPr>
          <w:p w14:paraId="3930018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(0.069)</w:t>
            </w:r>
          </w:p>
        </w:tc>
        <w:tc>
          <w:tcPr>
            <w:tcW w:w="806" w:type="dxa"/>
            <w:tcBorders>
              <w:top w:val="nil"/>
              <w:left w:val="nil"/>
              <w:bottom w:val="nil"/>
              <w:right w:val="nil"/>
            </w:tcBorders>
            <w:shd w:val="clear" w:color="auto" w:fill="auto"/>
            <w:noWrap/>
            <w:vAlign w:val="center"/>
            <w:hideMark/>
          </w:tcPr>
          <w:p w14:paraId="01B693F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(1.056)</w:t>
            </w:r>
          </w:p>
        </w:tc>
        <w:tc>
          <w:tcPr>
            <w:tcW w:w="935" w:type="dxa"/>
            <w:tcBorders>
              <w:top w:val="nil"/>
              <w:left w:val="nil"/>
              <w:bottom w:val="nil"/>
              <w:right w:val="nil"/>
            </w:tcBorders>
            <w:shd w:val="clear" w:color="auto" w:fill="auto"/>
            <w:noWrap/>
            <w:vAlign w:val="center"/>
            <w:hideMark/>
          </w:tcPr>
          <w:p w14:paraId="54567BD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(0.182)</w:t>
            </w:r>
          </w:p>
        </w:tc>
        <w:tc>
          <w:tcPr>
            <w:tcW w:w="834" w:type="dxa"/>
            <w:tcBorders>
              <w:top w:val="nil"/>
              <w:left w:val="nil"/>
              <w:bottom w:val="nil"/>
              <w:right w:val="nil"/>
            </w:tcBorders>
            <w:shd w:val="clear" w:color="auto" w:fill="auto"/>
            <w:noWrap/>
            <w:vAlign w:val="center"/>
            <w:hideMark/>
          </w:tcPr>
          <w:p w14:paraId="14D9A12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(0.012)</w:t>
            </w:r>
          </w:p>
        </w:tc>
        <w:tc>
          <w:tcPr>
            <w:tcW w:w="909" w:type="dxa"/>
            <w:tcBorders>
              <w:top w:val="nil"/>
              <w:left w:val="nil"/>
              <w:bottom w:val="nil"/>
              <w:right w:val="nil"/>
            </w:tcBorders>
            <w:shd w:val="clear" w:color="auto" w:fill="auto"/>
            <w:noWrap/>
            <w:vAlign w:val="center"/>
            <w:hideMark/>
          </w:tcPr>
          <w:p w14:paraId="7C09236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67" w:type="dxa"/>
            <w:tcBorders>
              <w:top w:val="nil"/>
              <w:left w:val="nil"/>
              <w:bottom w:val="nil"/>
              <w:right w:val="nil"/>
            </w:tcBorders>
            <w:shd w:val="clear" w:color="auto" w:fill="auto"/>
            <w:noWrap/>
            <w:vAlign w:val="center"/>
            <w:hideMark/>
          </w:tcPr>
          <w:p w14:paraId="05A0CB8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04AD36C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(0.019)</w:t>
            </w:r>
          </w:p>
        </w:tc>
        <w:tc>
          <w:tcPr>
            <w:tcW w:w="853" w:type="dxa"/>
            <w:tcBorders>
              <w:top w:val="nil"/>
              <w:left w:val="nil"/>
              <w:bottom w:val="nil"/>
              <w:right w:val="nil"/>
            </w:tcBorders>
            <w:shd w:val="clear" w:color="auto" w:fill="auto"/>
            <w:vAlign w:val="center"/>
          </w:tcPr>
          <w:p w14:paraId="041BAC1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(0.011)</w:t>
            </w:r>
          </w:p>
        </w:tc>
      </w:tr>
      <w:tr w:rsidR="003448CB" w:rsidRPr="00284C07" w14:paraId="50C07F0A" w14:textId="77777777" w:rsidTr="00284C07">
        <w:trPr>
          <w:trHeight w:val="66"/>
        </w:trPr>
        <w:tc>
          <w:tcPr>
            <w:tcW w:w="1395" w:type="dxa"/>
            <w:tcBorders>
              <w:top w:val="nil"/>
              <w:left w:val="nil"/>
              <w:bottom w:val="nil"/>
              <w:right w:val="nil"/>
            </w:tcBorders>
            <w:shd w:val="clear" w:color="auto" w:fill="auto"/>
            <w:vAlign w:val="bottom"/>
            <w:hideMark/>
          </w:tcPr>
          <w:p w14:paraId="2FD97AAB"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2015 Cohort*TA Eligibility</w:t>
            </w:r>
          </w:p>
        </w:tc>
        <w:tc>
          <w:tcPr>
            <w:tcW w:w="721" w:type="dxa"/>
            <w:tcBorders>
              <w:top w:val="nil"/>
              <w:left w:val="nil"/>
              <w:bottom w:val="nil"/>
              <w:right w:val="nil"/>
            </w:tcBorders>
            <w:shd w:val="clear" w:color="auto" w:fill="auto"/>
            <w:noWrap/>
            <w:vAlign w:val="center"/>
            <w:hideMark/>
          </w:tcPr>
          <w:p w14:paraId="4543B74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-0.067</w:t>
            </w:r>
          </w:p>
        </w:tc>
        <w:tc>
          <w:tcPr>
            <w:tcW w:w="721" w:type="dxa"/>
            <w:tcBorders>
              <w:top w:val="nil"/>
              <w:left w:val="nil"/>
              <w:bottom w:val="nil"/>
              <w:right w:val="nil"/>
            </w:tcBorders>
            <w:shd w:val="clear" w:color="auto" w:fill="auto"/>
            <w:noWrap/>
            <w:vAlign w:val="center"/>
            <w:hideMark/>
          </w:tcPr>
          <w:p w14:paraId="51DB11B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-0.147</w:t>
            </w:r>
          </w:p>
        </w:tc>
        <w:tc>
          <w:tcPr>
            <w:tcW w:w="721" w:type="dxa"/>
            <w:tcBorders>
              <w:top w:val="nil"/>
              <w:left w:val="nil"/>
              <w:bottom w:val="nil"/>
              <w:right w:val="nil"/>
            </w:tcBorders>
            <w:shd w:val="clear" w:color="auto" w:fill="auto"/>
            <w:noWrap/>
            <w:vAlign w:val="center"/>
            <w:hideMark/>
          </w:tcPr>
          <w:p w14:paraId="5C44253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-0.068</w:t>
            </w:r>
          </w:p>
        </w:tc>
        <w:tc>
          <w:tcPr>
            <w:tcW w:w="806" w:type="dxa"/>
            <w:tcBorders>
              <w:top w:val="nil"/>
              <w:left w:val="nil"/>
              <w:bottom w:val="nil"/>
              <w:right w:val="nil"/>
            </w:tcBorders>
            <w:shd w:val="clear" w:color="auto" w:fill="auto"/>
            <w:noWrap/>
            <w:vAlign w:val="center"/>
            <w:hideMark/>
          </w:tcPr>
          <w:p w14:paraId="3D53EF7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-2.305**</w:t>
            </w:r>
          </w:p>
        </w:tc>
        <w:tc>
          <w:tcPr>
            <w:tcW w:w="935" w:type="dxa"/>
            <w:tcBorders>
              <w:top w:val="nil"/>
              <w:left w:val="nil"/>
              <w:bottom w:val="nil"/>
              <w:right w:val="nil"/>
            </w:tcBorders>
            <w:shd w:val="clear" w:color="auto" w:fill="auto"/>
            <w:noWrap/>
            <w:vAlign w:val="center"/>
            <w:hideMark/>
          </w:tcPr>
          <w:p w14:paraId="58159AB1"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-0.298*</w:t>
            </w:r>
          </w:p>
        </w:tc>
        <w:tc>
          <w:tcPr>
            <w:tcW w:w="834" w:type="dxa"/>
            <w:tcBorders>
              <w:top w:val="nil"/>
              <w:left w:val="nil"/>
              <w:bottom w:val="nil"/>
              <w:right w:val="nil"/>
            </w:tcBorders>
            <w:shd w:val="clear" w:color="auto" w:fill="auto"/>
            <w:noWrap/>
            <w:vAlign w:val="center"/>
            <w:hideMark/>
          </w:tcPr>
          <w:p w14:paraId="4FDC4D9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-0.005</w:t>
            </w:r>
          </w:p>
        </w:tc>
        <w:tc>
          <w:tcPr>
            <w:tcW w:w="909" w:type="dxa"/>
            <w:tcBorders>
              <w:top w:val="nil"/>
              <w:left w:val="nil"/>
              <w:bottom w:val="nil"/>
              <w:right w:val="nil"/>
            </w:tcBorders>
            <w:shd w:val="clear" w:color="auto" w:fill="auto"/>
            <w:noWrap/>
            <w:vAlign w:val="center"/>
            <w:hideMark/>
          </w:tcPr>
          <w:p w14:paraId="5198A8A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67" w:type="dxa"/>
            <w:tcBorders>
              <w:top w:val="nil"/>
              <w:left w:val="nil"/>
              <w:bottom w:val="nil"/>
              <w:right w:val="nil"/>
            </w:tcBorders>
            <w:shd w:val="clear" w:color="auto" w:fill="auto"/>
            <w:noWrap/>
            <w:vAlign w:val="center"/>
            <w:hideMark/>
          </w:tcPr>
          <w:p w14:paraId="688A63CF"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-0.113***</w:t>
            </w:r>
          </w:p>
        </w:tc>
        <w:tc>
          <w:tcPr>
            <w:tcW w:w="820" w:type="dxa"/>
            <w:tcBorders>
              <w:top w:val="nil"/>
              <w:left w:val="nil"/>
              <w:bottom w:val="nil"/>
              <w:right w:val="nil"/>
            </w:tcBorders>
            <w:shd w:val="clear" w:color="auto" w:fill="auto"/>
            <w:noWrap/>
            <w:vAlign w:val="center"/>
            <w:hideMark/>
          </w:tcPr>
          <w:p w14:paraId="2023D9F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-0.009</w:t>
            </w:r>
          </w:p>
        </w:tc>
        <w:tc>
          <w:tcPr>
            <w:tcW w:w="853" w:type="dxa"/>
            <w:tcBorders>
              <w:top w:val="nil"/>
              <w:left w:val="nil"/>
              <w:bottom w:val="nil"/>
              <w:right w:val="nil"/>
            </w:tcBorders>
            <w:shd w:val="clear" w:color="auto" w:fill="auto"/>
            <w:vAlign w:val="center"/>
          </w:tcPr>
          <w:p w14:paraId="1A6C889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r>
      <w:tr w:rsidR="003448CB" w:rsidRPr="00284C07" w14:paraId="773484E3" w14:textId="77777777" w:rsidTr="00284C07">
        <w:trPr>
          <w:trHeight w:val="278"/>
        </w:trPr>
        <w:tc>
          <w:tcPr>
            <w:tcW w:w="1395" w:type="dxa"/>
            <w:tcBorders>
              <w:top w:val="nil"/>
              <w:left w:val="nil"/>
              <w:bottom w:val="nil"/>
              <w:right w:val="nil"/>
            </w:tcBorders>
            <w:shd w:val="clear" w:color="auto" w:fill="auto"/>
            <w:vAlign w:val="bottom"/>
            <w:hideMark/>
          </w:tcPr>
          <w:p w14:paraId="03D68458"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p>
        </w:tc>
        <w:tc>
          <w:tcPr>
            <w:tcW w:w="721" w:type="dxa"/>
            <w:tcBorders>
              <w:top w:val="nil"/>
              <w:left w:val="nil"/>
              <w:bottom w:val="nil"/>
              <w:right w:val="nil"/>
            </w:tcBorders>
            <w:shd w:val="clear" w:color="auto" w:fill="auto"/>
            <w:noWrap/>
            <w:vAlign w:val="center"/>
            <w:hideMark/>
          </w:tcPr>
          <w:p w14:paraId="579FD20C"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(0.080)</w:t>
            </w:r>
          </w:p>
        </w:tc>
        <w:tc>
          <w:tcPr>
            <w:tcW w:w="721" w:type="dxa"/>
            <w:tcBorders>
              <w:top w:val="nil"/>
              <w:left w:val="nil"/>
              <w:bottom w:val="nil"/>
              <w:right w:val="nil"/>
            </w:tcBorders>
            <w:shd w:val="clear" w:color="auto" w:fill="auto"/>
            <w:noWrap/>
            <w:vAlign w:val="center"/>
            <w:hideMark/>
          </w:tcPr>
          <w:p w14:paraId="294A0B6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(0.440)</w:t>
            </w:r>
          </w:p>
        </w:tc>
        <w:tc>
          <w:tcPr>
            <w:tcW w:w="721" w:type="dxa"/>
            <w:tcBorders>
              <w:top w:val="nil"/>
              <w:left w:val="nil"/>
              <w:bottom w:val="nil"/>
              <w:right w:val="nil"/>
            </w:tcBorders>
            <w:shd w:val="clear" w:color="auto" w:fill="auto"/>
            <w:noWrap/>
            <w:vAlign w:val="center"/>
            <w:hideMark/>
          </w:tcPr>
          <w:p w14:paraId="18A4174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(0.077)</w:t>
            </w:r>
          </w:p>
        </w:tc>
        <w:tc>
          <w:tcPr>
            <w:tcW w:w="806" w:type="dxa"/>
            <w:tcBorders>
              <w:top w:val="nil"/>
              <w:left w:val="nil"/>
              <w:bottom w:val="nil"/>
              <w:right w:val="nil"/>
            </w:tcBorders>
            <w:shd w:val="clear" w:color="auto" w:fill="auto"/>
            <w:noWrap/>
            <w:vAlign w:val="center"/>
            <w:hideMark/>
          </w:tcPr>
          <w:p w14:paraId="6A1CF23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(1.017)</w:t>
            </w:r>
          </w:p>
        </w:tc>
        <w:tc>
          <w:tcPr>
            <w:tcW w:w="935" w:type="dxa"/>
            <w:tcBorders>
              <w:top w:val="nil"/>
              <w:left w:val="nil"/>
              <w:bottom w:val="nil"/>
              <w:right w:val="nil"/>
            </w:tcBorders>
            <w:shd w:val="clear" w:color="auto" w:fill="auto"/>
            <w:noWrap/>
            <w:vAlign w:val="center"/>
            <w:hideMark/>
          </w:tcPr>
          <w:p w14:paraId="73857E33"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(0.173)</w:t>
            </w:r>
          </w:p>
        </w:tc>
        <w:tc>
          <w:tcPr>
            <w:tcW w:w="834" w:type="dxa"/>
            <w:tcBorders>
              <w:top w:val="nil"/>
              <w:left w:val="nil"/>
              <w:bottom w:val="nil"/>
              <w:right w:val="nil"/>
            </w:tcBorders>
            <w:shd w:val="clear" w:color="auto" w:fill="auto"/>
            <w:noWrap/>
            <w:vAlign w:val="center"/>
            <w:hideMark/>
          </w:tcPr>
          <w:p w14:paraId="6347504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(0.012)</w:t>
            </w:r>
          </w:p>
        </w:tc>
        <w:tc>
          <w:tcPr>
            <w:tcW w:w="909" w:type="dxa"/>
            <w:tcBorders>
              <w:top w:val="nil"/>
              <w:left w:val="nil"/>
              <w:bottom w:val="nil"/>
              <w:right w:val="nil"/>
            </w:tcBorders>
            <w:shd w:val="clear" w:color="auto" w:fill="auto"/>
            <w:noWrap/>
            <w:vAlign w:val="center"/>
            <w:hideMark/>
          </w:tcPr>
          <w:p w14:paraId="41DFA768"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(0.021)</w:t>
            </w:r>
          </w:p>
        </w:tc>
        <w:tc>
          <w:tcPr>
            <w:tcW w:w="867" w:type="dxa"/>
            <w:tcBorders>
              <w:top w:val="nil"/>
              <w:left w:val="nil"/>
              <w:bottom w:val="nil"/>
              <w:right w:val="nil"/>
            </w:tcBorders>
            <w:shd w:val="clear" w:color="auto" w:fill="auto"/>
            <w:noWrap/>
            <w:vAlign w:val="center"/>
            <w:hideMark/>
          </w:tcPr>
          <w:p w14:paraId="3C26250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(0.028)</w:t>
            </w:r>
          </w:p>
        </w:tc>
        <w:tc>
          <w:tcPr>
            <w:tcW w:w="820" w:type="dxa"/>
            <w:tcBorders>
              <w:top w:val="nil"/>
              <w:left w:val="nil"/>
              <w:bottom w:val="nil"/>
              <w:right w:val="nil"/>
            </w:tcBorders>
            <w:shd w:val="clear" w:color="auto" w:fill="auto"/>
            <w:noWrap/>
            <w:vAlign w:val="center"/>
            <w:hideMark/>
          </w:tcPr>
          <w:p w14:paraId="1E67A57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(0.019)</w:t>
            </w:r>
          </w:p>
        </w:tc>
        <w:tc>
          <w:tcPr>
            <w:tcW w:w="853" w:type="dxa"/>
            <w:tcBorders>
              <w:top w:val="nil"/>
              <w:left w:val="nil"/>
              <w:bottom w:val="nil"/>
              <w:right w:val="nil"/>
            </w:tcBorders>
            <w:shd w:val="clear" w:color="auto" w:fill="auto"/>
            <w:vAlign w:val="center"/>
          </w:tcPr>
          <w:p w14:paraId="0943558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(0.011)</w:t>
            </w:r>
          </w:p>
        </w:tc>
      </w:tr>
      <w:tr w:rsidR="003448CB" w:rsidRPr="00284C07" w14:paraId="77187153" w14:textId="77777777" w:rsidTr="00284C07">
        <w:trPr>
          <w:trHeight w:val="278"/>
        </w:trPr>
        <w:tc>
          <w:tcPr>
            <w:tcW w:w="1395" w:type="dxa"/>
            <w:tcBorders>
              <w:top w:val="nil"/>
              <w:left w:val="nil"/>
              <w:bottom w:val="nil"/>
              <w:right w:val="nil"/>
            </w:tcBorders>
            <w:shd w:val="clear" w:color="auto" w:fill="auto"/>
            <w:noWrap/>
            <w:vAlign w:val="bottom"/>
            <w:hideMark/>
          </w:tcPr>
          <w:p w14:paraId="34DAF3CC"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Observations</w:t>
            </w:r>
          </w:p>
        </w:tc>
        <w:tc>
          <w:tcPr>
            <w:tcW w:w="721" w:type="dxa"/>
            <w:tcBorders>
              <w:top w:val="nil"/>
              <w:left w:val="nil"/>
              <w:bottom w:val="nil"/>
              <w:right w:val="nil"/>
            </w:tcBorders>
            <w:shd w:val="clear" w:color="auto" w:fill="auto"/>
            <w:noWrap/>
            <w:vAlign w:val="bottom"/>
            <w:hideMark/>
          </w:tcPr>
          <w:p w14:paraId="4EC7B25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35,452</w:t>
            </w:r>
          </w:p>
        </w:tc>
        <w:tc>
          <w:tcPr>
            <w:tcW w:w="721" w:type="dxa"/>
            <w:tcBorders>
              <w:top w:val="nil"/>
              <w:left w:val="nil"/>
              <w:bottom w:val="nil"/>
              <w:right w:val="nil"/>
            </w:tcBorders>
            <w:shd w:val="clear" w:color="auto" w:fill="auto"/>
            <w:noWrap/>
            <w:vAlign w:val="bottom"/>
            <w:hideMark/>
          </w:tcPr>
          <w:p w14:paraId="5E11E6F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721" w:type="dxa"/>
            <w:tcBorders>
              <w:top w:val="nil"/>
              <w:left w:val="nil"/>
              <w:bottom w:val="nil"/>
              <w:right w:val="nil"/>
            </w:tcBorders>
            <w:shd w:val="clear" w:color="auto" w:fill="auto"/>
            <w:noWrap/>
            <w:vAlign w:val="bottom"/>
            <w:hideMark/>
          </w:tcPr>
          <w:p w14:paraId="6FD7258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35,455</w:t>
            </w:r>
          </w:p>
        </w:tc>
        <w:tc>
          <w:tcPr>
            <w:tcW w:w="806" w:type="dxa"/>
            <w:tcBorders>
              <w:top w:val="nil"/>
              <w:left w:val="nil"/>
              <w:bottom w:val="nil"/>
              <w:right w:val="nil"/>
            </w:tcBorders>
            <w:shd w:val="clear" w:color="auto" w:fill="auto"/>
            <w:noWrap/>
            <w:vAlign w:val="bottom"/>
            <w:hideMark/>
          </w:tcPr>
          <w:p w14:paraId="2BC810B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935" w:type="dxa"/>
            <w:tcBorders>
              <w:top w:val="nil"/>
              <w:left w:val="nil"/>
              <w:bottom w:val="nil"/>
              <w:right w:val="nil"/>
            </w:tcBorders>
            <w:shd w:val="clear" w:color="auto" w:fill="auto"/>
            <w:noWrap/>
            <w:vAlign w:val="bottom"/>
            <w:hideMark/>
          </w:tcPr>
          <w:p w14:paraId="3536712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834" w:type="dxa"/>
            <w:tcBorders>
              <w:top w:val="nil"/>
              <w:left w:val="nil"/>
              <w:bottom w:val="nil"/>
              <w:right w:val="nil"/>
            </w:tcBorders>
            <w:shd w:val="clear" w:color="auto" w:fill="auto"/>
            <w:noWrap/>
            <w:vAlign w:val="bottom"/>
            <w:hideMark/>
          </w:tcPr>
          <w:p w14:paraId="049EFCB9"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909" w:type="dxa"/>
            <w:tcBorders>
              <w:top w:val="nil"/>
              <w:left w:val="nil"/>
              <w:bottom w:val="nil"/>
              <w:right w:val="nil"/>
            </w:tcBorders>
            <w:shd w:val="clear" w:color="auto" w:fill="auto"/>
            <w:noWrap/>
            <w:vAlign w:val="bottom"/>
            <w:hideMark/>
          </w:tcPr>
          <w:p w14:paraId="6251F0B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867" w:type="dxa"/>
            <w:tcBorders>
              <w:top w:val="nil"/>
              <w:left w:val="nil"/>
              <w:bottom w:val="nil"/>
              <w:right w:val="nil"/>
            </w:tcBorders>
            <w:shd w:val="clear" w:color="auto" w:fill="auto"/>
            <w:noWrap/>
            <w:vAlign w:val="bottom"/>
            <w:hideMark/>
          </w:tcPr>
          <w:p w14:paraId="7C8D70F4"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820" w:type="dxa"/>
            <w:tcBorders>
              <w:top w:val="nil"/>
              <w:left w:val="nil"/>
              <w:bottom w:val="nil"/>
              <w:right w:val="nil"/>
            </w:tcBorders>
            <w:shd w:val="clear" w:color="auto" w:fill="auto"/>
            <w:noWrap/>
            <w:vAlign w:val="bottom"/>
            <w:hideMark/>
          </w:tcPr>
          <w:p w14:paraId="593328DD"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c>
          <w:tcPr>
            <w:tcW w:w="853" w:type="dxa"/>
            <w:tcBorders>
              <w:top w:val="nil"/>
              <w:left w:val="nil"/>
              <w:bottom w:val="nil"/>
              <w:right w:val="nil"/>
            </w:tcBorders>
            <w:shd w:val="clear" w:color="auto" w:fill="auto"/>
            <w:vAlign w:val="bottom"/>
          </w:tcPr>
          <w:p w14:paraId="1AB3999A"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35,458</w:t>
            </w:r>
          </w:p>
        </w:tc>
      </w:tr>
      <w:tr w:rsidR="003448CB" w:rsidRPr="00284C07" w14:paraId="08FA5ECC" w14:textId="77777777" w:rsidTr="00284C07">
        <w:trPr>
          <w:trHeight w:val="278"/>
        </w:trPr>
        <w:tc>
          <w:tcPr>
            <w:tcW w:w="1395" w:type="dxa"/>
            <w:tcBorders>
              <w:top w:val="nil"/>
              <w:left w:val="nil"/>
              <w:bottom w:val="single" w:sz="4" w:space="0" w:color="auto"/>
              <w:right w:val="nil"/>
            </w:tcBorders>
            <w:shd w:val="clear" w:color="auto" w:fill="auto"/>
            <w:noWrap/>
            <w:vAlign w:val="bottom"/>
            <w:hideMark/>
          </w:tcPr>
          <w:p w14:paraId="7FC068D2" w14:textId="77777777" w:rsidR="003448CB" w:rsidRPr="00284C07" w:rsidRDefault="003448CB" w:rsidP="007C6182">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R-squared</w:t>
            </w:r>
          </w:p>
        </w:tc>
        <w:tc>
          <w:tcPr>
            <w:tcW w:w="721" w:type="dxa"/>
            <w:tcBorders>
              <w:top w:val="nil"/>
              <w:left w:val="nil"/>
              <w:bottom w:val="single" w:sz="4" w:space="0" w:color="auto"/>
              <w:right w:val="nil"/>
            </w:tcBorders>
            <w:shd w:val="clear" w:color="auto" w:fill="auto"/>
            <w:noWrap/>
            <w:vAlign w:val="bottom"/>
            <w:hideMark/>
          </w:tcPr>
          <w:p w14:paraId="1382413E"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0.169</w:t>
            </w:r>
          </w:p>
        </w:tc>
        <w:tc>
          <w:tcPr>
            <w:tcW w:w="721" w:type="dxa"/>
            <w:tcBorders>
              <w:top w:val="nil"/>
              <w:left w:val="nil"/>
              <w:bottom w:val="single" w:sz="4" w:space="0" w:color="auto"/>
              <w:right w:val="nil"/>
            </w:tcBorders>
            <w:shd w:val="clear" w:color="auto" w:fill="auto"/>
            <w:noWrap/>
            <w:vAlign w:val="bottom"/>
            <w:hideMark/>
          </w:tcPr>
          <w:p w14:paraId="070DB23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0.196</w:t>
            </w:r>
          </w:p>
        </w:tc>
        <w:tc>
          <w:tcPr>
            <w:tcW w:w="721" w:type="dxa"/>
            <w:tcBorders>
              <w:top w:val="nil"/>
              <w:left w:val="nil"/>
              <w:bottom w:val="single" w:sz="4" w:space="0" w:color="auto"/>
              <w:right w:val="nil"/>
            </w:tcBorders>
            <w:shd w:val="clear" w:color="auto" w:fill="auto"/>
            <w:noWrap/>
            <w:vAlign w:val="bottom"/>
            <w:hideMark/>
          </w:tcPr>
          <w:p w14:paraId="337B389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0.180</w:t>
            </w:r>
          </w:p>
        </w:tc>
        <w:tc>
          <w:tcPr>
            <w:tcW w:w="806" w:type="dxa"/>
            <w:tcBorders>
              <w:top w:val="nil"/>
              <w:left w:val="nil"/>
              <w:bottom w:val="single" w:sz="4" w:space="0" w:color="auto"/>
              <w:right w:val="nil"/>
            </w:tcBorders>
            <w:shd w:val="clear" w:color="auto" w:fill="auto"/>
            <w:noWrap/>
            <w:vAlign w:val="bottom"/>
            <w:hideMark/>
          </w:tcPr>
          <w:p w14:paraId="193679FB"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0.229</w:t>
            </w:r>
          </w:p>
        </w:tc>
        <w:tc>
          <w:tcPr>
            <w:tcW w:w="935" w:type="dxa"/>
            <w:tcBorders>
              <w:top w:val="nil"/>
              <w:left w:val="nil"/>
              <w:bottom w:val="single" w:sz="4" w:space="0" w:color="auto"/>
              <w:right w:val="nil"/>
            </w:tcBorders>
            <w:shd w:val="clear" w:color="auto" w:fill="auto"/>
            <w:noWrap/>
            <w:vAlign w:val="bottom"/>
            <w:hideMark/>
          </w:tcPr>
          <w:p w14:paraId="59F26175"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0.221</w:t>
            </w:r>
          </w:p>
        </w:tc>
        <w:tc>
          <w:tcPr>
            <w:tcW w:w="834" w:type="dxa"/>
            <w:tcBorders>
              <w:top w:val="nil"/>
              <w:left w:val="nil"/>
              <w:bottom w:val="single" w:sz="4" w:space="0" w:color="auto"/>
              <w:right w:val="nil"/>
            </w:tcBorders>
            <w:shd w:val="clear" w:color="auto" w:fill="auto"/>
            <w:noWrap/>
            <w:vAlign w:val="bottom"/>
            <w:hideMark/>
          </w:tcPr>
          <w:p w14:paraId="4291A616"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0.063</w:t>
            </w:r>
          </w:p>
        </w:tc>
        <w:tc>
          <w:tcPr>
            <w:tcW w:w="909" w:type="dxa"/>
            <w:tcBorders>
              <w:top w:val="nil"/>
              <w:left w:val="nil"/>
              <w:bottom w:val="single" w:sz="4" w:space="0" w:color="auto"/>
              <w:right w:val="nil"/>
            </w:tcBorders>
            <w:shd w:val="clear" w:color="auto" w:fill="auto"/>
            <w:noWrap/>
            <w:vAlign w:val="bottom"/>
            <w:hideMark/>
          </w:tcPr>
          <w:p w14:paraId="689D790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0.133</w:t>
            </w:r>
          </w:p>
        </w:tc>
        <w:tc>
          <w:tcPr>
            <w:tcW w:w="867" w:type="dxa"/>
            <w:tcBorders>
              <w:top w:val="nil"/>
              <w:left w:val="nil"/>
              <w:bottom w:val="single" w:sz="4" w:space="0" w:color="auto"/>
              <w:right w:val="nil"/>
            </w:tcBorders>
            <w:shd w:val="clear" w:color="auto" w:fill="auto"/>
            <w:noWrap/>
            <w:vAlign w:val="bottom"/>
            <w:hideMark/>
          </w:tcPr>
          <w:p w14:paraId="7C37DB20"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0.082</w:t>
            </w:r>
          </w:p>
        </w:tc>
        <w:tc>
          <w:tcPr>
            <w:tcW w:w="820" w:type="dxa"/>
            <w:tcBorders>
              <w:top w:val="nil"/>
              <w:left w:val="nil"/>
              <w:bottom w:val="single" w:sz="4" w:space="0" w:color="auto"/>
              <w:right w:val="nil"/>
            </w:tcBorders>
            <w:shd w:val="clear" w:color="auto" w:fill="auto"/>
            <w:noWrap/>
            <w:vAlign w:val="bottom"/>
            <w:hideMark/>
          </w:tcPr>
          <w:p w14:paraId="05DE4A92"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0.111</w:t>
            </w:r>
          </w:p>
        </w:tc>
        <w:tc>
          <w:tcPr>
            <w:tcW w:w="853" w:type="dxa"/>
            <w:tcBorders>
              <w:top w:val="nil"/>
              <w:left w:val="nil"/>
              <w:bottom w:val="single" w:sz="4" w:space="0" w:color="auto"/>
              <w:right w:val="nil"/>
            </w:tcBorders>
            <w:shd w:val="clear" w:color="auto" w:fill="auto"/>
            <w:vAlign w:val="bottom"/>
          </w:tcPr>
          <w:p w14:paraId="3BDF84E7" w14:textId="77777777" w:rsidR="003448CB" w:rsidRPr="00284C07" w:rsidRDefault="003448CB" w:rsidP="007C6182">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0.064</w:t>
            </w:r>
          </w:p>
        </w:tc>
      </w:tr>
    </w:tbl>
    <w:p w14:paraId="08137987" w14:textId="77777777" w:rsidR="003448CB" w:rsidRPr="003D5D1F" w:rsidRDefault="003448CB" w:rsidP="003448CB">
      <w:pPr>
        <w:spacing w:after="0" w:line="240" w:lineRule="auto"/>
        <w:rPr>
          <w:rFonts w:ascii="Times New Roman" w:eastAsia="Times New Roman" w:hAnsi="Times New Roman" w:cs="Times New Roman"/>
          <w:color w:val="000000"/>
          <w:sz w:val="20"/>
        </w:rPr>
      </w:pPr>
      <w:r w:rsidRPr="003D5D1F">
        <w:rPr>
          <w:rFonts w:ascii="Times New Roman" w:eastAsia="Times New Roman" w:hAnsi="Times New Roman" w:cs="Times New Roman"/>
          <w:color w:val="000000"/>
          <w:sz w:val="20"/>
        </w:rPr>
        <w:t>Each model includes controls for race/ethnicity, gender, age, pell, and an indicator of whether they received another scholarship. Robust standard errors in parentheses *** p&lt;0.01, ** p&lt;0.05, * p&lt;0.1</w:t>
      </w:r>
    </w:p>
    <w:p w14:paraId="1DF94B11" w14:textId="77777777" w:rsidR="003448CB" w:rsidRDefault="003448CB" w:rsidP="003448CB">
      <w:pPr>
        <w:spacing w:line="480" w:lineRule="auto"/>
        <w:rPr>
          <w:rFonts w:ascii="Times New Roman" w:hAnsi="Times New Roman" w:cs="Times New Roman"/>
          <w:sz w:val="24"/>
          <w:szCs w:val="24"/>
        </w:rPr>
      </w:pPr>
    </w:p>
    <w:p w14:paraId="03A9ED30" w14:textId="48DBC3C6" w:rsidR="00063F17" w:rsidRDefault="00063F17" w:rsidP="003448CB">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For instance, Table </w:t>
      </w:r>
      <w:r w:rsidR="006149E5">
        <w:rPr>
          <w:rFonts w:ascii="Times New Roman" w:hAnsi="Times New Roman" w:cs="Times New Roman"/>
          <w:sz w:val="24"/>
          <w:szCs w:val="24"/>
        </w:rPr>
        <w:t>5-9</w:t>
      </w:r>
      <w:r w:rsidRPr="00E633D8">
        <w:rPr>
          <w:rFonts w:ascii="Times New Roman" w:hAnsi="Times New Roman" w:cs="Times New Roman"/>
          <w:sz w:val="24"/>
          <w:szCs w:val="24"/>
        </w:rPr>
        <w:t xml:space="preserve"> shows that in the 2007 and 2010 cohorts Tulsa Achieves eligibility has a statistically significant positive effect on GPA and credit accumulation, while later cohorts experience insignificant gains in GPA and credit accumulation. For retention, measured as the number of semesters students were enrolled over the first three years, it appears that while most of the coefficients are substantively positive, the 2010-2012 cohorts were statistically significantly positive. </w:t>
      </w:r>
    </w:p>
    <w:p w14:paraId="4258E9D1" w14:textId="465E8B7A" w:rsidR="003448CB" w:rsidRPr="00E41AFB" w:rsidRDefault="00284C07" w:rsidP="003448CB">
      <w:pPr>
        <w:spacing w:after="0" w:line="240" w:lineRule="auto"/>
        <w:rPr>
          <w:rFonts w:ascii="Times New Roman" w:eastAsia="Times New Roman" w:hAnsi="Times New Roman" w:cs="Times New Roman"/>
          <w:color w:val="000000"/>
          <w:sz w:val="24"/>
          <w:szCs w:val="24"/>
        </w:rPr>
      </w:pPr>
      <w:r w:rsidRPr="00FE7009">
        <w:rPr>
          <w:rFonts w:ascii="Times New Roman" w:eastAsia="Times New Roman" w:hAnsi="Times New Roman" w:cs="Times New Roman"/>
          <w:b/>
          <w:noProof/>
          <w:color w:val="000000"/>
          <w:sz w:val="21"/>
          <w:szCs w:val="21"/>
        </w:rPr>
        <w:lastRenderedPageBreak/>
        <w:drawing>
          <wp:anchor distT="0" distB="0" distL="114300" distR="114300" simplePos="0" relativeHeight="251757568" behindDoc="1" locked="0" layoutInCell="1" allowOverlap="1" wp14:anchorId="7E447F16" wp14:editId="158D04D6">
            <wp:simplePos x="0" y="0"/>
            <wp:positionH relativeFrom="column">
              <wp:posOffset>2792095</wp:posOffset>
            </wp:positionH>
            <wp:positionV relativeFrom="paragraph">
              <wp:posOffset>304800</wp:posOffset>
            </wp:positionV>
            <wp:extent cx="3401060" cy="2286000"/>
            <wp:effectExtent l="0" t="0" r="8890" b="0"/>
            <wp:wrapTight wrapText="bothSides">
              <wp:wrapPolygon edited="0">
                <wp:start x="0" y="0"/>
                <wp:lineTo x="0" y="21420"/>
                <wp:lineTo x="21535" y="21420"/>
                <wp:lineTo x="21535"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0106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1664" behindDoc="1" locked="0" layoutInCell="1" allowOverlap="1" wp14:anchorId="01996993" wp14:editId="4AD757D5">
            <wp:simplePos x="0" y="0"/>
            <wp:positionH relativeFrom="page">
              <wp:posOffset>3599180</wp:posOffset>
            </wp:positionH>
            <wp:positionV relativeFrom="paragraph">
              <wp:posOffset>4642485</wp:posOffset>
            </wp:positionV>
            <wp:extent cx="3429000" cy="2286000"/>
            <wp:effectExtent l="0" t="0" r="0" b="0"/>
            <wp:wrapTight wrapText="bothSides">
              <wp:wrapPolygon edited="0">
                <wp:start x="0" y="0"/>
                <wp:lineTo x="0" y="21420"/>
                <wp:lineTo x="21480" y="21420"/>
                <wp:lineTo x="21480"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1" locked="0" layoutInCell="1" allowOverlap="1" wp14:anchorId="53C10CAA" wp14:editId="5D553F0F">
            <wp:simplePos x="0" y="0"/>
            <wp:positionH relativeFrom="page">
              <wp:posOffset>3604260</wp:posOffset>
            </wp:positionH>
            <wp:positionV relativeFrom="paragraph">
              <wp:posOffset>2418715</wp:posOffset>
            </wp:positionV>
            <wp:extent cx="3429000" cy="2286000"/>
            <wp:effectExtent l="0" t="0" r="0" b="0"/>
            <wp:wrapTight wrapText="bothSides">
              <wp:wrapPolygon edited="0">
                <wp:start x="0" y="0"/>
                <wp:lineTo x="0" y="21420"/>
                <wp:lineTo x="21480" y="21420"/>
                <wp:lineTo x="21480"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8CB">
        <w:rPr>
          <w:noProof/>
        </w:rPr>
        <w:drawing>
          <wp:anchor distT="0" distB="0" distL="114300" distR="114300" simplePos="0" relativeHeight="251760640" behindDoc="1" locked="0" layoutInCell="1" allowOverlap="1" wp14:anchorId="79A2A96F" wp14:editId="2A1F7678">
            <wp:simplePos x="0" y="0"/>
            <wp:positionH relativeFrom="margin">
              <wp:align>left</wp:align>
            </wp:positionH>
            <wp:positionV relativeFrom="paragraph">
              <wp:posOffset>4744720</wp:posOffset>
            </wp:positionV>
            <wp:extent cx="3429000" cy="2286000"/>
            <wp:effectExtent l="0" t="0" r="0" b="0"/>
            <wp:wrapTight wrapText="bothSides">
              <wp:wrapPolygon edited="0">
                <wp:start x="0" y="0"/>
                <wp:lineTo x="0" y="21420"/>
                <wp:lineTo x="21480" y="21420"/>
                <wp:lineTo x="21480"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8CB">
        <w:rPr>
          <w:noProof/>
        </w:rPr>
        <w:drawing>
          <wp:anchor distT="0" distB="0" distL="114300" distR="114300" simplePos="0" relativeHeight="251758592" behindDoc="1" locked="0" layoutInCell="1" allowOverlap="1" wp14:anchorId="68CCC457" wp14:editId="786D97AD">
            <wp:simplePos x="0" y="0"/>
            <wp:positionH relativeFrom="margin">
              <wp:align>left</wp:align>
            </wp:positionH>
            <wp:positionV relativeFrom="paragraph">
              <wp:posOffset>2569210</wp:posOffset>
            </wp:positionV>
            <wp:extent cx="3429000" cy="2286000"/>
            <wp:effectExtent l="0" t="0" r="0" b="0"/>
            <wp:wrapTight wrapText="bothSides">
              <wp:wrapPolygon edited="0">
                <wp:start x="0" y="0"/>
                <wp:lineTo x="0" y="21420"/>
                <wp:lineTo x="21480" y="21420"/>
                <wp:lineTo x="21480" y="0"/>
                <wp:lineTo x="0" y="0"/>
              </wp:wrapPolygon>
            </wp:wrapTight>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48CB" w:rsidRPr="0011145C">
        <w:rPr>
          <w:rFonts w:ascii="Times New Roman" w:eastAsia="Times New Roman" w:hAnsi="Times New Roman" w:cs="Times New Roman"/>
          <w:b/>
          <w:color w:val="000000"/>
          <w:sz w:val="24"/>
          <w:szCs w:val="24"/>
        </w:rPr>
        <w:t xml:space="preserve">Figure </w:t>
      </w:r>
      <w:r w:rsidR="00600C45">
        <w:rPr>
          <w:rFonts w:ascii="Times New Roman" w:eastAsia="Times New Roman" w:hAnsi="Times New Roman" w:cs="Times New Roman"/>
          <w:b/>
          <w:color w:val="000000"/>
          <w:sz w:val="24"/>
          <w:szCs w:val="24"/>
        </w:rPr>
        <w:t>5-11</w:t>
      </w:r>
      <w:r w:rsidR="003448CB" w:rsidRPr="0011145C">
        <w:rPr>
          <w:rFonts w:ascii="Times New Roman" w:eastAsia="Times New Roman" w:hAnsi="Times New Roman" w:cs="Times New Roman"/>
          <w:b/>
          <w:color w:val="000000"/>
          <w:sz w:val="24"/>
          <w:szCs w:val="24"/>
        </w:rPr>
        <w:t>.</w:t>
      </w:r>
      <w:r w:rsidR="003448CB" w:rsidRPr="00812D41">
        <w:rPr>
          <w:rFonts w:ascii="Times New Roman" w:eastAsia="Times New Roman" w:hAnsi="Times New Roman" w:cs="Times New Roman"/>
          <w:color w:val="000000"/>
          <w:sz w:val="24"/>
          <w:szCs w:val="24"/>
        </w:rPr>
        <w:t xml:space="preserve"> Event-Study Figures</w:t>
      </w:r>
      <w:r w:rsidR="003448CB" w:rsidRPr="00E41AFB">
        <w:rPr>
          <w:rFonts w:ascii="Times New Roman" w:eastAsia="Times New Roman" w:hAnsi="Times New Roman" w:cs="Times New Roman"/>
          <w:b/>
          <w:bCs/>
          <w:sz w:val="24"/>
          <w:szCs w:val="24"/>
        </w:rPr>
        <w:t xml:space="preserve"> </w:t>
      </w:r>
      <w:r w:rsidR="003448CB" w:rsidRPr="00E41AFB">
        <w:rPr>
          <w:rFonts w:ascii="Times New Roman" w:eastAsia="Times New Roman" w:hAnsi="Times New Roman" w:cs="Times New Roman"/>
          <w:bCs/>
          <w:sz w:val="24"/>
          <w:szCs w:val="24"/>
        </w:rPr>
        <w:t>for the Effect of Tulsa Achieves Eligibility on Student Outcomes (ITT)</w:t>
      </w:r>
    </w:p>
    <w:p w14:paraId="680EBBDC" w14:textId="54EB30C8" w:rsidR="003448CB" w:rsidRDefault="003448CB" w:rsidP="003448CB">
      <w:pPr>
        <w:spacing w:after="0" w:line="240" w:lineRule="auto"/>
        <w:rPr>
          <w:rFonts w:ascii="Times New Roman" w:eastAsia="Times New Roman" w:hAnsi="Times New Roman" w:cs="Times New Roman"/>
          <w:color w:val="000000"/>
          <w:sz w:val="21"/>
          <w:szCs w:val="21"/>
        </w:rPr>
      </w:pPr>
      <w:r>
        <w:rPr>
          <w:noProof/>
        </w:rPr>
        <w:drawing>
          <wp:anchor distT="0" distB="0" distL="114300" distR="114300" simplePos="0" relativeHeight="251756544" behindDoc="1" locked="0" layoutInCell="1" allowOverlap="1" wp14:anchorId="51F3E206" wp14:editId="5B5A369F">
            <wp:simplePos x="0" y="0"/>
            <wp:positionH relativeFrom="margin">
              <wp:align>left</wp:align>
            </wp:positionH>
            <wp:positionV relativeFrom="paragraph">
              <wp:posOffset>7456</wp:posOffset>
            </wp:positionV>
            <wp:extent cx="3429000" cy="2286000"/>
            <wp:effectExtent l="0" t="0" r="0" b="0"/>
            <wp:wrapTight wrapText="bothSides">
              <wp:wrapPolygon edited="0">
                <wp:start x="0" y="0"/>
                <wp:lineTo x="0" y="21420"/>
                <wp:lineTo x="21480" y="21420"/>
                <wp:lineTo x="21480"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anchor>
        </w:drawing>
      </w:r>
    </w:p>
    <w:p w14:paraId="150D5288" w14:textId="59D6322A" w:rsidR="003448CB" w:rsidRPr="00EF3FA8" w:rsidRDefault="00284C07" w:rsidP="003448CB">
      <w:pPr>
        <w:rPr>
          <w:rFonts w:ascii="Times New Roman" w:eastAsia="Times New Roman" w:hAnsi="Times New Roman" w:cs="Times New Roman"/>
          <w:b/>
          <w:color w:val="000000"/>
          <w:sz w:val="24"/>
          <w:szCs w:val="24"/>
        </w:rPr>
      </w:pPr>
      <w:r>
        <w:rPr>
          <w:noProof/>
        </w:rPr>
        <w:lastRenderedPageBreak/>
        <w:drawing>
          <wp:anchor distT="0" distB="0" distL="114300" distR="114300" simplePos="0" relativeHeight="251765760" behindDoc="1" locked="0" layoutInCell="1" allowOverlap="1" wp14:anchorId="56482D3D" wp14:editId="7B4A41DF">
            <wp:simplePos x="0" y="0"/>
            <wp:positionH relativeFrom="page">
              <wp:posOffset>3832860</wp:posOffset>
            </wp:positionH>
            <wp:positionV relativeFrom="paragraph">
              <wp:posOffset>2682240</wp:posOffset>
            </wp:positionV>
            <wp:extent cx="3429000" cy="2286000"/>
            <wp:effectExtent l="0" t="0" r="0" b="0"/>
            <wp:wrapTight wrapText="bothSides">
              <wp:wrapPolygon edited="0">
                <wp:start x="0" y="0"/>
                <wp:lineTo x="0" y="21420"/>
                <wp:lineTo x="21480" y="21420"/>
                <wp:lineTo x="21480"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45C">
        <w:rPr>
          <w:b/>
          <w:noProof/>
          <w:sz w:val="24"/>
          <w:szCs w:val="24"/>
        </w:rPr>
        <w:drawing>
          <wp:anchor distT="0" distB="0" distL="114300" distR="114300" simplePos="0" relativeHeight="251763712" behindDoc="1" locked="0" layoutInCell="1" allowOverlap="1" wp14:anchorId="086423B1" wp14:editId="3A4E9F89">
            <wp:simplePos x="0" y="0"/>
            <wp:positionH relativeFrom="column">
              <wp:posOffset>2820670</wp:posOffset>
            </wp:positionH>
            <wp:positionV relativeFrom="paragraph">
              <wp:posOffset>427990</wp:posOffset>
            </wp:positionV>
            <wp:extent cx="3429000" cy="2286000"/>
            <wp:effectExtent l="0" t="0" r="0" b="0"/>
            <wp:wrapTight wrapText="bothSides">
              <wp:wrapPolygon edited="0">
                <wp:start x="0" y="0"/>
                <wp:lineTo x="0" y="21420"/>
                <wp:lineTo x="21480" y="21420"/>
                <wp:lineTo x="21480"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anchor>
        </w:drawing>
      </w:r>
      <w:r w:rsidR="003448CB" w:rsidRPr="0011145C">
        <w:rPr>
          <w:rFonts w:ascii="Times New Roman" w:eastAsia="Times New Roman" w:hAnsi="Times New Roman" w:cs="Times New Roman"/>
          <w:b/>
          <w:color w:val="000000"/>
          <w:sz w:val="24"/>
          <w:szCs w:val="24"/>
        </w:rPr>
        <w:t xml:space="preserve">Figure </w:t>
      </w:r>
      <w:r w:rsidR="00600C45">
        <w:rPr>
          <w:rFonts w:ascii="Times New Roman" w:eastAsia="Times New Roman" w:hAnsi="Times New Roman" w:cs="Times New Roman"/>
          <w:b/>
          <w:color w:val="000000"/>
          <w:sz w:val="24"/>
          <w:szCs w:val="24"/>
        </w:rPr>
        <w:t>5-11</w:t>
      </w:r>
      <w:r w:rsidR="003448CB" w:rsidRPr="0011145C">
        <w:rPr>
          <w:rFonts w:ascii="Times New Roman" w:eastAsia="Times New Roman" w:hAnsi="Times New Roman" w:cs="Times New Roman"/>
          <w:b/>
          <w:color w:val="000000"/>
          <w:sz w:val="24"/>
          <w:szCs w:val="24"/>
        </w:rPr>
        <w:t xml:space="preserve"> Continued.</w:t>
      </w:r>
      <w:r w:rsidR="003448CB" w:rsidRPr="0011145C">
        <w:rPr>
          <w:rFonts w:ascii="Times New Roman" w:eastAsia="Times New Roman" w:hAnsi="Times New Roman" w:cs="Times New Roman"/>
          <w:color w:val="000000"/>
          <w:sz w:val="24"/>
          <w:szCs w:val="24"/>
        </w:rPr>
        <w:t xml:space="preserve"> Event-Study Model Figures</w:t>
      </w:r>
      <w:r w:rsidR="003448CB" w:rsidRPr="00E41AFB">
        <w:rPr>
          <w:rFonts w:ascii="Times New Roman" w:eastAsia="Times New Roman" w:hAnsi="Times New Roman" w:cs="Times New Roman"/>
          <w:bCs/>
          <w:sz w:val="24"/>
          <w:szCs w:val="24"/>
        </w:rPr>
        <w:t xml:space="preserve"> for the Effect of Tulsa Achieves Eligibility on Student Outcomes (ITT)</w:t>
      </w:r>
    </w:p>
    <w:p w14:paraId="3B23D957" w14:textId="37F5BE8C" w:rsidR="003448CB" w:rsidRDefault="003448CB" w:rsidP="003448CB">
      <w:pPr>
        <w:spacing w:after="0" w:line="240" w:lineRule="auto"/>
        <w:rPr>
          <w:rFonts w:ascii="Times New Roman" w:eastAsia="Times New Roman" w:hAnsi="Times New Roman" w:cs="Times New Roman"/>
          <w:color w:val="000000"/>
          <w:sz w:val="21"/>
          <w:szCs w:val="21"/>
        </w:rPr>
      </w:pPr>
      <w:r>
        <w:rPr>
          <w:noProof/>
        </w:rPr>
        <w:drawing>
          <wp:anchor distT="0" distB="0" distL="114300" distR="114300" simplePos="0" relativeHeight="251764736" behindDoc="1" locked="0" layoutInCell="1" allowOverlap="1" wp14:anchorId="5209BC81" wp14:editId="7C72FCAF">
            <wp:simplePos x="0" y="0"/>
            <wp:positionH relativeFrom="margin">
              <wp:posOffset>99060</wp:posOffset>
            </wp:positionH>
            <wp:positionV relativeFrom="paragraph">
              <wp:posOffset>2308860</wp:posOffset>
            </wp:positionV>
            <wp:extent cx="3429000" cy="2286000"/>
            <wp:effectExtent l="0" t="0" r="0" b="0"/>
            <wp:wrapTight wrapText="bothSides">
              <wp:wrapPolygon edited="0">
                <wp:start x="0" y="0"/>
                <wp:lineTo x="0" y="21420"/>
                <wp:lineTo x="21480" y="21420"/>
                <wp:lineTo x="21480"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2688" behindDoc="1" locked="0" layoutInCell="1" allowOverlap="1" wp14:anchorId="6CA75057" wp14:editId="69C2190E">
            <wp:simplePos x="0" y="0"/>
            <wp:positionH relativeFrom="column">
              <wp:posOffset>0</wp:posOffset>
            </wp:positionH>
            <wp:positionV relativeFrom="paragraph">
              <wp:posOffset>2192</wp:posOffset>
            </wp:positionV>
            <wp:extent cx="3429000" cy="2286000"/>
            <wp:effectExtent l="0" t="0" r="0" b="0"/>
            <wp:wrapTight wrapText="bothSides">
              <wp:wrapPolygon edited="0">
                <wp:start x="0" y="0"/>
                <wp:lineTo x="0" y="21420"/>
                <wp:lineTo x="21480" y="21420"/>
                <wp:lineTo x="21480"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FCEC62" w14:textId="77777777" w:rsidR="00063F17" w:rsidRPr="00E633D8" w:rsidRDefault="00063F17" w:rsidP="003448CB">
      <w:pPr>
        <w:spacing w:line="480" w:lineRule="auto"/>
        <w:ind w:firstLine="720"/>
        <w:rPr>
          <w:rFonts w:ascii="Times New Roman" w:hAnsi="Times New Roman" w:cs="Times New Roman"/>
          <w:sz w:val="24"/>
          <w:szCs w:val="24"/>
        </w:rPr>
      </w:pPr>
      <w:r w:rsidRPr="00E633D8">
        <w:rPr>
          <w:rFonts w:ascii="Times New Roman" w:hAnsi="Times New Roman" w:cs="Times New Roman"/>
          <w:sz w:val="24"/>
          <w:szCs w:val="24"/>
        </w:rPr>
        <w:t xml:space="preserve">Students eligible for Tulsa Achieves in the 2009 and 2010 cohort were also more 2-3 percentage points more likely to meet key achievement thresholds such as obtaining 63 credits by year three. However, students eligible for Tulsa Achieves were also significantly less likely to graduate from TCC and transfer to four-year colleges, especially in later cohorts. This may seem counter to the findings that Tulsa Achieves eligibility positively affects the likelihood of obtaining a bachelor’s degree within five years, since students must transfer to a four-year college in order to earn a bachelor’s degree. However, this pair of findings likely suggests that the students who do end up transferring to four-year colleges are a different set of students than those who stay at TCC. Those students who do end up transferring have significantly higher </w:t>
      </w:r>
      <w:r w:rsidRPr="00E633D8">
        <w:rPr>
          <w:rFonts w:ascii="Times New Roman" w:hAnsi="Times New Roman" w:cs="Times New Roman"/>
          <w:sz w:val="24"/>
          <w:szCs w:val="24"/>
        </w:rPr>
        <w:lastRenderedPageBreak/>
        <w:t xml:space="preserve">GPAs and higher credit accumulation in both the treatment and control groups, suggesting that this set of students are higher achieving. For the students that are induced to attend college instead of entering the workforce, as opposed to the students that choose to attend TCC instead of starting college at a four-year institution, the effects of the program are likely very different. </w:t>
      </w:r>
    </w:p>
    <w:p w14:paraId="0A0529F2" w14:textId="77777777" w:rsidR="00063F17" w:rsidRPr="00E633D8" w:rsidRDefault="00063F17" w:rsidP="00063F17">
      <w:pPr>
        <w:spacing w:line="480" w:lineRule="auto"/>
        <w:rPr>
          <w:rFonts w:ascii="Times New Roman" w:hAnsi="Times New Roman" w:cs="Times New Roman"/>
          <w:i/>
          <w:sz w:val="24"/>
          <w:szCs w:val="24"/>
        </w:rPr>
      </w:pPr>
      <w:r w:rsidRPr="00E633D8">
        <w:rPr>
          <w:rFonts w:ascii="Times New Roman" w:hAnsi="Times New Roman" w:cs="Times New Roman"/>
          <w:i/>
          <w:sz w:val="24"/>
          <w:szCs w:val="24"/>
        </w:rPr>
        <w:t>Robustness Analysis</w:t>
      </w:r>
    </w:p>
    <w:p w14:paraId="0326E130" w14:textId="33CCC381"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To test whether the difference-in-differences results are robust to multiple comparison groups, I present the analysis utilizing the approximately 8,000 out-of-state students as the comparison group, who would have been ineligible regardless of high school GPA because of their residency. As Tables </w:t>
      </w:r>
      <w:r w:rsidR="00D50DE2">
        <w:rPr>
          <w:rFonts w:ascii="Times New Roman" w:hAnsi="Times New Roman" w:cs="Times New Roman"/>
          <w:sz w:val="24"/>
          <w:szCs w:val="24"/>
        </w:rPr>
        <w:t>5-</w:t>
      </w:r>
      <w:r w:rsidRPr="00E633D8">
        <w:rPr>
          <w:rFonts w:ascii="Times New Roman" w:hAnsi="Times New Roman" w:cs="Times New Roman"/>
          <w:sz w:val="24"/>
          <w:szCs w:val="24"/>
        </w:rPr>
        <w:t>B1-B2 demonstrate, the results are remarkably similar to the main analysis, suggesting that the models are robust to multiple comparison groups.</w:t>
      </w:r>
      <w:r w:rsidRPr="00E3535F">
        <w:rPr>
          <w:rStyle w:val="FootnoteReference"/>
        </w:rPr>
        <w:footnoteReference w:id="37"/>
      </w:r>
      <w:r w:rsidRPr="00E633D8">
        <w:rPr>
          <w:rFonts w:ascii="Times New Roman" w:hAnsi="Times New Roman" w:cs="Times New Roman"/>
          <w:sz w:val="24"/>
          <w:szCs w:val="24"/>
        </w:rPr>
        <w:t xml:space="preserve"> Second, I test whether the results are robust to the inclusion of high school fixed effects in Tables </w:t>
      </w:r>
      <w:r w:rsidR="00D50DE2">
        <w:rPr>
          <w:rFonts w:ascii="Times New Roman" w:hAnsi="Times New Roman" w:cs="Times New Roman"/>
          <w:sz w:val="24"/>
          <w:szCs w:val="24"/>
        </w:rPr>
        <w:t>5-</w:t>
      </w:r>
      <w:r w:rsidRPr="00E633D8">
        <w:rPr>
          <w:rFonts w:ascii="Times New Roman" w:hAnsi="Times New Roman" w:cs="Times New Roman"/>
          <w:sz w:val="24"/>
          <w:szCs w:val="24"/>
        </w:rPr>
        <w:t xml:space="preserve">B3-B4. These results are in line with the main analysis, suggesting that the results are robust to multiple specifications. </w:t>
      </w:r>
    </w:p>
    <w:p w14:paraId="0599B1BA"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IV Analysis Results</w:t>
      </w:r>
    </w:p>
    <w:p w14:paraId="7443E464" w14:textId="2A675B5C"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Table </w:t>
      </w:r>
      <w:r w:rsidR="00C21646">
        <w:rPr>
          <w:rFonts w:ascii="Times New Roman" w:hAnsi="Times New Roman" w:cs="Times New Roman"/>
          <w:sz w:val="24"/>
          <w:szCs w:val="24"/>
        </w:rPr>
        <w:t>5-10</w:t>
      </w:r>
      <w:r w:rsidRPr="00E633D8">
        <w:rPr>
          <w:rFonts w:ascii="Times New Roman" w:hAnsi="Times New Roman" w:cs="Times New Roman"/>
          <w:sz w:val="24"/>
          <w:szCs w:val="24"/>
        </w:rPr>
        <w:t xml:space="preserve"> presents the results from the IV approach described in equations 5 and 6, where the sample is limited to eligible students in the 2005-2012 cohorts and the indicator for post Tulsa Achieves cohorts is utilized as an instrument for receipt of Tulsa Achieves. Therefore, these results reflect an approximation of the average treatment effect on the treated Tulsa Achieves students, which is a substantially different estimate from the analysis above comparing eligible to ineligible students in the analysis above.</w:t>
      </w:r>
    </w:p>
    <w:p w14:paraId="234FA68A" w14:textId="7BACC1A7" w:rsidR="007C6182" w:rsidRPr="00460880" w:rsidRDefault="00460880" w:rsidP="00460880">
      <w:pPr>
        <w:spacing w:after="0" w:line="240" w:lineRule="auto"/>
        <w:rPr>
          <w:rFonts w:ascii="Times New Roman" w:eastAsia="Times New Roman" w:hAnsi="Times New Roman" w:cs="Times New Roman"/>
          <w:bCs/>
          <w:sz w:val="24"/>
          <w:szCs w:val="24"/>
        </w:rPr>
      </w:pPr>
      <w:r w:rsidRPr="00F5358C">
        <w:rPr>
          <w:rFonts w:ascii="Times New Roman" w:eastAsia="Times New Roman" w:hAnsi="Times New Roman" w:cs="Times New Roman"/>
          <w:b/>
          <w:bCs/>
          <w:sz w:val="24"/>
          <w:szCs w:val="24"/>
        </w:rPr>
        <w:lastRenderedPageBreak/>
        <w:t xml:space="preserve">Table </w:t>
      </w:r>
      <w:r w:rsidR="00C21646">
        <w:rPr>
          <w:rFonts w:ascii="Times New Roman" w:eastAsia="Times New Roman" w:hAnsi="Times New Roman" w:cs="Times New Roman"/>
          <w:b/>
          <w:bCs/>
          <w:sz w:val="24"/>
          <w:szCs w:val="24"/>
        </w:rPr>
        <w:t>5-10.</w:t>
      </w:r>
      <w:r>
        <w:rPr>
          <w:rFonts w:ascii="Times New Roman" w:eastAsia="Times New Roman" w:hAnsi="Times New Roman" w:cs="Times New Roman"/>
          <w:color w:val="000000"/>
          <w:sz w:val="21"/>
          <w:szCs w:val="21"/>
        </w:rPr>
        <w:t xml:space="preserve"> </w:t>
      </w:r>
      <w:r w:rsidRPr="00E41AFB">
        <w:rPr>
          <w:rFonts w:ascii="Times New Roman" w:eastAsia="Times New Roman" w:hAnsi="Times New Roman" w:cs="Times New Roman"/>
          <w:bCs/>
          <w:sz w:val="24"/>
          <w:szCs w:val="24"/>
        </w:rPr>
        <w:t>Two-Stage Least Squares Regression Results for the Effect of Tulsa Achieves Receipt on Student Outcomes (2005-2012)-First Stage=0.45</w:t>
      </w:r>
    </w:p>
    <w:tbl>
      <w:tblPr>
        <w:tblW w:w="5380" w:type="dxa"/>
        <w:tblLook w:val="04A0" w:firstRow="1" w:lastRow="0" w:firstColumn="1" w:lastColumn="0" w:noHBand="0" w:noVBand="1"/>
      </w:tblPr>
      <w:tblGrid>
        <w:gridCol w:w="3150"/>
        <w:gridCol w:w="1189"/>
        <w:gridCol w:w="1041"/>
      </w:tblGrid>
      <w:tr w:rsidR="00460880" w:rsidRPr="003A0463" w14:paraId="10E4B6F0" w14:textId="77777777" w:rsidTr="00835DC6">
        <w:trPr>
          <w:trHeight w:val="71"/>
        </w:trPr>
        <w:tc>
          <w:tcPr>
            <w:tcW w:w="3150" w:type="dxa"/>
            <w:tcBorders>
              <w:top w:val="single" w:sz="4" w:space="0" w:color="auto"/>
              <w:left w:val="nil"/>
              <w:bottom w:val="single" w:sz="8" w:space="0" w:color="auto"/>
              <w:right w:val="nil"/>
            </w:tcBorders>
            <w:shd w:val="clear" w:color="auto" w:fill="auto"/>
            <w:vAlign w:val="center"/>
            <w:hideMark/>
          </w:tcPr>
          <w:p w14:paraId="78B589A6" w14:textId="4C022F25"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Outcome</w:t>
            </w:r>
          </w:p>
        </w:tc>
        <w:tc>
          <w:tcPr>
            <w:tcW w:w="1189" w:type="dxa"/>
            <w:tcBorders>
              <w:top w:val="single" w:sz="4" w:space="0" w:color="auto"/>
              <w:left w:val="nil"/>
              <w:bottom w:val="single" w:sz="8" w:space="0" w:color="auto"/>
              <w:right w:val="nil"/>
            </w:tcBorders>
            <w:shd w:val="clear" w:color="auto" w:fill="auto"/>
            <w:vAlign w:val="center"/>
            <w:hideMark/>
          </w:tcPr>
          <w:p w14:paraId="676E9C83"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Reduced Form</w:t>
            </w:r>
          </w:p>
        </w:tc>
        <w:tc>
          <w:tcPr>
            <w:tcW w:w="1041" w:type="dxa"/>
            <w:tcBorders>
              <w:top w:val="single" w:sz="4" w:space="0" w:color="auto"/>
              <w:left w:val="nil"/>
              <w:bottom w:val="single" w:sz="8" w:space="0" w:color="auto"/>
              <w:right w:val="nil"/>
            </w:tcBorders>
            <w:shd w:val="clear" w:color="auto" w:fill="auto"/>
            <w:vAlign w:val="center"/>
            <w:hideMark/>
          </w:tcPr>
          <w:p w14:paraId="19774D7F"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IV</w:t>
            </w:r>
          </w:p>
        </w:tc>
      </w:tr>
      <w:tr w:rsidR="00460880" w:rsidRPr="003A0463" w14:paraId="57510250" w14:textId="77777777" w:rsidTr="00835DC6">
        <w:trPr>
          <w:trHeight w:val="88"/>
        </w:trPr>
        <w:tc>
          <w:tcPr>
            <w:tcW w:w="3150" w:type="dxa"/>
            <w:tcBorders>
              <w:top w:val="nil"/>
              <w:left w:val="nil"/>
              <w:bottom w:val="nil"/>
              <w:right w:val="nil"/>
            </w:tcBorders>
            <w:shd w:val="clear" w:color="auto" w:fill="auto"/>
            <w:vAlign w:val="bottom"/>
            <w:hideMark/>
          </w:tcPr>
          <w:p w14:paraId="314AD8B3"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GPA End of Year 1</w:t>
            </w:r>
          </w:p>
        </w:tc>
        <w:tc>
          <w:tcPr>
            <w:tcW w:w="1189" w:type="dxa"/>
            <w:tcBorders>
              <w:top w:val="nil"/>
              <w:left w:val="nil"/>
              <w:bottom w:val="nil"/>
              <w:right w:val="nil"/>
            </w:tcBorders>
            <w:shd w:val="clear" w:color="auto" w:fill="auto"/>
            <w:noWrap/>
            <w:vAlign w:val="center"/>
            <w:hideMark/>
          </w:tcPr>
          <w:p w14:paraId="1F6817C2"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0.207***</w:t>
            </w:r>
          </w:p>
        </w:tc>
        <w:tc>
          <w:tcPr>
            <w:tcW w:w="1041" w:type="dxa"/>
            <w:tcBorders>
              <w:top w:val="nil"/>
              <w:left w:val="nil"/>
              <w:bottom w:val="nil"/>
              <w:right w:val="nil"/>
            </w:tcBorders>
            <w:shd w:val="clear" w:color="auto" w:fill="auto"/>
            <w:noWrap/>
            <w:vAlign w:val="center"/>
            <w:hideMark/>
          </w:tcPr>
          <w:p w14:paraId="776420F3"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0.267</w:t>
            </w:r>
          </w:p>
        </w:tc>
      </w:tr>
      <w:tr w:rsidR="00460880" w:rsidRPr="003A0463" w14:paraId="4DB24760" w14:textId="77777777" w:rsidTr="00835DC6">
        <w:trPr>
          <w:trHeight w:val="288"/>
        </w:trPr>
        <w:tc>
          <w:tcPr>
            <w:tcW w:w="3150" w:type="dxa"/>
            <w:tcBorders>
              <w:top w:val="nil"/>
              <w:left w:val="nil"/>
              <w:bottom w:val="nil"/>
              <w:right w:val="nil"/>
            </w:tcBorders>
            <w:shd w:val="clear" w:color="auto" w:fill="auto"/>
            <w:vAlign w:val="bottom"/>
            <w:hideMark/>
          </w:tcPr>
          <w:p w14:paraId="59D2909A"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7E02401B"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(0.0476)</w:t>
            </w:r>
          </w:p>
        </w:tc>
        <w:tc>
          <w:tcPr>
            <w:tcW w:w="1041" w:type="dxa"/>
            <w:tcBorders>
              <w:top w:val="nil"/>
              <w:left w:val="nil"/>
              <w:bottom w:val="nil"/>
              <w:right w:val="nil"/>
            </w:tcBorders>
            <w:shd w:val="clear" w:color="auto" w:fill="auto"/>
            <w:noWrap/>
            <w:vAlign w:val="center"/>
            <w:hideMark/>
          </w:tcPr>
          <w:p w14:paraId="376235AF"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(0.196)</w:t>
            </w:r>
          </w:p>
        </w:tc>
      </w:tr>
      <w:tr w:rsidR="00460880" w:rsidRPr="003A0463" w14:paraId="7FCF7D07" w14:textId="77777777" w:rsidTr="00835DC6">
        <w:trPr>
          <w:trHeight w:val="66"/>
        </w:trPr>
        <w:tc>
          <w:tcPr>
            <w:tcW w:w="3150" w:type="dxa"/>
            <w:tcBorders>
              <w:top w:val="nil"/>
              <w:left w:val="nil"/>
              <w:bottom w:val="nil"/>
              <w:right w:val="nil"/>
            </w:tcBorders>
            <w:shd w:val="clear" w:color="auto" w:fill="auto"/>
            <w:vAlign w:val="bottom"/>
            <w:hideMark/>
          </w:tcPr>
          <w:p w14:paraId="4B690EAF"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Credits Year 1</w:t>
            </w:r>
          </w:p>
        </w:tc>
        <w:tc>
          <w:tcPr>
            <w:tcW w:w="1189" w:type="dxa"/>
            <w:tcBorders>
              <w:top w:val="nil"/>
              <w:left w:val="nil"/>
              <w:bottom w:val="nil"/>
              <w:right w:val="nil"/>
            </w:tcBorders>
            <w:shd w:val="clear" w:color="auto" w:fill="auto"/>
            <w:noWrap/>
            <w:vAlign w:val="center"/>
            <w:hideMark/>
          </w:tcPr>
          <w:p w14:paraId="18651D21"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0.647*</w:t>
            </w:r>
          </w:p>
        </w:tc>
        <w:tc>
          <w:tcPr>
            <w:tcW w:w="1041" w:type="dxa"/>
            <w:tcBorders>
              <w:top w:val="nil"/>
              <w:left w:val="nil"/>
              <w:bottom w:val="nil"/>
              <w:right w:val="nil"/>
            </w:tcBorders>
            <w:shd w:val="clear" w:color="auto" w:fill="auto"/>
            <w:noWrap/>
            <w:vAlign w:val="center"/>
            <w:hideMark/>
          </w:tcPr>
          <w:p w14:paraId="7A1B2E63"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4.376***</w:t>
            </w:r>
          </w:p>
        </w:tc>
      </w:tr>
      <w:tr w:rsidR="00460880" w:rsidRPr="003A0463" w14:paraId="53B3D45C" w14:textId="77777777" w:rsidTr="00835DC6">
        <w:trPr>
          <w:trHeight w:val="288"/>
        </w:trPr>
        <w:tc>
          <w:tcPr>
            <w:tcW w:w="3150" w:type="dxa"/>
            <w:tcBorders>
              <w:top w:val="nil"/>
              <w:left w:val="nil"/>
              <w:bottom w:val="nil"/>
              <w:right w:val="nil"/>
            </w:tcBorders>
            <w:shd w:val="clear" w:color="auto" w:fill="auto"/>
            <w:vAlign w:val="bottom"/>
            <w:hideMark/>
          </w:tcPr>
          <w:p w14:paraId="55FC797E"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51CDABAB"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(0.336)</w:t>
            </w:r>
          </w:p>
        </w:tc>
        <w:tc>
          <w:tcPr>
            <w:tcW w:w="1041" w:type="dxa"/>
            <w:tcBorders>
              <w:top w:val="nil"/>
              <w:left w:val="nil"/>
              <w:bottom w:val="nil"/>
              <w:right w:val="nil"/>
            </w:tcBorders>
            <w:shd w:val="clear" w:color="auto" w:fill="auto"/>
            <w:noWrap/>
            <w:vAlign w:val="center"/>
            <w:hideMark/>
          </w:tcPr>
          <w:p w14:paraId="5A3F913E"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(1.340)</w:t>
            </w:r>
          </w:p>
        </w:tc>
      </w:tr>
      <w:tr w:rsidR="00460880" w:rsidRPr="003A0463" w14:paraId="6AA04D62" w14:textId="77777777" w:rsidTr="00835DC6">
        <w:trPr>
          <w:trHeight w:val="66"/>
        </w:trPr>
        <w:tc>
          <w:tcPr>
            <w:tcW w:w="3150" w:type="dxa"/>
            <w:tcBorders>
              <w:top w:val="nil"/>
              <w:left w:val="nil"/>
              <w:bottom w:val="nil"/>
              <w:right w:val="nil"/>
            </w:tcBorders>
            <w:shd w:val="clear" w:color="auto" w:fill="auto"/>
            <w:vAlign w:val="bottom"/>
            <w:hideMark/>
          </w:tcPr>
          <w:p w14:paraId="34E6A949"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GPA End of Year 3</w:t>
            </w:r>
          </w:p>
        </w:tc>
        <w:tc>
          <w:tcPr>
            <w:tcW w:w="1189" w:type="dxa"/>
            <w:tcBorders>
              <w:top w:val="nil"/>
              <w:left w:val="nil"/>
              <w:bottom w:val="nil"/>
              <w:right w:val="nil"/>
            </w:tcBorders>
            <w:shd w:val="clear" w:color="auto" w:fill="auto"/>
            <w:noWrap/>
            <w:vAlign w:val="center"/>
            <w:hideMark/>
          </w:tcPr>
          <w:p w14:paraId="0FF92386"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0.167***</w:t>
            </w:r>
          </w:p>
        </w:tc>
        <w:tc>
          <w:tcPr>
            <w:tcW w:w="1041" w:type="dxa"/>
            <w:tcBorders>
              <w:top w:val="nil"/>
              <w:left w:val="nil"/>
              <w:bottom w:val="nil"/>
              <w:right w:val="nil"/>
            </w:tcBorders>
            <w:shd w:val="clear" w:color="auto" w:fill="auto"/>
            <w:noWrap/>
            <w:vAlign w:val="center"/>
            <w:hideMark/>
          </w:tcPr>
          <w:p w14:paraId="63D48286"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0.245</w:t>
            </w:r>
          </w:p>
        </w:tc>
      </w:tr>
      <w:tr w:rsidR="00460880" w:rsidRPr="003A0463" w14:paraId="25A0CFD4" w14:textId="77777777" w:rsidTr="00835DC6">
        <w:trPr>
          <w:trHeight w:val="288"/>
        </w:trPr>
        <w:tc>
          <w:tcPr>
            <w:tcW w:w="3150" w:type="dxa"/>
            <w:tcBorders>
              <w:top w:val="nil"/>
              <w:left w:val="nil"/>
              <w:bottom w:val="nil"/>
              <w:right w:val="nil"/>
            </w:tcBorders>
            <w:shd w:val="clear" w:color="auto" w:fill="auto"/>
            <w:vAlign w:val="bottom"/>
            <w:hideMark/>
          </w:tcPr>
          <w:p w14:paraId="22C5885D"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0F0D1082"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(0.0438)</w:t>
            </w:r>
          </w:p>
        </w:tc>
        <w:tc>
          <w:tcPr>
            <w:tcW w:w="1041" w:type="dxa"/>
            <w:tcBorders>
              <w:top w:val="nil"/>
              <w:left w:val="nil"/>
              <w:bottom w:val="nil"/>
              <w:right w:val="nil"/>
            </w:tcBorders>
            <w:shd w:val="clear" w:color="auto" w:fill="auto"/>
            <w:noWrap/>
            <w:vAlign w:val="center"/>
            <w:hideMark/>
          </w:tcPr>
          <w:p w14:paraId="033F11F7"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(0.181)</w:t>
            </w:r>
          </w:p>
        </w:tc>
      </w:tr>
      <w:tr w:rsidR="00460880" w:rsidRPr="003A0463" w14:paraId="612C1908" w14:textId="77777777" w:rsidTr="00835DC6">
        <w:trPr>
          <w:trHeight w:val="288"/>
        </w:trPr>
        <w:tc>
          <w:tcPr>
            <w:tcW w:w="3150" w:type="dxa"/>
            <w:tcBorders>
              <w:top w:val="nil"/>
              <w:left w:val="nil"/>
              <w:bottom w:val="nil"/>
              <w:right w:val="nil"/>
            </w:tcBorders>
            <w:shd w:val="clear" w:color="auto" w:fill="auto"/>
            <w:vAlign w:val="bottom"/>
            <w:hideMark/>
          </w:tcPr>
          <w:p w14:paraId="2551BA1B"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Credits Year 3</w:t>
            </w:r>
          </w:p>
        </w:tc>
        <w:tc>
          <w:tcPr>
            <w:tcW w:w="1189" w:type="dxa"/>
            <w:tcBorders>
              <w:top w:val="nil"/>
              <w:left w:val="nil"/>
              <w:bottom w:val="nil"/>
              <w:right w:val="nil"/>
            </w:tcBorders>
            <w:shd w:val="clear" w:color="auto" w:fill="auto"/>
            <w:noWrap/>
            <w:vAlign w:val="center"/>
            <w:hideMark/>
          </w:tcPr>
          <w:p w14:paraId="4B5D703B"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2.158***</w:t>
            </w:r>
          </w:p>
        </w:tc>
        <w:tc>
          <w:tcPr>
            <w:tcW w:w="1041" w:type="dxa"/>
            <w:tcBorders>
              <w:top w:val="nil"/>
              <w:left w:val="nil"/>
              <w:bottom w:val="nil"/>
              <w:right w:val="nil"/>
            </w:tcBorders>
            <w:shd w:val="clear" w:color="auto" w:fill="auto"/>
            <w:noWrap/>
            <w:vAlign w:val="center"/>
            <w:hideMark/>
          </w:tcPr>
          <w:p w14:paraId="5AA759C7"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10.65***</w:t>
            </w:r>
          </w:p>
        </w:tc>
      </w:tr>
      <w:tr w:rsidR="00460880" w:rsidRPr="003A0463" w14:paraId="5162482A" w14:textId="77777777" w:rsidTr="00835DC6">
        <w:trPr>
          <w:trHeight w:val="288"/>
        </w:trPr>
        <w:tc>
          <w:tcPr>
            <w:tcW w:w="3150" w:type="dxa"/>
            <w:tcBorders>
              <w:top w:val="nil"/>
              <w:left w:val="nil"/>
              <w:bottom w:val="nil"/>
              <w:right w:val="nil"/>
            </w:tcBorders>
            <w:shd w:val="clear" w:color="auto" w:fill="auto"/>
            <w:vAlign w:val="bottom"/>
            <w:hideMark/>
          </w:tcPr>
          <w:p w14:paraId="73C93DC4"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0A537DB2"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(0.832)</w:t>
            </w:r>
          </w:p>
        </w:tc>
        <w:tc>
          <w:tcPr>
            <w:tcW w:w="1041" w:type="dxa"/>
            <w:tcBorders>
              <w:top w:val="nil"/>
              <w:left w:val="nil"/>
              <w:bottom w:val="nil"/>
              <w:right w:val="nil"/>
            </w:tcBorders>
            <w:shd w:val="clear" w:color="auto" w:fill="auto"/>
            <w:noWrap/>
            <w:vAlign w:val="center"/>
            <w:hideMark/>
          </w:tcPr>
          <w:p w14:paraId="4009C1F2"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(3.454)</w:t>
            </w:r>
          </w:p>
        </w:tc>
      </w:tr>
      <w:tr w:rsidR="00460880" w:rsidRPr="003A0463" w14:paraId="0A408465" w14:textId="77777777" w:rsidTr="00835DC6">
        <w:trPr>
          <w:trHeight w:val="66"/>
        </w:trPr>
        <w:tc>
          <w:tcPr>
            <w:tcW w:w="3150" w:type="dxa"/>
            <w:tcBorders>
              <w:top w:val="nil"/>
              <w:left w:val="nil"/>
              <w:bottom w:val="nil"/>
              <w:right w:val="nil"/>
            </w:tcBorders>
            <w:shd w:val="clear" w:color="auto" w:fill="auto"/>
            <w:vAlign w:val="bottom"/>
            <w:hideMark/>
          </w:tcPr>
          <w:p w14:paraId="427758A3"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Semesters Enrolled in 3 Years</w:t>
            </w:r>
          </w:p>
        </w:tc>
        <w:tc>
          <w:tcPr>
            <w:tcW w:w="1189" w:type="dxa"/>
            <w:tcBorders>
              <w:top w:val="nil"/>
              <w:left w:val="nil"/>
              <w:bottom w:val="nil"/>
              <w:right w:val="nil"/>
            </w:tcBorders>
            <w:shd w:val="clear" w:color="auto" w:fill="auto"/>
            <w:noWrap/>
            <w:vAlign w:val="center"/>
            <w:hideMark/>
          </w:tcPr>
          <w:p w14:paraId="779035D6"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0.0870</w:t>
            </w:r>
          </w:p>
        </w:tc>
        <w:tc>
          <w:tcPr>
            <w:tcW w:w="1041" w:type="dxa"/>
            <w:tcBorders>
              <w:top w:val="nil"/>
              <w:left w:val="nil"/>
              <w:bottom w:val="nil"/>
              <w:right w:val="nil"/>
            </w:tcBorders>
            <w:shd w:val="clear" w:color="auto" w:fill="auto"/>
            <w:noWrap/>
            <w:vAlign w:val="center"/>
            <w:hideMark/>
          </w:tcPr>
          <w:p w14:paraId="726E3DAA"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1.815***</w:t>
            </w:r>
          </w:p>
        </w:tc>
      </w:tr>
      <w:tr w:rsidR="00460880" w:rsidRPr="003A0463" w14:paraId="5D5F652F" w14:textId="77777777" w:rsidTr="00835DC6">
        <w:trPr>
          <w:trHeight w:val="288"/>
        </w:trPr>
        <w:tc>
          <w:tcPr>
            <w:tcW w:w="3150" w:type="dxa"/>
            <w:tcBorders>
              <w:top w:val="nil"/>
              <w:left w:val="nil"/>
              <w:bottom w:val="nil"/>
              <w:right w:val="nil"/>
            </w:tcBorders>
            <w:shd w:val="clear" w:color="auto" w:fill="auto"/>
            <w:vAlign w:val="bottom"/>
            <w:hideMark/>
          </w:tcPr>
          <w:p w14:paraId="6823BDE0"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3E383A81"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(0.131)</w:t>
            </w:r>
          </w:p>
        </w:tc>
        <w:tc>
          <w:tcPr>
            <w:tcW w:w="1041" w:type="dxa"/>
            <w:tcBorders>
              <w:top w:val="nil"/>
              <w:left w:val="nil"/>
              <w:bottom w:val="nil"/>
              <w:right w:val="nil"/>
            </w:tcBorders>
            <w:shd w:val="clear" w:color="auto" w:fill="auto"/>
            <w:noWrap/>
            <w:vAlign w:val="center"/>
            <w:hideMark/>
          </w:tcPr>
          <w:p w14:paraId="0E293192"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(0.513)</w:t>
            </w:r>
          </w:p>
        </w:tc>
      </w:tr>
      <w:tr w:rsidR="00460880" w:rsidRPr="003A0463" w14:paraId="52B8408C" w14:textId="77777777" w:rsidTr="00835DC6">
        <w:trPr>
          <w:trHeight w:val="66"/>
        </w:trPr>
        <w:tc>
          <w:tcPr>
            <w:tcW w:w="3150" w:type="dxa"/>
            <w:tcBorders>
              <w:top w:val="nil"/>
              <w:left w:val="nil"/>
              <w:bottom w:val="nil"/>
              <w:right w:val="nil"/>
            </w:tcBorders>
            <w:shd w:val="clear" w:color="auto" w:fill="auto"/>
            <w:vAlign w:val="bottom"/>
            <w:hideMark/>
          </w:tcPr>
          <w:p w14:paraId="2FB9B04A"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Had 63 Credits by Year 3</w:t>
            </w:r>
          </w:p>
        </w:tc>
        <w:tc>
          <w:tcPr>
            <w:tcW w:w="1189" w:type="dxa"/>
            <w:tcBorders>
              <w:top w:val="nil"/>
              <w:left w:val="nil"/>
              <w:bottom w:val="nil"/>
              <w:right w:val="nil"/>
            </w:tcBorders>
            <w:shd w:val="clear" w:color="auto" w:fill="auto"/>
            <w:noWrap/>
            <w:vAlign w:val="center"/>
            <w:hideMark/>
          </w:tcPr>
          <w:p w14:paraId="01ACD629"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0.02</w:t>
            </w:r>
            <w:r>
              <w:rPr>
                <w:rFonts w:ascii="Times New Roman" w:eastAsia="Times New Roman" w:hAnsi="Times New Roman" w:cs="Times New Roman"/>
                <w:color w:val="000000"/>
              </w:rPr>
              <w:t>3</w:t>
            </w:r>
            <w:r w:rsidRPr="003A0463">
              <w:rPr>
                <w:rFonts w:ascii="Times New Roman" w:eastAsia="Times New Roman" w:hAnsi="Times New Roman" w:cs="Times New Roman"/>
                <w:color w:val="000000"/>
              </w:rPr>
              <w:t>**</w:t>
            </w:r>
          </w:p>
        </w:tc>
        <w:tc>
          <w:tcPr>
            <w:tcW w:w="1041" w:type="dxa"/>
            <w:tcBorders>
              <w:top w:val="nil"/>
              <w:left w:val="nil"/>
              <w:bottom w:val="nil"/>
              <w:right w:val="nil"/>
            </w:tcBorders>
            <w:shd w:val="clear" w:color="auto" w:fill="auto"/>
            <w:noWrap/>
            <w:vAlign w:val="center"/>
            <w:hideMark/>
          </w:tcPr>
          <w:p w14:paraId="5EA09D1D"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0.118***</w:t>
            </w:r>
          </w:p>
        </w:tc>
      </w:tr>
      <w:tr w:rsidR="00460880" w:rsidRPr="003A0463" w14:paraId="227EAE49" w14:textId="77777777" w:rsidTr="00835DC6">
        <w:trPr>
          <w:trHeight w:val="288"/>
        </w:trPr>
        <w:tc>
          <w:tcPr>
            <w:tcW w:w="3150" w:type="dxa"/>
            <w:tcBorders>
              <w:top w:val="nil"/>
              <w:left w:val="nil"/>
              <w:bottom w:val="nil"/>
              <w:right w:val="nil"/>
            </w:tcBorders>
            <w:shd w:val="clear" w:color="auto" w:fill="auto"/>
            <w:vAlign w:val="bottom"/>
            <w:hideMark/>
          </w:tcPr>
          <w:p w14:paraId="019111A1"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355E0E01"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(0.0103)</w:t>
            </w:r>
          </w:p>
        </w:tc>
        <w:tc>
          <w:tcPr>
            <w:tcW w:w="1041" w:type="dxa"/>
            <w:tcBorders>
              <w:top w:val="nil"/>
              <w:left w:val="nil"/>
              <w:bottom w:val="nil"/>
              <w:right w:val="nil"/>
            </w:tcBorders>
            <w:shd w:val="clear" w:color="auto" w:fill="auto"/>
            <w:noWrap/>
            <w:vAlign w:val="center"/>
            <w:hideMark/>
          </w:tcPr>
          <w:p w14:paraId="744BFEE6"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(0.0440)</w:t>
            </w:r>
          </w:p>
        </w:tc>
      </w:tr>
      <w:tr w:rsidR="00460880" w:rsidRPr="003A0463" w14:paraId="7DA0C66D" w14:textId="77777777" w:rsidTr="00835DC6">
        <w:trPr>
          <w:trHeight w:val="66"/>
        </w:trPr>
        <w:tc>
          <w:tcPr>
            <w:tcW w:w="3150" w:type="dxa"/>
            <w:tcBorders>
              <w:top w:val="nil"/>
              <w:left w:val="nil"/>
              <w:bottom w:val="nil"/>
              <w:right w:val="nil"/>
            </w:tcBorders>
            <w:shd w:val="clear" w:color="auto" w:fill="auto"/>
            <w:vAlign w:val="bottom"/>
            <w:hideMark/>
          </w:tcPr>
          <w:p w14:paraId="70F0F7F7"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Graduate with Credential</w:t>
            </w:r>
          </w:p>
        </w:tc>
        <w:tc>
          <w:tcPr>
            <w:tcW w:w="1189" w:type="dxa"/>
            <w:tcBorders>
              <w:top w:val="nil"/>
              <w:left w:val="nil"/>
              <w:bottom w:val="nil"/>
              <w:right w:val="nil"/>
            </w:tcBorders>
            <w:shd w:val="clear" w:color="auto" w:fill="auto"/>
            <w:noWrap/>
            <w:vAlign w:val="center"/>
            <w:hideMark/>
          </w:tcPr>
          <w:p w14:paraId="6765A993"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-0.0305*</w:t>
            </w:r>
          </w:p>
        </w:tc>
        <w:tc>
          <w:tcPr>
            <w:tcW w:w="1041" w:type="dxa"/>
            <w:tcBorders>
              <w:top w:val="nil"/>
              <w:left w:val="nil"/>
              <w:bottom w:val="nil"/>
              <w:right w:val="nil"/>
            </w:tcBorders>
            <w:shd w:val="clear" w:color="auto" w:fill="auto"/>
            <w:noWrap/>
            <w:vAlign w:val="center"/>
            <w:hideMark/>
          </w:tcPr>
          <w:p w14:paraId="42276D81"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-0.0211</w:t>
            </w:r>
          </w:p>
        </w:tc>
      </w:tr>
      <w:tr w:rsidR="00460880" w:rsidRPr="003A0463" w14:paraId="0F08E146" w14:textId="77777777" w:rsidTr="00835DC6">
        <w:trPr>
          <w:trHeight w:val="276"/>
        </w:trPr>
        <w:tc>
          <w:tcPr>
            <w:tcW w:w="3150" w:type="dxa"/>
            <w:tcBorders>
              <w:top w:val="nil"/>
              <w:left w:val="nil"/>
              <w:bottom w:val="nil"/>
              <w:right w:val="nil"/>
            </w:tcBorders>
            <w:shd w:val="clear" w:color="auto" w:fill="auto"/>
            <w:vAlign w:val="bottom"/>
            <w:hideMark/>
          </w:tcPr>
          <w:p w14:paraId="1BE93843"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5D203522"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(0.0162)</w:t>
            </w:r>
          </w:p>
        </w:tc>
        <w:tc>
          <w:tcPr>
            <w:tcW w:w="1041" w:type="dxa"/>
            <w:tcBorders>
              <w:top w:val="nil"/>
              <w:left w:val="nil"/>
              <w:bottom w:val="nil"/>
              <w:right w:val="nil"/>
            </w:tcBorders>
            <w:shd w:val="clear" w:color="auto" w:fill="auto"/>
            <w:noWrap/>
            <w:vAlign w:val="center"/>
            <w:hideMark/>
          </w:tcPr>
          <w:p w14:paraId="37A34E8A"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(0.0709)</w:t>
            </w:r>
          </w:p>
        </w:tc>
      </w:tr>
      <w:tr w:rsidR="00460880" w:rsidRPr="003A0463" w14:paraId="2F25BA38" w14:textId="77777777" w:rsidTr="00835DC6">
        <w:trPr>
          <w:trHeight w:val="66"/>
        </w:trPr>
        <w:tc>
          <w:tcPr>
            <w:tcW w:w="3150" w:type="dxa"/>
            <w:tcBorders>
              <w:top w:val="nil"/>
              <w:left w:val="nil"/>
              <w:bottom w:val="nil"/>
              <w:right w:val="nil"/>
            </w:tcBorders>
            <w:shd w:val="clear" w:color="auto" w:fill="auto"/>
            <w:vAlign w:val="bottom"/>
            <w:hideMark/>
          </w:tcPr>
          <w:p w14:paraId="62B6E570"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Transfer to Four Year College</w:t>
            </w:r>
          </w:p>
        </w:tc>
        <w:tc>
          <w:tcPr>
            <w:tcW w:w="1189" w:type="dxa"/>
            <w:tcBorders>
              <w:top w:val="nil"/>
              <w:left w:val="nil"/>
              <w:bottom w:val="nil"/>
              <w:right w:val="nil"/>
            </w:tcBorders>
            <w:shd w:val="clear" w:color="auto" w:fill="auto"/>
            <w:noWrap/>
            <w:vAlign w:val="center"/>
            <w:hideMark/>
          </w:tcPr>
          <w:p w14:paraId="1D8CDD92"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-0.112***</w:t>
            </w:r>
          </w:p>
        </w:tc>
        <w:tc>
          <w:tcPr>
            <w:tcW w:w="1041" w:type="dxa"/>
            <w:tcBorders>
              <w:top w:val="nil"/>
              <w:left w:val="nil"/>
              <w:bottom w:val="nil"/>
              <w:right w:val="nil"/>
            </w:tcBorders>
            <w:shd w:val="clear" w:color="auto" w:fill="auto"/>
            <w:noWrap/>
            <w:vAlign w:val="center"/>
            <w:hideMark/>
          </w:tcPr>
          <w:p w14:paraId="401CE263"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-0.185**</w:t>
            </w:r>
          </w:p>
        </w:tc>
      </w:tr>
      <w:tr w:rsidR="00460880" w:rsidRPr="003A0463" w14:paraId="6070F520" w14:textId="77777777" w:rsidTr="00835DC6">
        <w:trPr>
          <w:trHeight w:val="276"/>
        </w:trPr>
        <w:tc>
          <w:tcPr>
            <w:tcW w:w="3150" w:type="dxa"/>
            <w:tcBorders>
              <w:top w:val="nil"/>
              <w:left w:val="nil"/>
              <w:bottom w:val="nil"/>
              <w:right w:val="nil"/>
            </w:tcBorders>
            <w:shd w:val="clear" w:color="auto" w:fill="auto"/>
            <w:vAlign w:val="bottom"/>
            <w:hideMark/>
          </w:tcPr>
          <w:p w14:paraId="5565D068"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3DF90C5C"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(0.0197)</w:t>
            </w:r>
          </w:p>
        </w:tc>
        <w:tc>
          <w:tcPr>
            <w:tcW w:w="1041" w:type="dxa"/>
            <w:tcBorders>
              <w:top w:val="nil"/>
              <w:left w:val="nil"/>
              <w:bottom w:val="nil"/>
              <w:right w:val="nil"/>
            </w:tcBorders>
            <w:shd w:val="clear" w:color="auto" w:fill="auto"/>
            <w:noWrap/>
            <w:vAlign w:val="center"/>
            <w:hideMark/>
          </w:tcPr>
          <w:p w14:paraId="165BF273"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(0.0839)</w:t>
            </w:r>
          </w:p>
        </w:tc>
      </w:tr>
      <w:tr w:rsidR="00460880" w:rsidRPr="003A0463" w14:paraId="4637C908" w14:textId="77777777" w:rsidTr="00835DC6">
        <w:trPr>
          <w:trHeight w:val="66"/>
        </w:trPr>
        <w:tc>
          <w:tcPr>
            <w:tcW w:w="3150" w:type="dxa"/>
            <w:tcBorders>
              <w:top w:val="nil"/>
              <w:left w:val="nil"/>
              <w:bottom w:val="nil"/>
              <w:right w:val="nil"/>
            </w:tcBorders>
            <w:shd w:val="clear" w:color="auto" w:fill="auto"/>
            <w:vAlign w:val="bottom"/>
            <w:hideMark/>
          </w:tcPr>
          <w:p w14:paraId="6878B42C"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Bachelor's Degree</w:t>
            </w:r>
          </w:p>
        </w:tc>
        <w:tc>
          <w:tcPr>
            <w:tcW w:w="1189" w:type="dxa"/>
            <w:tcBorders>
              <w:top w:val="nil"/>
              <w:left w:val="nil"/>
              <w:bottom w:val="nil"/>
              <w:right w:val="nil"/>
            </w:tcBorders>
            <w:shd w:val="clear" w:color="auto" w:fill="auto"/>
            <w:noWrap/>
            <w:vAlign w:val="center"/>
            <w:hideMark/>
          </w:tcPr>
          <w:p w14:paraId="79A4FD3C"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-0.060***</w:t>
            </w:r>
          </w:p>
        </w:tc>
        <w:tc>
          <w:tcPr>
            <w:tcW w:w="1041" w:type="dxa"/>
            <w:tcBorders>
              <w:top w:val="nil"/>
              <w:left w:val="nil"/>
              <w:bottom w:val="nil"/>
              <w:right w:val="nil"/>
            </w:tcBorders>
            <w:shd w:val="clear" w:color="auto" w:fill="auto"/>
            <w:noWrap/>
            <w:vAlign w:val="center"/>
            <w:hideMark/>
          </w:tcPr>
          <w:p w14:paraId="4993CD4C"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-0.0354</w:t>
            </w:r>
          </w:p>
        </w:tc>
      </w:tr>
      <w:tr w:rsidR="00460880" w:rsidRPr="003A0463" w14:paraId="19E92B19" w14:textId="77777777" w:rsidTr="00835DC6">
        <w:trPr>
          <w:trHeight w:val="276"/>
        </w:trPr>
        <w:tc>
          <w:tcPr>
            <w:tcW w:w="3150" w:type="dxa"/>
            <w:tcBorders>
              <w:top w:val="nil"/>
              <w:left w:val="nil"/>
              <w:bottom w:val="nil"/>
              <w:right w:val="nil"/>
            </w:tcBorders>
            <w:shd w:val="clear" w:color="auto" w:fill="auto"/>
            <w:vAlign w:val="bottom"/>
            <w:hideMark/>
          </w:tcPr>
          <w:p w14:paraId="65280B60" w14:textId="77777777" w:rsidR="00460880" w:rsidRPr="003A0463" w:rsidRDefault="00460880" w:rsidP="00835DC6">
            <w:pPr>
              <w:spacing w:after="0" w:line="240" w:lineRule="auto"/>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4C49490D"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(0.0157)</w:t>
            </w:r>
          </w:p>
        </w:tc>
        <w:tc>
          <w:tcPr>
            <w:tcW w:w="1041" w:type="dxa"/>
            <w:tcBorders>
              <w:top w:val="nil"/>
              <w:left w:val="nil"/>
              <w:bottom w:val="nil"/>
              <w:right w:val="nil"/>
            </w:tcBorders>
            <w:shd w:val="clear" w:color="auto" w:fill="auto"/>
            <w:noWrap/>
            <w:vAlign w:val="center"/>
            <w:hideMark/>
          </w:tcPr>
          <w:p w14:paraId="32845622"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(0.0612)</w:t>
            </w:r>
          </w:p>
        </w:tc>
      </w:tr>
      <w:tr w:rsidR="00460880" w:rsidRPr="003A0463" w14:paraId="0DFF289D" w14:textId="77777777" w:rsidTr="00835DC6">
        <w:trPr>
          <w:trHeight w:val="66"/>
        </w:trPr>
        <w:tc>
          <w:tcPr>
            <w:tcW w:w="3150" w:type="dxa"/>
            <w:tcBorders>
              <w:top w:val="nil"/>
              <w:left w:val="nil"/>
              <w:bottom w:val="nil"/>
              <w:right w:val="nil"/>
            </w:tcBorders>
            <w:shd w:val="clear" w:color="auto" w:fill="auto"/>
            <w:vAlign w:val="bottom"/>
            <w:hideMark/>
          </w:tcPr>
          <w:p w14:paraId="21272245" w14:textId="77777777" w:rsidR="00460880" w:rsidRPr="003A0463" w:rsidRDefault="00460880" w:rsidP="00835DC6">
            <w:pPr>
              <w:spacing w:after="0" w:line="240" w:lineRule="auto"/>
              <w:rPr>
                <w:rFonts w:ascii="Times New Roman" w:eastAsia="Times New Roman" w:hAnsi="Times New Roman" w:cs="Times New Roman"/>
                <w:color w:val="000000"/>
              </w:rPr>
            </w:pPr>
            <w:r w:rsidRPr="003A0463">
              <w:rPr>
                <w:rFonts w:ascii="Times New Roman" w:eastAsia="Times New Roman" w:hAnsi="Times New Roman" w:cs="Times New Roman"/>
                <w:color w:val="000000"/>
              </w:rPr>
              <w:t>Bachelor's Degree in 5 Years</w:t>
            </w:r>
          </w:p>
        </w:tc>
        <w:tc>
          <w:tcPr>
            <w:tcW w:w="1189" w:type="dxa"/>
            <w:tcBorders>
              <w:top w:val="nil"/>
              <w:left w:val="nil"/>
              <w:bottom w:val="nil"/>
              <w:right w:val="nil"/>
            </w:tcBorders>
            <w:shd w:val="clear" w:color="auto" w:fill="auto"/>
            <w:noWrap/>
            <w:vAlign w:val="center"/>
            <w:hideMark/>
          </w:tcPr>
          <w:p w14:paraId="755A6FC7"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0.0222**</w:t>
            </w:r>
          </w:p>
        </w:tc>
        <w:tc>
          <w:tcPr>
            <w:tcW w:w="1041" w:type="dxa"/>
            <w:tcBorders>
              <w:top w:val="nil"/>
              <w:left w:val="nil"/>
              <w:bottom w:val="nil"/>
              <w:right w:val="nil"/>
            </w:tcBorders>
            <w:shd w:val="clear" w:color="auto" w:fill="auto"/>
            <w:noWrap/>
            <w:vAlign w:val="center"/>
            <w:hideMark/>
          </w:tcPr>
          <w:p w14:paraId="297F26C5"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0.0741*</w:t>
            </w:r>
          </w:p>
        </w:tc>
      </w:tr>
      <w:tr w:rsidR="00460880" w:rsidRPr="003A0463" w14:paraId="31B760FD" w14:textId="77777777" w:rsidTr="00835DC6">
        <w:trPr>
          <w:trHeight w:val="276"/>
        </w:trPr>
        <w:tc>
          <w:tcPr>
            <w:tcW w:w="3150" w:type="dxa"/>
            <w:tcBorders>
              <w:top w:val="nil"/>
              <w:left w:val="nil"/>
              <w:bottom w:val="nil"/>
              <w:right w:val="nil"/>
            </w:tcBorders>
            <w:shd w:val="clear" w:color="auto" w:fill="auto"/>
            <w:vAlign w:val="bottom"/>
            <w:hideMark/>
          </w:tcPr>
          <w:p w14:paraId="10C5C8BC" w14:textId="77777777" w:rsidR="00460880" w:rsidRPr="003A0463" w:rsidRDefault="00460880" w:rsidP="00835DC6">
            <w:pPr>
              <w:spacing w:after="0" w:line="240" w:lineRule="auto"/>
              <w:jc w:val="center"/>
              <w:rPr>
                <w:rFonts w:ascii="Times New Roman" w:eastAsia="Times New Roman" w:hAnsi="Times New Roman" w:cs="Times New Roman"/>
                <w:color w:val="000000"/>
              </w:rPr>
            </w:pPr>
          </w:p>
        </w:tc>
        <w:tc>
          <w:tcPr>
            <w:tcW w:w="1189" w:type="dxa"/>
            <w:tcBorders>
              <w:top w:val="nil"/>
              <w:left w:val="nil"/>
              <w:bottom w:val="nil"/>
              <w:right w:val="nil"/>
            </w:tcBorders>
            <w:shd w:val="clear" w:color="auto" w:fill="auto"/>
            <w:noWrap/>
            <w:vAlign w:val="center"/>
            <w:hideMark/>
          </w:tcPr>
          <w:p w14:paraId="0EB28288"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(0.00982)</w:t>
            </w:r>
          </w:p>
        </w:tc>
        <w:tc>
          <w:tcPr>
            <w:tcW w:w="1041" w:type="dxa"/>
            <w:tcBorders>
              <w:top w:val="nil"/>
              <w:left w:val="nil"/>
              <w:bottom w:val="nil"/>
              <w:right w:val="nil"/>
            </w:tcBorders>
            <w:shd w:val="clear" w:color="auto" w:fill="auto"/>
            <w:noWrap/>
            <w:vAlign w:val="center"/>
            <w:hideMark/>
          </w:tcPr>
          <w:p w14:paraId="714651A7"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(0.0381)</w:t>
            </w:r>
          </w:p>
        </w:tc>
      </w:tr>
      <w:tr w:rsidR="00460880" w:rsidRPr="003A0463" w14:paraId="5710EFF9" w14:textId="77777777" w:rsidTr="00835DC6">
        <w:trPr>
          <w:trHeight w:val="288"/>
        </w:trPr>
        <w:tc>
          <w:tcPr>
            <w:tcW w:w="3150" w:type="dxa"/>
            <w:tcBorders>
              <w:top w:val="nil"/>
              <w:left w:val="nil"/>
              <w:bottom w:val="single" w:sz="8" w:space="0" w:color="auto"/>
              <w:right w:val="nil"/>
            </w:tcBorders>
            <w:shd w:val="clear" w:color="auto" w:fill="auto"/>
            <w:vAlign w:val="bottom"/>
            <w:hideMark/>
          </w:tcPr>
          <w:p w14:paraId="6310A459"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N</w:t>
            </w:r>
          </w:p>
        </w:tc>
        <w:tc>
          <w:tcPr>
            <w:tcW w:w="1189" w:type="dxa"/>
            <w:tcBorders>
              <w:top w:val="nil"/>
              <w:left w:val="nil"/>
              <w:bottom w:val="single" w:sz="8" w:space="0" w:color="auto"/>
              <w:right w:val="nil"/>
            </w:tcBorders>
            <w:shd w:val="clear" w:color="auto" w:fill="auto"/>
            <w:noWrap/>
            <w:vAlign w:val="center"/>
            <w:hideMark/>
          </w:tcPr>
          <w:p w14:paraId="107DCD64" w14:textId="77777777" w:rsidR="00460880" w:rsidRPr="003A0463" w:rsidRDefault="00460880" w:rsidP="00835DC6">
            <w:pPr>
              <w:spacing w:after="0" w:line="240" w:lineRule="auto"/>
              <w:jc w:val="center"/>
              <w:rPr>
                <w:rFonts w:ascii="Times New Roman" w:eastAsia="Times New Roman" w:hAnsi="Times New Roman" w:cs="Times New Roman"/>
                <w:color w:val="000000"/>
              </w:rPr>
            </w:pPr>
            <w:r w:rsidRPr="003A0463">
              <w:rPr>
                <w:rFonts w:ascii="Times New Roman" w:eastAsia="Times New Roman" w:hAnsi="Times New Roman" w:cs="Times New Roman"/>
                <w:color w:val="000000"/>
              </w:rPr>
              <w:t>9,605</w:t>
            </w:r>
          </w:p>
        </w:tc>
        <w:tc>
          <w:tcPr>
            <w:tcW w:w="1041" w:type="dxa"/>
            <w:tcBorders>
              <w:top w:val="nil"/>
              <w:left w:val="nil"/>
              <w:bottom w:val="single" w:sz="8" w:space="0" w:color="auto"/>
              <w:right w:val="nil"/>
            </w:tcBorders>
            <w:shd w:val="clear" w:color="auto" w:fill="auto"/>
            <w:noWrap/>
            <w:vAlign w:val="center"/>
            <w:hideMark/>
          </w:tcPr>
          <w:p w14:paraId="453D2DC0" w14:textId="77777777" w:rsidR="00460880" w:rsidRPr="00FD403C" w:rsidRDefault="00460880" w:rsidP="00835DC6">
            <w:pPr>
              <w:spacing w:after="0" w:line="240" w:lineRule="auto"/>
              <w:jc w:val="center"/>
              <w:rPr>
                <w:rFonts w:ascii="Times New Roman" w:eastAsia="Times New Roman" w:hAnsi="Times New Roman" w:cs="Times New Roman"/>
                <w:color w:val="000000"/>
              </w:rPr>
            </w:pPr>
            <w:r w:rsidRPr="00FD403C">
              <w:rPr>
                <w:rFonts w:ascii="Times New Roman" w:eastAsia="Times New Roman" w:hAnsi="Times New Roman" w:cs="Times New Roman"/>
                <w:color w:val="000000"/>
              </w:rPr>
              <w:t>9,605</w:t>
            </w:r>
          </w:p>
        </w:tc>
      </w:tr>
    </w:tbl>
    <w:p w14:paraId="00D99348" w14:textId="77777777" w:rsidR="00460880" w:rsidRPr="00460880" w:rsidRDefault="00460880" w:rsidP="00460880">
      <w:pPr>
        <w:spacing w:after="0" w:line="240" w:lineRule="auto"/>
        <w:rPr>
          <w:rFonts w:ascii="Times New Roman" w:hAnsi="Times New Roman" w:cs="Times New Roman"/>
          <w:sz w:val="20"/>
          <w:szCs w:val="24"/>
        </w:rPr>
      </w:pPr>
      <w:r w:rsidRPr="00460880">
        <w:rPr>
          <w:rFonts w:ascii="Times New Roman" w:hAnsi="Times New Roman" w:cs="Times New Roman"/>
          <w:sz w:val="20"/>
          <w:szCs w:val="24"/>
        </w:rPr>
        <w:t xml:space="preserve">Note: All models include high school fixed effects and controls </w:t>
      </w:r>
    </w:p>
    <w:p w14:paraId="35F3E382" w14:textId="77777777" w:rsidR="00460880" w:rsidRPr="00460880" w:rsidRDefault="00460880" w:rsidP="00460880">
      <w:pPr>
        <w:spacing w:after="0" w:line="240" w:lineRule="auto"/>
        <w:rPr>
          <w:rFonts w:ascii="Times New Roman" w:hAnsi="Times New Roman" w:cs="Times New Roman"/>
          <w:sz w:val="20"/>
          <w:szCs w:val="24"/>
        </w:rPr>
      </w:pPr>
      <w:r w:rsidRPr="00460880">
        <w:rPr>
          <w:rFonts w:ascii="Times New Roman" w:hAnsi="Times New Roman" w:cs="Times New Roman"/>
          <w:sz w:val="20"/>
          <w:szCs w:val="24"/>
        </w:rPr>
        <w:t xml:space="preserve">for race/ethnicity, age, gender and pell. Robust standard errors </w:t>
      </w:r>
    </w:p>
    <w:p w14:paraId="1553438B" w14:textId="686BCE76" w:rsidR="00460880" w:rsidRPr="00460880" w:rsidRDefault="00460880" w:rsidP="00460880">
      <w:pPr>
        <w:spacing w:after="0" w:line="240" w:lineRule="auto"/>
        <w:rPr>
          <w:rFonts w:ascii="Times New Roman" w:hAnsi="Times New Roman" w:cs="Times New Roman"/>
          <w:sz w:val="20"/>
          <w:szCs w:val="24"/>
        </w:rPr>
      </w:pPr>
      <w:r w:rsidRPr="00460880">
        <w:rPr>
          <w:rFonts w:ascii="Times New Roman" w:hAnsi="Times New Roman" w:cs="Times New Roman"/>
          <w:sz w:val="20"/>
          <w:szCs w:val="24"/>
        </w:rPr>
        <w:t>in parentheses *** p&lt;0.01, ** p&lt;0.05, * p&lt;0.1</w:t>
      </w:r>
    </w:p>
    <w:p w14:paraId="1FE26C51" w14:textId="26F38F39"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Table </w:t>
      </w:r>
      <w:r w:rsidR="00C21646">
        <w:rPr>
          <w:rFonts w:ascii="Times New Roman" w:hAnsi="Times New Roman" w:cs="Times New Roman"/>
          <w:sz w:val="24"/>
          <w:szCs w:val="24"/>
        </w:rPr>
        <w:t>5-10</w:t>
      </w:r>
      <w:r w:rsidRPr="00E633D8">
        <w:rPr>
          <w:rFonts w:ascii="Times New Roman" w:hAnsi="Times New Roman" w:cs="Times New Roman"/>
          <w:sz w:val="24"/>
          <w:szCs w:val="24"/>
        </w:rPr>
        <w:t xml:space="preserve"> presents both the reduced form estimates and the 2SLS results in which post is utilized as an instrument for Tulsa Achieves receipt. These results reveal that Tulsa Achieves recipients earned 4.4 additional credits in the first year enrolled and 10.6 additional credits by the third year of enrollment. Tulsa Achieves recipients also had significantly higher retention rates, enrolling in almost two more semesters than their peers. Moreover, Tulsa Achieves recipients were significantly more likely to reach key achievement thresholds—they were 11.8 percentage points more likely to earn 63 credits by year three, and 7.4 percentage points more likely to obtain a bachelor’s degree within five years. On the other hand, Tulsa Achieves recipients were also 18.5 percentage points less likely to transfer to a four-year college. These results mirror the findings in the main difference-in-differences analysis and also suggest that the set of eligible </w:t>
      </w:r>
      <w:r w:rsidRPr="00E633D8">
        <w:rPr>
          <w:rFonts w:ascii="Times New Roman" w:hAnsi="Times New Roman" w:cs="Times New Roman"/>
          <w:sz w:val="24"/>
          <w:szCs w:val="24"/>
        </w:rPr>
        <w:lastRenderedPageBreak/>
        <w:t>students is likely systematically different from the students that end up being Tulsa Achieves recipients. Empirically, these differences between the 9,303 recipients and the 6,105 eligible non-recipients are easily evident in the estimated family contribution (EFC). Students who are recipients of Tulsa Achieves in this sample have an average EFC of $14,222 while the non-recipients have an average EFC of $4,423.</w:t>
      </w:r>
      <w:r w:rsidRPr="00E3535F">
        <w:rPr>
          <w:rStyle w:val="FootnoteReference"/>
        </w:rPr>
        <w:footnoteReference w:id="38"/>
      </w:r>
      <w:r w:rsidRPr="00E633D8">
        <w:rPr>
          <w:rFonts w:ascii="Times New Roman" w:hAnsi="Times New Roman" w:cs="Times New Roman"/>
          <w:sz w:val="24"/>
          <w:szCs w:val="24"/>
        </w:rPr>
        <w:t xml:space="preserve"> Therefore, this comparison may be revealing differences not in the effects of the Tulsa Achieves program and instead the gap in student success among low-income and higher-income students. This analysis, as a result, shows that Tulsa Achieves recipients are higher performing than their eligible non-recipient peers. However, this should not be extrapolated as the causal effect of the program due to the systematic differences in the treated and control groups.  </w:t>
      </w:r>
    </w:p>
    <w:p w14:paraId="4C6222C9" w14:textId="77777777" w:rsidR="00063F17" w:rsidRPr="00E633D8" w:rsidRDefault="00063F17" w:rsidP="00063F17">
      <w:pPr>
        <w:spacing w:line="480" w:lineRule="auto"/>
        <w:rPr>
          <w:rFonts w:ascii="Times New Roman" w:hAnsi="Times New Roman" w:cs="Times New Roman"/>
          <w:b/>
          <w:sz w:val="24"/>
          <w:szCs w:val="24"/>
        </w:rPr>
      </w:pPr>
      <w:r w:rsidRPr="00E633D8">
        <w:rPr>
          <w:rFonts w:ascii="Times New Roman" w:hAnsi="Times New Roman" w:cs="Times New Roman"/>
          <w:b/>
          <w:sz w:val="24"/>
          <w:szCs w:val="24"/>
        </w:rPr>
        <w:t>Discussion and Conclusion</w:t>
      </w:r>
    </w:p>
    <w:p w14:paraId="6BDD5E2C"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Scholarly literature on college promise programs faces a formidable challenge in accumulating evidence on programs that are diverse as they are numerous. So far, the literature has revealed the impacts of a variety of programs—such as the Kalamazoo Promise, the Pittsburgh Promise, the El Dorado Scholarship, and Knox Achieves. These evaluations, for the most part, reveal consistently positive impacts on postsecondary outcomes such as enrollment, persistence, and completion. However, the literature has yet to investigate a common and understudied version of college promise—local, merit-based, narrow programs like Tulsa Achieves.</w:t>
      </w:r>
    </w:p>
    <w:p w14:paraId="2672A011" w14:textId="77777777" w:rsidR="00063F17" w:rsidRPr="00E633D8"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 xml:space="preserve">In this article I leverage a difference-in-differences and regression discontinuity design to reveal the effects of Tulsa Achieves on postsecondary outcomes, based on an administrative </w:t>
      </w:r>
      <w:r w:rsidRPr="00E633D8">
        <w:rPr>
          <w:rFonts w:ascii="Times New Roman" w:hAnsi="Times New Roman" w:cs="Times New Roman"/>
          <w:sz w:val="24"/>
          <w:szCs w:val="24"/>
        </w:rPr>
        <w:lastRenderedPageBreak/>
        <w:t xml:space="preserve">dataset of students attending TCC from 2005-2015. While the results of the regression discontinuity analysis reveal predominantly null findings, with the exception of GPA and transfer to four-year colleges, the difference-in-differences results reveal a number of positive effects along with some negative effects. When I compare students who are eligible for Tulsa Achieves to students that are ineligible because of their high school GPA or county residency, the results reveal a positive impact of Tulsa Achieves on credit accumulation and the probability of earning a bachelor’s degree within five years.  However, this analysis also reveals that in later cohorts students eligible for Tulsa Achieves are less likely to transfer to four-year colleges and graduate from TCC. Therefore, on average, students are less likely to make it to a four-year college, but the students that do transfer are more likely to be successful at obtaining a bachelor’s degree within five years of initial enrollment. Together, these results suggest that students along the eligibility threshold are impacted differently than the wider set of students impacted by the program.  </w:t>
      </w:r>
    </w:p>
    <w:p w14:paraId="16737D2D" w14:textId="77777777" w:rsidR="00063F17" w:rsidRPr="004155E9" w:rsidRDefault="00063F17" w:rsidP="00063F17">
      <w:pPr>
        <w:spacing w:line="480" w:lineRule="auto"/>
        <w:rPr>
          <w:rFonts w:ascii="Times New Roman" w:hAnsi="Times New Roman" w:cs="Times New Roman"/>
          <w:sz w:val="24"/>
          <w:szCs w:val="24"/>
        </w:rPr>
      </w:pPr>
      <w:r w:rsidRPr="00E633D8">
        <w:rPr>
          <w:rFonts w:ascii="Times New Roman" w:hAnsi="Times New Roman" w:cs="Times New Roman"/>
          <w:sz w:val="24"/>
          <w:szCs w:val="24"/>
        </w:rPr>
        <w:tab/>
        <w:t>Future research should investigate whether tuition-free college reduces or widens gaps in educational attainment between the rich and poor and between white students and students of color. The data in this study are subject to multiple limitations that should be built upon in future research. First, the data only include students who attend Tulsa Community College, instead of the entire population of potentially eligible students from Tulsa County high schools. Therefore, students who do not attend college at all, or students who choose to attend a university other than TCC are not included in the dataset. However, the inability to capture students who did not attend college or attended another college is less problematic given that the outcomes of interest are GPA, credit accumulation, retention, and degree completion. Second, the data acquired from the National Student Clearinghouse captures students transferring to four-year colleges, not other</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two-year or technical colleges. This means that students may be continuing on and transferring to other two-year colleges and obtaining their associate’s degree at those institutions, but I cannot observe these students’ graduation based on the data provided. Future research would do well to consider not only transfer to four-year universities but also transfer to other community colleges. </w:t>
      </w:r>
    </w:p>
    <w:p w14:paraId="6795E862" w14:textId="77777777" w:rsidR="00063F17" w:rsidRDefault="00063F17" w:rsidP="00063F17">
      <w:pPr>
        <w:rPr>
          <w:rFonts w:ascii="Times New Roman" w:hAnsi="Times New Roman" w:cs="Times New Roman"/>
          <w:b/>
          <w:sz w:val="24"/>
          <w:szCs w:val="24"/>
        </w:rPr>
      </w:pPr>
      <w:r>
        <w:rPr>
          <w:rFonts w:ascii="Times New Roman" w:hAnsi="Times New Roman" w:cs="Times New Roman"/>
          <w:b/>
          <w:sz w:val="24"/>
          <w:szCs w:val="24"/>
        </w:rPr>
        <w:br w:type="page"/>
      </w:r>
    </w:p>
    <w:p w14:paraId="0766C28A" w14:textId="57014F80" w:rsidR="00063F17" w:rsidRDefault="00063F17" w:rsidP="00063F17">
      <w:pPr>
        <w:spacing w:after="0" w:line="240" w:lineRule="auto"/>
        <w:rPr>
          <w:rFonts w:ascii="Times New Roman" w:eastAsia="Times New Roman" w:hAnsi="Times New Roman" w:cs="Times New Roman"/>
          <w:color w:val="000000"/>
        </w:rPr>
        <w:sectPr w:rsidR="00063F17" w:rsidSect="00A922CE">
          <w:headerReference w:type="even" r:id="rId93"/>
          <w:headerReference w:type="default" r:id="rId94"/>
          <w:headerReference w:type="first" r:id="rId95"/>
          <w:pgSz w:w="12240" w:h="15840"/>
          <w:pgMar w:top="1440" w:right="1440" w:bottom="1440" w:left="1440" w:header="720" w:footer="720" w:gutter="0"/>
          <w:cols w:space="720"/>
          <w:docGrid w:linePitch="360"/>
        </w:sectPr>
      </w:pPr>
    </w:p>
    <w:p w14:paraId="0C41D791" w14:textId="4182856B" w:rsidR="00063F17" w:rsidRPr="00C14172" w:rsidRDefault="00063F17" w:rsidP="00063F17">
      <w:pPr>
        <w:jc w:val="center"/>
        <w:rPr>
          <w:rFonts w:ascii="Times New Roman" w:hAnsi="Times New Roman" w:cs="Times New Roman"/>
          <w:b/>
          <w:sz w:val="24"/>
          <w:szCs w:val="24"/>
        </w:rPr>
      </w:pPr>
      <w:r w:rsidRPr="00C14172">
        <w:rPr>
          <w:rFonts w:ascii="Times New Roman" w:hAnsi="Times New Roman" w:cs="Times New Roman"/>
          <w:b/>
          <w:sz w:val="24"/>
          <w:szCs w:val="24"/>
        </w:rPr>
        <w:lastRenderedPageBreak/>
        <w:t>Appendix A</w:t>
      </w:r>
    </w:p>
    <w:p w14:paraId="54F78854" w14:textId="28ABE0E7" w:rsidR="00063F17" w:rsidRPr="00C14172" w:rsidRDefault="00063F17" w:rsidP="00063F17">
      <w:pPr>
        <w:rPr>
          <w:rFonts w:ascii="Times New Roman" w:hAnsi="Times New Roman" w:cs="Times New Roman"/>
          <w:sz w:val="24"/>
          <w:szCs w:val="24"/>
        </w:rPr>
      </w:pPr>
      <w:r w:rsidRPr="00190C11">
        <w:rPr>
          <w:rFonts w:ascii="Times New Roman" w:hAnsi="Times New Roman" w:cs="Times New Roman"/>
          <w:b/>
          <w:sz w:val="24"/>
          <w:szCs w:val="24"/>
        </w:rPr>
        <w:t xml:space="preserve">Figure </w:t>
      </w:r>
      <w:r w:rsidR="00C21646">
        <w:rPr>
          <w:rFonts w:ascii="Times New Roman" w:hAnsi="Times New Roman" w:cs="Times New Roman"/>
          <w:b/>
          <w:sz w:val="24"/>
          <w:szCs w:val="24"/>
        </w:rPr>
        <w:t>5-</w:t>
      </w:r>
      <w:r w:rsidRPr="00190C11">
        <w:rPr>
          <w:rFonts w:ascii="Times New Roman" w:hAnsi="Times New Roman" w:cs="Times New Roman"/>
          <w:b/>
          <w:sz w:val="24"/>
          <w:szCs w:val="24"/>
        </w:rPr>
        <w:t>A1.</w:t>
      </w:r>
      <w:r w:rsidRPr="00C14172">
        <w:rPr>
          <w:rFonts w:ascii="Times New Roman" w:hAnsi="Times New Roman" w:cs="Times New Roman"/>
          <w:sz w:val="24"/>
          <w:szCs w:val="24"/>
        </w:rPr>
        <w:t xml:space="preserve"> Observable Characteristics near the Threshold</w:t>
      </w:r>
    </w:p>
    <w:p w14:paraId="3735D043" w14:textId="6A5F72A6" w:rsidR="00063F17" w:rsidRDefault="00284C07" w:rsidP="00063F17">
      <w:pPr>
        <w:spacing w:after="0" w:line="240" w:lineRule="auto"/>
      </w:pPr>
      <w:r>
        <w:rPr>
          <w:noProof/>
        </w:rPr>
        <w:drawing>
          <wp:anchor distT="0" distB="0" distL="114300" distR="114300" simplePos="0" relativeHeight="251743232" behindDoc="1" locked="0" layoutInCell="1" allowOverlap="1" wp14:anchorId="33B56A78" wp14:editId="52D88893">
            <wp:simplePos x="0" y="0"/>
            <wp:positionH relativeFrom="column">
              <wp:posOffset>2708910</wp:posOffset>
            </wp:positionH>
            <wp:positionV relativeFrom="paragraph">
              <wp:posOffset>7620</wp:posOffset>
            </wp:positionV>
            <wp:extent cx="2743200" cy="1828800"/>
            <wp:effectExtent l="0" t="0" r="0" b="0"/>
            <wp:wrapTight wrapText="bothSides">
              <wp:wrapPolygon edited="0">
                <wp:start x="0" y="0"/>
                <wp:lineTo x="0" y="21375"/>
                <wp:lineTo x="21450" y="21375"/>
                <wp:lineTo x="21450"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3F17" w:rsidRPr="00E86A24">
        <w:t xml:space="preserve"> </w:t>
      </w:r>
      <w:r w:rsidR="00063F17">
        <w:rPr>
          <w:noProof/>
        </w:rPr>
        <w:drawing>
          <wp:anchor distT="0" distB="0" distL="114300" distR="114300" simplePos="0" relativeHeight="251740160" behindDoc="1" locked="0" layoutInCell="1" allowOverlap="1" wp14:anchorId="3DCA1BD4" wp14:editId="2386541D">
            <wp:simplePos x="0" y="0"/>
            <wp:positionH relativeFrom="column">
              <wp:posOffset>0</wp:posOffset>
            </wp:positionH>
            <wp:positionV relativeFrom="paragraph">
              <wp:posOffset>369</wp:posOffset>
            </wp:positionV>
            <wp:extent cx="2743200" cy="1828800"/>
            <wp:effectExtent l="0" t="0" r="0" b="0"/>
            <wp:wrapTight wrapText="bothSides">
              <wp:wrapPolygon edited="0">
                <wp:start x="0" y="0"/>
                <wp:lineTo x="0" y="21375"/>
                <wp:lineTo x="21450" y="21375"/>
                <wp:lineTo x="21450"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020E2E" w14:textId="4EC59F41" w:rsidR="00063F17" w:rsidRDefault="00063F17" w:rsidP="00063F17">
      <w:pPr>
        <w:spacing w:after="0" w:line="240" w:lineRule="auto"/>
      </w:pPr>
    </w:p>
    <w:p w14:paraId="0AE6AB7E" w14:textId="1854F551" w:rsidR="00063F17" w:rsidRDefault="00063F17" w:rsidP="00063F17">
      <w:pPr>
        <w:spacing w:after="0" w:line="240" w:lineRule="auto"/>
      </w:pPr>
    </w:p>
    <w:p w14:paraId="4E4DBDC4" w14:textId="58134FA6" w:rsidR="00063F17" w:rsidRDefault="00063F17" w:rsidP="00063F17">
      <w:pPr>
        <w:spacing w:after="0" w:line="240" w:lineRule="auto"/>
      </w:pPr>
    </w:p>
    <w:p w14:paraId="1775DC80" w14:textId="4B4F1D40" w:rsidR="00063F17" w:rsidRDefault="00063F17" w:rsidP="00063F17">
      <w:pPr>
        <w:spacing w:after="0" w:line="240" w:lineRule="auto"/>
      </w:pPr>
    </w:p>
    <w:p w14:paraId="1F98DB3E" w14:textId="620D0C82" w:rsidR="00063F17" w:rsidRDefault="00063F17" w:rsidP="00063F17">
      <w:pPr>
        <w:spacing w:after="0" w:line="240" w:lineRule="auto"/>
      </w:pPr>
    </w:p>
    <w:p w14:paraId="461F8A9A" w14:textId="196C47C5" w:rsidR="00063F17" w:rsidRDefault="00063F17" w:rsidP="00063F17">
      <w:pPr>
        <w:spacing w:after="0" w:line="240" w:lineRule="auto"/>
      </w:pPr>
    </w:p>
    <w:p w14:paraId="43150ECF" w14:textId="77777777" w:rsidR="00063F17" w:rsidRDefault="00063F17" w:rsidP="00063F17">
      <w:pPr>
        <w:spacing w:after="0" w:line="240" w:lineRule="auto"/>
      </w:pPr>
    </w:p>
    <w:p w14:paraId="19E60560" w14:textId="0B0A1768" w:rsidR="00063F17" w:rsidRDefault="00063F17" w:rsidP="00063F17">
      <w:pPr>
        <w:spacing w:after="0" w:line="240" w:lineRule="auto"/>
      </w:pPr>
    </w:p>
    <w:p w14:paraId="2868F61D" w14:textId="6C8A84E2" w:rsidR="00063F17" w:rsidRDefault="00063F17" w:rsidP="00063F17">
      <w:pPr>
        <w:spacing w:after="0" w:line="240" w:lineRule="auto"/>
      </w:pPr>
    </w:p>
    <w:p w14:paraId="5DB67FE3" w14:textId="64DFC207" w:rsidR="00063F17" w:rsidRDefault="00284C07" w:rsidP="00063F17">
      <w:pPr>
        <w:spacing w:after="0" w:line="240" w:lineRule="auto"/>
      </w:pPr>
      <w:r>
        <w:rPr>
          <w:noProof/>
        </w:rPr>
        <w:drawing>
          <wp:anchor distT="0" distB="0" distL="114300" distR="114300" simplePos="0" relativeHeight="251766784" behindDoc="1" locked="0" layoutInCell="1" allowOverlap="1" wp14:anchorId="787AFBF8" wp14:editId="06B4848D">
            <wp:simplePos x="0" y="0"/>
            <wp:positionH relativeFrom="page">
              <wp:posOffset>3680460</wp:posOffset>
            </wp:positionH>
            <wp:positionV relativeFrom="paragraph">
              <wp:posOffset>54610</wp:posOffset>
            </wp:positionV>
            <wp:extent cx="2743200" cy="1828800"/>
            <wp:effectExtent l="0" t="0" r="0" b="0"/>
            <wp:wrapTight wrapText="bothSides">
              <wp:wrapPolygon edited="0">
                <wp:start x="0" y="0"/>
                <wp:lineTo x="0" y="21375"/>
                <wp:lineTo x="21450" y="21375"/>
                <wp:lineTo x="21450" y="0"/>
                <wp:lineTo x="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2208" behindDoc="1" locked="0" layoutInCell="1" allowOverlap="1" wp14:anchorId="161E195C" wp14:editId="59DA5804">
            <wp:simplePos x="0" y="0"/>
            <wp:positionH relativeFrom="margin">
              <wp:posOffset>-7620</wp:posOffset>
            </wp:positionH>
            <wp:positionV relativeFrom="paragraph">
              <wp:posOffset>72390</wp:posOffset>
            </wp:positionV>
            <wp:extent cx="2743200" cy="1828800"/>
            <wp:effectExtent l="0" t="0" r="0" b="0"/>
            <wp:wrapTight wrapText="bothSides">
              <wp:wrapPolygon edited="0">
                <wp:start x="0" y="0"/>
                <wp:lineTo x="0" y="21375"/>
                <wp:lineTo x="21450" y="21375"/>
                <wp:lineTo x="21450" y="0"/>
                <wp:lineTo x="0"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F471E" w14:textId="43E7E419" w:rsidR="00063F17" w:rsidRDefault="00063F17" w:rsidP="00063F17">
      <w:pPr>
        <w:spacing w:after="0" w:line="240" w:lineRule="auto"/>
      </w:pPr>
    </w:p>
    <w:p w14:paraId="31C8301A" w14:textId="0EF36CDF" w:rsidR="00063F17" w:rsidRDefault="00063F17" w:rsidP="00063F17">
      <w:pPr>
        <w:spacing w:after="0" w:line="240" w:lineRule="auto"/>
      </w:pPr>
    </w:p>
    <w:p w14:paraId="67EA25FE" w14:textId="50FDD819" w:rsidR="00063F17" w:rsidRDefault="00063F17" w:rsidP="00063F17">
      <w:pPr>
        <w:spacing w:after="0" w:line="240" w:lineRule="auto"/>
      </w:pPr>
    </w:p>
    <w:p w14:paraId="1CC0653B" w14:textId="0CF0A9A7" w:rsidR="00063F17" w:rsidRDefault="00063F17" w:rsidP="00063F17">
      <w:pPr>
        <w:spacing w:after="0" w:line="240" w:lineRule="auto"/>
      </w:pPr>
    </w:p>
    <w:p w14:paraId="7DD908DF" w14:textId="77777777" w:rsidR="00284C07" w:rsidRDefault="00284C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BF847C0" w14:textId="13D56D91" w:rsidR="00063F17" w:rsidRDefault="00063F17" w:rsidP="00063F1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B: Robustness Analysis for Difference-in-Differences Models</w:t>
      </w:r>
    </w:p>
    <w:p w14:paraId="1EE556E3" w14:textId="354D3041" w:rsidR="00063F17" w:rsidRPr="00C63779" w:rsidRDefault="00063F17" w:rsidP="00063F17">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Table </w:t>
      </w:r>
      <w:r w:rsidR="00C21646">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B1. </w:t>
      </w:r>
      <w:r w:rsidRPr="00C63779">
        <w:rPr>
          <w:rFonts w:ascii="Times New Roman" w:eastAsia="Times New Roman" w:hAnsi="Times New Roman" w:cs="Times New Roman"/>
          <w:bCs/>
          <w:sz w:val="24"/>
          <w:szCs w:val="24"/>
        </w:rPr>
        <w:t>Robustness Check with Out-of-State Students as Comparison Group: Difference-in-Difference Results for the Effect of Tulsa Achieves Eligibility on Student Outcomes (ITT)</w:t>
      </w:r>
    </w:p>
    <w:tbl>
      <w:tblPr>
        <w:tblW w:w="9414" w:type="dxa"/>
        <w:tblLayout w:type="fixed"/>
        <w:tblLook w:val="04A0" w:firstRow="1" w:lastRow="0" w:firstColumn="1" w:lastColumn="0" w:noHBand="0" w:noVBand="1"/>
      </w:tblPr>
      <w:tblGrid>
        <w:gridCol w:w="1380"/>
        <w:gridCol w:w="853"/>
        <w:gridCol w:w="805"/>
        <w:gridCol w:w="699"/>
        <w:gridCol w:w="805"/>
        <w:gridCol w:w="797"/>
        <w:gridCol w:w="811"/>
        <w:gridCol w:w="769"/>
        <w:gridCol w:w="769"/>
        <w:gridCol w:w="838"/>
        <w:gridCol w:w="842"/>
        <w:gridCol w:w="46"/>
      </w:tblGrid>
      <w:tr w:rsidR="00063F17" w:rsidRPr="00835DC6" w14:paraId="7B88BCB8" w14:textId="77777777" w:rsidTr="00284C07">
        <w:trPr>
          <w:gridAfter w:val="1"/>
          <w:wAfter w:w="46" w:type="dxa"/>
          <w:trHeight w:val="682"/>
        </w:trPr>
        <w:tc>
          <w:tcPr>
            <w:tcW w:w="1380" w:type="dxa"/>
            <w:tcBorders>
              <w:top w:val="nil"/>
              <w:left w:val="nil"/>
              <w:bottom w:val="double" w:sz="6" w:space="0" w:color="auto"/>
              <w:right w:val="nil"/>
            </w:tcBorders>
            <w:shd w:val="clear" w:color="auto" w:fill="auto"/>
            <w:noWrap/>
            <w:vAlign w:val="bottom"/>
            <w:hideMark/>
          </w:tcPr>
          <w:p w14:paraId="5F42F68A"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 </w:t>
            </w:r>
          </w:p>
        </w:tc>
        <w:tc>
          <w:tcPr>
            <w:tcW w:w="853" w:type="dxa"/>
            <w:tcBorders>
              <w:top w:val="nil"/>
              <w:left w:val="nil"/>
              <w:bottom w:val="double" w:sz="6" w:space="0" w:color="auto"/>
              <w:right w:val="nil"/>
            </w:tcBorders>
            <w:shd w:val="clear" w:color="auto" w:fill="auto"/>
            <w:vAlign w:val="bottom"/>
            <w:hideMark/>
          </w:tcPr>
          <w:p w14:paraId="26F8EF3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GPA End of Year 1</w:t>
            </w:r>
          </w:p>
        </w:tc>
        <w:tc>
          <w:tcPr>
            <w:tcW w:w="805" w:type="dxa"/>
            <w:tcBorders>
              <w:top w:val="nil"/>
              <w:left w:val="nil"/>
              <w:bottom w:val="double" w:sz="6" w:space="0" w:color="auto"/>
              <w:right w:val="nil"/>
            </w:tcBorders>
            <w:shd w:val="clear" w:color="auto" w:fill="auto"/>
            <w:vAlign w:val="bottom"/>
            <w:hideMark/>
          </w:tcPr>
          <w:p w14:paraId="36FCE33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Credits Earned End of Year 1</w:t>
            </w:r>
          </w:p>
        </w:tc>
        <w:tc>
          <w:tcPr>
            <w:tcW w:w="699" w:type="dxa"/>
            <w:tcBorders>
              <w:top w:val="nil"/>
              <w:left w:val="nil"/>
              <w:bottom w:val="double" w:sz="6" w:space="0" w:color="auto"/>
              <w:right w:val="nil"/>
            </w:tcBorders>
            <w:shd w:val="clear" w:color="auto" w:fill="auto"/>
            <w:vAlign w:val="bottom"/>
            <w:hideMark/>
          </w:tcPr>
          <w:p w14:paraId="1EA5D2E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GPA End of Year 3</w:t>
            </w:r>
          </w:p>
        </w:tc>
        <w:tc>
          <w:tcPr>
            <w:tcW w:w="805" w:type="dxa"/>
            <w:tcBorders>
              <w:top w:val="nil"/>
              <w:left w:val="nil"/>
              <w:bottom w:val="double" w:sz="6" w:space="0" w:color="auto"/>
              <w:right w:val="nil"/>
            </w:tcBorders>
            <w:shd w:val="clear" w:color="auto" w:fill="auto"/>
            <w:vAlign w:val="bottom"/>
            <w:hideMark/>
          </w:tcPr>
          <w:p w14:paraId="5A99CA6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Credits Earned End of Year 3</w:t>
            </w:r>
          </w:p>
        </w:tc>
        <w:tc>
          <w:tcPr>
            <w:tcW w:w="797" w:type="dxa"/>
            <w:tcBorders>
              <w:top w:val="nil"/>
              <w:left w:val="nil"/>
              <w:bottom w:val="double" w:sz="6" w:space="0" w:color="auto"/>
              <w:right w:val="nil"/>
            </w:tcBorders>
            <w:shd w:val="clear" w:color="auto" w:fill="auto"/>
            <w:vAlign w:val="bottom"/>
            <w:hideMark/>
          </w:tcPr>
          <w:p w14:paraId="58F6B85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Semesters Enrolled in 3 Years</w:t>
            </w:r>
          </w:p>
        </w:tc>
        <w:tc>
          <w:tcPr>
            <w:tcW w:w="811" w:type="dxa"/>
            <w:tcBorders>
              <w:top w:val="nil"/>
              <w:left w:val="nil"/>
              <w:bottom w:val="double" w:sz="6" w:space="0" w:color="auto"/>
              <w:right w:val="nil"/>
            </w:tcBorders>
            <w:shd w:val="clear" w:color="auto" w:fill="auto"/>
            <w:vAlign w:val="bottom"/>
            <w:hideMark/>
          </w:tcPr>
          <w:p w14:paraId="0C0BDE0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Had 63 Credits by Year 3</w:t>
            </w:r>
          </w:p>
        </w:tc>
        <w:tc>
          <w:tcPr>
            <w:tcW w:w="769" w:type="dxa"/>
            <w:tcBorders>
              <w:top w:val="nil"/>
              <w:left w:val="nil"/>
              <w:bottom w:val="double" w:sz="6" w:space="0" w:color="auto"/>
              <w:right w:val="nil"/>
            </w:tcBorders>
            <w:shd w:val="clear" w:color="auto" w:fill="auto"/>
            <w:vAlign w:val="bottom"/>
            <w:hideMark/>
          </w:tcPr>
          <w:p w14:paraId="3E51209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Graduate with Credential</w:t>
            </w:r>
          </w:p>
        </w:tc>
        <w:tc>
          <w:tcPr>
            <w:tcW w:w="769" w:type="dxa"/>
            <w:tcBorders>
              <w:top w:val="nil"/>
              <w:left w:val="nil"/>
              <w:bottom w:val="double" w:sz="6" w:space="0" w:color="auto"/>
              <w:right w:val="nil"/>
            </w:tcBorders>
            <w:shd w:val="clear" w:color="auto" w:fill="auto"/>
            <w:vAlign w:val="bottom"/>
            <w:hideMark/>
          </w:tcPr>
          <w:p w14:paraId="495AF76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Transfer to Four Year College</w:t>
            </w:r>
          </w:p>
        </w:tc>
        <w:tc>
          <w:tcPr>
            <w:tcW w:w="838" w:type="dxa"/>
            <w:tcBorders>
              <w:top w:val="nil"/>
              <w:left w:val="nil"/>
              <w:bottom w:val="double" w:sz="6" w:space="0" w:color="auto"/>
              <w:right w:val="nil"/>
            </w:tcBorders>
            <w:shd w:val="clear" w:color="auto" w:fill="auto"/>
            <w:vAlign w:val="bottom"/>
            <w:hideMark/>
          </w:tcPr>
          <w:p w14:paraId="41D0E72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Bachelor's Degree</w:t>
            </w:r>
          </w:p>
        </w:tc>
        <w:tc>
          <w:tcPr>
            <w:tcW w:w="842" w:type="dxa"/>
            <w:tcBorders>
              <w:top w:val="nil"/>
              <w:left w:val="nil"/>
              <w:bottom w:val="double" w:sz="6" w:space="0" w:color="auto"/>
              <w:right w:val="nil"/>
            </w:tcBorders>
            <w:shd w:val="clear" w:color="auto" w:fill="auto"/>
            <w:vAlign w:val="bottom"/>
            <w:hideMark/>
          </w:tcPr>
          <w:p w14:paraId="0640B5B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Bachelor's Degree in 5 Years</w:t>
            </w:r>
          </w:p>
        </w:tc>
      </w:tr>
      <w:tr w:rsidR="00063F17" w:rsidRPr="00835DC6" w14:paraId="7DAD965D" w14:textId="77777777" w:rsidTr="00284C07">
        <w:trPr>
          <w:gridAfter w:val="1"/>
          <w:wAfter w:w="46" w:type="dxa"/>
          <w:trHeight w:val="243"/>
        </w:trPr>
        <w:tc>
          <w:tcPr>
            <w:tcW w:w="1380" w:type="dxa"/>
            <w:tcBorders>
              <w:top w:val="nil"/>
              <w:left w:val="nil"/>
              <w:bottom w:val="nil"/>
              <w:right w:val="nil"/>
            </w:tcBorders>
            <w:shd w:val="clear" w:color="auto" w:fill="auto"/>
            <w:noWrap/>
            <w:vAlign w:val="bottom"/>
            <w:hideMark/>
          </w:tcPr>
          <w:p w14:paraId="47BCCD5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p>
        </w:tc>
        <w:tc>
          <w:tcPr>
            <w:tcW w:w="853" w:type="dxa"/>
            <w:tcBorders>
              <w:top w:val="nil"/>
              <w:left w:val="nil"/>
              <w:bottom w:val="nil"/>
              <w:right w:val="nil"/>
            </w:tcBorders>
            <w:shd w:val="clear" w:color="auto" w:fill="auto"/>
            <w:noWrap/>
            <w:vAlign w:val="bottom"/>
            <w:hideMark/>
          </w:tcPr>
          <w:p w14:paraId="311F3FA1" w14:textId="77777777" w:rsidR="00063F17" w:rsidRPr="00835DC6" w:rsidRDefault="00063F17" w:rsidP="00556CCF">
            <w:pPr>
              <w:spacing w:after="0" w:line="240" w:lineRule="auto"/>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16D8CAF9"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699" w:type="dxa"/>
            <w:tcBorders>
              <w:top w:val="nil"/>
              <w:left w:val="nil"/>
              <w:bottom w:val="nil"/>
              <w:right w:val="nil"/>
            </w:tcBorders>
            <w:shd w:val="clear" w:color="auto" w:fill="auto"/>
            <w:noWrap/>
            <w:vAlign w:val="bottom"/>
            <w:hideMark/>
          </w:tcPr>
          <w:p w14:paraId="15EF70E0"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1DCA009E"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97" w:type="dxa"/>
            <w:tcBorders>
              <w:top w:val="nil"/>
              <w:left w:val="nil"/>
              <w:bottom w:val="nil"/>
              <w:right w:val="nil"/>
            </w:tcBorders>
            <w:shd w:val="clear" w:color="auto" w:fill="auto"/>
            <w:noWrap/>
            <w:vAlign w:val="bottom"/>
            <w:hideMark/>
          </w:tcPr>
          <w:p w14:paraId="69866C90"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11" w:type="dxa"/>
            <w:tcBorders>
              <w:top w:val="nil"/>
              <w:left w:val="nil"/>
              <w:bottom w:val="nil"/>
              <w:right w:val="nil"/>
            </w:tcBorders>
            <w:shd w:val="clear" w:color="auto" w:fill="auto"/>
            <w:noWrap/>
            <w:vAlign w:val="bottom"/>
            <w:hideMark/>
          </w:tcPr>
          <w:p w14:paraId="64FFAEDF"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bottom"/>
            <w:hideMark/>
          </w:tcPr>
          <w:p w14:paraId="3FE483B1"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bottom"/>
            <w:hideMark/>
          </w:tcPr>
          <w:p w14:paraId="3C9CFF9B"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38" w:type="dxa"/>
            <w:tcBorders>
              <w:top w:val="nil"/>
              <w:left w:val="nil"/>
              <w:bottom w:val="nil"/>
              <w:right w:val="nil"/>
            </w:tcBorders>
            <w:shd w:val="clear" w:color="auto" w:fill="auto"/>
            <w:noWrap/>
            <w:vAlign w:val="bottom"/>
            <w:hideMark/>
          </w:tcPr>
          <w:p w14:paraId="6E06C322"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42" w:type="dxa"/>
            <w:tcBorders>
              <w:top w:val="nil"/>
              <w:left w:val="nil"/>
              <w:bottom w:val="nil"/>
              <w:right w:val="nil"/>
            </w:tcBorders>
            <w:shd w:val="clear" w:color="auto" w:fill="auto"/>
            <w:noWrap/>
            <w:vAlign w:val="bottom"/>
            <w:hideMark/>
          </w:tcPr>
          <w:p w14:paraId="1478E9CA"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r>
      <w:tr w:rsidR="00063F17" w:rsidRPr="00835DC6" w14:paraId="7100D3B2" w14:textId="77777777" w:rsidTr="00284C07">
        <w:trPr>
          <w:gridAfter w:val="1"/>
          <w:wAfter w:w="46" w:type="dxa"/>
          <w:trHeight w:val="550"/>
        </w:trPr>
        <w:tc>
          <w:tcPr>
            <w:tcW w:w="1380" w:type="dxa"/>
            <w:tcBorders>
              <w:top w:val="nil"/>
              <w:left w:val="nil"/>
              <w:bottom w:val="nil"/>
              <w:right w:val="nil"/>
            </w:tcBorders>
            <w:shd w:val="clear" w:color="auto" w:fill="auto"/>
            <w:vAlign w:val="bottom"/>
            <w:hideMark/>
          </w:tcPr>
          <w:p w14:paraId="076E5F88"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2005 Cohort*Tulsa Achieves Eligibility</w:t>
            </w:r>
          </w:p>
        </w:tc>
        <w:tc>
          <w:tcPr>
            <w:tcW w:w="853" w:type="dxa"/>
            <w:tcBorders>
              <w:top w:val="nil"/>
              <w:left w:val="nil"/>
              <w:bottom w:val="nil"/>
              <w:right w:val="nil"/>
            </w:tcBorders>
            <w:shd w:val="clear" w:color="auto" w:fill="auto"/>
            <w:noWrap/>
            <w:vAlign w:val="center"/>
            <w:hideMark/>
          </w:tcPr>
          <w:p w14:paraId="30538D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0.0910</w:t>
            </w:r>
          </w:p>
        </w:tc>
        <w:tc>
          <w:tcPr>
            <w:tcW w:w="805" w:type="dxa"/>
            <w:tcBorders>
              <w:top w:val="nil"/>
              <w:left w:val="nil"/>
              <w:bottom w:val="nil"/>
              <w:right w:val="nil"/>
            </w:tcBorders>
            <w:shd w:val="clear" w:color="auto" w:fill="auto"/>
            <w:noWrap/>
            <w:vAlign w:val="center"/>
            <w:hideMark/>
          </w:tcPr>
          <w:p w14:paraId="106F9C5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-0.492</w:t>
            </w:r>
          </w:p>
        </w:tc>
        <w:tc>
          <w:tcPr>
            <w:tcW w:w="699" w:type="dxa"/>
            <w:tcBorders>
              <w:top w:val="nil"/>
              <w:left w:val="nil"/>
              <w:bottom w:val="nil"/>
              <w:right w:val="nil"/>
            </w:tcBorders>
            <w:shd w:val="clear" w:color="auto" w:fill="auto"/>
            <w:noWrap/>
            <w:vAlign w:val="center"/>
            <w:hideMark/>
          </w:tcPr>
          <w:p w14:paraId="24CE663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0.0353</w:t>
            </w:r>
          </w:p>
        </w:tc>
        <w:tc>
          <w:tcPr>
            <w:tcW w:w="805" w:type="dxa"/>
            <w:tcBorders>
              <w:top w:val="nil"/>
              <w:left w:val="nil"/>
              <w:bottom w:val="nil"/>
              <w:right w:val="nil"/>
            </w:tcBorders>
            <w:shd w:val="clear" w:color="auto" w:fill="auto"/>
            <w:noWrap/>
            <w:vAlign w:val="center"/>
            <w:hideMark/>
          </w:tcPr>
          <w:p w14:paraId="1D33277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-2.691</w:t>
            </w:r>
          </w:p>
        </w:tc>
        <w:tc>
          <w:tcPr>
            <w:tcW w:w="797" w:type="dxa"/>
            <w:tcBorders>
              <w:top w:val="nil"/>
              <w:left w:val="nil"/>
              <w:bottom w:val="nil"/>
              <w:right w:val="nil"/>
            </w:tcBorders>
            <w:shd w:val="clear" w:color="auto" w:fill="auto"/>
            <w:noWrap/>
            <w:vAlign w:val="center"/>
            <w:hideMark/>
          </w:tcPr>
          <w:p w14:paraId="4E7CD20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-0.0788</w:t>
            </w:r>
          </w:p>
        </w:tc>
        <w:tc>
          <w:tcPr>
            <w:tcW w:w="811" w:type="dxa"/>
            <w:tcBorders>
              <w:top w:val="nil"/>
              <w:left w:val="nil"/>
              <w:bottom w:val="nil"/>
              <w:right w:val="nil"/>
            </w:tcBorders>
            <w:shd w:val="clear" w:color="auto" w:fill="auto"/>
            <w:noWrap/>
            <w:vAlign w:val="center"/>
            <w:hideMark/>
          </w:tcPr>
          <w:p w14:paraId="2591FDF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-0.0325</w:t>
            </w:r>
          </w:p>
        </w:tc>
        <w:tc>
          <w:tcPr>
            <w:tcW w:w="769" w:type="dxa"/>
            <w:tcBorders>
              <w:top w:val="nil"/>
              <w:left w:val="nil"/>
              <w:bottom w:val="nil"/>
              <w:right w:val="nil"/>
            </w:tcBorders>
            <w:shd w:val="clear" w:color="auto" w:fill="auto"/>
            <w:noWrap/>
            <w:vAlign w:val="center"/>
            <w:hideMark/>
          </w:tcPr>
          <w:p w14:paraId="6CC8684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-0.00660</w:t>
            </w:r>
          </w:p>
        </w:tc>
        <w:tc>
          <w:tcPr>
            <w:tcW w:w="769" w:type="dxa"/>
            <w:tcBorders>
              <w:top w:val="nil"/>
              <w:left w:val="nil"/>
              <w:bottom w:val="nil"/>
              <w:right w:val="nil"/>
            </w:tcBorders>
            <w:shd w:val="clear" w:color="auto" w:fill="auto"/>
            <w:noWrap/>
            <w:vAlign w:val="center"/>
            <w:hideMark/>
          </w:tcPr>
          <w:p w14:paraId="5F56836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0.0136</w:t>
            </w:r>
          </w:p>
        </w:tc>
        <w:tc>
          <w:tcPr>
            <w:tcW w:w="838" w:type="dxa"/>
            <w:tcBorders>
              <w:top w:val="nil"/>
              <w:left w:val="nil"/>
              <w:bottom w:val="nil"/>
              <w:right w:val="nil"/>
            </w:tcBorders>
            <w:shd w:val="clear" w:color="auto" w:fill="auto"/>
            <w:noWrap/>
            <w:vAlign w:val="center"/>
            <w:hideMark/>
          </w:tcPr>
          <w:p w14:paraId="14FBE50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0.0123</w:t>
            </w:r>
          </w:p>
        </w:tc>
        <w:tc>
          <w:tcPr>
            <w:tcW w:w="842" w:type="dxa"/>
            <w:tcBorders>
              <w:top w:val="nil"/>
              <w:left w:val="nil"/>
              <w:bottom w:val="nil"/>
              <w:right w:val="nil"/>
            </w:tcBorders>
            <w:shd w:val="clear" w:color="auto" w:fill="auto"/>
            <w:noWrap/>
            <w:vAlign w:val="center"/>
            <w:hideMark/>
          </w:tcPr>
          <w:p w14:paraId="1E8F0D6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0.0160</w:t>
            </w:r>
          </w:p>
        </w:tc>
      </w:tr>
      <w:tr w:rsidR="00063F17" w:rsidRPr="00835DC6" w14:paraId="1974E38D" w14:textId="77777777" w:rsidTr="00284C07">
        <w:trPr>
          <w:gridAfter w:val="1"/>
          <w:wAfter w:w="46" w:type="dxa"/>
          <w:trHeight w:val="233"/>
        </w:trPr>
        <w:tc>
          <w:tcPr>
            <w:tcW w:w="1380" w:type="dxa"/>
            <w:tcBorders>
              <w:top w:val="nil"/>
              <w:left w:val="nil"/>
              <w:bottom w:val="nil"/>
              <w:right w:val="nil"/>
            </w:tcBorders>
            <w:shd w:val="clear" w:color="auto" w:fill="auto"/>
            <w:vAlign w:val="bottom"/>
            <w:hideMark/>
          </w:tcPr>
          <w:p w14:paraId="47C639D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p>
        </w:tc>
        <w:tc>
          <w:tcPr>
            <w:tcW w:w="853" w:type="dxa"/>
            <w:tcBorders>
              <w:top w:val="nil"/>
              <w:left w:val="nil"/>
              <w:bottom w:val="nil"/>
              <w:right w:val="nil"/>
            </w:tcBorders>
            <w:shd w:val="clear" w:color="auto" w:fill="auto"/>
            <w:noWrap/>
            <w:vAlign w:val="center"/>
            <w:hideMark/>
          </w:tcPr>
          <w:p w14:paraId="1AA6CA3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(0.103)</w:t>
            </w:r>
          </w:p>
        </w:tc>
        <w:tc>
          <w:tcPr>
            <w:tcW w:w="805" w:type="dxa"/>
            <w:tcBorders>
              <w:top w:val="nil"/>
              <w:left w:val="nil"/>
              <w:bottom w:val="nil"/>
              <w:right w:val="nil"/>
            </w:tcBorders>
            <w:shd w:val="clear" w:color="auto" w:fill="auto"/>
            <w:noWrap/>
            <w:vAlign w:val="center"/>
            <w:hideMark/>
          </w:tcPr>
          <w:p w14:paraId="0BA7C41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(0.723)</w:t>
            </w:r>
          </w:p>
        </w:tc>
        <w:tc>
          <w:tcPr>
            <w:tcW w:w="699" w:type="dxa"/>
            <w:tcBorders>
              <w:top w:val="nil"/>
              <w:left w:val="nil"/>
              <w:bottom w:val="nil"/>
              <w:right w:val="nil"/>
            </w:tcBorders>
            <w:shd w:val="clear" w:color="auto" w:fill="auto"/>
            <w:noWrap/>
            <w:vAlign w:val="center"/>
            <w:hideMark/>
          </w:tcPr>
          <w:p w14:paraId="3E1B989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(0.0958)</w:t>
            </w:r>
          </w:p>
        </w:tc>
        <w:tc>
          <w:tcPr>
            <w:tcW w:w="805" w:type="dxa"/>
            <w:tcBorders>
              <w:top w:val="nil"/>
              <w:left w:val="nil"/>
              <w:bottom w:val="nil"/>
              <w:right w:val="nil"/>
            </w:tcBorders>
            <w:shd w:val="clear" w:color="auto" w:fill="auto"/>
            <w:noWrap/>
            <w:vAlign w:val="center"/>
            <w:hideMark/>
          </w:tcPr>
          <w:p w14:paraId="43B92BE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(1.789)</w:t>
            </w:r>
          </w:p>
        </w:tc>
        <w:tc>
          <w:tcPr>
            <w:tcW w:w="797" w:type="dxa"/>
            <w:tcBorders>
              <w:top w:val="nil"/>
              <w:left w:val="nil"/>
              <w:bottom w:val="nil"/>
              <w:right w:val="nil"/>
            </w:tcBorders>
            <w:shd w:val="clear" w:color="auto" w:fill="auto"/>
            <w:noWrap/>
            <w:vAlign w:val="center"/>
            <w:hideMark/>
          </w:tcPr>
          <w:p w14:paraId="31D5F0F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(0.313)</w:t>
            </w:r>
          </w:p>
        </w:tc>
        <w:tc>
          <w:tcPr>
            <w:tcW w:w="811" w:type="dxa"/>
            <w:tcBorders>
              <w:top w:val="nil"/>
              <w:left w:val="nil"/>
              <w:bottom w:val="nil"/>
              <w:right w:val="nil"/>
            </w:tcBorders>
            <w:shd w:val="clear" w:color="auto" w:fill="auto"/>
            <w:noWrap/>
            <w:vAlign w:val="center"/>
            <w:hideMark/>
          </w:tcPr>
          <w:p w14:paraId="778B235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(0.0218)</w:t>
            </w:r>
          </w:p>
        </w:tc>
        <w:tc>
          <w:tcPr>
            <w:tcW w:w="769" w:type="dxa"/>
            <w:tcBorders>
              <w:top w:val="nil"/>
              <w:left w:val="nil"/>
              <w:bottom w:val="nil"/>
              <w:right w:val="nil"/>
            </w:tcBorders>
            <w:shd w:val="clear" w:color="auto" w:fill="auto"/>
            <w:noWrap/>
            <w:vAlign w:val="center"/>
            <w:hideMark/>
          </w:tcPr>
          <w:p w14:paraId="2FD72C4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(0.0389)</w:t>
            </w:r>
          </w:p>
        </w:tc>
        <w:tc>
          <w:tcPr>
            <w:tcW w:w="769" w:type="dxa"/>
            <w:tcBorders>
              <w:top w:val="nil"/>
              <w:left w:val="nil"/>
              <w:bottom w:val="nil"/>
              <w:right w:val="nil"/>
            </w:tcBorders>
            <w:shd w:val="clear" w:color="auto" w:fill="auto"/>
            <w:noWrap/>
            <w:vAlign w:val="center"/>
            <w:hideMark/>
          </w:tcPr>
          <w:p w14:paraId="6CCB574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(0.0430)</w:t>
            </w:r>
          </w:p>
        </w:tc>
        <w:tc>
          <w:tcPr>
            <w:tcW w:w="838" w:type="dxa"/>
            <w:tcBorders>
              <w:top w:val="nil"/>
              <w:left w:val="nil"/>
              <w:bottom w:val="nil"/>
              <w:right w:val="nil"/>
            </w:tcBorders>
            <w:shd w:val="clear" w:color="auto" w:fill="auto"/>
            <w:noWrap/>
            <w:vAlign w:val="center"/>
            <w:hideMark/>
          </w:tcPr>
          <w:p w14:paraId="4FDFCEF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(0.0354)</w:t>
            </w:r>
          </w:p>
        </w:tc>
        <w:tc>
          <w:tcPr>
            <w:tcW w:w="842" w:type="dxa"/>
            <w:tcBorders>
              <w:top w:val="nil"/>
              <w:left w:val="nil"/>
              <w:bottom w:val="nil"/>
              <w:right w:val="nil"/>
            </w:tcBorders>
            <w:shd w:val="clear" w:color="auto" w:fill="auto"/>
            <w:noWrap/>
            <w:vAlign w:val="center"/>
            <w:hideMark/>
          </w:tcPr>
          <w:p w14:paraId="58142FA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(0.0216)</w:t>
            </w:r>
          </w:p>
        </w:tc>
      </w:tr>
      <w:tr w:rsidR="00063F17" w:rsidRPr="00835DC6" w14:paraId="04D73F17" w14:textId="77777777" w:rsidTr="00284C07">
        <w:trPr>
          <w:gridAfter w:val="1"/>
          <w:wAfter w:w="46" w:type="dxa"/>
          <w:trHeight w:val="540"/>
        </w:trPr>
        <w:tc>
          <w:tcPr>
            <w:tcW w:w="1380" w:type="dxa"/>
            <w:tcBorders>
              <w:top w:val="nil"/>
              <w:left w:val="nil"/>
              <w:bottom w:val="nil"/>
              <w:right w:val="nil"/>
            </w:tcBorders>
            <w:shd w:val="clear" w:color="auto" w:fill="auto"/>
            <w:vAlign w:val="bottom"/>
            <w:hideMark/>
          </w:tcPr>
          <w:p w14:paraId="344A4F72"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2006 Cohort*Tulsa Achieves Eligibility</w:t>
            </w:r>
          </w:p>
        </w:tc>
        <w:tc>
          <w:tcPr>
            <w:tcW w:w="853" w:type="dxa"/>
            <w:tcBorders>
              <w:top w:val="nil"/>
              <w:left w:val="nil"/>
              <w:bottom w:val="nil"/>
              <w:right w:val="nil"/>
            </w:tcBorders>
            <w:shd w:val="clear" w:color="auto" w:fill="auto"/>
            <w:noWrap/>
            <w:vAlign w:val="center"/>
            <w:hideMark/>
          </w:tcPr>
          <w:p w14:paraId="21D69D3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805" w:type="dxa"/>
            <w:tcBorders>
              <w:top w:val="nil"/>
              <w:left w:val="nil"/>
              <w:bottom w:val="nil"/>
              <w:right w:val="nil"/>
            </w:tcBorders>
            <w:shd w:val="clear" w:color="auto" w:fill="auto"/>
            <w:noWrap/>
            <w:vAlign w:val="center"/>
            <w:hideMark/>
          </w:tcPr>
          <w:p w14:paraId="415AD1F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699" w:type="dxa"/>
            <w:tcBorders>
              <w:top w:val="nil"/>
              <w:left w:val="nil"/>
              <w:bottom w:val="nil"/>
              <w:right w:val="nil"/>
            </w:tcBorders>
            <w:shd w:val="clear" w:color="auto" w:fill="auto"/>
            <w:noWrap/>
            <w:vAlign w:val="center"/>
            <w:hideMark/>
          </w:tcPr>
          <w:p w14:paraId="5435383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805" w:type="dxa"/>
            <w:tcBorders>
              <w:top w:val="nil"/>
              <w:left w:val="nil"/>
              <w:bottom w:val="nil"/>
              <w:right w:val="nil"/>
            </w:tcBorders>
            <w:shd w:val="clear" w:color="auto" w:fill="auto"/>
            <w:noWrap/>
            <w:vAlign w:val="center"/>
            <w:hideMark/>
          </w:tcPr>
          <w:p w14:paraId="18BB314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797" w:type="dxa"/>
            <w:tcBorders>
              <w:top w:val="nil"/>
              <w:left w:val="nil"/>
              <w:bottom w:val="nil"/>
              <w:right w:val="nil"/>
            </w:tcBorders>
            <w:shd w:val="clear" w:color="auto" w:fill="auto"/>
            <w:noWrap/>
            <w:vAlign w:val="center"/>
            <w:hideMark/>
          </w:tcPr>
          <w:p w14:paraId="605E8F0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811" w:type="dxa"/>
            <w:tcBorders>
              <w:top w:val="nil"/>
              <w:left w:val="nil"/>
              <w:bottom w:val="nil"/>
              <w:right w:val="nil"/>
            </w:tcBorders>
            <w:shd w:val="clear" w:color="auto" w:fill="auto"/>
            <w:noWrap/>
            <w:vAlign w:val="center"/>
            <w:hideMark/>
          </w:tcPr>
          <w:p w14:paraId="26A2647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769" w:type="dxa"/>
            <w:tcBorders>
              <w:top w:val="nil"/>
              <w:left w:val="nil"/>
              <w:bottom w:val="nil"/>
              <w:right w:val="nil"/>
            </w:tcBorders>
            <w:shd w:val="clear" w:color="auto" w:fill="auto"/>
            <w:noWrap/>
            <w:vAlign w:val="center"/>
            <w:hideMark/>
          </w:tcPr>
          <w:p w14:paraId="3EF4663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769" w:type="dxa"/>
            <w:tcBorders>
              <w:top w:val="nil"/>
              <w:left w:val="nil"/>
              <w:bottom w:val="nil"/>
              <w:right w:val="nil"/>
            </w:tcBorders>
            <w:shd w:val="clear" w:color="auto" w:fill="auto"/>
            <w:noWrap/>
            <w:vAlign w:val="center"/>
            <w:hideMark/>
          </w:tcPr>
          <w:p w14:paraId="410349E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838" w:type="dxa"/>
            <w:tcBorders>
              <w:top w:val="nil"/>
              <w:left w:val="nil"/>
              <w:bottom w:val="nil"/>
              <w:right w:val="nil"/>
            </w:tcBorders>
            <w:shd w:val="clear" w:color="auto" w:fill="auto"/>
            <w:noWrap/>
            <w:vAlign w:val="center"/>
            <w:hideMark/>
          </w:tcPr>
          <w:p w14:paraId="363682D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c>
          <w:tcPr>
            <w:tcW w:w="842" w:type="dxa"/>
            <w:tcBorders>
              <w:top w:val="nil"/>
              <w:left w:val="nil"/>
              <w:bottom w:val="nil"/>
              <w:right w:val="nil"/>
            </w:tcBorders>
            <w:shd w:val="clear" w:color="auto" w:fill="auto"/>
            <w:noWrap/>
            <w:vAlign w:val="center"/>
            <w:hideMark/>
          </w:tcPr>
          <w:p w14:paraId="6446A28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OMIT</w:t>
            </w:r>
          </w:p>
        </w:tc>
      </w:tr>
      <w:tr w:rsidR="00063F17" w:rsidRPr="00835DC6" w14:paraId="760BCF69" w14:textId="77777777" w:rsidTr="00284C07">
        <w:trPr>
          <w:gridAfter w:val="1"/>
          <w:wAfter w:w="46" w:type="dxa"/>
          <w:trHeight w:val="233"/>
        </w:trPr>
        <w:tc>
          <w:tcPr>
            <w:tcW w:w="1380" w:type="dxa"/>
            <w:tcBorders>
              <w:top w:val="nil"/>
              <w:left w:val="nil"/>
              <w:bottom w:val="nil"/>
              <w:right w:val="nil"/>
            </w:tcBorders>
            <w:shd w:val="clear" w:color="auto" w:fill="auto"/>
            <w:vAlign w:val="bottom"/>
            <w:hideMark/>
          </w:tcPr>
          <w:p w14:paraId="509C017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p>
        </w:tc>
        <w:tc>
          <w:tcPr>
            <w:tcW w:w="853" w:type="dxa"/>
            <w:tcBorders>
              <w:top w:val="nil"/>
              <w:left w:val="nil"/>
              <w:bottom w:val="nil"/>
              <w:right w:val="nil"/>
            </w:tcBorders>
            <w:shd w:val="clear" w:color="auto" w:fill="auto"/>
            <w:noWrap/>
            <w:vAlign w:val="center"/>
            <w:hideMark/>
          </w:tcPr>
          <w:p w14:paraId="0BF1F1BA" w14:textId="77777777" w:rsidR="00063F17" w:rsidRPr="00835DC6" w:rsidRDefault="00063F17" w:rsidP="00556CCF">
            <w:pPr>
              <w:spacing w:after="0" w:line="240" w:lineRule="auto"/>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center"/>
            <w:hideMark/>
          </w:tcPr>
          <w:p w14:paraId="5BD333D3"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699" w:type="dxa"/>
            <w:tcBorders>
              <w:top w:val="nil"/>
              <w:left w:val="nil"/>
              <w:bottom w:val="nil"/>
              <w:right w:val="nil"/>
            </w:tcBorders>
            <w:shd w:val="clear" w:color="auto" w:fill="auto"/>
            <w:noWrap/>
            <w:vAlign w:val="center"/>
            <w:hideMark/>
          </w:tcPr>
          <w:p w14:paraId="50781BE3"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center"/>
            <w:hideMark/>
          </w:tcPr>
          <w:p w14:paraId="2AD2C56F"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97" w:type="dxa"/>
            <w:tcBorders>
              <w:top w:val="nil"/>
              <w:left w:val="nil"/>
              <w:bottom w:val="nil"/>
              <w:right w:val="nil"/>
            </w:tcBorders>
            <w:shd w:val="clear" w:color="auto" w:fill="auto"/>
            <w:noWrap/>
            <w:vAlign w:val="center"/>
            <w:hideMark/>
          </w:tcPr>
          <w:p w14:paraId="72ECF15D"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11" w:type="dxa"/>
            <w:tcBorders>
              <w:top w:val="nil"/>
              <w:left w:val="nil"/>
              <w:bottom w:val="nil"/>
              <w:right w:val="nil"/>
            </w:tcBorders>
            <w:shd w:val="clear" w:color="auto" w:fill="auto"/>
            <w:noWrap/>
            <w:vAlign w:val="center"/>
            <w:hideMark/>
          </w:tcPr>
          <w:p w14:paraId="06F465EA"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center"/>
            <w:hideMark/>
          </w:tcPr>
          <w:p w14:paraId="68F66F7D"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center"/>
            <w:hideMark/>
          </w:tcPr>
          <w:p w14:paraId="511FF210"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38" w:type="dxa"/>
            <w:tcBorders>
              <w:top w:val="nil"/>
              <w:left w:val="nil"/>
              <w:bottom w:val="nil"/>
              <w:right w:val="nil"/>
            </w:tcBorders>
            <w:shd w:val="clear" w:color="auto" w:fill="auto"/>
            <w:noWrap/>
            <w:vAlign w:val="center"/>
            <w:hideMark/>
          </w:tcPr>
          <w:p w14:paraId="51963FFB"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42" w:type="dxa"/>
            <w:tcBorders>
              <w:top w:val="nil"/>
              <w:left w:val="nil"/>
              <w:bottom w:val="nil"/>
              <w:right w:val="nil"/>
            </w:tcBorders>
            <w:shd w:val="clear" w:color="auto" w:fill="auto"/>
            <w:noWrap/>
            <w:vAlign w:val="center"/>
            <w:hideMark/>
          </w:tcPr>
          <w:p w14:paraId="0C2156CE"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r>
      <w:tr w:rsidR="00063F17" w:rsidRPr="00835DC6" w14:paraId="235D0F75" w14:textId="77777777" w:rsidTr="00284C07">
        <w:trPr>
          <w:gridAfter w:val="1"/>
          <w:wAfter w:w="46" w:type="dxa"/>
          <w:trHeight w:val="489"/>
        </w:trPr>
        <w:tc>
          <w:tcPr>
            <w:tcW w:w="1380" w:type="dxa"/>
            <w:tcBorders>
              <w:top w:val="nil"/>
              <w:left w:val="nil"/>
              <w:bottom w:val="nil"/>
              <w:right w:val="nil"/>
            </w:tcBorders>
            <w:shd w:val="clear" w:color="auto" w:fill="auto"/>
            <w:vAlign w:val="bottom"/>
            <w:hideMark/>
          </w:tcPr>
          <w:p w14:paraId="3E20E049"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Post Cohort*Tulsa Achieves Eligibility</w:t>
            </w:r>
          </w:p>
        </w:tc>
        <w:tc>
          <w:tcPr>
            <w:tcW w:w="853" w:type="dxa"/>
            <w:tcBorders>
              <w:top w:val="nil"/>
              <w:left w:val="nil"/>
              <w:bottom w:val="nil"/>
              <w:right w:val="nil"/>
            </w:tcBorders>
            <w:shd w:val="clear" w:color="auto" w:fill="auto"/>
            <w:noWrap/>
            <w:vAlign w:val="center"/>
            <w:hideMark/>
          </w:tcPr>
          <w:p w14:paraId="0E49352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0.145*</w:t>
            </w:r>
          </w:p>
        </w:tc>
        <w:tc>
          <w:tcPr>
            <w:tcW w:w="805" w:type="dxa"/>
            <w:tcBorders>
              <w:top w:val="nil"/>
              <w:left w:val="nil"/>
              <w:bottom w:val="nil"/>
              <w:right w:val="nil"/>
            </w:tcBorders>
            <w:shd w:val="clear" w:color="auto" w:fill="auto"/>
            <w:noWrap/>
            <w:vAlign w:val="center"/>
            <w:hideMark/>
          </w:tcPr>
          <w:p w14:paraId="2988CA7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0.735</w:t>
            </w:r>
          </w:p>
        </w:tc>
        <w:tc>
          <w:tcPr>
            <w:tcW w:w="699" w:type="dxa"/>
            <w:tcBorders>
              <w:top w:val="nil"/>
              <w:left w:val="nil"/>
              <w:bottom w:val="nil"/>
              <w:right w:val="nil"/>
            </w:tcBorders>
            <w:shd w:val="clear" w:color="auto" w:fill="auto"/>
            <w:noWrap/>
            <w:vAlign w:val="center"/>
            <w:hideMark/>
          </w:tcPr>
          <w:p w14:paraId="7FCC4B5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0.130*</w:t>
            </w:r>
          </w:p>
        </w:tc>
        <w:tc>
          <w:tcPr>
            <w:tcW w:w="805" w:type="dxa"/>
            <w:tcBorders>
              <w:top w:val="nil"/>
              <w:left w:val="nil"/>
              <w:bottom w:val="nil"/>
              <w:right w:val="nil"/>
            </w:tcBorders>
            <w:shd w:val="clear" w:color="auto" w:fill="auto"/>
            <w:noWrap/>
            <w:vAlign w:val="center"/>
            <w:hideMark/>
          </w:tcPr>
          <w:p w14:paraId="5B740C9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1.472</w:t>
            </w:r>
          </w:p>
        </w:tc>
        <w:tc>
          <w:tcPr>
            <w:tcW w:w="797" w:type="dxa"/>
            <w:tcBorders>
              <w:top w:val="nil"/>
              <w:left w:val="nil"/>
              <w:bottom w:val="nil"/>
              <w:right w:val="nil"/>
            </w:tcBorders>
            <w:shd w:val="clear" w:color="auto" w:fill="auto"/>
            <w:noWrap/>
            <w:vAlign w:val="center"/>
            <w:hideMark/>
          </w:tcPr>
          <w:p w14:paraId="0E140CF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0.512**</w:t>
            </w:r>
          </w:p>
        </w:tc>
        <w:tc>
          <w:tcPr>
            <w:tcW w:w="811" w:type="dxa"/>
            <w:tcBorders>
              <w:top w:val="nil"/>
              <w:left w:val="nil"/>
              <w:bottom w:val="nil"/>
              <w:right w:val="nil"/>
            </w:tcBorders>
            <w:shd w:val="clear" w:color="auto" w:fill="auto"/>
            <w:noWrap/>
            <w:vAlign w:val="center"/>
            <w:hideMark/>
          </w:tcPr>
          <w:p w14:paraId="32415EB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-0.00299</w:t>
            </w:r>
          </w:p>
        </w:tc>
        <w:tc>
          <w:tcPr>
            <w:tcW w:w="769" w:type="dxa"/>
            <w:tcBorders>
              <w:top w:val="nil"/>
              <w:left w:val="nil"/>
              <w:bottom w:val="nil"/>
              <w:right w:val="nil"/>
            </w:tcBorders>
            <w:shd w:val="clear" w:color="auto" w:fill="auto"/>
            <w:noWrap/>
            <w:vAlign w:val="center"/>
            <w:hideMark/>
          </w:tcPr>
          <w:p w14:paraId="10DB017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-0.00899</w:t>
            </w:r>
          </w:p>
        </w:tc>
        <w:tc>
          <w:tcPr>
            <w:tcW w:w="769" w:type="dxa"/>
            <w:tcBorders>
              <w:top w:val="nil"/>
              <w:left w:val="nil"/>
              <w:bottom w:val="nil"/>
              <w:right w:val="nil"/>
            </w:tcBorders>
            <w:shd w:val="clear" w:color="auto" w:fill="auto"/>
            <w:noWrap/>
            <w:vAlign w:val="center"/>
            <w:hideMark/>
          </w:tcPr>
          <w:p w14:paraId="3CD44FE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-0.074**</w:t>
            </w:r>
          </w:p>
        </w:tc>
        <w:tc>
          <w:tcPr>
            <w:tcW w:w="838" w:type="dxa"/>
            <w:tcBorders>
              <w:top w:val="nil"/>
              <w:left w:val="nil"/>
              <w:bottom w:val="nil"/>
              <w:right w:val="nil"/>
            </w:tcBorders>
            <w:shd w:val="clear" w:color="auto" w:fill="auto"/>
            <w:noWrap/>
            <w:vAlign w:val="center"/>
            <w:hideMark/>
          </w:tcPr>
          <w:p w14:paraId="38094B2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0.00206</w:t>
            </w:r>
          </w:p>
        </w:tc>
        <w:tc>
          <w:tcPr>
            <w:tcW w:w="842" w:type="dxa"/>
            <w:tcBorders>
              <w:top w:val="nil"/>
              <w:left w:val="nil"/>
              <w:bottom w:val="nil"/>
              <w:right w:val="nil"/>
            </w:tcBorders>
            <w:shd w:val="clear" w:color="auto" w:fill="auto"/>
            <w:noWrap/>
            <w:vAlign w:val="center"/>
            <w:hideMark/>
          </w:tcPr>
          <w:p w14:paraId="5795A80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0.0295**</w:t>
            </w:r>
          </w:p>
        </w:tc>
      </w:tr>
      <w:tr w:rsidR="00063F17" w:rsidRPr="00835DC6" w14:paraId="5C4FD633" w14:textId="77777777" w:rsidTr="00284C07">
        <w:trPr>
          <w:gridAfter w:val="1"/>
          <w:wAfter w:w="46" w:type="dxa"/>
          <w:trHeight w:val="233"/>
        </w:trPr>
        <w:tc>
          <w:tcPr>
            <w:tcW w:w="1380" w:type="dxa"/>
            <w:tcBorders>
              <w:top w:val="nil"/>
              <w:left w:val="nil"/>
              <w:bottom w:val="nil"/>
              <w:right w:val="nil"/>
            </w:tcBorders>
            <w:shd w:val="clear" w:color="auto" w:fill="auto"/>
            <w:noWrap/>
            <w:vAlign w:val="bottom"/>
            <w:hideMark/>
          </w:tcPr>
          <w:p w14:paraId="4426C45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p>
        </w:tc>
        <w:tc>
          <w:tcPr>
            <w:tcW w:w="853" w:type="dxa"/>
            <w:tcBorders>
              <w:top w:val="nil"/>
              <w:left w:val="nil"/>
              <w:bottom w:val="nil"/>
              <w:right w:val="nil"/>
            </w:tcBorders>
            <w:shd w:val="clear" w:color="auto" w:fill="auto"/>
            <w:noWrap/>
            <w:vAlign w:val="center"/>
            <w:hideMark/>
          </w:tcPr>
          <w:p w14:paraId="1E46E00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(0.0743)</w:t>
            </w:r>
          </w:p>
        </w:tc>
        <w:tc>
          <w:tcPr>
            <w:tcW w:w="805" w:type="dxa"/>
            <w:tcBorders>
              <w:top w:val="nil"/>
              <w:left w:val="nil"/>
              <w:bottom w:val="nil"/>
              <w:right w:val="nil"/>
            </w:tcBorders>
            <w:shd w:val="clear" w:color="auto" w:fill="auto"/>
            <w:noWrap/>
            <w:vAlign w:val="center"/>
            <w:hideMark/>
          </w:tcPr>
          <w:p w14:paraId="200C21C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(0.542)</w:t>
            </w:r>
          </w:p>
        </w:tc>
        <w:tc>
          <w:tcPr>
            <w:tcW w:w="699" w:type="dxa"/>
            <w:tcBorders>
              <w:top w:val="nil"/>
              <w:left w:val="nil"/>
              <w:bottom w:val="nil"/>
              <w:right w:val="nil"/>
            </w:tcBorders>
            <w:shd w:val="clear" w:color="auto" w:fill="auto"/>
            <w:noWrap/>
            <w:vAlign w:val="center"/>
            <w:hideMark/>
          </w:tcPr>
          <w:p w14:paraId="0C79084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(0.0682)</w:t>
            </w:r>
          </w:p>
        </w:tc>
        <w:tc>
          <w:tcPr>
            <w:tcW w:w="805" w:type="dxa"/>
            <w:tcBorders>
              <w:top w:val="nil"/>
              <w:left w:val="nil"/>
              <w:bottom w:val="nil"/>
              <w:right w:val="nil"/>
            </w:tcBorders>
            <w:shd w:val="clear" w:color="auto" w:fill="auto"/>
            <w:noWrap/>
            <w:vAlign w:val="center"/>
            <w:hideMark/>
          </w:tcPr>
          <w:p w14:paraId="1A3FEAC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(1.296)</w:t>
            </w:r>
          </w:p>
        </w:tc>
        <w:tc>
          <w:tcPr>
            <w:tcW w:w="797" w:type="dxa"/>
            <w:tcBorders>
              <w:top w:val="nil"/>
              <w:left w:val="nil"/>
              <w:bottom w:val="nil"/>
              <w:right w:val="nil"/>
            </w:tcBorders>
            <w:shd w:val="clear" w:color="auto" w:fill="auto"/>
            <w:noWrap/>
            <w:vAlign w:val="center"/>
            <w:hideMark/>
          </w:tcPr>
          <w:p w14:paraId="211EC3B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(0.218)</w:t>
            </w:r>
          </w:p>
        </w:tc>
        <w:tc>
          <w:tcPr>
            <w:tcW w:w="811" w:type="dxa"/>
            <w:tcBorders>
              <w:top w:val="nil"/>
              <w:left w:val="nil"/>
              <w:bottom w:val="nil"/>
              <w:right w:val="nil"/>
            </w:tcBorders>
            <w:shd w:val="clear" w:color="auto" w:fill="auto"/>
            <w:noWrap/>
            <w:vAlign w:val="center"/>
            <w:hideMark/>
          </w:tcPr>
          <w:p w14:paraId="3446FAC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(0.0162)</w:t>
            </w:r>
          </w:p>
        </w:tc>
        <w:tc>
          <w:tcPr>
            <w:tcW w:w="769" w:type="dxa"/>
            <w:tcBorders>
              <w:top w:val="nil"/>
              <w:left w:val="nil"/>
              <w:bottom w:val="nil"/>
              <w:right w:val="nil"/>
            </w:tcBorders>
            <w:shd w:val="clear" w:color="auto" w:fill="auto"/>
            <w:noWrap/>
            <w:vAlign w:val="center"/>
            <w:hideMark/>
          </w:tcPr>
          <w:p w14:paraId="220F801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(0.0266)</w:t>
            </w:r>
          </w:p>
        </w:tc>
        <w:tc>
          <w:tcPr>
            <w:tcW w:w="769" w:type="dxa"/>
            <w:tcBorders>
              <w:top w:val="nil"/>
              <w:left w:val="nil"/>
              <w:bottom w:val="nil"/>
              <w:right w:val="nil"/>
            </w:tcBorders>
            <w:shd w:val="clear" w:color="auto" w:fill="auto"/>
            <w:noWrap/>
            <w:vAlign w:val="center"/>
            <w:hideMark/>
          </w:tcPr>
          <w:p w14:paraId="47B16CA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(0.0302)</w:t>
            </w:r>
          </w:p>
        </w:tc>
        <w:tc>
          <w:tcPr>
            <w:tcW w:w="838" w:type="dxa"/>
            <w:tcBorders>
              <w:top w:val="nil"/>
              <w:left w:val="nil"/>
              <w:bottom w:val="nil"/>
              <w:right w:val="nil"/>
            </w:tcBorders>
            <w:shd w:val="clear" w:color="auto" w:fill="auto"/>
            <w:noWrap/>
            <w:vAlign w:val="center"/>
            <w:hideMark/>
          </w:tcPr>
          <w:p w14:paraId="7CA270B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(0.0241)</w:t>
            </w:r>
          </w:p>
        </w:tc>
        <w:tc>
          <w:tcPr>
            <w:tcW w:w="842" w:type="dxa"/>
            <w:tcBorders>
              <w:top w:val="nil"/>
              <w:left w:val="nil"/>
              <w:bottom w:val="nil"/>
              <w:right w:val="nil"/>
            </w:tcBorders>
            <w:shd w:val="clear" w:color="auto" w:fill="auto"/>
            <w:noWrap/>
            <w:vAlign w:val="center"/>
            <w:hideMark/>
          </w:tcPr>
          <w:p w14:paraId="7ECB678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(0.0148)</w:t>
            </w:r>
          </w:p>
        </w:tc>
      </w:tr>
      <w:tr w:rsidR="00063F17" w:rsidRPr="00835DC6" w14:paraId="2D0D5A64" w14:textId="77777777" w:rsidTr="00284C07">
        <w:trPr>
          <w:gridAfter w:val="1"/>
          <w:wAfter w:w="46" w:type="dxa"/>
          <w:trHeight w:val="233"/>
        </w:trPr>
        <w:tc>
          <w:tcPr>
            <w:tcW w:w="1380" w:type="dxa"/>
            <w:tcBorders>
              <w:top w:val="nil"/>
              <w:left w:val="nil"/>
              <w:bottom w:val="nil"/>
              <w:right w:val="nil"/>
            </w:tcBorders>
            <w:shd w:val="clear" w:color="auto" w:fill="auto"/>
            <w:noWrap/>
            <w:vAlign w:val="bottom"/>
            <w:hideMark/>
          </w:tcPr>
          <w:p w14:paraId="7DD93DD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p>
        </w:tc>
        <w:tc>
          <w:tcPr>
            <w:tcW w:w="853" w:type="dxa"/>
            <w:tcBorders>
              <w:top w:val="nil"/>
              <w:left w:val="nil"/>
              <w:bottom w:val="nil"/>
              <w:right w:val="nil"/>
            </w:tcBorders>
            <w:shd w:val="clear" w:color="auto" w:fill="auto"/>
            <w:noWrap/>
            <w:vAlign w:val="bottom"/>
            <w:hideMark/>
          </w:tcPr>
          <w:p w14:paraId="1227313D" w14:textId="77777777" w:rsidR="00063F17" w:rsidRPr="00835DC6" w:rsidRDefault="00063F17" w:rsidP="00556CCF">
            <w:pPr>
              <w:spacing w:after="0" w:line="240" w:lineRule="auto"/>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04989EA5"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699" w:type="dxa"/>
            <w:tcBorders>
              <w:top w:val="nil"/>
              <w:left w:val="nil"/>
              <w:bottom w:val="nil"/>
              <w:right w:val="nil"/>
            </w:tcBorders>
            <w:shd w:val="clear" w:color="auto" w:fill="auto"/>
            <w:noWrap/>
            <w:vAlign w:val="bottom"/>
            <w:hideMark/>
          </w:tcPr>
          <w:p w14:paraId="6E0ADD3B"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05" w:type="dxa"/>
            <w:tcBorders>
              <w:top w:val="nil"/>
              <w:left w:val="nil"/>
              <w:bottom w:val="nil"/>
              <w:right w:val="nil"/>
            </w:tcBorders>
            <w:shd w:val="clear" w:color="auto" w:fill="auto"/>
            <w:noWrap/>
            <w:vAlign w:val="bottom"/>
            <w:hideMark/>
          </w:tcPr>
          <w:p w14:paraId="31D6109A"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97" w:type="dxa"/>
            <w:tcBorders>
              <w:top w:val="nil"/>
              <w:left w:val="nil"/>
              <w:bottom w:val="nil"/>
              <w:right w:val="nil"/>
            </w:tcBorders>
            <w:shd w:val="clear" w:color="auto" w:fill="auto"/>
            <w:noWrap/>
            <w:vAlign w:val="bottom"/>
            <w:hideMark/>
          </w:tcPr>
          <w:p w14:paraId="7C47BAA2"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11" w:type="dxa"/>
            <w:tcBorders>
              <w:top w:val="nil"/>
              <w:left w:val="nil"/>
              <w:bottom w:val="nil"/>
              <w:right w:val="nil"/>
            </w:tcBorders>
            <w:shd w:val="clear" w:color="auto" w:fill="auto"/>
            <w:noWrap/>
            <w:vAlign w:val="bottom"/>
            <w:hideMark/>
          </w:tcPr>
          <w:p w14:paraId="66CFDF1F"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bottom"/>
            <w:hideMark/>
          </w:tcPr>
          <w:p w14:paraId="4FAF9548"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769" w:type="dxa"/>
            <w:tcBorders>
              <w:top w:val="nil"/>
              <w:left w:val="nil"/>
              <w:bottom w:val="nil"/>
              <w:right w:val="nil"/>
            </w:tcBorders>
            <w:shd w:val="clear" w:color="auto" w:fill="auto"/>
            <w:noWrap/>
            <w:vAlign w:val="bottom"/>
            <w:hideMark/>
          </w:tcPr>
          <w:p w14:paraId="1DFED003"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38" w:type="dxa"/>
            <w:tcBorders>
              <w:top w:val="nil"/>
              <w:left w:val="nil"/>
              <w:bottom w:val="nil"/>
              <w:right w:val="nil"/>
            </w:tcBorders>
            <w:shd w:val="clear" w:color="auto" w:fill="auto"/>
            <w:noWrap/>
            <w:vAlign w:val="bottom"/>
            <w:hideMark/>
          </w:tcPr>
          <w:p w14:paraId="537EC94C"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c>
          <w:tcPr>
            <w:tcW w:w="842" w:type="dxa"/>
            <w:tcBorders>
              <w:top w:val="nil"/>
              <w:left w:val="nil"/>
              <w:bottom w:val="nil"/>
              <w:right w:val="nil"/>
            </w:tcBorders>
            <w:shd w:val="clear" w:color="auto" w:fill="auto"/>
            <w:noWrap/>
            <w:vAlign w:val="bottom"/>
            <w:hideMark/>
          </w:tcPr>
          <w:p w14:paraId="41FD4A04" w14:textId="77777777" w:rsidR="00063F17" w:rsidRPr="00835DC6" w:rsidRDefault="00063F17" w:rsidP="00556CCF">
            <w:pPr>
              <w:spacing w:after="0" w:line="240" w:lineRule="auto"/>
              <w:jc w:val="center"/>
              <w:rPr>
                <w:rFonts w:ascii="Times New Roman" w:eastAsia="Times New Roman" w:hAnsi="Times New Roman" w:cs="Times New Roman"/>
                <w:sz w:val="16"/>
                <w:szCs w:val="20"/>
              </w:rPr>
            </w:pPr>
          </w:p>
        </w:tc>
      </w:tr>
      <w:tr w:rsidR="00063F17" w:rsidRPr="00835DC6" w14:paraId="564B6012" w14:textId="77777777" w:rsidTr="00284C07">
        <w:trPr>
          <w:gridAfter w:val="1"/>
          <w:wAfter w:w="46" w:type="dxa"/>
          <w:trHeight w:val="233"/>
        </w:trPr>
        <w:tc>
          <w:tcPr>
            <w:tcW w:w="1380" w:type="dxa"/>
            <w:tcBorders>
              <w:top w:val="nil"/>
              <w:left w:val="nil"/>
              <w:bottom w:val="nil"/>
              <w:right w:val="nil"/>
            </w:tcBorders>
            <w:shd w:val="clear" w:color="auto" w:fill="auto"/>
            <w:noWrap/>
            <w:vAlign w:val="bottom"/>
            <w:hideMark/>
          </w:tcPr>
          <w:p w14:paraId="7451671F"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Observations</w:t>
            </w:r>
          </w:p>
        </w:tc>
        <w:tc>
          <w:tcPr>
            <w:tcW w:w="853" w:type="dxa"/>
            <w:tcBorders>
              <w:top w:val="nil"/>
              <w:left w:val="nil"/>
              <w:bottom w:val="nil"/>
              <w:right w:val="nil"/>
            </w:tcBorders>
            <w:shd w:val="clear" w:color="auto" w:fill="auto"/>
            <w:noWrap/>
            <w:vAlign w:val="bottom"/>
            <w:hideMark/>
          </w:tcPr>
          <w:p w14:paraId="71EE045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22,166</w:t>
            </w:r>
          </w:p>
        </w:tc>
        <w:tc>
          <w:tcPr>
            <w:tcW w:w="805" w:type="dxa"/>
            <w:tcBorders>
              <w:top w:val="nil"/>
              <w:left w:val="nil"/>
              <w:bottom w:val="nil"/>
              <w:right w:val="nil"/>
            </w:tcBorders>
            <w:shd w:val="clear" w:color="auto" w:fill="auto"/>
            <w:noWrap/>
            <w:vAlign w:val="bottom"/>
            <w:hideMark/>
          </w:tcPr>
          <w:p w14:paraId="5328CBE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699" w:type="dxa"/>
            <w:tcBorders>
              <w:top w:val="nil"/>
              <w:left w:val="nil"/>
              <w:bottom w:val="nil"/>
              <w:right w:val="nil"/>
            </w:tcBorders>
            <w:shd w:val="clear" w:color="auto" w:fill="auto"/>
            <w:noWrap/>
            <w:vAlign w:val="bottom"/>
            <w:hideMark/>
          </w:tcPr>
          <w:p w14:paraId="5F2432F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22,169</w:t>
            </w:r>
          </w:p>
        </w:tc>
        <w:tc>
          <w:tcPr>
            <w:tcW w:w="805" w:type="dxa"/>
            <w:tcBorders>
              <w:top w:val="nil"/>
              <w:left w:val="nil"/>
              <w:bottom w:val="nil"/>
              <w:right w:val="nil"/>
            </w:tcBorders>
            <w:shd w:val="clear" w:color="auto" w:fill="auto"/>
            <w:noWrap/>
            <w:vAlign w:val="bottom"/>
            <w:hideMark/>
          </w:tcPr>
          <w:p w14:paraId="0AC40ED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797" w:type="dxa"/>
            <w:tcBorders>
              <w:top w:val="nil"/>
              <w:left w:val="nil"/>
              <w:bottom w:val="nil"/>
              <w:right w:val="nil"/>
            </w:tcBorders>
            <w:shd w:val="clear" w:color="auto" w:fill="auto"/>
            <w:noWrap/>
            <w:vAlign w:val="bottom"/>
            <w:hideMark/>
          </w:tcPr>
          <w:p w14:paraId="1E7A112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811" w:type="dxa"/>
            <w:tcBorders>
              <w:top w:val="nil"/>
              <w:left w:val="nil"/>
              <w:bottom w:val="nil"/>
              <w:right w:val="nil"/>
            </w:tcBorders>
            <w:shd w:val="clear" w:color="auto" w:fill="auto"/>
            <w:noWrap/>
            <w:vAlign w:val="bottom"/>
            <w:hideMark/>
          </w:tcPr>
          <w:p w14:paraId="4BF167E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769" w:type="dxa"/>
            <w:tcBorders>
              <w:top w:val="nil"/>
              <w:left w:val="nil"/>
              <w:bottom w:val="nil"/>
              <w:right w:val="nil"/>
            </w:tcBorders>
            <w:shd w:val="clear" w:color="auto" w:fill="auto"/>
            <w:noWrap/>
            <w:vAlign w:val="bottom"/>
            <w:hideMark/>
          </w:tcPr>
          <w:p w14:paraId="072BD52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769" w:type="dxa"/>
            <w:tcBorders>
              <w:top w:val="nil"/>
              <w:left w:val="nil"/>
              <w:bottom w:val="nil"/>
              <w:right w:val="nil"/>
            </w:tcBorders>
            <w:shd w:val="clear" w:color="auto" w:fill="auto"/>
            <w:noWrap/>
            <w:vAlign w:val="bottom"/>
            <w:hideMark/>
          </w:tcPr>
          <w:p w14:paraId="379BD5B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838" w:type="dxa"/>
            <w:tcBorders>
              <w:top w:val="nil"/>
              <w:left w:val="nil"/>
              <w:bottom w:val="nil"/>
              <w:right w:val="nil"/>
            </w:tcBorders>
            <w:shd w:val="clear" w:color="auto" w:fill="auto"/>
            <w:noWrap/>
            <w:vAlign w:val="bottom"/>
            <w:hideMark/>
          </w:tcPr>
          <w:p w14:paraId="7061891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c>
          <w:tcPr>
            <w:tcW w:w="842" w:type="dxa"/>
            <w:tcBorders>
              <w:top w:val="nil"/>
              <w:left w:val="nil"/>
              <w:bottom w:val="nil"/>
              <w:right w:val="nil"/>
            </w:tcBorders>
            <w:shd w:val="clear" w:color="auto" w:fill="auto"/>
            <w:noWrap/>
            <w:vAlign w:val="bottom"/>
            <w:hideMark/>
          </w:tcPr>
          <w:p w14:paraId="68D5347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22,172</w:t>
            </w:r>
          </w:p>
        </w:tc>
      </w:tr>
      <w:tr w:rsidR="00063F17" w:rsidRPr="00835DC6" w14:paraId="45CC2E06" w14:textId="77777777" w:rsidTr="00284C07">
        <w:trPr>
          <w:gridAfter w:val="1"/>
          <w:wAfter w:w="46" w:type="dxa"/>
          <w:trHeight w:val="233"/>
        </w:trPr>
        <w:tc>
          <w:tcPr>
            <w:tcW w:w="1380" w:type="dxa"/>
            <w:tcBorders>
              <w:top w:val="nil"/>
              <w:left w:val="nil"/>
              <w:bottom w:val="single" w:sz="4" w:space="0" w:color="auto"/>
              <w:right w:val="nil"/>
            </w:tcBorders>
            <w:shd w:val="clear" w:color="auto" w:fill="auto"/>
            <w:noWrap/>
            <w:vAlign w:val="bottom"/>
            <w:hideMark/>
          </w:tcPr>
          <w:p w14:paraId="24B18961"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R-squared</w:t>
            </w:r>
          </w:p>
        </w:tc>
        <w:tc>
          <w:tcPr>
            <w:tcW w:w="853" w:type="dxa"/>
            <w:tcBorders>
              <w:top w:val="nil"/>
              <w:left w:val="nil"/>
              <w:bottom w:val="single" w:sz="4" w:space="0" w:color="auto"/>
              <w:right w:val="nil"/>
            </w:tcBorders>
            <w:shd w:val="clear" w:color="auto" w:fill="auto"/>
            <w:noWrap/>
            <w:vAlign w:val="bottom"/>
            <w:hideMark/>
          </w:tcPr>
          <w:p w14:paraId="49F004D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0.202</w:t>
            </w:r>
          </w:p>
        </w:tc>
        <w:tc>
          <w:tcPr>
            <w:tcW w:w="805" w:type="dxa"/>
            <w:tcBorders>
              <w:top w:val="nil"/>
              <w:left w:val="nil"/>
              <w:bottom w:val="single" w:sz="4" w:space="0" w:color="auto"/>
              <w:right w:val="nil"/>
            </w:tcBorders>
            <w:shd w:val="clear" w:color="auto" w:fill="auto"/>
            <w:noWrap/>
            <w:vAlign w:val="bottom"/>
            <w:hideMark/>
          </w:tcPr>
          <w:p w14:paraId="17F755B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0.197</w:t>
            </w:r>
          </w:p>
        </w:tc>
        <w:tc>
          <w:tcPr>
            <w:tcW w:w="699" w:type="dxa"/>
            <w:tcBorders>
              <w:top w:val="nil"/>
              <w:left w:val="nil"/>
              <w:bottom w:val="single" w:sz="4" w:space="0" w:color="auto"/>
              <w:right w:val="nil"/>
            </w:tcBorders>
            <w:shd w:val="clear" w:color="auto" w:fill="auto"/>
            <w:noWrap/>
            <w:vAlign w:val="bottom"/>
            <w:hideMark/>
          </w:tcPr>
          <w:p w14:paraId="06A05FF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0.216</w:t>
            </w:r>
          </w:p>
        </w:tc>
        <w:tc>
          <w:tcPr>
            <w:tcW w:w="805" w:type="dxa"/>
            <w:tcBorders>
              <w:top w:val="nil"/>
              <w:left w:val="nil"/>
              <w:bottom w:val="single" w:sz="4" w:space="0" w:color="auto"/>
              <w:right w:val="nil"/>
            </w:tcBorders>
            <w:shd w:val="clear" w:color="auto" w:fill="auto"/>
            <w:noWrap/>
            <w:vAlign w:val="bottom"/>
            <w:hideMark/>
          </w:tcPr>
          <w:p w14:paraId="518E64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0.239</w:t>
            </w:r>
          </w:p>
        </w:tc>
        <w:tc>
          <w:tcPr>
            <w:tcW w:w="797" w:type="dxa"/>
            <w:tcBorders>
              <w:top w:val="nil"/>
              <w:left w:val="nil"/>
              <w:bottom w:val="single" w:sz="4" w:space="0" w:color="auto"/>
              <w:right w:val="nil"/>
            </w:tcBorders>
            <w:shd w:val="clear" w:color="auto" w:fill="auto"/>
            <w:noWrap/>
            <w:vAlign w:val="bottom"/>
            <w:hideMark/>
          </w:tcPr>
          <w:p w14:paraId="5EB9AB9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0.223</w:t>
            </w:r>
          </w:p>
        </w:tc>
        <w:tc>
          <w:tcPr>
            <w:tcW w:w="811" w:type="dxa"/>
            <w:tcBorders>
              <w:top w:val="nil"/>
              <w:left w:val="nil"/>
              <w:bottom w:val="single" w:sz="4" w:space="0" w:color="auto"/>
              <w:right w:val="nil"/>
            </w:tcBorders>
            <w:shd w:val="clear" w:color="auto" w:fill="auto"/>
            <w:noWrap/>
            <w:vAlign w:val="bottom"/>
            <w:hideMark/>
          </w:tcPr>
          <w:p w14:paraId="13F8E97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0.071</w:t>
            </w:r>
          </w:p>
        </w:tc>
        <w:tc>
          <w:tcPr>
            <w:tcW w:w="769" w:type="dxa"/>
            <w:tcBorders>
              <w:top w:val="nil"/>
              <w:left w:val="nil"/>
              <w:bottom w:val="single" w:sz="4" w:space="0" w:color="auto"/>
              <w:right w:val="nil"/>
            </w:tcBorders>
            <w:shd w:val="clear" w:color="auto" w:fill="auto"/>
            <w:noWrap/>
            <w:vAlign w:val="bottom"/>
            <w:hideMark/>
          </w:tcPr>
          <w:p w14:paraId="4F22699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0.150</w:t>
            </w:r>
          </w:p>
        </w:tc>
        <w:tc>
          <w:tcPr>
            <w:tcW w:w="769" w:type="dxa"/>
            <w:tcBorders>
              <w:top w:val="nil"/>
              <w:left w:val="nil"/>
              <w:bottom w:val="single" w:sz="4" w:space="0" w:color="auto"/>
              <w:right w:val="nil"/>
            </w:tcBorders>
            <w:shd w:val="clear" w:color="auto" w:fill="auto"/>
            <w:noWrap/>
            <w:vAlign w:val="bottom"/>
            <w:hideMark/>
          </w:tcPr>
          <w:p w14:paraId="763A292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0.090</w:t>
            </w:r>
          </w:p>
        </w:tc>
        <w:tc>
          <w:tcPr>
            <w:tcW w:w="838" w:type="dxa"/>
            <w:tcBorders>
              <w:top w:val="nil"/>
              <w:left w:val="nil"/>
              <w:bottom w:val="single" w:sz="4" w:space="0" w:color="auto"/>
              <w:right w:val="nil"/>
            </w:tcBorders>
            <w:shd w:val="clear" w:color="auto" w:fill="auto"/>
            <w:noWrap/>
            <w:vAlign w:val="bottom"/>
            <w:hideMark/>
          </w:tcPr>
          <w:p w14:paraId="304AF40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0.122</w:t>
            </w:r>
          </w:p>
        </w:tc>
        <w:tc>
          <w:tcPr>
            <w:tcW w:w="842" w:type="dxa"/>
            <w:tcBorders>
              <w:top w:val="nil"/>
              <w:left w:val="nil"/>
              <w:bottom w:val="single" w:sz="4" w:space="0" w:color="auto"/>
              <w:right w:val="nil"/>
            </w:tcBorders>
            <w:shd w:val="clear" w:color="auto" w:fill="auto"/>
            <w:noWrap/>
            <w:vAlign w:val="bottom"/>
            <w:hideMark/>
          </w:tcPr>
          <w:p w14:paraId="46805F1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0.074</w:t>
            </w:r>
          </w:p>
        </w:tc>
      </w:tr>
      <w:tr w:rsidR="00063F17" w:rsidRPr="00835DC6" w14:paraId="57456A50" w14:textId="77777777" w:rsidTr="00284C07">
        <w:trPr>
          <w:trHeight w:val="724"/>
        </w:trPr>
        <w:tc>
          <w:tcPr>
            <w:tcW w:w="9414" w:type="dxa"/>
            <w:gridSpan w:val="12"/>
            <w:tcBorders>
              <w:top w:val="single" w:sz="4" w:space="0" w:color="auto"/>
              <w:left w:val="nil"/>
              <w:bottom w:val="nil"/>
              <w:right w:val="nil"/>
            </w:tcBorders>
            <w:shd w:val="clear" w:color="auto" w:fill="auto"/>
            <w:vAlign w:val="bottom"/>
            <w:hideMark/>
          </w:tcPr>
          <w:p w14:paraId="450E7904" w14:textId="77777777" w:rsidR="00063F17" w:rsidRPr="00835DC6" w:rsidRDefault="00063F17" w:rsidP="00556CCF">
            <w:pPr>
              <w:spacing w:after="0" w:line="240" w:lineRule="auto"/>
              <w:rPr>
                <w:rFonts w:ascii="Times New Roman" w:eastAsia="Times New Roman" w:hAnsi="Times New Roman" w:cs="Times New Roman"/>
                <w:color w:val="000000"/>
                <w:sz w:val="16"/>
                <w:szCs w:val="20"/>
              </w:rPr>
            </w:pPr>
            <w:r w:rsidRPr="00835DC6">
              <w:rPr>
                <w:rFonts w:ascii="Times New Roman" w:eastAsia="Times New Roman" w:hAnsi="Times New Roman" w:cs="Times New Roman"/>
                <w:color w:val="000000"/>
                <w:sz w:val="16"/>
                <w:szCs w:val="20"/>
              </w:rPr>
              <w:t>The reference year utilized in each model is the year before Tulsa Achieves implementation, which is the 2006 cohort. Each model includes controls for race/ethnicity, gender, age, pell, and an indicator of receipt of another scholarship. Robust standard errors in parentheses *** p&lt;0.01, ** p&lt;0.05, * p&lt;0.1</w:t>
            </w:r>
          </w:p>
        </w:tc>
      </w:tr>
    </w:tbl>
    <w:p w14:paraId="1D0C736E" w14:textId="77777777" w:rsidR="00063F17" w:rsidRDefault="00063F17" w:rsidP="00063F17">
      <w:pPr>
        <w:rPr>
          <w:rFonts w:ascii="Times New Roman" w:eastAsia="Times New Roman" w:hAnsi="Times New Roman" w:cs="Times New Roman"/>
          <w:b/>
          <w:bCs/>
          <w:sz w:val="24"/>
          <w:szCs w:val="24"/>
        </w:rPr>
      </w:pPr>
    </w:p>
    <w:p w14:paraId="01B4F9D0" w14:textId="77777777" w:rsidR="00063F17" w:rsidRDefault="00063F17" w:rsidP="00063F17">
      <w:pPr>
        <w:jc w:val="center"/>
        <w:rPr>
          <w:rFonts w:ascii="Times New Roman" w:eastAsia="Times New Roman" w:hAnsi="Times New Roman" w:cs="Times New Roman"/>
          <w:b/>
          <w:bCs/>
          <w:sz w:val="24"/>
          <w:szCs w:val="24"/>
        </w:rPr>
      </w:pPr>
    </w:p>
    <w:p w14:paraId="16E0528B" w14:textId="77777777" w:rsidR="00063F17" w:rsidRDefault="00063F17" w:rsidP="00063F1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6CB57E5" w14:textId="70C25617" w:rsidR="00063F17" w:rsidRPr="00BA0939" w:rsidRDefault="00063F17" w:rsidP="00063F17">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lastRenderedPageBreak/>
        <w:t xml:space="preserve">Table </w:t>
      </w:r>
      <w:r w:rsidR="00C21646">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B2. </w:t>
      </w:r>
      <w:r w:rsidRPr="00C63779">
        <w:rPr>
          <w:rFonts w:ascii="Times New Roman" w:eastAsia="Times New Roman" w:hAnsi="Times New Roman" w:cs="Times New Roman"/>
          <w:bCs/>
          <w:sz w:val="24"/>
          <w:szCs w:val="24"/>
        </w:rPr>
        <w:t xml:space="preserve">Robustness Check with Out-of-State Students as Comparison Group: </w:t>
      </w:r>
      <w:r>
        <w:rPr>
          <w:rFonts w:ascii="Times New Roman" w:eastAsia="Times New Roman" w:hAnsi="Times New Roman" w:cs="Times New Roman"/>
          <w:bCs/>
          <w:sz w:val="24"/>
          <w:szCs w:val="24"/>
        </w:rPr>
        <w:t>The</w:t>
      </w:r>
      <w:r w:rsidRPr="00C63779">
        <w:rPr>
          <w:rFonts w:ascii="Times New Roman" w:eastAsia="Times New Roman" w:hAnsi="Times New Roman" w:cs="Times New Roman"/>
          <w:bCs/>
          <w:sz w:val="24"/>
          <w:szCs w:val="24"/>
        </w:rPr>
        <w:t xml:space="preserve"> Effect of Tulsa Achieves Eligibility on Student Outcomes (ITT)</w:t>
      </w:r>
    </w:p>
    <w:tbl>
      <w:tblPr>
        <w:tblW w:w="9719" w:type="dxa"/>
        <w:tblLayout w:type="fixed"/>
        <w:tblLook w:val="04A0" w:firstRow="1" w:lastRow="0" w:firstColumn="1" w:lastColumn="0" w:noHBand="0" w:noVBand="1"/>
      </w:tblPr>
      <w:tblGrid>
        <w:gridCol w:w="1317"/>
        <w:gridCol w:w="829"/>
        <w:gridCol w:w="732"/>
        <w:gridCol w:w="732"/>
        <w:gridCol w:w="818"/>
        <w:gridCol w:w="948"/>
        <w:gridCol w:w="919"/>
        <w:gridCol w:w="849"/>
        <w:gridCol w:w="879"/>
        <w:gridCol w:w="831"/>
        <w:gridCol w:w="865"/>
      </w:tblGrid>
      <w:tr w:rsidR="00063F17" w:rsidRPr="00835DC6" w14:paraId="0854E8AE" w14:textId="77777777" w:rsidTr="00284C07">
        <w:trPr>
          <w:trHeight w:val="378"/>
        </w:trPr>
        <w:tc>
          <w:tcPr>
            <w:tcW w:w="1317" w:type="dxa"/>
            <w:tcBorders>
              <w:top w:val="nil"/>
              <w:left w:val="nil"/>
              <w:bottom w:val="double" w:sz="6" w:space="0" w:color="auto"/>
              <w:right w:val="nil"/>
            </w:tcBorders>
            <w:shd w:val="clear" w:color="auto" w:fill="auto"/>
            <w:noWrap/>
            <w:vAlign w:val="bottom"/>
            <w:hideMark/>
          </w:tcPr>
          <w:p w14:paraId="31F7BBEB"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 </w:t>
            </w:r>
          </w:p>
        </w:tc>
        <w:tc>
          <w:tcPr>
            <w:tcW w:w="829" w:type="dxa"/>
            <w:tcBorders>
              <w:top w:val="nil"/>
              <w:left w:val="nil"/>
              <w:bottom w:val="double" w:sz="6" w:space="0" w:color="auto"/>
              <w:right w:val="nil"/>
            </w:tcBorders>
            <w:shd w:val="clear" w:color="auto" w:fill="auto"/>
            <w:vAlign w:val="bottom"/>
            <w:hideMark/>
          </w:tcPr>
          <w:p w14:paraId="07F0E40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GPA End of Year 1</w:t>
            </w:r>
          </w:p>
        </w:tc>
        <w:tc>
          <w:tcPr>
            <w:tcW w:w="732" w:type="dxa"/>
            <w:tcBorders>
              <w:top w:val="nil"/>
              <w:left w:val="nil"/>
              <w:bottom w:val="double" w:sz="6" w:space="0" w:color="auto"/>
              <w:right w:val="nil"/>
            </w:tcBorders>
            <w:shd w:val="clear" w:color="auto" w:fill="auto"/>
            <w:vAlign w:val="bottom"/>
            <w:hideMark/>
          </w:tcPr>
          <w:p w14:paraId="3F6919E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Credits Year 1</w:t>
            </w:r>
          </w:p>
        </w:tc>
        <w:tc>
          <w:tcPr>
            <w:tcW w:w="732" w:type="dxa"/>
            <w:tcBorders>
              <w:top w:val="nil"/>
              <w:left w:val="nil"/>
              <w:bottom w:val="double" w:sz="6" w:space="0" w:color="auto"/>
              <w:right w:val="nil"/>
            </w:tcBorders>
            <w:shd w:val="clear" w:color="auto" w:fill="auto"/>
            <w:vAlign w:val="bottom"/>
            <w:hideMark/>
          </w:tcPr>
          <w:p w14:paraId="3E140E6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GPA End of Year 3</w:t>
            </w:r>
          </w:p>
        </w:tc>
        <w:tc>
          <w:tcPr>
            <w:tcW w:w="818" w:type="dxa"/>
            <w:tcBorders>
              <w:top w:val="nil"/>
              <w:left w:val="nil"/>
              <w:bottom w:val="double" w:sz="6" w:space="0" w:color="auto"/>
              <w:right w:val="nil"/>
            </w:tcBorders>
            <w:shd w:val="clear" w:color="auto" w:fill="auto"/>
            <w:vAlign w:val="bottom"/>
            <w:hideMark/>
          </w:tcPr>
          <w:p w14:paraId="2278A06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Credits Year 3</w:t>
            </w:r>
          </w:p>
        </w:tc>
        <w:tc>
          <w:tcPr>
            <w:tcW w:w="948" w:type="dxa"/>
            <w:tcBorders>
              <w:top w:val="nil"/>
              <w:left w:val="nil"/>
              <w:bottom w:val="double" w:sz="6" w:space="0" w:color="auto"/>
              <w:right w:val="nil"/>
            </w:tcBorders>
            <w:shd w:val="clear" w:color="auto" w:fill="auto"/>
            <w:vAlign w:val="bottom"/>
            <w:hideMark/>
          </w:tcPr>
          <w:p w14:paraId="08AEE20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Semesters Enrolled in 3 Years</w:t>
            </w:r>
          </w:p>
        </w:tc>
        <w:tc>
          <w:tcPr>
            <w:tcW w:w="919" w:type="dxa"/>
            <w:tcBorders>
              <w:top w:val="nil"/>
              <w:left w:val="nil"/>
              <w:bottom w:val="double" w:sz="6" w:space="0" w:color="auto"/>
              <w:right w:val="nil"/>
            </w:tcBorders>
            <w:shd w:val="clear" w:color="auto" w:fill="auto"/>
            <w:vAlign w:val="bottom"/>
            <w:hideMark/>
          </w:tcPr>
          <w:p w14:paraId="38228A2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Had 63 Credits by Year 3</w:t>
            </w:r>
          </w:p>
        </w:tc>
        <w:tc>
          <w:tcPr>
            <w:tcW w:w="849" w:type="dxa"/>
            <w:tcBorders>
              <w:top w:val="nil"/>
              <w:left w:val="nil"/>
              <w:bottom w:val="double" w:sz="6" w:space="0" w:color="auto"/>
              <w:right w:val="nil"/>
            </w:tcBorders>
            <w:shd w:val="clear" w:color="auto" w:fill="auto"/>
            <w:vAlign w:val="bottom"/>
            <w:hideMark/>
          </w:tcPr>
          <w:p w14:paraId="201BB37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Graduate with Credential</w:t>
            </w:r>
          </w:p>
        </w:tc>
        <w:tc>
          <w:tcPr>
            <w:tcW w:w="879" w:type="dxa"/>
            <w:tcBorders>
              <w:top w:val="nil"/>
              <w:left w:val="nil"/>
              <w:bottom w:val="double" w:sz="6" w:space="0" w:color="auto"/>
              <w:right w:val="nil"/>
            </w:tcBorders>
            <w:shd w:val="clear" w:color="auto" w:fill="auto"/>
            <w:vAlign w:val="bottom"/>
            <w:hideMark/>
          </w:tcPr>
          <w:p w14:paraId="61BFE0B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Transfer to Four Year</w:t>
            </w:r>
          </w:p>
        </w:tc>
        <w:tc>
          <w:tcPr>
            <w:tcW w:w="831" w:type="dxa"/>
            <w:tcBorders>
              <w:top w:val="nil"/>
              <w:left w:val="nil"/>
              <w:bottom w:val="double" w:sz="6" w:space="0" w:color="auto"/>
              <w:right w:val="nil"/>
            </w:tcBorders>
            <w:shd w:val="clear" w:color="auto" w:fill="auto"/>
            <w:vAlign w:val="bottom"/>
            <w:hideMark/>
          </w:tcPr>
          <w:p w14:paraId="191DF26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Bachelors Degree</w:t>
            </w:r>
          </w:p>
        </w:tc>
        <w:tc>
          <w:tcPr>
            <w:tcW w:w="865" w:type="dxa"/>
            <w:tcBorders>
              <w:top w:val="nil"/>
              <w:left w:val="nil"/>
              <w:bottom w:val="double" w:sz="6" w:space="0" w:color="auto"/>
              <w:right w:val="nil"/>
            </w:tcBorders>
          </w:tcPr>
          <w:p w14:paraId="2CE92C4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Bachelors Degree in 5 Years</w:t>
            </w:r>
          </w:p>
        </w:tc>
      </w:tr>
      <w:tr w:rsidR="00063F17" w:rsidRPr="00835DC6" w14:paraId="27B33161" w14:textId="77777777" w:rsidTr="00284C07">
        <w:trPr>
          <w:trHeight w:val="333"/>
        </w:trPr>
        <w:tc>
          <w:tcPr>
            <w:tcW w:w="1317" w:type="dxa"/>
            <w:tcBorders>
              <w:top w:val="nil"/>
              <w:left w:val="nil"/>
              <w:bottom w:val="nil"/>
              <w:right w:val="nil"/>
            </w:tcBorders>
            <w:shd w:val="clear" w:color="auto" w:fill="auto"/>
            <w:vAlign w:val="bottom"/>
            <w:hideMark/>
          </w:tcPr>
          <w:p w14:paraId="3C6F0DDD"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2005 Cohort*TA Eligibility</w:t>
            </w:r>
          </w:p>
        </w:tc>
        <w:tc>
          <w:tcPr>
            <w:tcW w:w="829" w:type="dxa"/>
            <w:tcBorders>
              <w:top w:val="nil"/>
              <w:left w:val="nil"/>
              <w:bottom w:val="nil"/>
              <w:right w:val="nil"/>
            </w:tcBorders>
            <w:shd w:val="clear" w:color="auto" w:fill="auto"/>
            <w:noWrap/>
            <w:vAlign w:val="bottom"/>
            <w:hideMark/>
          </w:tcPr>
          <w:p w14:paraId="0B73A90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0.0909</w:t>
            </w:r>
          </w:p>
        </w:tc>
        <w:tc>
          <w:tcPr>
            <w:tcW w:w="732" w:type="dxa"/>
            <w:tcBorders>
              <w:top w:val="nil"/>
              <w:left w:val="nil"/>
              <w:bottom w:val="nil"/>
              <w:right w:val="nil"/>
            </w:tcBorders>
            <w:shd w:val="clear" w:color="auto" w:fill="auto"/>
            <w:noWrap/>
            <w:vAlign w:val="bottom"/>
            <w:hideMark/>
          </w:tcPr>
          <w:p w14:paraId="6F28784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-0.493</w:t>
            </w:r>
          </w:p>
        </w:tc>
        <w:tc>
          <w:tcPr>
            <w:tcW w:w="732" w:type="dxa"/>
            <w:tcBorders>
              <w:top w:val="nil"/>
              <w:left w:val="nil"/>
              <w:bottom w:val="nil"/>
              <w:right w:val="nil"/>
            </w:tcBorders>
            <w:shd w:val="clear" w:color="auto" w:fill="auto"/>
            <w:noWrap/>
            <w:vAlign w:val="bottom"/>
            <w:hideMark/>
          </w:tcPr>
          <w:p w14:paraId="7E9A92C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0.0353</w:t>
            </w:r>
          </w:p>
        </w:tc>
        <w:tc>
          <w:tcPr>
            <w:tcW w:w="818" w:type="dxa"/>
            <w:tcBorders>
              <w:top w:val="nil"/>
              <w:left w:val="nil"/>
              <w:bottom w:val="nil"/>
              <w:right w:val="nil"/>
            </w:tcBorders>
            <w:shd w:val="clear" w:color="auto" w:fill="auto"/>
            <w:noWrap/>
            <w:vAlign w:val="bottom"/>
            <w:hideMark/>
          </w:tcPr>
          <w:p w14:paraId="0AFEDB6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-2.691</w:t>
            </w:r>
          </w:p>
        </w:tc>
        <w:tc>
          <w:tcPr>
            <w:tcW w:w="948" w:type="dxa"/>
            <w:tcBorders>
              <w:top w:val="nil"/>
              <w:left w:val="nil"/>
              <w:bottom w:val="nil"/>
              <w:right w:val="nil"/>
            </w:tcBorders>
            <w:shd w:val="clear" w:color="auto" w:fill="auto"/>
            <w:noWrap/>
            <w:vAlign w:val="bottom"/>
            <w:hideMark/>
          </w:tcPr>
          <w:p w14:paraId="6E33CDE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-0.0789</w:t>
            </w:r>
          </w:p>
        </w:tc>
        <w:tc>
          <w:tcPr>
            <w:tcW w:w="919" w:type="dxa"/>
            <w:tcBorders>
              <w:top w:val="nil"/>
              <w:left w:val="nil"/>
              <w:bottom w:val="nil"/>
              <w:right w:val="nil"/>
            </w:tcBorders>
            <w:shd w:val="clear" w:color="auto" w:fill="auto"/>
            <w:noWrap/>
            <w:vAlign w:val="bottom"/>
            <w:hideMark/>
          </w:tcPr>
          <w:p w14:paraId="546F7F7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-0.0325</w:t>
            </w:r>
          </w:p>
        </w:tc>
        <w:tc>
          <w:tcPr>
            <w:tcW w:w="849" w:type="dxa"/>
            <w:tcBorders>
              <w:top w:val="nil"/>
              <w:left w:val="nil"/>
              <w:bottom w:val="nil"/>
              <w:right w:val="nil"/>
            </w:tcBorders>
            <w:shd w:val="clear" w:color="auto" w:fill="auto"/>
            <w:noWrap/>
            <w:vAlign w:val="bottom"/>
            <w:hideMark/>
          </w:tcPr>
          <w:p w14:paraId="547AFDC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-0.00662</w:t>
            </w:r>
          </w:p>
        </w:tc>
        <w:tc>
          <w:tcPr>
            <w:tcW w:w="879" w:type="dxa"/>
            <w:tcBorders>
              <w:top w:val="nil"/>
              <w:left w:val="nil"/>
              <w:bottom w:val="nil"/>
              <w:right w:val="nil"/>
            </w:tcBorders>
            <w:shd w:val="clear" w:color="auto" w:fill="auto"/>
            <w:noWrap/>
            <w:vAlign w:val="bottom"/>
            <w:hideMark/>
          </w:tcPr>
          <w:p w14:paraId="0D66C8E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0.0122</w:t>
            </w:r>
          </w:p>
        </w:tc>
        <w:tc>
          <w:tcPr>
            <w:tcW w:w="831" w:type="dxa"/>
            <w:tcBorders>
              <w:top w:val="nil"/>
              <w:left w:val="nil"/>
              <w:bottom w:val="nil"/>
              <w:right w:val="nil"/>
            </w:tcBorders>
            <w:shd w:val="clear" w:color="auto" w:fill="auto"/>
            <w:noWrap/>
            <w:vAlign w:val="bottom"/>
            <w:hideMark/>
          </w:tcPr>
          <w:p w14:paraId="3B3651A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0.0160</w:t>
            </w:r>
          </w:p>
        </w:tc>
        <w:tc>
          <w:tcPr>
            <w:tcW w:w="865" w:type="dxa"/>
            <w:tcBorders>
              <w:top w:val="nil"/>
              <w:left w:val="nil"/>
              <w:bottom w:val="nil"/>
              <w:right w:val="nil"/>
            </w:tcBorders>
            <w:shd w:val="clear" w:color="auto" w:fill="auto"/>
            <w:vAlign w:val="bottom"/>
          </w:tcPr>
          <w:p w14:paraId="2DE7910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0.0135</w:t>
            </w:r>
          </w:p>
        </w:tc>
      </w:tr>
      <w:tr w:rsidR="00063F17" w:rsidRPr="00835DC6" w14:paraId="279ED77B" w14:textId="77777777" w:rsidTr="00284C07">
        <w:trPr>
          <w:trHeight w:val="276"/>
        </w:trPr>
        <w:tc>
          <w:tcPr>
            <w:tcW w:w="1317" w:type="dxa"/>
            <w:tcBorders>
              <w:top w:val="nil"/>
              <w:left w:val="nil"/>
              <w:bottom w:val="nil"/>
              <w:right w:val="nil"/>
            </w:tcBorders>
            <w:shd w:val="clear" w:color="auto" w:fill="auto"/>
            <w:vAlign w:val="bottom"/>
            <w:hideMark/>
          </w:tcPr>
          <w:p w14:paraId="207A116F"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05FB95D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(0.103)</w:t>
            </w:r>
          </w:p>
        </w:tc>
        <w:tc>
          <w:tcPr>
            <w:tcW w:w="732" w:type="dxa"/>
            <w:tcBorders>
              <w:top w:val="nil"/>
              <w:left w:val="nil"/>
              <w:bottom w:val="nil"/>
              <w:right w:val="nil"/>
            </w:tcBorders>
            <w:shd w:val="clear" w:color="auto" w:fill="auto"/>
            <w:noWrap/>
            <w:vAlign w:val="bottom"/>
            <w:hideMark/>
          </w:tcPr>
          <w:p w14:paraId="1FAFE34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(0.723)</w:t>
            </w:r>
          </w:p>
        </w:tc>
        <w:tc>
          <w:tcPr>
            <w:tcW w:w="732" w:type="dxa"/>
            <w:tcBorders>
              <w:top w:val="nil"/>
              <w:left w:val="nil"/>
              <w:bottom w:val="nil"/>
              <w:right w:val="nil"/>
            </w:tcBorders>
            <w:shd w:val="clear" w:color="auto" w:fill="auto"/>
            <w:noWrap/>
            <w:vAlign w:val="bottom"/>
            <w:hideMark/>
          </w:tcPr>
          <w:p w14:paraId="39AFA90F" w14:textId="43D2B1F8"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(0.09</w:t>
            </w:r>
            <w:r w:rsidR="00284C07">
              <w:rPr>
                <w:rFonts w:ascii="Times New Roman" w:hAnsi="Times New Roman" w:cs="Times New Roman"/>
                <w:color w:val="000000"/>
                <w:sz w:val="16"/>
                <w:szCs w:val="18"/>
              </w:rPr>
              <w:t>6</w:t>
            </w:r>
            <w:r w:rsidRPr="00835DC6">
              <w:rPr>
                <w:rFonts w:ascii="Times New Roman" w:hAnsi="Times New Roman" w:cs="Times New Roman"/>
                <w:color w:val="000000"/>
                <w:sz w:val="16"/>
                <w:szCs w:val="18"/>
              </w:rPr>
              <w:t>)</w:t>
            </w:r>
          </w:p>
        </w:tc>
        <w:tc>
          <w:tcPr>
            <w:tcW w:w="818" w:type="dxa"/>
            <w:tcBorders>
              <w:top w:val="nil"/>
              <w:left w:val="nil"/>
              <w:bottom w:val="nil"/>
              <w:right w:val="nil"/>
            </w:tcBorders>
            <w:shd w:val="clear" w:color="auto" w:fill="auto"/>
            <w:noWrap/>
            <w:vAlign w:val="bottom"/>
            <w:hideMark/>
          </w:tcPr>
          <w:p w14:paraId="22F5851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(1.789)</w:t>
            </w:r>
          </w:p>
        </w:tc>
        <w:tc>
          <w:tcPr>
            <w:tcW w:w="948" w:type="dxa"/>
            <w:tcBorders>
              <w:top w:val="nil"/>
              <w:left w:val="nil"/>
              <w:bottom w:val="nil"/>
              <w:right w:val="nil"/>
            </w:tcBorders>
            <w:shd w:val="clear" w:color="auto" w:fill="auto"/>
            <w:noWrap/>
            <w:vAlign w:val="bottom"/>
            <w:hideMark/>
          </w:tcPr>
          <w:p w14:paraId="400042C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(0.313)</w:t>
            </w:r>
          </w:p>
        </w:tc>
        <w:tc>
          <w:tcPr>
            <w:tcW w:w="919" w:type="dxa"/>
            <w:tcBorders>
              <w:top w:val="nil"/>
              <w:left w:val="nil"/>
              <w:bottom w:val="nil"/>
              <w:right w:val="nil"/>
            </w:tcBorders>
            <w:shd w:val="clear" w:color="auto" w:fill="auto"/>
            <w:noWrap/>
            <w:vAlign w:val="bottom"/>
            <w:hideMark/>
          </w:tcPr>
          <w:p w14:paraId="650EFB0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(0.0218)</w:t>
            </w:r>
          </w:p>
        </w:tc>
        <w:tc>
          <w:tcPr>
            <w:tcW w:w="849" w:type="dxa"/>
            <w:tcBorders>
              <w:top w:val="nil"/>
              <w:left w:val="nil"/>
              <w:bottom w:val="nil"/>
              <w:right w:val="nil"/>
            </w:tcBorders>
            <w:shd w:val="clear" w:color="auto" w:fill="auto"/>
            <w:noWrap/>
            <w:vAlign w:val="bottom"/>
            <w:hideMark/>
          </w:tcPr>
          <w:p w14:paraId="0AC1058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(0.0389)</w:t>
            </w:r>
          </w:p>
        </w:tc>
        <w:tc>
          <w:tcPr>
            <w:tcW w:w="879" w:type="dxa"/>
            <w:tcBorders>
              <w:top w:val="nil"/>
              <w:left w:val="nil"/>
              <w:bottom w:val="nil"/>
              <w:right w:val="nil"/>
            </w:tcBorders>
            <w:shd w:val="clear" w:color="auto" w:fill="auto"/>
            <w:noWrap/>
            <w:vAlign w:val="bottom"/>
            <w:hideMark/>
          </w:tcPr>
          <w:p w14:paraId="29FCBD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(0.0354)</w:t>
            </w:r>
          </w:p>
        </w:tc>
        <w:tc>
          <w:tcPr>
            <w:tcW w:w="831" w:type="dxa"/>
            <w:tcBorders>
              <w:top w:val="nil"/>
              <w:left w:val="nil"/>
              <w:bottom w:val="nil"/>
              <w:right w:val="nil"/>
            </w:tcBorders>
            <w:shd w:val="clear" w:color="auto" w:fill="auto"/>
            <w:noWrap/>
            <w:vAlign w:val="bottom"/>
            <w:hideMark/>
          </w:tcPr>
          <w:p w14:paraId="6005FFF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(0.0216)</w:t>
            </w:r>
          </w:p>
        </w:tc>
        <w:tc>
          <w:tcPr>
            <w:tcW w:w="865" w:type="dxa"/>
            <w:tcBorders>
              <w:top w:val="nil"/>
              <w:left w:val="nil"/>
              <w:bottom w:val="nil"/>
              <w:right w:val="nil"/>
            </w:tcBorders>
            <w:shd w:val="clear" w:color="auto" w:fill="auto"/>
            <w:vAlign w:val="bottom"/>
          </w:tcPr>
          <w:p w14:paraId="613ACB8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(0.0430)</w:t>
            </w:r>
          </w:p>
        </w:tc>
      </w:tr>
      <w:tr w:rsidR="00063F17" w:rsidRPr="00835DC6" w14:paraId="3EC4FE3B" w14:textId="77777777" w:rsidTr="00284C07">
        <w:trPr>
          <w:trHeight w:val="529"/>
        </w:trPr>
        <w:tc>
          <w:tcPr>
            <w:tcW w:w="1317" w:type="dxa"/>
            <w:tcBorders>
              <w:top w:val="nil"/>
              <w:left w:val="nil"/>
              <w:bottom w:val="nil"/>
              <w:right w:val="nil"/>
            </w:tcBorders>
            <w:shd w:val="clear" w:color="auto" w:fill="auto"/>
            <w:vAlign w:val="bottom"/>
            <w:hideMark/>
          </w:tcPr>
          <w:p w14:paraId="13BD5092"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2006 Cohort*TA Eligibility</w:t>
            </w:r>
          </w:p>
        </w:tc>
        <w:tc>
          <w:tcPr>
            <w:tcW w:w="829" w:type="dxa"/>
            <w:tcBorders>
              <w:top w:val="nil"/>
              <w:left w:val="nil"/>
              <w:bottom w:val="nil"/>
              <w:right w:val="nil"/>
            </w:tcBorders>
            <w:shd w:val="clear" w:color="auto" w:fill="auto"/>
            <w:noWrap/>
            <w:vAlign w:val="center"/>
            <w:hideMark/>
          </w:tcPr>
          <w:p w14:paraId="60C89E1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732" w:type="dxa"/>
            <w:tcBorders>
              <w:top w:val="nil"/>
              <w:left w:val="nil"/>
              <w:bottom w:val="nil"/>
              <w:right w:val="nil"/>
            </w:tcBorders>
            <w:shd w:val="clear" w:color="auto" w:fill="auto"/>
            <w:noWrap/>
            <w:vAlign w:val="center"/>
            <w:hideMark/>
          </w:tcPr>
          <w:p w14:paraId="0B64F8C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732" w:type="dxa"/>
            <w:tcBorders>
              <w:top w:val="nil"/>
              <w:left w:val="nil"/>
              <w:bottom w:val="nil"/>
              <w:right w:val="nil"/>
            </w:tcBorders>
            <w:shd w:val="clear" w:color="auto" w:fill="auto"/>
            <w:noWrap/>
            <w:vAlign w:val="center"/>
            <w:hideMark/>
          </w:tcPr>
          <w:p w14:paraId="3BA799E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818" w:type="dxa"/>
            <w:tcBorders>
              <w:top w:val="nil"/>
              <w:left w:val="nil"/>
              <w:bottom w:val="nil"/>
              <w:right w:val="nil"/>
            </w:tcBorders>
            <w:shd w:val="clear" w:color="auto" w:fill="auto"/>
            <w:noWrap/>
            <w:vAlign w:val="center"/>
            <w:hideMark/>
          </w:tcPr>
          <w:p w14:paraId="27C8A0B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948" w:type="dxa"/>
            <w:tcBorders>
              <w:top w:val="nil"/>
              <w:left w:val="nil"/>
              <w:bottom w:val="nil"/>
              <w:right w:val="nil"/>
            </w:tcBorders>
            <w:shd w:val="clear" w:color="auto" w:fill="auto"/>
            <w:noWrap/>
            <w:vAlign w:val="center"/>
            <w:hideMark/>
          </w:tcPr>
          <w:p w14:paraId="56CB60B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919" w:type="dxa"/>
            <w:tcBorders>
              <w:top w:val="nil"/>
              <w:left w:val="nil"/>
              <w:bottom w:val="nil"/>
              <w:right w:val="nil"/>
            </w:tcBorders>
            <w:shd w:val="clear" w:color="auto" w:fill="auto"/>
            <w:noWrap/>
            <w:vAlign w:val="center"/>
            <w:hideMark/>
          </w:tcPr>
          <w:p w14:paraId="534AB94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849" w:type="dxa"/>
            <w:tcBorders>
              <w:top w:val="nil"/>
              <w:left w:val="nil"/>
              <w:bottom w:val="nil"/>
              <w:right w:val="nil"/>
            </w:tcBorders>
            <w:shd w:val="clear" w:color="auto" w:fill="auto"/>
            <w:noWrap/>
            <w:vAlign w:val="center"/>
            <w:hideMark/>
          </w:tcPr>
          <w:p w14:paraId="74B1CBD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879" w:type="dxa"/>
            <w:tcBorders>
              <w:top w:val="nil"/>
              <w:left w:val="nil"/>
              <w:bottom w:val="nil"/>
              <w:right w:val="nil"/>
            </w:tcBorders>
            <w:shd w:val="clear" w:color="auto" w:fill="auto"/>
            <w:noWrap/>
            <w:vAlign w:val="center"/>
            <w:hideMark/>
          </w:tcPr>
          <w:p w14:paraId="63E650D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831" w:type="dxa"/>
            <w:tcBorders>
              <w:top w:val="nil"/>
              <w:left w:val="nil"/>
              <w:bottom w:val="nil"/>
              <w:right w:val="nil"/>
            </w:tcBorders>
            <w:shd w:val="clear" w:color="auto" w:fill="auto"/>
            <w:noWrap/>
            <w:vAlign w:val="center"/>
            <w:hideMark/>
          </w:tcPr>
          <w:p w14:paraId="15B868F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c>
          <w:tcPr>
            <w:tcW w:w="865" w:type="dxa"/>
            <w:tcBorders>
              <w:top w:val="nil"/>
              <w:left w:val="nil"/>
              <w:bottom w:val="nil"/>
              <w:right w:val="nil"/>
            </w:tcBorders>
            <w:shd w:val="clear" w:color="auto" w:fill="auto"/>
            <w:vAlign w:val="center"/>
          </w:tcPr>
          <w:p w14:paraId="5EA017F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9"/>
              </w:rPr>
            </w:pPr>
            <w:r w:rsidRPr="00835DC6">
              <w:rPr>
                <w:rFonts w:ascii="Times New Roman" w:hAnsi="Times New Roman" w:cs="Times New Roman"/>
                <w:color w:val="000000"/>
                <w:sz w:val="16"/>
                <w:szCs w:val="19"/>
              </w:rPr>
              <w:t>OMIT</w:t>
            </w:r>
          </w:p>
        </w:tc>
      </w:tr>
      <w:tr w:rsidR="00063F17" w:rsidRPr="00835DC6" w14:paraId="1325542C" w14:textId="77777777" w:rsidTr="00284C07">
        <w:trPr>
          <w:trHeight w:val="324"/>
        </w:trPr>
        <w:tc>
          <w:tcPr>
            <w:tcW w:w="1317" w:type="dxa"/>
            <w:tcBorders>
              <w:top w:val="nil"/>
              <w:left w:val="nil"/>
              <w:bottom w:val="nil"/>
              <w:right w:val="nil"/>
            </w:tcBorders>
            <w:shd w:val="clear" w:color="auto" w:fill="auto"/>
            <w:vAlign w:val="bottom"/>
            <w:hideMark/>
          </w:tcPr>
          <w:p w14:paraId="2659F58D"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2007 Cohort*TA Eligibility</w:t>
            </w:r>
          </w:p>
        </w:tc>
        <w:tc>
          <w:tcPr>
            <w:tcW w:w="829" w:type="dxa"/>
            <w:tcBorders>
              <w:top w:val="nil"/>
              <w:left w:val="nil"/>
              <w:bottom w:val="nil"/>
              <w:right w:val="nil"/>
            </w:tcBorders>
            <w:shd w:val="clear" w:color="auto" w:fill="auto"/>
            <w:noWrap/>
            <w:vAlign w:val="bottom"/>
            <w:hideMark/>
          </w:tcPr>
          <w:p w14:paraId="642DED1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0.152</w:t>
            </w:r>
          </w:p>
        </w:tc>
        <w:tc>
          <w:tcPr>
            <w:tcW w:w="732" w:type="dxa"/>
            <w:tcBorders>
              <w:top w:val="nil"/>
              <w:left w:val="nil"/>
              <w:bottom w:val="nil"/>
              <w:right w:val="nil"/>
            </w:tcBorders>
            <w:shd w:val="clear" w:color="auto" w:fill="auto"/>
            <w:noWrap/>
            <w:vAlign w:val="bottom"/>
            <w:hideMark/>
          </w:tcPr>
          <w:p w14:paraId="50ECDD59" w14:textId="73F7F43E"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1.4</w:t>
            </w:r>
            <w:r w:rsidR="00284C07">
              <w:rPr>
                <w:rFonts w:ascii="Times New Roman" w:hAnsi="Times New Roman" w:cs="Times New Roman"/>
                <w:color w:val="000000"/>
                <w:sz w:val="16"/>
                <w:szCs w:val="20"/>
              </w:rPr>
              <w:t>8</w:t>
            </w:r>
            <w:r w:rsidRPr="00835DC6">
              <w:rPr>
                <w:rFonts w:ascii="Times New Roman" w:hAnsi="Times New Roman" w:cs="Times New Roman"/>
                <w:color w:val="000000"/>
                <w:sz w:val="16"/>
                <w:szCs w:val="20"/>
              </w:rPr>
              <w:t>**</w:t>
            </w:r>
          </w:p>
        </w:tc>
        <w:tc>
          <w:tcPr>
            <w:tcW w:w="732" w:type="dxa"/>
            <w:tcBorders>
              <w:top w:val="nil"/>
              <w:left w:val="nil"/>
              <w:bottom w:val="nil"/>
              <w:right w:val="nil"/>
            </w:tcBorders>
            <w:shd w:val="clear" w:color="auto" w:fill="auto"/>
            <w:noWrap/>
            <w:vAlign w:val="bottom"/>
            <w:hideMark/>
          </w:tcPr>
          <w:p w14:paraId="29F48B4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0.166*</w:t>
            </w:r>
          </w:p>
        </w:tc>
        <w:tc>
          <w:tcPr>
            <w:tcW w:w="818" w:type="dxa"/>
            <w:tcBorders>
              <w:top w:val="nil"/>
              <w:left w:val="nil"/>
              <w:bottom w:val="nil"/>
              <w:right w:val="nil"/>
            </w:tcBorders>
            <w:shd w:val="clear" w:color="auto" w:fill="auto"/>
            <w:noWrap/>
            <w:vAlign w:val="bottom"/>
            <w:hideMark/>
          </w:tcPr>
          <w:p w14:paraId="2590FF5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2.757</w:t>
            </w:r>
          </w:p>
        </w:tc>
        <w:tc>
          <w:tcPr>
            <w:tcW w:w="948" w:type="dxa"/>
            <w:tcBorders>
              <w:top w:val="nil"/>
              <w:left w:val="nil"/>
              <w:bottom w:val="nil"/>
              <w:right w:val="nil"/>
            </w:tcBorders>
            <w:shd w:val="clear" w:color="auto" w:fill="auto"/>
            <w:noWrap/>
            <w:vAlign w:val="bottom"/>
            <w:hideMark/>
          </w:tcPr>
          <w:p w14:paraId="46A145F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0.454</w:t>
            </w:r>
          </w:p>
        </w:tc>
        <w:tc>
          <w:tcPr>
            <w:tcW w:w="919" w:type="dxa"/>
            <w:tcBorders>
              <w:top w:val="nil"/>
              <w:left w:val="nil"/>
              <w:bottom w:val="nil"/>
              <w:right w:val="nil"/>
            </w:tcBorders>
            <w:shd w:val="clear" w:color="auto" w:fill="auto"/>
            <w:noWrap/>
            <w:vAlign w:val="bottom"/>
            <w:hideMark/>
          </w:tcPr>
          <w:p w14:paraId="3405CA8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-0.0105</w:t>
            </w:r>
          </w:p>
        </w:tc>
        <w:tc>
          <w:tcPr>
            <w:tcW w:w="849" w:type="dxa"/>
            <w:tcBorders>
              <w:top w:val="nil"/>
              <w:left w:val="nil"/>
              <w:bottom w:val="nil"/>
              <w:right w:val="nil"/>
            </w:tcBorders>
            <w:shd w:val="clear" w:color="auto" w:fill="auto"/>
            <w:noWrap/>
            <w:vAlign w:val="bottom"/>
            <w:hideMark/>
          </w:tcPr>
          <w:p w14:paraId="5D3786E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0.0223</w:t>
            </w:r>
          </w:p>
        </w:tc>
        <w:tc>
          <w:tcPr>
            <w:tcW w:w="879" w:type="dxa"/>
            <w:tcBorders>
              <w:top w:val="nil"/>
              <w:left w:val="nil"/>
              <w:bottom w:val="nil"/>
              <w:right w:val="nil"/>
            </w:tcBorders>
            <w:shd w:val="clear" w:color="auto" w:fill="auto"/>
            <w:noWrap/>
            <w:vAlign w:val="bottom"/>
            <w:hideMark/>
          </w:tcPr>
          <w:p w14:paraId="363FB21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0.00638</w:t>
            </w:r>
          </w:p>
        </w:tc>
        <w:tc>
          <w:tcPr>
            <w:tcW w:w="831" w:type="dxa"/>
            <w:tcBorders>
              <w:top w:val="nil"/>
              <w:left w:val="nil"/>
              <w:bottom w:val="nil"/>
              <w:right w:val="nil"/>
            </w:tcBorders>
            <w:shd w:val="clear" w:color="auto" w:fill="auto"/>
            <w:noWrap/>
            <w:vAlign w:val="bottom"/>
            <w:hideMark/>
          </w:tcPr>
          <w:p w14:paraId="44A042E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0.0267</w:t>
            </w:r>
          </w:p>
        </w:tc>
        <w:tc>
          <w:tcPr>
            <w:tcW w:w="865" w:type="dxa"/>
            <w:tcBorders>
              <w:top w:val="nil"/>
              <w:left w:val="nil"/>
              <w:bottom w:val="nil"/>
              <w:right w:val="nil"/>
            </w:tcBorders>
            <w:shd w:val="clear" w:color="auto" w:fill="auto"/>
            <w:vAlign w:val="bottom"/>
          </w:tcPr>
          <w:p w14:paraId="5334296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0.0250</w:t>
            </w:r>
          </w:p>
        </w:tc>
      </w:tr>
      <w:tr w:rsidR="00063F17" w:rsidRPr="00835DC6" w14:paraId="25E084AC" w14:textId="77777777" w:rsidTr="00284C07">
        <w:trPr>
          <w:trHeight w:val="276"/>
        </w:trPr>
        <w:tc>
          <w:tcPr>
            <w:tcW w:w="1317" w:type="dxa"/>
            <w:tcBorders>
              <w:top w:val="nil"/>
              <w:left w:val="nil"/>
              <w:bottom w:val="nil"/>
              <w:right w:val="nil"/>
            </w:tcBorders>
            <w:shd w:val="clear" w:color="auto" w:fill="auto"/>
            <w:vAlign w:val="bottom"/>
            <w:hideMark/>
          </w:tcPr>
          <w:p w14:paraId="1A1AEA36"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1597E55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(0.0957)</w:t>
            </w:r>
          </w:p>
        </w:tc>
        <w:tc>
          <w:tcPr>
            <w:tcW w:w="732" w:type="dxa"/>
            <w:tcBorders>
              <w:top w:val="nil"/>
              <w:left w:val="nil"/>
              <w:bottom w:val="nil"/>
              <w:right w:val="nil"/>
            </w:tcBorders>
            <w:shd w:val="clear" w:color="auto" w:fill="auto"/>
            <w:noWrap/>
            <w:vAlign w:val="bottom"/>
            <w:hideMark/>
          </w:tcPr>
          <w:p w14:paraId="7F47397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(0.710)</w:t>
            </w:r>
          </w:p>
        </w:tc>
        <w:tc>
          <w:tcPr>
            <w:tcW w:w="732" w:type="dxa"/>
            <w:tcBorders>
              <w:top w:val="nil"/>
              <w:left w:val="nil"/>
              <w:bottom w:val="nil"/>
              <w:right w:val="nil"/>
            </w:tcBorders>
            <w:shd w:val="clear" w:color="auto" w:fill="auto"/>
            <w:noWrap/>
            <w:vAlign w:val="bottom"/>
            <w:hideMark/>
          </w:tcPr>
          <w:p w14:paraId="6A75514A" w14:textId="0A61EE5B"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(0.088)</w:t>
            </w:r>
          </w:p>
        </w:tc>
        <w:tc>
          <w:tcPr>
            <w:tcW w:w="818" w:type="dxa"/>
            <w:tcBorders>
              <w:top w:val="nil"/>
              <w:left w:val="nil"/>
              <w:bottom w:val="nil"/>
              <w:right w:val="nil"/>
            </w:tcBorders>
            <w:shd w:val="clear" w:color="auto" w:fill="auto"/>
            <w:noWrap/>
            <w:vAlign w:val="bottom"/>
            <w:hideMark/>
          </w:tcPr>
          <w:p w14:paraId="31BC7ED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(1.728)</w:t>
            </w:r>
          </w:p>
        </w:tc>
        <w:tc>
          <w:tcPr>
            <w:tcW w:w="948" w:type="dxa"/>
            <w:tcBorders>
              <w:top w:val="nil"/>
              <w:left w:val="nil"/>
              <w:bottom w:val="nil"/>
              <w:right w:val="nil"/>
            </w:tcBorders>
            <w:shd w:val="clear" w:color="auto" w:fill="auto"/>
            <w:noWrap/>
            <w:vAlign w:val="bottom"/>
            <w:hideMark/>
          </w:tcPr>
          <w:p w14:paraId="275ADAB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(0.286)</w:t>
            </w:r>
          </w:p>
        </w:tc>
        <w:tc>
          <w:tcPr>
            <w:tcW w:w="919" w:type="dxa"/>
            <w:tcBorders>
              <w:top w:val="nil"/>
              <w:left w:val="nil"/>
              <w:bottom w:val="nil"/>
              <w:right w:val="nil"/>
            </w:tcBorders>
            <w:shd w:val="clear" w:color="auto" w:fill="auto"/>
            <w:noWrap/>
            <w:vAlign w:val="bottom"/>
            <w:hideMark/>
          </w:tcPr>
          <w:p w14:paraId="63858BC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(0.0217)</w:t>
            </w:r>
          </w:p>
        </w:tc>
        <w:tc>
          <w:tcPr>
            <w:tcW w:w="849" w:type="dxa"/>
            <w:tcBorders>
              <w:top w:val="nil"/>
              <w:left w:val="nil"/>
              <w:bottom w:val="nil"/>
              <w:right w:val="nil"/>
            </w:tcBorders>
            <w:shd w:val="clear" w:color="auto" w:fill="auto"/>
            <w:noWrap/>
            <w:vAlign w:val="bottom"/>
            <w:hideMark/>
          </w:tcPr>
          <w:p w14:paraId="155111D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(0.0356)</w:t>
            </w:r>
          </w:p>
        </w:tc>
        <w:tc>
          <w:tcPr>
            <w:tcW w:w="879" w:type="dxa"/>
            <w:tcBorders>
              <w:top w:val="nil"/>
              <w:left w:val="nil"/>
              <w:bottom w:val="nil"/>
              <w:right w:val="nil"/>
            </w:tcBorders>
            <w:shd w:val="clear" w:color="auto" w:fill="auto"/>
            <w:noWrap/>
            <w:vAlign w:val="bottom"/>
            <w:hideMark/>
          </w:tcPr>
          <w:p w14:paraId="62261AD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(0.0319)</w:t>
            </w:r>
          </w:p>
        </w:tc>
        <w:tc>
          <w:tcPr>
            <w:tcW w:w="831" w:type="dxa"/>
            <w:tcBorders>
              <w:top w:val="nil"/>
              <w:left w:val="nil"/>
              <w:bottom w:val="nil"/>
              <w:right w:val="nil"/>
            </w:tcBorders>
            <w:shd w:val="clear" w:color="auto" w:fill="auto"/>
            <w:noWrap/>
            <w:vAlign w:val="bottom"/>
            <w:hideMark/>
          </w:tcPr>
          <w:p w14:paraId="6AE019E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(0.0208)</w:t>
            </w:r>
          </w:p>
        </w:tc>
        <w:tc>
          <w:tcPr>
            <w:tcW w:w="865" w:type="dxa"/>
            <w:tcBorders>
              <w:top w:val="nil"/>
              <w:left w:val="nil"/>
              <w:bottom w:val="nil"/>
              <w:right w:val="nil"/>
            </w:tcBorders>
            <w:shd w:val="clear" w:color="auto" w:fill="auto"/>
            <w:vAlign w:val="bottom"/>
          </w:tcPr>
          <w:p w14:paraId="324F439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(0.0395)</w:t>
            </w:r>
          </w:p>
        </w:tc>
      </w:tr>
      <w:tr w:rsidR="00063F17" w:rsidRPr="00835DC6" w14:paraId="42FB32BE" w14:textId="77777777" w:rsidTr="00284C07">
        <w:trPr>
          <w:trHeight w:val="179"/>
        </w:trPr>
        <w:tc>
          <w:tcPr>
            <w:tcW w:w="1317" w:type="dxa"/>
            <w:tcBorders>
              <w:top w:val="nil"/>
              <w:left w:val="nil"/>
              <w:bottom w:val="nil"/>
              <w:right w:val="nil"/>
            </w:tcBorders>
            <w:shd w:val="clear" w:color="auto" w:fill="auto"/>
            <w:vAlign w:val="bottom"/>
            <w:hideMark/>
          </w:tcPr>
          <w:p w14:paraId="314E7049"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2008 Cohort*TA Eligibility</w:t>
            </w:r>
          </w:p>
        </w:tc>
        <w:tc>
          <w:tcPr>
            <w:tcW w:w="829" w:type="dxa"/>
            <w:tcBorders>
              <w:top w:val="nil"/>
              <w:left w:val="nil"/>
              <w:bottom w:val="nil"/>
              <w:right w:val="nil"/>
            </w:tcBorders>
            <w:shd w:val="clear" w:color="auto" w:fill="auto"/>
            <w:noWrap/>
            <w:vAlign w:val="bottom"/>
            <w:hideMark/>
          </w:tcPr>
          <w:p w14:paraId="2936640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0.0516</w:t>
            </w:r>
          </w:p>
        </w:tc>
        <w:tc>
          <w:tcPr>
            <w:tcW w:w="732" w:type="dxa"/>
            <w:tcBorders>
              <w:top w:val="nil"/>
              <w:left w:val="nil"/>
              <w:bottom w:val="nil"/>
              <w:right w:val="nil"/>
            </w:tcBorders>
            <w:shd w:val="clear" w:color="auto" w:fill="auto"/>
            <w:noWrap/>
            <w:vAlign w:val="bottom"/>
            <w:hideMark/>
          </w:tcPr>
          <w:p w14:paraId="26A853A2" w14:textId="6A01C809"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0.0024</w:t>
            </w:r>
          </w:p>
        </w:tc>
        <w:tc>
          <w:tcPr>
            <w:tcW w:w="732" w:type="dxa"/>
            <w:tcBorders>
              <w:top w:val="nil"/>
              <w:left w:val="nil"/>
              <w:bottom w:val="nil"/>
              <w:right w:val="nil"/>
            </w:tcBorders>
            <w:shd w:val="clear" w:color="auto" w:fill="auto"/>
            <w:noWrap/>
            <w:vAlign w:val="bottom"/>
            <w:hideMark/>
          </w:tcPr>
          <w:p w14:paraId="229D47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0.0732</w:t>
            </w:r>
          </w:p>
        </w:tc>
        <w:tc>
          <w:tcPr>
            <w:tcW w:w="818" w:type="dxa"/>
            <w:tcBorders>
              <w:top w:val="nil"/>
              <w:left w:val="nil"/>
              <w:bottom w:val="nil"/>
              <w:right w:val="nil"/>
            </w:tcBorders>
            <w:shd w:val="clear" w:color="auto" w:fill="auto"/>
            <w:noWrap/>
            <w:vAlign w:val="bottom"/>
            <w:hideMark/>
          </w:tcPr>
          <w:p w14:paraId="06D422F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0.308</w:t>
            </w:r>
          </w:p>
        </w:tc>
        <w:tc>
          <w:tcPr>
            <w:tcW w:w="948" w:type="dxa"/>
            <w:tcBorders>
              <w:top w:val="nil"/>
              <w:left w:val="nil"/>
              <w:bottom w:val="nil"/>
              <w:right w:val="nil"/>
            </w:tcBorders>
            <w:shd w:val="clear" w:color="auto" w:fill="auto"/>
            <w:noWrap/>
            <w:vAlign w:val="bottom"/>
            <w:hideMark/>
          </w:tcPr>
          <w:p w14:paraId="134E83D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0.371</w:t>
            </w:r>
          </w:p>
        </w:tc>
        <w:tc>
          <w:tcPr>
            <w:tcW w:w="919" w:type="dxa"/>
            <w:tcBorders>
              <w:top w:val="nil"/>
              <w:left w:val="nil"/>
              <w:bottom w:val="nil"/>
              <w:right w:val="nil"/>
            </w:tcBorders>
            <w:shd w:val="clear" w:color="auto" w:fill="auto"/>
            <w:noWrap/>
            <w:vAlign w:val="bottom"/>
            <w:hideMark/>
          </w:tcPr>
          <w:p w14:paraId="4624EA0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-0.0214</w:t>
            </w:r>
          </w:p>
        </w:tc>
        <w:tc>
          <w:tcPr>
            <w:tcW w:w="849" w:type="dxa"/>
            <w:tcBorders>
              <w:top w:val="nil"/>
              <w:left w:val="nil"/>
              <w:bottom w:val="nil"/>
              <w:right w:val="nil"/>
            </w:tcBorders>
            <w:shd w:val="clear" w:color="auto" w:fill="auto"/>
            <w:noWrap/>
            <w:vAlign w:val="bottom"/>
            <w:hideMark/>
          </w:tcPr>
          <w:p w14:paraId="11340D3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-0.00931</w:t>
            </w:r>
          </w:p>
        </w:tc>
        <w:tc>
          <w:tcPr>
            <w:tcW w:w="879" w:type="dxa"/>
            <w:tcBorders>
              <w:top w:val="nil"/>
              <w:left w:val="nil"/>
              <w:bottom w:val="nil"/>
              <w:right w:val="nil"/>
            </w:tcBorders>
            <w:shd w:val="clear" w:color="auto" w:fill="auto"/>
            <w:noWrap/>
            <w:vAlign w:val="bottom"/>
            <w:hideMark/>
          </w:tcPr>
          <w:p w14:paraId="14EB4FD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0.00255</w:t>
            </w:r>
          </w:p>
        </w:tc>
        <w:tc>
          <w:tcPr>
            <w:tcW w:w="831" w:type="dxa"/>
            <w:tcBorders>
              <w:top w:val="nil"/>
              <w:left w:val="nil"/>
              <w:bottom w:val="nil"/>
              <w:right w:val="nil"/>
            </w:tcBorders>
            <w:shd w:val="clear" w:color="auto" w:fill="auto"/>
            <w:noWrap/>
            <w:vAlign w:val="bottom"/>
            <w:hideMark/>
          </w:tcPr>
          <w:p w14:paraId="2263D88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0.0233</w:t>
            </w:r>
          </w:p>
        </w:tc>
        <w:tc>
          <w:tcPr>
            <w:tcW w:w="865" w:type="dxa"/>
            <w:tcBorders>
              <w:top w:val="nil"/>
              <w:left w:val="nil"/>
              <w:bottom w:val="nil"/>
              <w:right w:val="nil"/>
            </w:tcBorders>
            <w:shd w:val="clear" w:color="auto" w:fill="auto"/>
            <w:vAlign w:val="bottom"/>
          </w:tcPr>
          <w:p w14:paraId="6B76ADE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-0.00242</w:t>
            </w:r>
          </w:p>
        </w:tc>
      </w:tr>
      <w:tr w:rsidR="00063F17" w:rsidRPr="00835DC6" w14:paraId="3D5519E8" w14:textId="77777777" w:rsidTr="00284C07">
        <w:trPr>
          <w:trHeight w:val="276"/>
        </w:trPr>
        <w:tc>
          <w:tcPr>
            <w:tcW w:w="1317" w:type="dxa"/>
            <w:tcBorders>
              <w:top w:val="nil"/>
              <w:left w:val="nil"/>
              <w:bottom w:val="nil"/>
              <w:right w:val="nil"/>
            </w:tcBorders>
            <w:shd w:val="clear" w:color="auto" w:fill="auto"/>
            <w:vAlign w:val="bottom"/>
            <w:hideMark/>
          </w:tcPr>
          <w:p w14:paraId="39D66E2D"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724D954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(0.0931)</w:t>
            </w:r>
          </w:p>
        </w:tc>
        <w:tc>
          <w:tcPr>
            <w:tcW w:w="732" w:type="dxa"/>
            <w:tcBorders>
              <w:top w:val="nil"/>
              <w:left w:val="nil"/>
              <w:bottom w:val="nil"/>
              <w:right w:val="nil"/>
            </w:tcBorders>
            <w:shd w:val="clear" w:color="auto" w:fill="auto"/>
            <w:noWrap/>
            <w:vAlign w:val="bottom"/>
            <w:hideMark/>
          </w:tcPr>
          <w:p w14:paraId="2565ACD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(0.692)</w:t>
            </w:r>
          </w:p>
        </w:tc>
        <w:tc>
          <w:tcPr>
            <w:tcW w:w="732" w:type="dxa"/>
            <w:tcBorders>
              <w:top w:val="nil"/>
              <w:left w:val="nil"/>
              <w:bottom w:val="nil"/>
              <w:right w:val="nil"/>
            </w:tcBorders>
            <w:shd w:val="clear" w:color="auto" w:fill="auto"/>
            <w:noWrap/>
            <w:vAlign w:val="bottom"/>
            <w:hideMark/>
          </w:tcPr>
          <w:p w14:paraId="48A3EC40" w14:textId="6163FD33"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(0.085)</w:t>
            </w:r>
          </w:p>
        </w:tc>
        <w:tc>
          <w:tcPr>
            <w:tcW w:w="818" w:type="dxa"/>
            <w:tcBorders>
              <w:top w:val="nil"/>
              <w:left w:val="nil"/>
              <w:bottom w:val="nil"/>
              <w:right w:val="nil"/>
            </w:tcBorders>
            <w:shd w:val="clear" w:color="auto" w:fill="auto"/>
            <w:noWrap/>
            <w:vAlign w:val="bottom"/>
            <w:hideMark/>
          </w:tcPr>
          <w:p w14:paraId="53AB25A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(1.665)</w:t>
            </w:r>
          </w:p>
        </w:tc>
        <w:tc>
          <w:tcPr>
            <w:tcW w:w="948" w:type="dxa"/>
            <w:tcBorders>
              <w:top w:val="nil"/>
              <w:left w:val="nil"/>
              <w:bottom w:val="nil"/>
              <w:right w:val="nil"/>
            </w:tcBorders>
            <w:shd w:val="clear" w:color="auto" w:fill="auto"/>
            <w:noWrap/>
            <w:vAlign w:val="bottom"/>
            <w:hideMark/>
          </w:tcPr>
          <w:p w14:paraId="67D109D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(0.282)</w:t>
            </w:r>
          </w:p>
        </w:tc>
        <w:tc>
          <w:tcPr>
            <w:tcW w:w="919" w:type="dxa"/>
            <w:tcBorders>
              <w:top w:val="nil"/>
              <w:left w:val="nil"/>
              <w:bottom w:val="nil"/>
              <w:right w:val="nil"/>
            </w:tcBorders>
            <w:shd w:val="clear" w:color="auto" w:fill="auto"/>
            <w:noWrap/>
            <w:vAlign w:val="bottom"/>
            <w:hideMark/>
          </w:tcPr>
          <w:p w14:paraId="5972FBC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(0.0209)</w:t>
            </w:r>
          </w:p>
        </w:tc>
        <w:tc>
          <w:tcPr>
            <w:tcW w:w="849" w:type="dxa"/>
            <w:tcBorders>
              <w:top w:val="nil"/>
              <w:left w:val="nil"/>
              <w:bottom w:val="nil"/>
              <w:right w:val="nil"/>
            </w:tcBorders>
            <w:shd w:val="clear" w:color="auto" w:fill="auto"/>
            <w:noWrap/>
            <w:vAlign w:val="bottom"/>
            <w:hideMark/>
          </w:tcPr>
          <w:p w14:paraId="2B3110F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(0.0336)</w:t>
            </w:r>
          </w:p>
        </w:tc>
        <w:tc>
          <w:tcPr>
            <w:tcW w:w="879" w:type="dxa"/>
            <w:tcBorders>
              <w:top w:val="nil"/>
              <w:left w:val="nil"/>
              <w:bottom w:val="nil"/>
              <w:right w:val="nil"/>
            </w:tcBorders>
            <w:shd w:val="clear" w:color="auto" w:fill="auto"/>
            <w:noWrap/>
            <w:vAlign w:val="bottom"/>
            <w:hideMark/>
          </w:tcPr>
          <w:p w14:paraId="146515F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(0.0306)</w:t>
            </w:r>
          </w:p>
        </w:tc>
        <w:tc>
          <w:tcPr>
            <w:tcW w:w="831" w:type="dxa"/>
            <w:tcBorders>
              <w:top w:val="nil"/>
              <w:left w:val="nil"/>
              <w:bottom w:val="nil"/>
              <w:right w:val="nil"/>
            </w:tcBorders>
            <w:shd w:val="clear" w:color="auto" w:fill="auto"/>
            <w:noWrap/>
            <w:vAlign w:val="bottom"/>
            <w:hideMark/>
          </w:tcPr>
          <w:p w14:paraId="0507B79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(0.0200)</w:t>
            </w:r>
          </w:p>
        </w:tc>
        <w:tc>
          <w:tcPr>
            <w:tcW w:w="865" w:type="dxa"/>
            <w:tcBorders>
              <w:top w:val="nil"/>
              <w:left w:val="nil"/>
              <w:bottom w:val="nil"/>
              <w:right w:val="nil"/>
            </w:tcBorders>
            <w:shd w:val="clear" w:color="auto" w:fill="auto"/>
            <w:vAlign w:val="bottom"/>
          </w:tcPr>
          <w:p w14:paraId="1419D03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(0.0382)</w:t>
            </w:r>
          </w:p>
        </w:tc>
      </w:tr>
      <w:tr w:rsidR="00063F17" w:rsidRPr="00835DC6" w14:paraId="67B241CE" w14:textId="77777777" w:rsidTr="00284C07">
        <w:trPr>
          <w:trHeight w:val="134"/>
        </w:trPr>
        <w:tc>
          <w:tcPr>
            <w:tcW w:w="1317" w:type="dxa"/>
            <w:tcBorders>
              <w:top w:val="nil"/>
              <w:left w:val="nil"/>
              <w:bottom w:val="nil"/>
              <w:right w:val="nil"/>
            </w:tcBorders>
            <w:shd w:val="clear" w:color="auto" w:fill="auto"/>
            <w:vAlign w:val="bottom"/>
            <w:hideMark/>
          </w:tcPr>
          <w:p w14:paraId="04CFA9E8"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2009 Cohort*TA Eligibility</w:t>
            </w:r>
          </w:p>
        </w:tc>
        <w:tc>
          <w:tcPr>
            <w:tcW w:w="829" w:type="dxa"/>
            <w:tcBorders>
              <w:top w:val="nil"/>
              <w:left w:val="nil"/>
              <w:bottom w:val="nil"/>
              <w:right w:val="nil"/>
            </w:tcBorders>
            <w:shd w:val="clear" w:color="auto" w:fill="auto"/>
            <w:noWrap/>
            <w:vAlign w:val="bottom"/>
            <w:hideMark/>
          </w:tcPr>
          <w:p w14:paraId="2DB5EDD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0.161*</w:t>
            </w:r>
          </w:p>
        </w:tc>
        <w:tc>
          <w:tcPr>
            <w:tcW w:w="732" w:type="dxa"/>
            <w:tcBorders>
              <w:top w:val="nil"/>
              <w:left w:val="nil"/>
              <w:bottom w:val="nil"/>
              <w:right w:val="nil"/>
            </w:tcBorders>
            <w:shd w:val="clear" w:color="auto" w:fill="auto"/>
            <w:noWrap/>
            <w:vAlign w:val="bottom"/>
            <w:hideMark/>
          </w:tcPr>
          <w:p w14:paraId="377232AA" w14:textId="53F57800"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1.44**</w:t>
            </w:r>
          </w:p>
        </w:tc>
        <w:tc>
          <w:tcPr>
            <w:tcW w:w="732" w:type="dxa"/>
            <w:tcBorders>
              <w:top w:val="nil"/>
              <w:left w:val="nil"/>
              <w:bottom w:val="nil"/>
              <w:right w:val="nil"/>
            </w:tcBorders>
            <w:shd w:val="clear" w:color="auto" w:fill="auto"/>
            <w:noWrap/>
            <w:vAlign w:val="bottom"/>
            <w:hideMark/>
          </w:tcPr>
          <w:p w14:paraId="330E6A4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0.122</w:t>
            </w:r>
          </w:p>
        </w:tc>
        <w:tc>
          <w:tcPr>
            <w:tcW w:w="818" w:type="dxa"/>
            <w:tcBorders>
              <w:top w:val="nil"/>
              <w:left w:val="nil"/>
              <w:bottom w:val="nil"/>
              <w:right w:val="nil"/>
            </w:tcBorders>
            <w:shd w:val="clear" w:color="auto" w:fill="auto"/>
            <w:noWrap/>
            <w:vAlign w:val="bottom"/>
            <w:hideMark/>
          </w:tcPr>
          <w:p w14:paraId="4B0F899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1.237</w:t>
            </w:r>
          </w:p>
        </w:tc>
        <w:tc>
          <w:tcPr>
            <w:tcW w:w="948" w:type="dxa"/>
            <w:tcBorders>
              <w:top w:val="nil"/>
              <w:left w:val="nil"/>
              <w:bottom w:val="nil"/>
              <w:right w:val="nil"/>
            </w:tcBorders>
            <w:shd w:val="clear" w:color="auto" w:fill="auto"/>
            <w:noWrap/>
            <w:vAlign w:val="bottom"/>
            <w:hideMark/>
          </w:tcPr>
          <w:p w14:paraId="2E1F673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0.416</w:t>
            </w:r>
          </w:p>
        </w:tc>
        <w:tc>
          <w:tcPr>
            <w:tcW w:w="919" w:type="dxa"/>
            <w:tcBorders>
              <w:top w:val="nil"/>
              <w:left w:val="nil"/>
              <w:bottom w:val="nil"/>
              <w:right w:val="nil"/>
            </w:tcBorders>
            <w:shd w:val="clear" w:color="auto" w:fill="auto"/>
            <w:noWrap/>
            <w:vAlign w:val="bottom"/>
            <w:hideMark/>
          </w:tcPr>
          <w:p w14:paraId="05C7634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0.00270</w:t>
            </w:r>
          </w:p>
        </w:tc>
        <w:tc>
          <w:tcPr>
            <w:tcW w:w="849" w:type="dxa"/>
            <w:tcBorders>
              <w:top w:val="nil"/>
              <w:left w:val="nil"/>
              <w:bottom w:val="nil"/>
              <w:right w:val="nil"/>
            </w:tcBorders>
            <w:shd w:val="clear" w:color="auto" w:fill="auto"/>
            <w:noWrap/>
            <w:vAlign w:val="bottom"/>
            <w:hideMark/>
          </w:tcPr>
          <w:p w14:paraId="4D385A6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0.00881</w:t>
            </w:r>
          </w:p>
        </w:tc>
        <w:tc>
          <w:tcPr>
            <w:tcW w:w="879" w:type="dxa"/>
            <w:tcBorders>
              <w:top w:val="nil"/>
              <w:left w:val="nil"/>
              <w:bottom w:val="nil"/>
              <w:right w:val="nil"/>
            </w:tcBorders>
            <w:shd w:val="clear" w:color="auto" w:fill="auto"/>
            <w:noWrap/>
            <w:vAlign w:val="bottom"/>
            <w:hideMark/>
          </w:tcPr>
          <w:p w14:paraId="05F129C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0.0245</w:t>
            </w:r>
          </w:p>
        </w:tc>
        <w:tc>
          <w:tcPr>
            <w:tcW w:w="831" w:type="dxa"/>
            <w:tcBorders>
              <w:top w:val="nil"/>
              <w:left w:val="nil"/>
              <w:bottom w:val="nil"/>
              <w:right w:val="nil"/>
            </w:tcBorders>
            <w:shd w:val="clear" w:color="auto" w:fill="auto"/>
            <w:noWrap/>
            <w:vAlign w:val="bottom"/>
            <w:hideMark/>
          </w:tcPr>
          <w:p w14:paraId="0FDCF45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0.0317*</w:t>
            </w:r>
          </w:p>
        </w:tc>
        <w:tc>
          <w:tcPr>
            <w:tcW w:w="865" w:type="dxa"/>
            <w:tcBorders>
              <w:top w:val="nil"/>
              <w:left w:val="nil"/>
              <w:bottom w:val="nil"/>
              <w:right w:val="nil"/>
            </w:tcBorders>
            <w:shd w:val="clear" w:color="auto" w:fill="auto"/>
            <w:vAlign w:val="bottom"/>
          </w:tcPr>
          <w:p w14:paraId="2A966BC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-0.101***</w:t>
            </w:r>
          </w:p>
        </w:tc>
      </w:tr>
      <w:tr w:rsidR="00063F17" w:rsidRPr="00835DC6" w14:paraId="62CED960" w14:textId="77777777" w:rsidTr="00284C07">
        <w:trPr>
          <w:trHeight w:val="276"/>
        </w:trPr>
        <w:tc>
          <w:tcPr>
            <w:tcW w:w="1317" w:type="dxa"/>
            <w:tcBorders>
              <w:top w:val="nil"/>
              <w:left w:val="nil"/>
              <w:bottom w:val="nil"/>
              <w:right w:val="nil"/>
            </w:tcBorders>
            <w:shd w:val="clear" w:color="auto" w:fill="auto"/>
            <w:vAlign w:val="bottom"/>
            <w:hideMark/>
          </w:tcPr>
          <w:p w14:paraId="3C936DBA"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7EE5560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(0.0902)</w:t>
            </w:r>
          </w:p>
        </w:tc>
        <w:tc>
          <w:tcPr>
            <w:tcW w:w="732" w:type="dxa"/>
            <w:tcBorders>
              <w:top w:val="nil"/>
              <w:left w:val="nil"/>
              <w:bottom w:val="nil"/>
              <w:right w:val="nil"/>
            </w:tcBorders>
            <w:shd w:val="clear" w:color="auto" w:fill="auto"/>
            <w:noWrap/>
            <w:vAlign w:val="bottom"/>
            <w:hideMark/>
          </w:tcPr>
          <w:p w14:paraId="3F21519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(0.650)</w:t>
            </w:r>
          </w:p>
        </w:tc>
        <w:tc>
          <w:tcPr>
            <w:tcW w:w="732" w:type="dxa"/>
            <w:tcBorders>
              <w:top w:val="nil"/>
              <w:left w:val="nil"/>
              <w:bottom w:val="nil"/>
              <w:right w:val="nil"/>
            </w:tcBorders>
            <w:shd w:val="clear" w:color="auto" w:fill="auto"/>
            <w:noWrap/>
            <w:vAlign w:val="bottom"/>
            <w:hideMark/>
          </w:tcPr>
          <w:p w14:paraId="7C44A137" w14:textId="29613D74"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(0.08</w:t>
            </w:r>
            <w:r w:rsidR="00284C07">
              <w:rPr>
                <w:rFonts w:ascii="Times New Roman" w:hAnsi="Times New Roman" w:cs="Times New Roman"/>
                <w:color w:val="000000"/>
                <w:sz w:val="16"/>
                <w:szCs w:val="20"/>
              </w:rPr>
              <w:t>4</w:t>
            </w:r>
            <w:r w:rsidRPr="00835DC6">
              <w:rPr>
                <w:rFonts w:ascii="Times New Roman" w:hAnsi="Times New Roman" w:cs="Times New Roman"/>
                <w:color w:val="000000"/>
                <w:sz w:val="16"/>
                <w:szCs w:val="20"/>
              </w:rPr>
              <w:t>)</w:t>
            </w:r>
          </w:p>
        </w:tc>
        <w:tc>
          <w:tcPr>
            <w:tcW w:w="818" w:type="dxa"/>
            <w:tcBorders>
              <w:top w:val="nil"/>
              <w:left w:val="nil"/>
              <w:bottom w:val="nil"/>
              <w:right w:val="nil"/>
            </w:tcBorders>
            <w:shd w:val="clear" w:color="auto" w:fill="auto"/>
            <w:noWrap/>
            <w:vAlign w:val="bottom"/>
            <w:hideMark/>
          </w:tcPr>
          <w:p w14:paraId="6FE9A91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(1.539)</w:t>
            </w:r>
          </w:p>
        </w:tc>
        <w:tc>
          <w:tcPr>
            <w:tcW w:w="948" w:type="dxa"/>
            <w:tcBorders>
              <w:top w:val="nil"/>
              <w:left w:val="nil"/>
              <w:bottom w:val="nil"/>
              <w:right w:val="nil"/>
            </w:tcBorders>
            <w:shd w:val="clear" w:color="auto" w:fill="auto"/>
            <w:noWrap/>
            <w:vAlign w:val="bottom"/>
            <w:hideMark/>
          </w:tcPr>
          <w:p w14:paraId="720A0B1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(0.261)</w:t>
            </w:r>
          </w:p>
        </w:tc>
        <w:tc>
          <w:tcPr>
            <w:tcW w:w="919" w:type="dxa"/>
            <w:tcBorders>
              <w:top w:val="nil"/>
              <w:left w:val="nil"/>
              <w:bottom w:val="nil"/>
              <w:right w:val="nil"/>
            </w:tcBorders>
            <w:shd w:val="clear" w:color="auto" w:fill="auto"/>
            <w:noWrap/>
            <w:vAlign w:val="bottom"/>
            <w:hideMark/>
          </w:tcPr>
          <w:p w14:paraId="065747F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(0.0195)</w:t>
            </w:r>
          </w:p>
        </w:tc>
        <w:tc>
          <w:tcPr>
            <w:tcW w:w="849" w:type="dxa"/>
            <w:tcBorders>
              <w:top w:val="nil"/>
              <w:left w:val="nil"/>
              <w:bottom w:val="nil"/>
              <w:right w:val="nil"/>
            </w:tcBorders>
            <w:shd w:val="clear" w:color="auto" w:fill="auto"/>
            <w:noWrap/>
            <w:vAlign w:val="bottom"/>
            <w:hideMark/>
          </w:tcPr>
          <w:p w14:paraId="5D6FCE6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(0.0312)</w:t>
            </w:r>
          </w:p>
        </w:tc>
        <w:tc>
          <w:tcPr>
            <w:tcW w:w="879" w:type="dxa"/>
            <w:tcBorders>
              <w:top w:val="nil"/>
              <w:left w:val="nil"/>
              <w:bottom w:val="nil"/>
              <w:right w:val="nil"/>
            </w:tcBorders>
            <w:shd w:val="clear" w:color="auto" w:fill="auto"/>
            <w:noWrap/>
            <w:vAlign w:val="bottom"/>
            <w:hideMark/>
          </w:tcPr>
          <w:p w14:paraId="254D334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(0.0282)</w:t>
            </w:r>
          </w:p>
        </w:tc>
        <w:tc>
          <w:tcPr>
            <w:tcW w:w="831" w:type="dxa"/>
            <w:tcBorders>
              <w:top w:val="nil"/>
              <w:left w:val="nil"/>
              <w:bottom w:val="nil"/>
              <w:right w:val="nil"/>
            </w:tcBorders>
            <w:shd w:val="clear" w:color="auto" w:fill="auto"/>
            <w:noWrap/>
            <w:vAlign w:val="bottom"/>
            <w:hideMark/>
          </w:tcPr>
          <w:p w14:paraId="1DB62FE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(0.0190)</w:t>
            </w:r>
          </w:p>
        </w:tc>
        <w:tc>
          <w:tcPr>
            <w:tcW w:w="865" w:type="dxa"/>
            <w:tcBorders>
              <w:top w:val="nil"/>
              <w:left w:val="nil"/>
              <w:bottom w:val="nil"/>
              <w:right w:val="nil"/>
            </w:tcBorders>
            <w:shd w:val="clear" w:color="auto" w:fill="auto"/>
            <w:vAlign w:val="bottom"/>
          </w:tcPr>
          <w:p w14:paraId="715847F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(0.0357)</w:t>
            </w:r>
          </w:p>
        </w:tc>
      </w:tr>
      <w:tr w:rsidR="00063F17" w:rsidRPr="00835DC6" w14:paraId="3E2ABFD2" w14:textId="77777777" w:rsidTr="00284C07">
        <w:trPr>
          <w:trHeight w:val="98"/>
        </w:trPr>
        <w:tc>
          <w:tcPr>
            <w:tcW w:w="1317" w:type="dxa"/>
            <w:tcBorders>
              <w:top w:val="nil"/>
              <w:left w:val="nil"/>
              <w:bottom w:val="nil"/>
              <w:right w:val="nil"/>
            </w:tcBorders>
            <w:shd w:val="clear" w:color="auto" w:fill="auto"/>
            <w:vAlign w:val="bottom"/>
            <w:hideMark/>
          </w:tcPr>
          <w:p w14:paraId="34762CB0"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2010 Cohort*TA Eligibility</w:t>
            </w:r>
          </w:p>
        </w:tc>
        <w:tc>
          <w:tcPr>
            <w:tcW w:w="829" w:type="dxa"/>
            <w:tcBorders>
              <w:top w:val="nil"/>
              <w:left w:val="nil"/>
              <w:bottom w:val="nil"/>
              <w:right w:val="nil"/>
            </w:tcBorders>
            <w:shd w:val="clear" w:color="auto" w:fill="auto"/>
            <w:noWrap/>
            <w:vAlign w:val="bottom"/>
            <w:hideMark/>
          </w:tcPr>
          <w:p w14:paraId="349D3C9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0.350***</w:t>
            </w:r>
          </w:p>
        </w:tc>
        <w:tc>
          <w:tcPr>
            <w:tcW w:w="732" w:type="dxa"/>
            <w:tcBorders>
              <w:top w:val="nil"/>
              <w:left w:val="nil"/>
              <w:bottom w:val="nil"/>
              <w:right w:val="nil"/>
            </w:tcBorders>
            <w:shd w:val="clear" w:color="auto" w:fill="auto"/>
            <w:noWrap/>
            <w:vAlign w:val="bottom"/>
            <w:hideMark/>
          </w:tcPr>
          <w:p w14:paraId="0F2A793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1.196*</w:t>
            </w:r>
          </w:p>
        </w:tc>
        <w:tc>
          <w:tcPr>
            <w:tcW w:w="732" w:type="dxa"/>
            <w:tcBorders>
              <w:top w:val="nil"/>
              <w:left w:val="nil"/>
              <w:bottom w:val="nil"/>
              <w:right w:val="nil"/>
            </w:tcBorders>
            <w:shd w:val="clear" w:color="auto" w:fill="auto"/>
            <w:noWrap/>
            <w:vAlign w:val="bottom"/>
            <w:hideMark/>
          </w:tcPr>
          <w:p w14:paraId="6B78552B" w14:textId="66688BA6"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0.35***</w:t>
            </w:r>
          </w:p>
        </w:tc>
        <w:tc>
          <w:tcPr>
            <w:tcW w:w="818" w:type="dxa"/>
            <w:tcBorders>
              <w:top w:val="nil"/>
              <w:left w:val="nil"/>
              <w:bottom w:val="nil"/>
              <w:right w:val="nil"/>
            </w:tcBorders>
            <w:shd w:val="clear" w:color="auto" w:fill="auto"/>
            <w:noWrap/>
            <w:vAlign w:val="bottom"/>
            <w:hideMark/>
          </w:tcPr>
          <w:p w14:paraId="026842F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4.602***</w:t>
            </w:r>
          </w:p>
        </w:tc>
        <w:tc>
          <w:tcPr>
            <w:tcW w:w="948" w:type="dxa"/>
            <w:tcBorders>
              <w:top w:val="nil"/>
              <w:left w:val="nil"/>
              <w:bottom w:val="nil"/>
              <w:right w:val="nil"/>
            </w:tcBorders>
            <w:shd w:val="clear" w:color="auto" w:fill="auto"/>
            <w:noWrap/>
            <w:vAlign w:val="bottom"/>
            <w:hideMark/>
          </w:tcPr>
          <w:p w14:paraId="74DCD5D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1.183***</w:t>
            </w:r>
          </w:p>
        </w:tc>
        <w:tc>
          <w:tcPr>
            <w:tcW w:w="919" w:type="dxa"/>
            <w:tcBorders>
              <w:top w:val="nil"/>
              <w:left w:val="nil"/>
              <w:bottom w:val="nil"/>
              <w:right w:val="nil"/>
            </w:tcBorders>
            <w:shd w:val="clear" w:color="auto" w:fill="auto"/>
            <w:noWrap/>
            <w:vAlign w:val="bottom"/>
            <w:hideMark/>
          </w:tcPr>
          <w:p w14:paraId="57038A9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0.0254</w:t>
            </w:r>
          </w:p>
        </w:tc>
        <w:tc>
          <w:tcPr>
            <w:tcW w:w="849" w:type="dxa"/>
            <w:tcBorders>
              <w:top w:val="nil"/>
              <w:left w:val="nil"/>
              <w:bottom w:val="nil"/>
              <w:right w:val="nil"/>
            </w:tcBorders>
            <w:shd w:val="clear" w:color="auto" w:fill="auto"/>
            <w:noWrap/>
            <w:vAlign w:val="bottom"/>
            <w:hideMark/>
          </w:tcPr>
          <w:p w14:paraId="3DE8C7B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0.0323</w:t>
            </w:r>
          </w:p>
        </w:tc>
        <w:tc>
          <w:tcPr>
            <w:tcW w:w="879" w:type="dxa"/>
            <w:tcBorders>
              <w:top w:val="nil"/>
              <w:left w:val="nil"/>
              <w:bottom w:val="nil"/>
              <w:right w:val="nil"/>
            </w:tcBorders>
            <w:shd w:val="clear" w:color="auto" w:fill="auto"/>
            <w:noWrap/>
            <w:vAlign w:val="bottom"/>
            <w:hideMark/>
          </w:tcPr>
          <w:p w14:paraId="2642201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0.0292</w:t>
            </w:r>
          </w:p>
        </w:tc>
        <w:tc>
          <w:tcPr>
            <w:tcW w:w="831" w:type="dxa"/>
            <w:tcBorders>
              <w:top w:val="nil"/>
              <w:left w:val="nil"/>
              <w:bottom w:val="nil"/>
              <w:right w:val="nil"/>
            </w:tcBorders>
            <w:shd w:val="clear" w:color="auto" w:fill="auto"/>
            <w:noWrap/>
            <w:vAlign w:val="bottom"/>
            <w:hideMark/>
          </w:tcPr>
          <w:p w14:paraId="51D66BD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0.0355*</w:t>
            </w:r>
          </w:p>
        </w:tc>
        <w:tc>
          <w:tcPr>
            <w:tcW w:w="865" w:type="dxa"/>
            <w:tcBorders>
              <w:top w:val="nil"/>
              <w:left w:val="nil"/>
              <w:bottom w:val="nil"/>
              <w:right w:val="nil"/>
            </w:tcBorders>
            <w:shd w:val="clear" w:color="auto" w:fill="auto"/>
            <w:vAlign w:val="bottom"/>
          </w:tcPr>
          <w:p w14:paraId="29F52F7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-0.0630</w:t>
            </w:r>
          </w:p>
        </w:tc>
      </w:tr>
      <w:tr w:rsidR="00063F17" w:rsidRPr="00835DC6" w14:paraId="5D893762" w14:textId="77777777" w:rsidTr="00284C07">
        <w:trPr>
          <w:trHeight w:val="276"/>
        </w:trPr>
        <w:tc>
          <w:tcPr>
            <w:tcW w:w="1317" w:type="dxa"/>
            <w:tcBorders>
              <w:top w:val="nil"/>
              <w:left w:val="nil"/>
              <w:bottom w:val="nil"/>
              <w:right w:val="nil"/>
            </w:tcBorders>
            <w:shd w:val="clear" w:color="auto" w:fill="auto"/>
            <w:vAlign w:val="bottom"/>
            <w:hideMark/>
          </w:tcPr>
          <w:p w14:paraId="090DC218"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6FDBCE4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(0.101)</w:t>
            </w:r>
          </w:p>
        </w:tc>
        <w:tc>
          <w:tcPr>
            <w:tcW w:w="732" w:type="dxa"/>
            <w:tcBorders>
              <w:top w:val="nil"/>
              <w:left w:val="nil"/>
              <w:bottom w:val="nil"/>
              <w:right w:val="nil"/>
            </w:tcBorders>
            <w:shd w:val="clear" w:color="auto" w:fill="auto"/>
            <w:noWrap/>
            <w:vAlign w:val="bottom"/>
            <w:hideMark/>
          </w:tcPr>
          <w:p w14:paraId="5E85AFD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(0.689)</w:t>
            </w:r>
          </w:p>
        </w:tc>
        <w:tc>
          <w:tcPr>
            <w:tcW w:w="732" w:type="dxa"/>
            <w:tcBorders>
              <w:top w:val="nil"/>
              <w:left w:val="nil"/>
              <w:bottom w:val="nil"/>
              <w:right w:val="nil"/>
            </w:tcBorders>
            <w:shd w:val="clear" w:color="auto" w:fill="auto"/>
            <w:noWrap/>
            <w:vAlign w:val="bottom"/>
            <w:hideMark/>
          </w:tcPr>
          <w:p w14:paraId="49B8C079" w14:textId="127F485C"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(0.093)</w:t>
            </w:r>
          </w:p>
        </w:tc>
        <w:tc>
          <w:tcPr>
            <w:tcW w:w="818" w:type="dxa"/>
            <w:tcBorders>
              <w:top w:val="nil"/>
              <w:left w:val="nil"/>
              <w:bottom w:val="nil"/>
              <w:right w:val="nil"/>
            </w:tcBorders>
            <w:shd w:val="clear" w:color="auto" w:fill="auto"/>
            <w:noWrap/>
            <w:vAlign w:val="bottom"/>
            <w:hideMark/>
          </w:tcPr>
          <w:p w14:paraId="4FBCC03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(1.635)</w:t>
            </w:r>
          </w:p>
        </w:tc>
        <w:tc>
          <w:tcPr>
            <w:tcW w:w="948" w:type="dxa"/>
            <w:tcBorders>
              <w:top w:val="nil"/>
              <w:left w:val="nil"/>
              <w:bottom w:val="nil"/>
              <w:right w:val="nil"/>
            </w:tcBorders>
            <w:shd w:val="clear" w:color="auto" w:fill="auto"/>
            <w:noWrap/>
            <w:vAlign w:val="bottom"/>
            <w:hideMark/>
          </w:tcPr>
          <w:p w14:paraId="1726EB2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(0.274)</w:t>
            </w:r>
          </w:p>
        </w:tc>
        <w:tc>
          <w:tcPr>
            <w:tcW w:w="919" w:type="dxa"/>
            <w:tcBorders>
              <w:top w:val="nil"/>
              <w:left w:val="nil"/>
              <w:bottom w:val="nil"/>
              <w:right w:val="nil"/>
            </w:tcBorders>
            <w:shd w:val="clear" w:color="auto" w:fill="auto"/>
            <w:noWrap/>
            <w:vAlign w:val="bottom"/>
            <w:hideMark/>
          </w:tcPr>
          <w:p w14:paraId="4B18039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(0.0197)</w:t>
            </w:r>
          </w:p>
        </w:tc>
        <w:tc>
          <w:tcPr>
            <w:tcW w:w="849" w:type="dxa"/>
            <w:tcBorders>
              <w:top w:val="nil"/>
              <w:left w:val="nil"/>
              <w:bottom w:val="nil"/>
              <w:right w:val="nil"/>
            </w:tcBorders>
            <w:shd w:val="clear" w:color="auto" w:fill="auto"/>
            <w:noWrap/>
            <w:vAlign w:val="bottom"/>
            <w:hideMark/>
          </w:tcPr>
          <w:p w14:paraId="734EC28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(0.0325)</w:t>
            </w:r>
          </w:p>
        </w:tc>
        <w:tc>
          <w:tcPr>
            <w:tcW w:w="879" w:type="dxa"/>
            <w:tcBorders>
              <w:top w:val="nil"/>
              <w:left w:val="nil"/>
              <w:bottom w:val="nil"/>
              <w:right w:val="nil"/>
            </w:tcBorders>
            <w:shd w:val="clear" w:color="auto" w:fill="auto"/>
            <w:noWrap/>
            <w:vAlign w:val="bottom"/>
            <w:hideMark/>
          </w:tcPr>
          <w:p w14:paraId="2F8A570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(0.0294)</w:t>
            </w:r>
          </w:p>
        </w:tc>
        <w:tc>
          <w:tcPr>
            <w:tcW w:w="831" w:type="dxa"/>
            <w:tcBorders>
              <w:top w:val="nil"/>
              <w:left w:val="nil"/>
              <w:bottom w:val="nil"/>
              <w:right w:val="nil"/>
            </w:tcBorders>
            <w:shd w:val="clear" w:color="auto" w:fill="auto"/>
            <w:noWrap/>
            <w:vAlign w:val="bottom"/>
            <w:hideMark/>
          </w:tcPr>
          <w:p w14:paraId="69390C7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(0.0204)</w:t>
            </w:r>
          </w:p>
        </w:tc>
        <w:tc>
          <w:tcPr>
            <w:tcW w:w="865" w:type="dxa"/>
            <w:tcBorders>
              <w:top w:val="nil"/>
              <w:left w:val="nil"/>
              <w:bottom w:val="nil"/>
              <w:right w:val="nil"/>
            </w:tcBorders>
            <w:shd w:val="clear" w:color="auto" w:fill="auto"/>
            <w:vAlign w:val="bottom"/>
          </w:tcPr>
          <w:p w14:paraId="4CA1280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(0.0383)</w:t>
            </w:r>
          </w:p>
        </w:tc>
      </w:tr>
      <w:tr w:rsidR="00063F17" w:rsidRPr="00835DC6" w14:paraId="58163F60" w14:textId="77777777" w:rsidTr="00284C07">
        <w:trPr>
          <w:trHeight w:val="64"/>
        </w:trPr>
        <w:tc>
          <w:tcPr>
            <w:tcW w:w="1317" w:type="dxa"/>
            <w:tcBorders>
              <w:top w:val="nil"/>
              <w:left w:val="nil"/>
              <w:bottom w:val="nil"/>
              <w:right w:val="nil"/>
            </w:tcBorders>
            <w:shd w:val="clear" w:color="auto" w:fill="auto"/>
            <w:vAlign w:val="bottom"/>
            <w:hideMark/>
          </w:tcPr>
          <w:p w14:paraId="741E9632"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2011 Cohort*TA Eligibility</w:t>
            </w:r>
          </w:p>
        </w:tc>
        <w:tc>
          <w:tcPr>
            <w:tcW w:w="829" w:type="dxa"/>
            <w:tcBorders>
              <w:top w:val="nil"/>
              <w:left w:val="nil"/>
              <w:bottom w:val="nil"/>
              <w:right w:val="nil"/>
            </w:tcBorders>
            <w:shd w:val="clear" w:color="auto" w:fill="auto"/>
            <w:noWrap/>
            <w:vAlign w:val="bottom"/>
            <w:hideMark/>
          </w:tcPr>
          <w:p w14:paraId="5474F61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0.217**</w:t>
            </w:r>
          </w:p>
        </w:tc>
        <w:tc>
          <w:tcPr>
            <w:tcW w:w="732" w:type="dxa"/>
            <w:tcBorders>
              <w:top w:val="nil"/>
              <w:left w:val="nil"/>
              <w:bottom w:val="nil"/>
              <w:right w:val="nil"/>
            </w:tcBorders>
            <w:shd w:val="clear" w:color="auto" w:fill="auto"/>
            <w:noWrap/>
            <w:vAlign w:val="bottom"/>
            <w:hideMark/>
          </w:tcPr>
          <w:p w14:paraId="2610FEC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0.929</w:t>
            </w:r>
          </w:p>
        </w:tc>
        <w:tc>
          <w:tcPr>
            <w:tcW w:w="732" w:type="dxa"/>
            <w:tcBorders>
              <w:top w:val="nil"/>
              <w:left w:val="nil"/>
              <w:bottom w:val="nil"/>
              <w:right w:val="nil"/>
            </w:tcBorders>
            <w:shd w:val="clear" w:color="auto" w:fill="auto"/>
            <w:noWrap/>
            <w:vAlign w:val="bottom"/>
            <w:hideMark/>
          </w:tcPr>
          <w:p w14:paraId="750A39B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0.157</w:t>
            </w:r>
          </w:p>
        </w:tc>
        <w:tc>
          <w:tcPr>
            <w:tcW w:w="818" w:type="dxa"/>
            <w:tcBorders>
              <w:top w:val="nil"/>
              <w:left w:val="nil"/>
              <w:bottom w:val="nil"/>
              <w:right w:val="nil"/>
            </w:tcBorders>
            <w:shd w:val="clear" w:color="auto" w:fill="auto"/>
            <w:noWrap/>
            <w:vAlign w:val="bottom"/>
            <w:hideMark/>
          </w:tcPr>
          <w:p w14:paraId="2455B24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2.259</w:t>
            </w:r>
          </w:p>
        </w:tc>
        <w:tc>
          <w:tcPr>
            <w:tcW w:w="948" w:type="dxa"/>
            <w:tcBorders>
              <w:top w:val="nil"/>
              <w:left w:val="nil"/>
              <w:bottom w:val="nil"/>
              <w:right w:val="nil"/>
            </w:tcBorders>
            <w:shd w:val="clear" w:color="auto" w:fill="auto"/>
            <w:noWrap/>
            <w:vAlign w:val="bottom"/>
            <w:hideMark/>
          </w:tcPr>
          <w:p w14:paraId="06A5CEB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0.762**</w:t>
            </w:r>
          </w:p>
        </w:tc>
        <w:tc>
          <w:tcPr>
            <w:tcW w:w="919" w:type="dxa"/>
            <w:tcBorders>
              <w:top w:val="nil"/>
              <w:left w:val="nil"/>
              <w:bottom w:val="nil"/>
              <w:right w:val="nil"/>
            </w:tcBorders>
            <w:shd w:val="clear" w:color="auto" w:fill="auto"/>
            <w:noWrap/>
            <w:vAlign w:val="bottom"/>
            <w:hideMark/>
          </w:tcPr>
          <w:p w14:paraId="21F8632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-0.00634</w:t>
            </w:r>
          </w:p>
        </w:tc>
        <w:tc>
          <w:tcPr>
            <w:tcW w:w="849" w:type="dxa"/>
            <w:tcBorders>
              <w:top w:val="nil"/>
              <w:left w:val="nil"/>
              <w:bottom w:val="nil"/>
              <w:right w:val="nil"/>
            </w:tcBorders>
            <w:shd w:val="clear" w:color="auto" w:fill="auto"/>
            <w:noWrap/>
            <w:vAlign w:val="bottom"/>
            <w:hideMark/>
          </w:tcPr>
          <w:p w14:paraId="50FFAD3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-0.00307</w:t>
            </w:r>
          </w:p>
        </w:tc>
        <w:tc>
          <w:tcPr>
            <w:tcW w:w="879" w:type="dxa"/>
            <w:tcBorders>
              <w:top w:val="nil"/>
              <w:left w:val="nil"/>
              <w:bottom w:val="nil"/>
              <w:right w:val="nil"/>
            </w:tcBorders>
            <w:shd w:val="clear" w:color="auto" w:fill="auto"/>
            <w:noWrap/>
            <w:vAlign w:val="bottom"/>
            <w:hideMark/>
          </w:tcPr>
          <w:p w14:paraId="7BA635E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0.00528</w:t>
            </w:r>
          </w:p>
        </w:tc>
        <w:tc>
          <w:tcPr>
            <w:tcW w:w="831" w:type="dxa"/>
            <w:tcBorders>
              <w:top w:val="nil"/>
              <w:left w:val="nil"/>
              <w:bottom w:val="nil"/>
              <w:right w:val="nil"/>
            </w:tcBorders>
            <w:shd w:val="clear" w:color="auto" w:fill="auto"/>
            <w:noWrap/>
            <w:vAlign w:val="bottom"/>
            <w:hideMark/>
          </w:tcPr>
          <w:p w14:paraId="326FE8D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0.0439**</w:t>
            </w:r>
          </w:p>
        </w:tc>
        <w:tc>
          <w:tcPr>
            <w:tcW w:w="865" w:type="dxa"/>
            <w:tcBorders>
              <w:top w:val="nil"/>
              <w:left w:val="nil"/>
              <w:bottom w:val="nil"/>
              <w:right w:val="nil"/>
            </w:tcBorders>
            <w:shd w:val="clear" w:color="auto" w:fill="auto"/>
            <w:vAlign w:val="bottom"/>
          </w:tcPr>
          <w:p w14:paraId="0A436F6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-0.110***</w:t>
            </w:r>
          </w:p>
        </w:tc>
      </w:tr>
      <w:tr w:rsidR="00063F17" w:rsidRPr="00835DC6" w14:paraId="03BF99C1" w14:textId="77777777" w:rsidTr="00284C07">
        <w:trPr>
          <w:trHeight w:val="276"/>
        </w:trPr>
        <w:tc>
          <w:tcPr>
            <w:tcW w:w="1317" w:type="dxa"/>
            <w:tcBorders>
              <w:top w:val="nil"/>
              <w:left w:val="nil"/>
              <w:bottom w:val="nil"/>
              <w:right w:val="nil"/>
            </w:tcBorders>
            <w:shd w:val="clear" w:color="auto" w:fill="auto"/>
            <w:vAlign w:val="bottom"/>
            <w:hideMark/>
          </w:tcPr>
          <w:p w14:paraId="688A281B"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173172A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(0.106)</w:t>
            </w:r>
          </w:p>
        </w:tc>
        <w:tc>
          <w:tcPr>
            <w:tcW w:w="732" w:type="dxa"/>
            <w:tcBorders>
              <w:top w:val="nil"/>
              <w:left w:val="nil"/>
              <w:bottom w:val="nil"/>
              <w:right w:val="nil"/>
            </w:tcBorders>
            <w:shd w:val="clear" w:color="auto" w:fill="auto"/>
            <w:noWrap/>
            <w:vAlign w:val="bottom"/>
            <w:hideMark/>
          </w:tcPr>
          <w:p w14:paraId="5F08E24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(0.725)</w:t>
            </w:r>
          </w:p>
        </w:tc>
        <w:tc>
          <w:tcPr>
            <w:tcW w:w="732" w:type="dxa"/>
            <w:tcBorders>
              <w:top w:val="nil"/>
              <w:left w:val="nil"/>
              <w:bottom w:val="nil"/>
              <w:right w:val="nil"/>
            </w:tcBorders>
            <w:shd w:val="clear" w:color="auto" w:fill="auto"/>
            <w:noWrap/>
            <w:vAlign w:val="bottom"/>
            <w:hideMark/>
          </w:tcPr>
          <w:p w14:paraId="72DEE8E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(0.0996)</w:t>
            </w:r>
          </w:p>
        </w:tc>
        <w:tc>
          <w:tcPr>
            <w:tcW w:w="818" w:type="dxa"/>
            <w:tcBorders>
              <w:top w:val="nil"/>
              <w:left w:val="nil"/>
              <w:bottom w:val="nil"/>
              <w:right w:val="nil"/>
            </w:tcBorders>
            <w:shd w:val="clear" w:color="auto" w:fill="auto"/>
            <w:noWrap/>
            <w:vAlign w:val="bottom"/>
            <w:hideMark/>
          </w:tcPr>
          <w:p w14:paraId="6C990D6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(1.767)</w:t>
            </w:r>
          </w:p>
        </w:tc>
        <w:tc>
          <w:tcPr>
            <w:tcW w:w="948" w:type="dxa"/>
            <w:tcBorders>
              <w:top w:val="nil"/>
              <w:left w:val="nil"/>
              <w:bottom w:val="nil"/>
              <w:right w:val="nil"/>
            </w:tcBorders>
            <w:shd w:val="clear" w:color="auto" w:fill="auto"/>
            <w:noWrap/>
            <w:vAlign w:val="bottom"/>
            <w:hideMark/>
          </w:tcPr>
          <w:p w14:paraId="46A4FB0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(0.296)</w:t>
            </w:r>
          </w:p>
        </w:tc>
        <w:tc>
          <w:tcPr>
            <w:tcW w:w="919" w:type="dxa"/>
            <w:tcBorders>
              <w:top w:val="nil"/>
              <w:left w:val="nil"/>
              <w:bottom w:val="nil"/>
              <w:right w:val="nil"/>
            </w:tcBorders>
            <w:shd w:val="clear" w:color="auto" w:fill="auto"/>
            <w:noWrap/>
            <w:vAlign w:val="bottom"/>
            <w:hideMark/>
          </w:tcPr>
          <w:p w14:paraId="423EC25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(0.0217)</w:t>
            </w:r>
          </w:p>
        </w:tc>
        <w:tc>
          <w:tcPr>
            <w:tcW w:w="849" w:type="dxa"/>
            <w:tcBorders>
              <w:top w:val="nil"/>
              <w:left w:val="nil"/>
              <w:bottom w:val="nil"/>
              <w:right w:val="nil"/>
            </w:tcBorders>
            <w:shd w:val="clear" w:color="auto" w:fill="auto"/>
            <w:noWrap/>
            <w:vAlign w:val="bottom"/>
            <w:hideMark/>
          </w:tcPr>
          <w:p w14:paraId="7CB3319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(0.0338)</w:t>
            </w:r>
          </w:p>
        </w:tc>
        <w:tc>
          <w:tcPr>
            <w:tcW w:w="879" w:type="dxa"/>
            <w:tcBorders>
              <w:top w:val="nil"/>
              <w:left w:val="nil"/>
              <w:bottom w:val="nil"/>
              <w:right w:val="nil"/>
            </w:tcBorders>
            <w:shd w:val="clear" w:color="auto" w:fill="auto"/>
            <w:noWrap/>
            <w:vAlign w:val="bottom"/>
            <w:hideMark/>
          </w:tcPr>
          <w:p w14:paraId="018161F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(0.0300)</w:t>
            </w:r>
          </w:p>
        </w:tc>
        <w:tc>
          <w:tcPr>
            <w:tcW w:w="831" w:type="dxa"/>
            <w:tcBorders>
              <w:top w:val="nil"/>
              <w:left w:val="nil"/>
              <w:bottom w:val="nil"/>
              <w:right w:val="nil"/>
            </w:tcBorders>
            <w:shd w:val="clear" w:color="auto" w:fill="auto"/>
            <w:noWrap/>
            <w:vAlign w:val="bottom"/>
            <w:hideMark/>
          </w:tcPr>
          <w:p w14:paraId="5B9815E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(0.0215)</w:t>
            </w:r>
          </w:p>
        </w:tc>
        <w:tc>
          <w:tcPr>
            <w:tcW w:w="865" w:type="dxa"/>
            <w:tcBorders>
              <w:top w:val="nil"/>
              <w:left w:val="nil"/>
              <w:bottom w:val="nil"/>
              <w:right w:val="nil"/>
            </w:tcBorders>
            <w:shd w:val="clear" w:color="auto" w:fill="auto"/>
            <w:vAlign w:val="bottom"/>
          </w:tcPr>
          <w:p w14:paraId="748DECB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(0.0402)</w:t>
            </w:r>
          </w:p>
        </w:tc>
      </w:tr>
      <w:tr w:rsidR="00063F17" w:rsidRPr="00835DC6" w14:paraId="3E5F467F" w14:textId="77777777" w:rsidTr="00284C07">
        <w:trPr>
          <w:trHeight w:val="107"/>
        </w:trPr>
        <w:tc>
          <w:tcPr>
            <w:tcW w:w="1317" w:type="dxa"/>
            <w:tcBorders>
              <w:top w:val="nil"/>
              <w:left w:val="nil"/>
              <w:bottom w:val="nil"/>
              <w:right w:val="nil"/>
            </w:tcBorders>
            <w:shd w:val="clear" w:color="auto" w:fill="auto"/>
            <w:vAlign w:val="bottom"/>
            <w:hideMark/>
          </w:tcPr>
          <w:p w14:paraId="687A3017"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2012 Cohort*TA Eligibility</w:t>
            </w:r>
          </w:p>
        </w:tc>
        <w:tc>
          <w:tcPr>
            <w:tcW w:w="829" w:type="dxa"/>
            <w:tcBorders>
              <w:top w:val="nil"/>
              <w:left w:val="nil"/>
              <w:bottom w:val="nil"/>
              <w:right w:val="nil"/>
            </w:tcBorders>
            <w:shd w:val="clear" w:color="auto" w:fill="auto"/>
            <w:noWrap/>
            <w:vAlign w:val="bottom"/>
            <w:hideMark/>
          </w:tcPr>
          <w:p w14:paraId="3293DE4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0.0769</w:t>
            </w:r>
          </w:p>
        </w:tc>
        <w:tc>
          <w:tcPr>
            <w:tcW w:w="732" w:type="dxa"/>
            <w:tcBorders>
              <w:top w:val="nil"/>
              <w:left w:val="nil"/>
              <w:bottom w:val="nil"/>
              <w:right w:val="nil"/>
            </w:tcBorders>
            <w:shd w:val="clear" w:color="auto" w:fill="auto"/>
            <w:noWrap/>
            <w:vAlign w:val="bottom"/>
            <w:hideMark/>
          </w:tcPr>
          <w:p w14:paraId="6DC380F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-0.466</w:t>
            </w:r>
          </w:p>
        </w:tc>
        <w:tc>
          <w:tcPr>
            <w:tcW w:w="732" w:type="dxa"/>
            <w:tcBorders>
              <w:top w:val="nil"/>
              <w:left w:val="nil"/>
              <w:bottom w:val="nil"/>
              <w:right w:val="nil"/>
            </w:tcBorders>
            <w:shd w:val="clear" w:color="auto" w:fill="auto"/>
            <w:noWrap/>
            <w:vAlign w:val="bottom"/>
            <w:hideMark/>
          </w:tcPr>
          <w:p w14:paraId="00386E6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0.0778</w:t>
            </w:r>
          </w:p>
        </w:tc>
        <w:tc>
          <w:tcPr>
            <w:tcW w:w="818" w:type="dxa"/>
            <w:tcBorders>
              <w:top w:val="nil"/>
              <w:left w:val="nil"/>
              <w:bottom w:val="nil"/>
              <w:right w:val="nil"/>
            </w:tcBorders>
            <w:shd w:val="clear" w:color="auto" w:fill="auto"/>
            <w:noWrap/>
            <w:vAlign w:val="bottom"/>
            <w:hideMark/>
          </w:tcPr>
          <w:p w14:paraId="0FEF84D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0.957</w:t>
            </w:r>
          </w:p>
        </w:tc>
        <w:tc>
          <w:tcPr>
            <w:tcW w:w="948" w:type="dxa"/>
            <w:tcBorders>
              <w:top w:val="nil"/>
              <w:left w:val="nil"/>
              <w:bottom w:val="nil"/>
              <w:right w:val="nil"/>
            </w:tcBorders>
            <w:shd w:val="clear" w:color="auto" w:fill="auto"/>
            <w:noWrap/>
            <w:vAlign w:val="bottom"/>
            <w:hideMark/>
          </w:tcPr>
          <w:p w14:paraId="72C7DA6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0.414</w:t>
            </w:r>
          </w:p>
        </w:tc>
        <w:tc>
          <w:tcPr>
            <w:tcW w:w="919" w:type="dxa"/>
            <w:tcBorders>
              <w:top w:val="nil"/>
              <w:left w:val="nil"/>
              <w:bottom w:val="nil"/>
              <w:right w:val="nil"/>
            </w:tcBorders>
            <w:shd w:val="clear" w:color="auto" w:fill="auto"/>
            <w:noWrap/>
            <w:vAlign w:val="bottom"/>
            <w:hideMark/>
          </w:tcPr>
          <w:p w14:paraId="7812E01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0.0188</w:t>
            </w:r>
          </w:p>
        </w:tc>
        <w:tc>
          <w:tcPr>
            <w:tcW w:w="849" w:type="dxa"/>
            <w:tcBorders>
              <w:top w:val="nil"/>
              <w:left w:val="nil"/>
              <w:bottom w:val="nil"/>
              <w:right w:val="nil"/>
            </w:tcBorders>
            <w:shd w:val="clear" w:color="auto" w:fill="auto"/>
            <w:noWrap/>
            <w:vAlign w:val="bottom"/>
            <w:hideMark/>
          </w:tcPr>
          <w:p w14:paraId="072BBEA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-0.0505</w:t>
            </w:r>
          </w:p>
        </w:tc>
        <w:tc>
          <w:tcPr>
            <w:tcW w:w="879" w:type="dxa"/>
            <w:tcBorders>
              <w:top w:val="nil"/>
              <w:left w:val="nil"/>
              <w:bottom w:val="nil"/>
              <w:right w:val="nil"/>
            </w:tcBorders>
            <w:shd w:val="clear" w:color="auto" w:fill="auto"/>
            <w:noWrap/>
            <w:vAlign w:val="bottom"/>
            <w:hideMark/>
          </w:tcPr>
          <w:p w14:paraId="343CEC1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-0.0289</w:t>
            </w:r>
          </w:p>
        </w:tc>
        <w:tc>
          <w:tcPr>
            <w:tcW w:w="831" w:type="dxa"/>
            <w:tcBorders>
              <w:top w:val="nil"/>
              <w:left w:val="nil"/>
              <w:bottom w:val="nil"/>
              <w:right w:val="nil"/>
            </w:tcBorders>
            <w:shd w:val="clear" w:color="auto" w:fill="auto"/>
            <w:noWrap/>
            <w:vAlign w:val="bottom"/>
            <w:hideMark/>
          </w:tcPr>
          <w:p w14:paraId="203A4B1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0.0221</w:t>
            </w:r>
          </w:p>
        </w:tc>
        <w:tc>
          <w:tcPr>
            <w:tcW w:w="865" w:type="dxa"/>
            <w:tcBorders>
              <w:top w:val="nil"/>
              <w:left w:val="nil"/>
              <w:bottom w:val="nil"/>
              <w:right w:val="nil"/>
            </w:tcBorders>
            <w:shd w:val="clear" w:color="auto" w:fill="auto"/>
            <w:vAlign w:val="bottom"/>
          </w:tcPr>
          <w:p w14:paraId="7760245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-0.187***</w:t>
            </w:r>
          </w:p>
        </w:tc>
      </w:tr>
      <w:tr w:rsidR="00063F17" w:rsidRPr="00835DC6" w14:paraId="3FCF0ABA" w14:textId="77777777" w:rsidTr="00284C07">
        <w:trPr>
          <w:trHeight w:val="276"/>
        </w:trPr>
        <w:tc>
          <w:tcPr>
            <w:tcW w:w="1317" w:type="dxa"/>
            <w:tcBorders>
              <w:top w:val="nil"/>
              <w:left w:val="nil"/>
              <w:bottom w:val="nil"/>
              <w:right w:val="nil"/>
            </w:tcBorders>
            <w:shd w:val="clear" w:color="auto" w:fill="auto"/>
            <w:vAlign w:val="bottom"/>
            <w:hideMark/>
          </w:tcPr>
          <w:p w14:paraId="682039CB"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375621C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(0.117)</w:t>
            </w:r>
          </w:p>
        </w:tc>
        <w:tc>
          <w:tcPr>
            <w:tcW w:w="732" w:type="dxa"/>
            <w:tcBorders>
              <w:top w:val="nil"/>
              <w:left w:val="nil"/>
              <w:bottom w:val="nil"/>
              <w:right w:val="nil"/>
            </w:tcBorders>
            <w:shd w:val="clear" w:color="auto" w:fill="auto"/>
            <w:noWrap/>
            <w:vAlign w:val="bottom"/>
            <w:hideMark/>
          </w:tcPr>
          <w:p w14:paraId="7E5A7A8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(0.808)</w:t>
            </w:r>
          </w:p>
        </w:tc>
        <w:tc>
          <w:tcPr>
            <w:tcW w:w="732" w:type="dxa"/>
            <w:tcBorders>
              <w:top w:val="nil"/>
              <w:left w:val="nil"/>
              <w:bottom w:val="nil"/>
              <w:right w:val="nil"/>
            </w:tcBorders>
            <w:shd w:val="clear" w:color="auto" w:fill="auto"/>
            <w:noWrap/>
            <w:vAlign w:val="bottom"/>
            <w:hideMark/>
          </w:tcPr>
          <w:p w14:paraId="701B5F7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(0.109)</w:t>
            </w:r>
          </w:p>
        </w:tc>
        <w:tc>
          <w:tcPr>
            <w:tcW w:w="818" w:type="dxa"/>
            <w:tcBorders>
              <w:top w:val="nil"/>
              <w:left w:val="nil"/>
              <w:bottom w:val="nil"/>
              <w:right w:val="nil"/>
            </w:tcBorders>
            <w:shd w:val="clear" w:color="auto" w:fill="auto"/>
            <w:noWrap/>
            <w:vAlign w:val="bottom"/>
            <w:hideMark/>
          </w:tcPr>
          <w:p w14:paraId="652A2A9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(1.802)</w:t>
            </w:r>
          </w:p>
        </w:tc>
        <w:tc>
          <w:tcPr>
            <w:tcW w:w="948" w:type="dxa"/>
            <w:tcBorders>
              <w:top w:val="nil"/>
              <w:left w:val="nil"/>
              <w:bottom w:val="nil"/>
              <w:right w:val="nil"/>
            </w:tcBorders>
            <w:shd w:val="clear" w:color="auto" w:fill="auto"/>
            <w:noWrap/>
            <w:vAlign w:val="bottom"/>
            <w:hideMark/>
          </w:tcPr>
          <w:p w14:paraId="1DB03B3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(0.316)</w:t>
            </w:r>
          </w:p>
        </w:tc>
        <w:tc>
          <w:tcPr>
            <w:tcW w:w="919" w:type="dxa"/>
            <w:tcBorders>
              <w:top w:val="nil"/>
              <w:left w:val="nil"/>
              <w:bottom w:val="nil"/>
              <w:right w:val="nil"/>
            </w:tcBorders>
            <w:shd w:val="clear" w:color="auto" w:fill="auto"/>
            <w:noWrap/>
            <w:vAlign w:val="bottom"/>
            <w:hideMark/>
          </w:tcPr>
          <w:p w14:paraId="0CDCA9D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(0.0207)</w:t>
            </w:r>
          </w:p>
        </w:tc>
        <w:tc>
          <w:tcPr>
            <w:tcW w:w="849" w:type="dxa"/>
            <w:tcBorders>
              <w:top w:val="nil"/>
              <w:left w:val="nil"/>
              <w:bottom w:val="nil"/>
              <w:right w:val="nil"/>
            </w:tcBorders>
            <w:shd w:val="clear" w:color="auto" w:fill="auto"/>
            <w:noWrap/>
            <w:vAlign w:val="bottom"/>
            <w:hideMark/>
          </w:tcPr>
          <w:p w14:paraId="086B5B9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(0.0349)</w:t>
            </w:r>
          </w:p>
        </w:tc>
        <w:tc>
          <w:tcPr>
            <w:tcW w:w="879" w:type="dxa"/>
            <w:tcBorders>
              <w:top w:val="nil"/>
              <w:left w:val="nil"/>
              <w:bottom w:val="nil"/>
              <w:right w:val="nil"/>
            </w:tcBorders>
            <w:shd w:val="clear" w:color="auto" w:fill="auto"/>
            <w:noWrap/>
            <w:vAlign w:val="bottom"/>
            <w:hideMark/>
          </w:tcPr>
          <w:p w14:paraId="19A49CB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(0.0311)</w:t>
            </w:r>
          </w:p>
        </w:tc>
        <w:tc>
          <w:tcPr>
            <w:tcW w:w="831" w:type="dxa"/>
            <w:tcBorders>
              <w:top w:val="nil"/>
              <w:left w:val="nil"/>
              <w:bottom w:val="nil"/>
              <w:right w:val="nil"/>
            </w:tcBorders>
            <w:shd w:val="clear" w:color="auto" w:fill="auto"/>
            <w:noWrap/>
            <w:vAlign w:val="bottom"/>
            <w:hideMark/>
          </w:tcPr>
          <w:p w14:paraId="5B1C3C6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(0.0247)</w:t>
            </w:r>
          </w:p>
        </w:tc>
        <w:tc>
          <w:tcPr>
            <w:tcW w:w="865" w:type="dxa"/>
            <w:tcBorders>
              <w:top w:val="nil"/>
              <w:left w:val="nil"/>
              <w:bottom w:val="nil"/>
              <w:right w:val="nil"/>
            </w:tcBorders>
            <w:shd w:val="clear" w:color="auto" w:fill="auto"/>
            <w:vAlign w:val="bottom"/>
          </w:tcPr>
          <w:p w14:paraId="6545BF7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(0.0432)</w:t>
            </w:r>
          </w:p>
        </w:tc>
      </w:tr>
      <w:tr w:rsidR="00063F17" w:rsidRPr="00835DC6" w14:paraId="471A7715" w14:textId="77777777" w:rsidTr="00284C07">
        <w:trPr>
          <w:trHeight w:val="70"/>
        </w:trPr>
        <w:tc>
          <w:tcPr>
            <w:tcW w:w="1317" w:type="dxa"/>
            <w:tcBorders>
              <w:top w:val="nil"/>
              <w:left w:val="nil"/>
              <w:bottom w:val="nil"/>
              <w:right w:val="nil"/>
            </w:tcBorders>
            <w:shd w:val="clear" w:color="auto" w:fill="auto"/>
            <w:vAlign w:val="bottom"/>
            <w:hideMark/>
          </w:tcPr>
          <w:p w14:paraId="04DB5AE4"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2013 Cohort*TA Eligibility</w:t>
            </w:r>
          </w:p>
        </w:tc>
        <w:tc>
          <w:tcPr>
            <w:tcW w:w="829" w:type="dxa"/>
            <w:tcBorders>
              <w:top w:val="nil"/>
              <w:left w:val="nil"/>
              <w:bottom w:val="nil"/>
              <w:right w:val="nil"/>
            </w:tcBorders>
            <w:shd w:val="clear" w:color="auto" w:fill="auto"/>
            <w:noWrap/>
            <w:vAlign w:val="bottom"/>
            <w:hideMark/>
          </w:tcPr>
          <w:p w14:paraId="6E3A7DB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-0.0199</w:t>
            </w:r>
          </w:p>
        </w:tc>
        <w:tc>
          <w:tcPr>
            <w:tcW w:w="732" w:type="dxa"/>
            <w:tcBorders>
              <w:top w:val="nil"/>
              <w:left w:val="nil"/>
              <w:bottom w:val="nil"/>
              <w:right w:val="nil"/>
            </w:tcBorders>
            <w:shd w:val="clear" w:color="auto" w:fill="auto"/>
            <w:noWrap/>
            <w:vAlign w:val="bottom"/>
            <w:hideMark/>
          </w:tcPr>
          <w:p w14:paraId="54F5F21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0.409</w:t>
            </w:r>
          </w:p>
        </w:tc>
        <w:tc>
          <w:tcPr>
            <w:tcW w:w="732" w:type="dxa"/>
            <w:tcBorders>
              <w:top w:val="nil"/>
              <w:left w:val="nil"/>
              <w:bottom w:val="nil"/>
              <w:right w:val="nil"/>
            </w:tcBorders>
            <w:shd w:val="clear" w:color="auto" w:fill="auto"/>
            <w:noWrap/>
            <w:vAlign w:val="bottom"/>
            <w:hideMark/>
          </w:tcPr>
          <w:p w14:paraId="7A54DB6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-0.116</w:t>
            </w:r>
          </w:p>
        </w:tc>
        <w:tc>
          <w:tcPr>
            <w:tcW w:w="818" w:type="dxa"/>
            <w:tcBorders>
              <w:top w:val="nil"/>
              <w:left w:val="nil"/>
              <w:bottom w:val="nil"/>
              <w:right w:val="nil"/>
            </w:tcBorders>
            <w:shd w:val="clear" w:color="auto" w:fill="auto"/>
            <w:noWrap/>
            <w:vAlign w:val="bottom"/>
            <w:hideMark/>
          </w:tcPr>
          <w:p w14:paraId="24710A9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1.103</w:t>
            </w:r>
          </w:p>
        </w:tc>
        <w:tc>
          <w:tcPr>
            <w:tcW w:w="948" w:type="dxa"/>
            <w:tcBorders>
              <w:top w:val="nil"/>
              <w:left w:val="nil"/>
              <w:bottom w:val="nil"/>
              <w:right w:val="nil"/>
            </w:tcBorders>
            <w:shd w:val="clear" w:color="auto" w:fill="auto"/>
            <w:noWrap/>
            <w:vAlign w:val="bottom"/>
            <w:hideMark/>
          </w:tcPr>
          <w:p w14:paraId="1FAFB0C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0.752***</w:t>
            </w:r>
          </w:p>
        </w:tc>
        <w:tc>
          <w:tcPr>
            <w:tcW w:w="919" w:type="dxa"/>
            <w:tcBorders>
              <w:top w:val="nil"/>
              <w:left w:val="nil"/>
              <w:bottom w:val="nil"/>
              <w:right w:val="nil"/>
            </w:tcBorders>
            <w:shd w:val="clear" w:color="auto" w:fill="auto"/>
            <w:noWrap/>
            <w:vAlign w:val="bottom"/>
            <w:hideMark/>
          </w:tcPr>
          <w:p w14:paraId="321E649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-0.0196</w:t>
            </w:r>
          </w:p>
        </w:tc>
        <w:tc>
          <w:tcPr>
            <w:tcW w:w="849" w:type="dxa"/>
            <w:tcBorders>
              <w:top w:val="nil"/>
              <w:left w:val="nil"/>
              <w:bottom w:val="nil"/>
              <w:right w:val="nil"/>
            </w:tcBorders>
            <w:shd w:val="clear" w:color="auto" w:fill="auto"/>
            <w:noWrap/>
            <w:vAlign w:val="bottom"/>
            <w:hideMark/>
          </w:tcPr>
          <w:p w14:paraId="5304DC13" w14:textId="53C25FEB"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-0.089***</w:t>
            </w:r>
          </w:p>
        </w:tc>
        <w:tc>
          <w:tcPr>
            <w:tcW w:w="879" w:type="dxa"/>
            <w:tcBorders>
              <w:top w:val="nil"/>
              <w:left w:val="nil"/>
              <w:bottom w:val="nil"/>
              <w:right w:val="nil"/>
            </w:tcBorders>
            <w:shd w:val="clear" w:color="auto" w:fill="auto"/>
            <w:noWrap/>
            <w:vAlign w:val="bottom"/>
            <w:hideMark/>
          </w:tcPr>
          <w:p w14:paraId="7C7BB71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-0.0399</w:t>
            </w:r>
          </w:p>
        </w:tc>
        <w:tc>
          <w:tcPr>
            <w:tcW w:w="831" w:type="dxa"/>
            <w:tcBorders>
              <w:top w:val="nil"/>
              <w:left w:val="nil"/>
              <w:bottom w:val="nil"/>
              <w:right w:val="nil"/>
            </w:tcBorders>
            <w:shd w:val="clear" w:color="auto" w:fill="auto"/>
            <w:noWrap/>
            <w:vAlign w:val="bottom"/>
            <w:hideMark/>
          </w:tcPr>
          <w:p w14:paraId="312BE6A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0.0113</w:t>
            </w:r>
          </w:p>
        </w:tc>
        <w:tc>
          <w:tcPr>
            <w:tcW w:w="865" w:type="dxa"/>
            <w:tcBorders>
              <w:top w:val="nil"/>
              <w:left w:val="nil"/>
              <w:bottom w:val="nil"/>
              <w:right w:val="nil"/>
            </w:tcBorders>
            <w:shd w:val="clear" w:color="auto" w:fill="auto"/>
            <w:vAlign w:val="bottom"/>
          </w:tcPr>
          <w:p w14:paraId="7C3CE49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-0.0709</w:t>
            </w:r>
          </w:p>
        </w:tc>
      </w:tr>
      <w:tr w:rsidR="00063F17" w:rsidRPr="00835DC6" w14:paraId="7B8E06FF" w14:textId="77777777" w:rsidTr="00284C07">
        <w:trPr>
          <w:trHeight w:val="276"/>
        </w:trPr>
        <w:tc>
          <w:tcPr>
            <w:tcW w:w="1317" w:type="dxa"/>
            <w:tcBorders>
              <w:top w:val="nil"/>
              <w:left w:val="nil"/>
              <w:bottom w:val="nil"/>
              <w:right w:val="nil"/>
            </w:tcBorders>
            <w:shd w:val="clear" w:color="auto" w:fill="auto"/>
            <w:vAlign w:val="bottom"/>
            <w:hideMark/>
          </w:tcPr>
          <w:p w14:paraId="5D572EC7"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74AA737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(0.123)</w:t>
            </w:r>
          </w:p>
        </w:tc>
        <w:tc>
          <w:tcPr>
            <w:tcW w:w="732" w:type="dxa"/>
            <w:tcBorders>
              <w:top w:val="nil"/>
              <w:left w:val="nil"/>
              <w:bottom w:val="nil"/>
              <w:right w:val="nil"/>
            </w:tcBorders>
            <w:shd w:val="clear" w:color="auto" w:fill="auto"/>
            <w:noWrap/>
            <w:vAlign w:val="bottom"/>
            <w:hideMark/>
          </w:tcPr>
          <w:p w14:paraId="4A1B862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(0.819)</w:t>
            </w:r>
          </w:p>
        </w:tc>
        <w:tc>
          <w:tcPr>
            <w:tcW w:w="732" w:type="dxa"/>
            <w:tcBorders>
              <w:top w:val="nil"/>
              <w:left w:val="nil"/>
              <w:bottom w:val="nil"/>
              <w:right w:val="nil"/>
            </w:tcBorders>
            <w:shd w:val="clear" w:color="auto" w:fill="auto"/>
            <w:noWrap/>
            <w:vAlign w:val="bottom"/>
            <w:hideMark/>
          </w:tcPr>
          <w:p w14:paraId="1CF6406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(0.115)</w:t>
            </w:r>
          </w:p>
        </w:tc>
        <w:tc>
          <w:tcPr>
            <w:tcW w:w="818" w:type="dxa"/>
            <w:tcBorders>
              <w:top w:val="nil"/>
              <w:left w:val="nil"/>
              <w:bottom w:val="nil"/>
              <w:right w:val="nil"/>
            </w:tcBorders>
            <w:shd w:val="clear" w:color="auto" w:fill="auto"/>
            <w:noWrap/>
            <w:vAlign w:val="bottom"/>
            <w:hideMark/>
          </w:tcPr>
          <w:p w14:paraId="2E10F4F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(1.863)</w:t>
            </w:r>
          </w:p>
        </w:tc>
        <w:tc>
          <w:tcPr>
            <w:tcW w:w="948" w:type="dxa"/>
            <w:tcBorders>
              <w:top w:val="nil"/>
              <w:left w:val="nil"/>
              <w:bottom w:val="nil"/>
              <w:right w:val="nil"/>
            </w:tcBorders>
            <w:shd w:val="clear" w:color="auto" w:fill="auto"/>
            <w:noWrap/>
            <w:vAlign w:val="bottom"/>
            <w:hideMark/>
          </w:tcPr>
          <w:p w14:paraId="5B92DA9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(0.292)</w:t>
            </w:r>
          </w:p>
        </w:tc>
        <w:tc>
          <w:tcPr>
            <w:tcW w:w="919" w:type="dxa"/>
            <w:tcBorders>
              <w:top w:val="nil"/>
              <w:left w:val="nil"/>
              <w:bottom w:val="nil"/>
              <w:right w:val="nil"/>
            </w:tcBorders>
            <w:shd w:val="clear" w:color="auto" w:fill="auto"/>
            <w:noWrap/>
            <w:vAlign w:val="bottom"/>
            <w:hideMark/>
          </w:tcPr>
          <w:p w14:paraId="2BD8761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(0.0209)</w:t>
            </w:r>
          </w:p>
        </w:tc>
        <w:tc>
          <w:tcPr>
            <w:tcW w:w="849" w:type="dxa"/>
            <w:tcBorders>
              <w:top w:val="nil"/>
              <w:left w:val="nil"/>
              <w:bottom w:val="nil"/>
              <w:right w:val="nil"/>
            </w:tcBorders>
            <w:shd w:val="clear" w:color="auto" w:fill="auto"/>
            <w:noWrap/>
            <w:vAlign w:val="bottom"/>
            <w:hideMark/>
          </w:tcPr>
          <w:p w14:paraId="2A36789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(0.0348)</w:t>
            </w:r>
          </w:p>
        </w:tc>
        <w:tc>
          <w:tcPr>
            <w:tcW w:w="879" w:type="dxa"/>
            <w:tcBorders>
              <w:top w:val="nil"/>
              <w:left w:val="nil"/>
              <w:bottom w:val="nil"/>
              <w:right w:val="nil"/>
            </w:tcBorders>
            <w:shd w:val="clear" w:color="auto" w:fill="auto"/>
            <w:noWrap/>
            <w:vAlign w:val="bottom"/>
            <w:hideMark/>
          </w:tcPr>
          <w:p w14:paraId="06BE045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(0.0293)</w:t>
            </w:r>
          </w:p>
        </w:tc>
        <w:tc>
          <w:tcPr>
            <w:tcW w:w="831" w:type="dxa"/>
            <w:tcBorders>
              <w:top w:val="nil"/>
              <w:left w:val="nil"/>
              <w:bottom w:val="nil"/>
              <w:right w:val="nil"/>
            </w:tcBorders>
            <w:shd w:val="clear" w:color="auto" w:fill="auto"/>
            <w:noWrap/>
            <w:vAlign w:val="bottom"/>
            <w:hideMark/>
          </w:tcPr>
          <w:p w14:paraId="42B9474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(0.0221)</w:t>
            </w:r>
          </w:p>
        </w:tc>
        <w:tc>
          <w:tcPr>
            <w:tcW w:w="865" w:type="dxa"/>
            <w:tcBorders>
              <w:top w:val="nil"/>
              <w:left w:val="nil"/>
              <w:bottom w:val="nil"/>
              <w:right w:val="nil"/>
            </w:tcBorders>
            <w:shd w:val="clear" w:color="auto" w:fill="auto"/>
            <w:vAlign w:val="bottom"/>
          </w:tcPr>
          <w:p w14:paraId="58EF9E0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(0.0451)</w:t>
            </w:r>
          </w:p>
        </w:tc>
      </w:tr>
      <w:tr w:rsidR="00063F17" w:rsidRPr="00835DC6" w14:paraId="2E9BF114" w14:textId="77777777" w:rsidTr="00284C07">
        <w:trPr>
          <w:trHeight w:val="64"/>
        </w:trPr>
        <w:tc>
          <w:tcPr>
            <w:tcW w:w="1317" w:type="dxa"/>
            <w:tcBorders>
              <w:top w:val="nil"/>
              <w:left w:val="nil"/>
              <w:bottom w:val="nil"/>
              <w:right w:val="nil"/>
            </w:tcBorders>
            <w:shd w:val="clear" w:color="auto" w:fill="auto"/>
            <w:vAlign w:val="bottom"/>
            <w:hideMark/>
          </w:tcPr>
          <w:p w14:paraId="12AF5508"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2014 Cohort*TA Eligibility</w:t>
            </w:r>
          </w:p>
        </w:tc>
        <w:tc>
          <w:tcPr>
            <w:tcW w:w="829" w:type="dxa"/>
            <w:tcBorders>
              <w:top w:val="nil"/>
              <w:left w:val="nil"/>
              <w:bottom w:val="nil"/>
              <w:right w:val="nil"/>
            </w:tcBorders>
            <w:shd w:val="clear" w:color="auto" w:fill="auto"/>
            <w:noWrap/>
            <w:vAlign w:val="bottom"/>
            <w:hideMark/>
          </w:tcPr>
          <w:p w14:paraId="6B5DD91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-0.0003</w:t>
            </w:r>
          </w:p>
        </w:tc>
        <w:tc>
          <w:tcPr>
            <w:tcW w:w="732" w:type="dxa"/>
            <w:tcBorders>
              <w:top w:val="nil"/>
              <w:left w:val="nil"/>
              <w:bottom w:val="nil"/>
              <w:right w:val="nil"/>
            </w:tcBorders>
            <w:shd w:val="clear" w:color="auto" w:fill="auto"/>
            <w:noWrap/>
            <w:vAlign w:val="bottom"/>
            <w:hideMark/>
          </w:tcPr>
          <w:p w14:paraId="0A5D2DC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0.162</w:t>
            </w:r>
          </w:p>
        </w:tc>
        <w:tc>
          <w:tcPr>
            <w:tcW w:w="732" w:type="dxa"/>
            <w:tcBorders>
              <w:top w:val="nil"/>
              <w:left w:val="nil"/>
              <w:bottom w:val="nil"/>
              <w:right w:val="nil"/>
            </w:tcBorders>
            <w:shd w:val="clear" w:color="auto" w:fill="auto"/>
            <w:noWrap/>
            <w:vAlign w:val="bottom"/>
            <w:hideMark/>
          </w:tcPr>
          <w:p w14:paraId="33B1112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0.0190</w:t>
            </w:r>
          </w:p>
        </w:tc>
        <w:tc>
          <w:tcPr>
            <w:tcW w:w="818" w:type="dxa"/>
            <w:tcBorders>
              <w:top w:val="nil"/>
              <w:left w:val="nil"/>
              <w:bottom w:val="nil"/>
              <w:right w:val="nil"/>
            </w:tcBorders>
            <w:shd w:val="clear" w:color="auto" w:fill="auto"/>
            <w:noWrap/>
            <w:vAlign w:val="bottom"/>
            <w:hideMark/>
          </w:tcPr>
          <w:p w14:paraId="2AEC601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-1.060</w:t>
            </w:r>
          </w:p>
        </w:tc>
        <w:tc>
          <w:tcPr>
            <w:tcW w:w="948" w:type="dxa"/>
            <w:tcBorders>
              <w:top w:val="nil"/>
              <w:left w:val="nil"/>
              <w:bottom w:val="nil"/>
              <w:right w:val="nil"/>
            </w:tcBorders>
            <w:shd w:val="clear" w:color="auto" w:fill="auto"/>
            <w:noWrap/>
            <w:vAlign w:val="bottom"/>
            <w:hideMark/>
          </w:tcPr>
          <w:p w14:paraId="492FE29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-0.0708</w:t>
            </w:r>
          </w:p>
        </w:tc>
        <w:tc>
          <w:tcPr>
            <w:tcW w:w="919" w:type="dxa"/>
            <w:tcBorders>
              <w:top w:val="nil"/>
              <w:left w:val="nil"/>
              <w:bottom w:val="nil"/>
              <w:right w:val="nil"/>
            </w:tcBorders>
            <w:shd w:val="clear" w:color="auto" w:fill="auto"/>
            <w:noWrap/>
            <w:vAlign w:val="bottom"/>
            <w:hideMark/>
          </w:tcPr>
          <w:p w14:paraId="4D13D10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-0.0190</w:t>
            </w:r>
          </w:p>
        </w:tc>
        <w:tc>
          <w:tcPr>
            <w:tcW w:w="849" w:type="dxa"/>
            <w:tcBorders>
              <w:top w:val="nil"/>
              <w:left w:val="nil"/>
              <w:bottom w:val="nil"/>
              <w:right w:val="nil"/>
            </w:tcBorders>
            <w:shd w:val="clear" w:color="auto" w:fill="auto"/>
            <w:noWrap/>
            <w:vAlign w:val="bottom"/>
            <w:hideMark/>
          </w:tcPr>
          <w:p w14:paraId="0C47F40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-0.0566*</w:t>
            </w:r>
          </w:p>
        </w:tc>
        <w:tc>
          <w:tcPr>
            <w:tcW w:w="879" w:type="dxa"/>
            <w:tcBorders>
              <w:top w:val="nil"/>
              <w:left w:val="nil"/>
              <w:bottom w:val="nil"/>
              <w:right w:val="nil"/>
            </w:tcBorders>
            <w:shd w:val="clear" w:color="auto" w:fill="auto"/>
            <w:noWrap/>
            <w:vAlign w:val="bottom"/>
            <w:hideMark/>
          </w:tcPr>
          <w:p w14:paraId="3F68B61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-0.0383</w:t>
            </w:r>
          </w:p>
        </w:tc>
        <w:tc>
          <w:tcPr>
            <w:tcW w:w="831" w:type="dxa"/>
            <w:tcBorders>
              <w:top w:val="nil"/>
              <w:left w:val="nil"/>
              <w:bottom w:val="nil"/>
              <w:right w:val="nil"/>
            </w:tcBorders>
            <w:shd w:val="clear" w:color="auto" w:fill="auto"/>
            <w:noWrap/>
            <w:vAlign w:val="bottom"/>
            <w:hideMark/>
          </w:tcPr>
          <w:p w14:paraId="2F1F31A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0.0332**</w:t>
            </w:r>
          </w:p>
        </w:tc>
        <w:tc>
          <w:tcPr>
            <w:tcW w:w="865" w:type="dxa"/>
            <w:tcBorders>
              <w:top w:val="nil"/>
              <w:left w:val="nil"/>
              <w:bottom w:val="nil"/>
              <w:right w:val="nil"/>
            </w:tcBorders>
            <w:shd w:val="clear" w:color="auto" w:fill="auto"/>
            <w:vAlign w:val="bottom"/>
          </w:tcPr>
          <w:p w14:paraId="5AC0B99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-0.124***</w:t>
            </w:r>
          </w:p>
        </w:tc>
      </w:tr>
      <w:tr w:rsidR="00063F17" w:rsidRPr="00835DC6" w14:paraId="101E818A" w14:textId="77777777" w:rsidTr="00284C07">
        <w:trPr>
          <w:trHeight w:val="276"/>
        </w:trPr>
        <w:tc>
          <w:tcPr>
            <w:tcW w:w="1317" w:type="dxa"/>
            <w:tcBorders>
              <w:top w:val="nil"/>
              <w:left w:val="nil"/>
              <w:bottom w:val="nil"/>
              <w:right w:val="nil"/>
            </w:tcBorders>
            <w:shd w:val="clear" w:color="auto" w:fill="auto"/>
            <w:vAlign w:val="bottom"/>
            <w:hideMark/>
          </w:tcPr>
          <w:p w14:paraId="2F7C5A58"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50A29FC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(0.121)</w:t>
            </w:r>
          </w:p>
        </w:tc>
        <w:tc>
          <w:tcPr>
            <w:tcW w:w="732" w:type="dxa"/>
            <w:tcBorders>
              <w:top w:val="nil"/>
              <w:left w:val="nil"/>
              <w:bottom w:val="nil"/>
              <w:right w:val="nil"/>
            </w:tcBorders>
            <w:shd w:val="clear" w:color="auto" w:fill="auto"/>
            <w:noWrap/>
            <w:vAlign w:val="bottom"/>
            <w:hideMark/>
          </w:tcPr>
          <w:p w14:paraId="09D8B63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(0.873)</w:t>
            </w:r>
          </w:p>
        </w:tc>
        <w:tc>
          <w:tcPr>
            <w:tcW w:w="732" w:type="dxa"/>
            <w:tcBorders>
              <w:top w:val="nil"/>
              <w:left w:val="nil"/>
              <w:bottom w:val="nil"/>
              <w:right w:val="nil"/>
            </w:tcBorders>
            <w:shd w:val="clear" w:color="auto" w:fill="auto"/>
            <w:noWrap/>
            <w:vAlign w:val="bottom"/>
            <w:hideMark/>
          </w:tcPr>
          <w:p w14:paraId="59D4224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(0.115)</w:t>
            </w:r>
          </w:p>
        </w:tc>
        <w:tc>
          <w:tcPr>
            <w:tcW w:w="818" w:type="dxa"/>
            <w:tcBorders>
              <w:top w:val="nil"/>
              <w:left w:val="nil"/>
              <w:bottom w:val="nil"/>
              <w:right w:val="nil"/>
            </w:tcBorders>
            <w:shd w:val="clear" w:color="auto" w:fill="auto"/>
            <w:noWrap/>
            <w:vAlign w:val="bottom"/>
            <w:hideMark/>
          </w:tcPr>
          <w:p w14:paraId="3A3472C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(1.626)</w:t>
            </w:r>
          </w:p>
        </w:tc>
        <w:tc>
          <w:tcPr>
            <w:tcW w:w="948" w:type="dxa"/>
            <w:tcBorders>
              <w:top w:val="nil"/>
              <w:left w:val="nil"/>
              <w:bottom w:val="nil"/>
              <w:right w:val="nil"/>
            </w:tcBorders>
            <w:shd w:val="clear" w:color="auto" w:fill="auto"/>
            <w:noWrap/>
            <w:vAlign w:val="bottom"/>
            <w:hideMark/>
          </w:tcPr>
          <w:p w14:paraId="092547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(0.274)</w:t>
            </w:r>
          </w:p>
        </w:tc>
        <w:tc>
          <w:tcPr>
            <w:tcW w:w="919" w:type="dxa"/>
            <w:tcBorders>
              <w:top w:val="nil"/>
              <w:left w:val="nil"/>
              <w:bottom w:val="nil"/>
              <w:right w:val="nil"/>
            </w:tcBorders>
            <w:shd w:val="clear" w:color="auto" w:fill="auto"/>
            <w:noWrap/>
            <w:vAlign w:val="bottom"/>
            <w:hideMark/>
          </w:tcPr>
          <w:p w14:paraId="763C18A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(0.0162)</w:t>
            </w:r>
          </w:p>
        </w:tc>
        <w:tc>
          <w:tcPr>
            <w:tcW w:w="849" w:type="dxa"/>
            <w:tcBorders>
              <w:top w:val="nil"/>
              <w:left w:val="nil"/>
              <w:bottom w:val="nil"/>
              <w:right w:val="nil"/>
            </w:tcBorders>
            <w:shd w:val="clear" w:color="auto" w:fill="auto"/>
            <w:noWrap/>
            <w:vAlign w:val="bottom"/>
            <w:hideMark/>
          </w:tcPr>
          <w:p w14:paraId="7A89D5B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(0.0308)</w:t>
            </w:r>
          </w:p>
        </w:tc>
        <w:tc>
          <w:tcPr>
            <w:tcW w:w="879" w:type="dxa"/>
            <w:tcBorders>
              <w:top w:val="nil"/>
              <w:left w:val="nil"/>
              <w:bottom w:val="nil"/>
              <w:right w:val="nil"/>
            </w:tcBorders>
            <w:shd w:val="clear" w:color="auto" w:fill="auto"/>
            <w:noWrap/>
            <w:vAlign w:val="bottom"/>
            <w:hideMark/>
          </w:tcPr>
          <w:p w14:paraId="14D7D53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(0.0275)</w:t>
            </w:r>
          </w:p>
        </w:tc>
        <w:tc>
          <w:tcPr>
            <w:tcW w:w="831" w:type="dxa"/>
            <w:tcBorders>
              <w:top w:val="nil"/>
              <w:left w:val="nil"/>
              <w:bottom w:val="nil"/>
              <w:right w:val="nil"/>
            </w:tcBorders>
            <w:shd w:val="clear" w:color="auto" w:fill="auto"/>
            <w:noWrap/>
            <w:vAlign w:val="bottom"/>
            <w:hideMark/>
          </w:tcPr>
          <w:p w14:paraId="371BB12B"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(0.0147)</w:t>
            </w:r>
          </w:p>
        </w:tc>
        <w:tc>
          <w:tcPr>
            <w:tcW w:w="865" w:type="dxa"/>
            <w:tcBorders>
              <w:top w:val="nil"/>
              <w:left w:val="nil"/>
              <w:bottom w:val="nil"/>
              <w:right w:val="nil"/>
            </w:tcBorders>
            <w:shd w:val="clear" w:color="auto" w:fill="auto"/>
            <w:vAlign w:val="bottom"/>
          </w:tcPr>
          <w:p w14:paraId="3C6880B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(0.0460)</w:t>
            </w:r>
          </w:p>
        </w:tc>
      </w:tr>
      <w:tr w:rsidR="00063F17" w:rsidRPr="00835DC6" w14:paraId="250C6C0A" w14:textId="77777777" w:rsidTr="00284C07">
        <w:trPr>
          <w:trHeight w:val="64"/>
        </w:trPr>
        <w:tc>
          <w:tcPr>
            <w:tcW w:w="1317" w:type="dxa"/>
            <w:tcBorders>
              <w:top w:val="nil"/>
              <w:left w:val="nil"/>
              <w:bottom w:val="nil"/>
              <w:right w:val="nil"/>
            </w:tcBorders>
            <w:shd w:val="clear" w:color="auto" w:fill="auto"/>
            <w:vAlign w:val="bottom"/>
            <w:hideMark/>
          </w:tcPr>
          <w:p w14:paraId="7D5C402E"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2015 Cohort*TA Eligibility</w:t>
            </w:r>
          </w:p>
        </w:tc>
        <w:tc>
          <w:tcPr>
            <w:tcW w:w="829" w:type="dxa"/>
            <w:tcBorders>
              <w:top w:val="nil"/>
              <w:left w:val="nil"/>
              <w:bottom w:val="nil"/>
              <w:right w:val="nil"/>
            </w:tcBorders>
            <w:shd w:val="clear" w:color="auto" w:fill="auto"/>
            <w:noWrap/>
            <w:vAlign w:val="bottom"/>
            <w:hideMark/>
          </w:tcPr>
          <w:p w14:paraId="571715A0"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0.161</w:t>
            </w:r>
          </w:p>
        </w:tc>
        <w:tc>
          <w:tcPr>
            <w:tcW w:w="732" w:type="dxa"/>
            <w:tcBorders>
              <w:top w:val="nil"/>
              <w:left w:val="nil"/>
              <w:bottom w:val="nil"/>
              <w:right w:val="nil"/>
            </w:tcBorders>
            <w:shd w:val="clear" w:color="auto" w:fill="auto"/>
            <w:noWrap/>
            <w:vAlign w:val="bottom"/>
            <w:hideMark/>
          </w:tcPr>
          <w:p w14:paraId="2BA5912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-0.256</w:t>
            </w:r>
          </w:p>
        </w:tc>
        <w:tc>
          <w:tcPr>
            <w:tcW w:w="732" w:type="dxa"/>
            <w:tcBorders>
              <w:top w:val="nil"/>
              <w:left w:val="nil"/>
              <w:bottom w:val="nil"/>
              <w:right w:val="nil"/>
            </w:tcBorders>
            <w:shd w:val="clear" w:color="auto" w:fill="auto"/>
            <w:noWrap/>
            <w:vAlign w:val="bottom"/>
            <w:hideMark/>
          </w:tcPr>
          <w:p w14:paraId="09BDC8C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0.151</w:t>
            </w:r>
          </w:p>
        </w:tc>
        <w:tc>
          <w:tcPr>
            <w:tcW w:w="818" w:type="dxa"/>
            <w:tcBorders>
              <w:top w:val="nil"/>
              <w:left w:val="nil"/>
              <w:bottom w:val="nil"/>
              <w:right w:val="nil"/>
            </w:tcBorders>
            <w:shd w:val="clear" w:color="auto" w:fill="auto"/>
            <w:noWrap/>
            <w:vAlign w:val="bottom"/>
            <w:hideMark/>
          </w:tcPr>
          <w:p w14:paraId="50CC44B2"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-3.290**</w:t>
            </w:r>
          </w:p>
        </w:tc>
        <w:tc>
          <w:tcPr>
            <w:tcW w:w="948" w:type="dxa"/>
            <w:tcBorders>
              <w:top w:val="nil"/>
              <w:left w:val="nil"/>
              <w:bottom w:val="nil"/>
              <w:right w:val="nil"/>
            </w:tcBorders>
            <w:shd w:val="clear" w:color="auto" w:fill="auto"/>
            <w:noWrap/>
            <w:vAlign w:val="bottom"/>
            <w:hideMark/>
          </w:tcPr>
          <w:p w14:paraId="477448A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-0.375</w:t>
            </w:r>
          </w:p>
        </w:tc>
        <w:tc>
          <w:tcPr>
            <w:tcW w:w="919" w:type="dxa"/>
            <w:tcBorders>
              <w:top w:val="nil"/>
              <w:left w:val="nil"/>
              <w:bottom w:val="nil"/>
              <w:right w:val="nil"/>
            </w:tcBorders>
            <w:shd w:val="clear" w:color="auto" w:fill="auto"/>
            <w:noWrap/>
            <w:vAlign w:val="bottom"/>
            <w:hideMark/>
          </w:tcPr>
          <w:p w14:paraId="5314801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-0.0178</w:t>
            </w:r>
          </w:p>
        </w:tc>
        <w:tc>
          <w:tcPr>
            <w:tcW w:w="849" w:type="dxa"/>
            <w:tcBorders>
              <w:top w:val="nil"/>
              <w:left w:val="nil"/>
              <w:bottom w:val="nil"/>
              <w:right w:val="nil"/>
            </w:tcBorders>
            <w:shd w:val="clear" w:color="auto" w:fill="auto"/>
            <w:noWrap/>
            <w:vAlign w:val="bottom"/>
            <w:hideMark/>
          </w:tcPr>
          <w:p w14:paraId="5482E67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-0.0412</w:t>
            </w:r>
          </w:p>
        </w:tc>
        <w:tc>
          <w:tcPr>
            <w:tcW w:w="879" w:type="dxa"/>
            <w:tcBorders>
              <w:top w:val="nil"/>
              <w:left w:val="nil"/>
              <w:bottom w:val="nil"/>
              <w:right w:val="nil"/>
            </w:tcBorders>
            <w:shd w:val="clear" w:color="auto" w:fill="auto"/>
            <w:noWrap/>
            <w:vAlign w:val="bottom"/>
            <w:hideMark/>
          </w:tcPr>
          <w:p w14:paraId="3CD15E7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-0.0192</w:t>
            </w:r>
          </w:p>
        </w:tc>
        <w:tc>
          <w:tcPr>
            <w:tcW w:w="831" w:type="dxa"/>
            <w:tcBorders>
              <w:top w:val="nil"/>
              <w:left w:val="nil"/>
              <w:bottom w:val="nil"/>
              <w:right w:val="nil"/>
            </w:tcBorders>
            <w:shd w:val="clear" w:color="auto" w:fill="auto"/>
            <w:noWrap/>
            <w:vAlign w:val="bottom"/>
            <w:hideMark/>
          </w:tcPr>
          <w:p w14:paraId="4720F9C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0.0310**</w:t>
            </w:r>
          </w:p>
        </w:tc>
        <w:tc>
          <w:tcPr>
            <w:tcW w:w="865" w:type="dxa"/>
            <w:tcBorders>
              <w:top w:val="nil"/>
              <w:left w:val="nil"/>
              <w:bottom w:val="nil"/>
              <w:right w:val="nil"/>
            </w:tcBorders>
            <w:shd w:val="clear" w:color="auto" w:fill="auto"/>
            <w:vAlign w:val="bottom"/>
          </w:tcPr>
          <w:p w14:paraId="571A3FB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-0.130***</w:t>
            </w:r>
          </w:p>
        </w:tc>
      </w:tr>
      <w:tr w:rsidR="00063F17" w:rsidRPr="00835DC6" w14:paraId="6438C334" w14:textId="77777777" w:rsidTr="00284C07">
        <w:trPr>
          <w:trHeight w:val="276"/>
        </w:trPr>
        <w:tc>
          <w:tcPr>
            <w:tcW w:w="1317" w:type="dxa"/>
            <w:tcBorders>
              <w:top w:val="nil"/>
              <w:left w:val="nil"/>
              <w:bottom w:val="nil"/>
              <w:right w:val="nil"/>
            </w:tcBorders>
            <w:shd w:val="clear" w:color="auto" w:fill="auto"/>
            <w:vAlign w:val="bottom"/>
            <w:hideMark/>
          </w:tcPr>
          <w:p w14:paraId="68997374"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p>
        </w:tc>
        <w:tc>
          <w:tcPr>
            <w:tcW w:w="829" w:type="dxa"/>
            <w:tcBorders>
              <w:top w:val="nil"/>
              <w:left w:val="nil"/>
              <w:bottom w:val="nil"/>
              <w:right w:val="nil"/>
            </w:tcBorders>
            <w:shd w:val="clear" w:color="auto" w:fill="auto"/>
            <w:noWrap/>
            <w:vAlign w:val="bottom"/>
            <w:hideMark/>
          </w:tcPr>
          <w:p w14:paraId="61EF0F5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(0.157)</w:t>
            </w:r>
          </w:p>
        </w:tc>
        <w:tc>
          <w:tcPr>
            <w:tcW w:w="732" w:type="dxa"/>
            <w:tcBorders>
              <w:top w:val="nil"/>
              <w:left w:val="nil"/>
              <w:bottom w:val="nil"/>
              <w:right w:val="nil"/>
            </w:tcBorders>
            <w:shd w:val="clear" w:color="auto" w:fill="auto"/>
            <w:noWrap/>
            <w:vAlign w:val="bottom"/>
            <w:hideMark/>
          </w:tcPr>
          <w:p w14:paraId="2B2C738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(0.682)</w:t>
            </w:r>
          </w:p>
        </w:tc>
        <w:tc>
          <w:tcPr>
            <w:tcW w:w="732" w:type="dxa"/>
            <w:tcBorders>
              <w:top w:val="nil"/>
              <w:left w:val="nil"/>
              <w:bottom w:val="nil"/>
              <w:right w:val="nil"/>
            </w:tcBorders>
            <w:shd w:val="clear" w:color="auto" w:fill="auto"/>
            <w:noWrap/>
            <w:vAlign w:val="bottom"/>
            <w:hideMark/>
          </w:tcPr>
          <w:p w14:paraId="635872E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(0.155)</w:t>
            </w:r>
          </w:p>
        </w:tc>
        <w:tc>
          <w:tcPr>
            <w:tcW w:w="818" w:type="dxa"/>
            <w:tcBorders>
              <w:top w:val="nil"/>
              <w:left w:val="nil"/>
              <w:bottom w:val="nil"/>
              <w:right w:val="nil"/>
            </w:tcBorders>
            <w:shd w:val="clear" w:color="auto" w:fill="auto"/>
            <w:noWrap/>
            <w:vAlign w:val="bottom"/>
            <w:hideMark/>
          </w:tcPr>
          <w:p w14:paraId="533D13F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(1.468)</w:t>
            </w:r>
          </w:p>
        </w:tc>
        <w:tc>
          <w:tcPr>
            <w:tcW w:w="948" w:type="dxa"/>
            <w:tcBorders>
              <w:top w:val="nil"/>
              <w:left w:val="nil"/>
              <w:bottom w:val="nil"/>
              <w:right w:val="nil"/>
            </w:tcBorders>
            <w:shd w:val="clear" w:color="auto" w:fill="auto"/>
            <w:noWrap/>
            <w:vAlign w:val="bottom"/>
            <w:hideMark/>
          </w:tcPr>
          <w:p w14:paraId="69338A7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(0.235)</w:t>
            </w:r>
          </w:p>
        </w:tc>
        <w:tc>
          <w:tcPr>
            <w:tcW w:w="919" w:type="dxa"/>
            <w:tcBorders>
              <w:top w:val="nil"/>
              <w:left w:val="nil"/>
              <w:bottom w:val="nil"/>
              <w:right w:val="nil"/>
            </w:tcBorders>
            <w:shd w:val="clear" w:color="auto" w:fill="auto"/>
            <w:noWrap/>
            <w:vAlign w:val="bottom"/>
            <w:hideMark/>
          </w:tcPr>
          <w:p w14:paraId="79552AEF"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(0.0162)</w:t>
            </w:r>
          </w:p>
        </w:tc>
        <w:tc>
          <w:tcPr>
            <w:tcW w:w="849" w:type="dxa"/>
            <w:tcBorders>
              <w:top w:val="nil"/>
              <w:left w:val="nil"/>
              <w:bottom w:val="nil"/>
              <w:right w:val="nil"/>
            </w:tcBorders>
            <w:shd w:val="clear" w:color="auto" w:fill="auto"/>
            <w:noWrap/>
            <w:vAlign w:val="bottom"/>
            <w:hideMark/>
          </w:tcPr>
          <w:p w14:paraId="535D1C3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(0.0285)</w:t>
            </w:r>
          </w:p>
        </w:tc>
        <w:tc>
          <w:tcPr>
            <w:tcW w:w="879" w:type="dxa"/>
            <w:tcBorders>
              <w:top w:val="nil"/>
              <w:left w:val="nil"/>
              <w:bottom w:val="nil"/>
              <w:right w:val="nil"/>
            </w:tcBorders>
            <w:shd w:val="clear" w:color="auto" w:fill="auto"/>
            <w:noWrap/>
            <w:vAlign w:val="bottom"/>
            <w:hideMark/>
          </w:tcPr>
          <w:p w14:paraId="36115575"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(0.0245)</w:t>
            </w:r>
          </w:p>
        </w:tc>
        <w:tc>
          <w:tcPr>
            <w:tcW w:w="831" w:type="dxa"/>
            <w:tcBorders>
              <w:top w:val="nil"/>
              <w:left w:val="nil"/>
              <w:bottom w:val="nil"/>
              <w:right w:val="nil"/>
            </w:tcBorders>
            <w:shd w:val="clear" w:color="auto" w:fill="auto"/>
            <w:noWrap/>
            <w:vAlign w:val="bottom"/>
            <w:hideMark/>
          </w:tcPr>
          <w:p w14:paraId="520848A9"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(0.0147)</w:t>
            </w:r>
          </w:p>
        </w:tc>
        <w:tc>
          <w:tcPr>
            <w:tcW w:w="865" w:type="dxa"/>
            <w:tcBorders>
              <w:top w:val="nil"/>
              <w:left w:val="nil"/>
              <w:bottom w:val="nil"/>
              <w:right w:val="nil"/>
            </w:tcBorders>
            <w:shd w:val="clear" w:color="auto" w:fill="auto"/>
            <w:vAlign w:val="bottom"/>
          </w:tcPr>
          <w:p w14:paraId="22D86F76"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20"/>
              </w:rPr>
            </w:pPr>
            <w:r w:rsidRPr="00835DC6">
              <w:rPr>
                <w:rFonts w:ascii="Times New Roman" w:hAnsi="Times New Roman" w:cs="Times New Roman"/>
                <w:color w:val="000000"/>
                <w:sz w:val="16"/>
                <w:szCs w:val="20"/>
              </w:rPr>
              <w:t>(0.0489)</w:t>
            </w:r>
          </w:p>
        </w:tc>
      </w:tr>
      <w:tr w:rsidR="00063F17" w:rsidRPr="00835DC6" w14:paraId="16B006C9" w14:textId="77777777" w:rsidTr="00284C07">
        <w:trPr>
          <w:trHeight w:val="276"/>
        </w:trPr>
        <w:tc>
          <w:tcPr>
            <w:tcW w:w="1317" w:type="dxa"/>
            <w:tcBorders>
              <w:top w:val="nil"/>
              <w:left w:val="nil"/>
              <w:bottom w:val="nil"/>
              <w:right w:val="nil"/>
            </w:tcBorders>
            <w:shd w:val="clear" w:color="auto" w:fill="auto"/>
            <w:noWrap/>
            <w:vAlign w:val="bottom"/>
            <w:hideMark/>
          </w:tcPr>
          <w:p w14:paraId="70A58AB6"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Observations</w:t>
            </w:r>
          </w:p>
        </w:tc>
        <w:tc>
          <w:tcPr>
            <w:tcW w:w="829" w:type="dxa"/>
            <w:tcBorders>
              <w:top w:val="nil"/>
              <w:left w:val="nil"/>
              <w:bottom w:val="nil"/>
              <w:right w:val="nil"/>
            </w:tcBorders>
            <w:shd w:val="clear" w:color="auto" w:fill="auto"/>
            <w:noWrap/>
            <w:vAlign w:val="bottom"/>
            <w:hideMark/>
          </w:tcPr>
          <w:p w14:paraId="19C76CB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22,166</w:t>
            </w:r>
          </w:p>
        </w:tc>
        <w:tc>
          <w:tcPr>
            <w:tcW w:w="732" w:type="dxa"/>
            <w:tcBorders>
              <w:top w:val="nil"/>
              <w:left w:val="nil"/>
              <w:bottom w:val="nil"/>
              <w:right w:val="nil"/>
            </w:tcBorders>
            <w:shd w:val="clear" w:color="auto" w:fill="auto"/>
            <w:noWrap/>
            <w:vAlign w:val="bottom"/>
            <w:hideMark/>
          </w:tcPr>
          <w:p w14:paraId="12A37BFC"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732" w:type="dxa"/>
            <w:tcBorders>
              <w:top w:val="nil"/>
              <w:left w:val="nil"/>
              <w:bottom w:val="nil"/>
              <w:right w:val="nil"/>
            </w:tcBorders>
            <w:shd w:val="clear" w:color="auto" w:fill="auto"/>
            <w:noWrap/>
            <w:vAlign w:val="bottom"/>
            <w:hideMark/>
          </w:tcPr>
          <w:p w14:paraId="24D8268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22,169</w:t>
            </w:r>
          </w:p>
        </w:tc>
        <w:tc>
          <w:tcPr>
            <w:tcW w:w="818" w:type="dxa"/>
            <w:tcBorders>
              <w:top w:val="nil"/>
              <w:left w:val="nil"/>
              <w:bottom w:val="nil"/>
              <w:right w:val="nil"/>
            </w:tcBorders>
            <w:shd w:val="clear" w:color="auto" w:fill="auto"/>
            <w:noWrap/>
            <w:vAlign w:val="bottom"/>
            <w:hideMark/>
          </w:tcPr>
          <w:p w14:paraId="134BA4F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948" w:type="dxa"/>
            <w:tcBorders>
              <w:top w:val="nil"/>
              <w:left w:val="nil"/>
              <w:bottom w:val="nil"/>
              <w:right w:val="nil"/>
            </w:tcBorders>
            <w:shd w:val="clear" w:color="auto" w:fill="auto"/>
            <w:noWrap/>
            <w:vAlign w:val="bottom"/>
            <w:hideMark/>
          </w:tcPr>
          <w:p w14:paraId="5803BAD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919" w:type="dxa"/>
            <w:tcBorders>
              <w:top w:val="nil"/>
              <w:left w:val="nil"/>
              <w:bottom w:val="nil"/>
              <w:right w:val="nil"/>
            </w:tcBorders>
            <w:shd w:val="clear" w:color="auto" w:fill="auto"/>
            <w:noWrap/>
            <w:vAlign w:val="bottom"/>
            <w:hideMark/>
          </w:tcPr>
          <w:p w14:paraId="2222DB2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849" w:type="dxa"/>
            <w:tcBorders>
              <w:top w:val="nil"/>
              <w:left w:val="nil"/>
              <w:bottom w:val="nil"/>
              <w:right w:val="nil"/>
            </w:tcBorders>
            <w:shd w:val="clear" w:color="auto" w:fill="auto"/>
            <w:noWrap/>
            <w:vAlign w:val="bottom"/>
            <w:hideMark/>
          </w:tcPr>
          <w:p w14:paraId="2E3DA72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879" w:type="dxa"/>
            <w:tcBorders>
              <w:top w:val="nil"/>
              <w:left w:val="nil"/>
              <w:bottom w:val="nil"/>
              <w:right w:val="nil"/>
            </w:tcBorders>
            <w:shd w:val="clear" w:color="auto" w:fill="auto"/>
            <w:noWrap/>
            <w:vAlign w:val="bottom"/>
            <w:hideMark/>
          </w:tcPr>
          <w:p w14:paraId="0E4364E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831" w:type="dxa"/>
            <w:tcBorders>
              <w:top w:val="nil"/>
              <w:left w:val="nil"/>
              <w:right w:val="nil"/>
            </w:tcBorders>
            <w:shd w:val="clear" w:color="auto" w:fill="auto"/>
            <w:noWrap/>
            <w:vAlign w:val="bottom"/>
            <w:hideMark/>
          </w:tcPr>
          <w:p w14:paraId="4A82DFE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c>
          <w:tcPr>
            <w:tcW w:w="865" w:type="dxa"/>
            <w:tcBorders>
              <w:top w:val="nil"/>
              <w:left w:val="nil"/>
              <w:right w:val="nil"/>
            </w:tcBorders>
            <w:shd w:val="clear" w:color="auto" w:fill="auto"/>
            <w:vAlign w:val="bottom"/>
          </w:tcPr>
          <w:p w14:paraId="19D4E05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22,172</w:t>
            </w:r>
          </w:p>
        </w:tc>
      </w:tr>
      <w:tr w:rsidR="00063F17" w:rsidRPr="00835DC6" w14:paraId="5D593A4B" w14:textId="77777777" w:rsidTr="00284C07">
        <w:trPr>
          <w:trHeight w:val="276"/>
        </w:trPr>
        <w:tc>
          <w:tcPr>
            <w:tcW w:w="1317" w:type="dxa"/>
            <w:tcBorders>
              <w:top w:val="nil"/>
              <w:left w:val="nil"/>
              <w:bottom w:val="single" w:sz="4" w:space="0" w:color="auto"/>
              <w:right w:val="nil"/>
            </w:tcBorders>
            <w:shd w:val="clear" w:color="auto" w:fill="auto"/>
            <w:noWrap/>
            <w:vAlign w:val="bottom"/>
            <w:hideMark/>
          </w:tcPr>
          <w:p w14:paraId="7A010CEE" w14:textId="77777777" w:rsidR="00063F17" w:rsidRPr="00835DC6" w:rsidRDefault="00063F17" w:rsidP="00556CCF">
            <w:pPr>
              <w:spacing w:after="0" w:line="240" w:lineRule="auto"/>
              <w:rPr>
                <w:rFonts w:ascii="Times New Roman" w:eastAsia="Times New Roman" w:hAnsi="Times New Roman" w:cs="Times New Roman"/>
                <w:color w:val="000000"/>
                <w:sz w:val="16"/>
                <w:szCs w:val="21"/>
              </w:rPr>
            </w:pPr>
            <w:r w:rsidRPr="00835DC6">
              <w:rPr>
                <w:rFonts w:ascii="Times New Roman" w:eastAsia="Times New Roman" w:hAnsi="Times New Roman" w:cs="Times New Roman"/>
                <w:color w:val="000000"/>
                <w:sz w:val="16"/>
                <w:szCs w:val="21"/>
              </w:rPr>
              <w:t>R-squared</w:t>
            </w:r>
          </w:p>
        </w:tc>
        <w:tc>
          <w:tcPr>
            <w:tcW w:w="829" w:type="dxa"/>
            <w:tcBorders>
              <w:top w:val="nil"/>
              <w:left w:val="nil"/>
              <w:bottom w:val="single" w:sz="4" w:space="0" w:color="auto"/>
              <w:right w:val="nil"/>
            </w:tcBorders>
            <w:shd w:val="clear" w:color="auto" w:fill="auto"/>
            <w:noWrap/>
            <w:vAlign w:val="bottom"/>
            <w:hideMark/>
          </w:tcPr>
          <w:p w14:paraId="155A045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0.202</w:t>
            </w:r>
          </w:p>
        </w:tc>
        <w:tc>
          <w:tcPr>
            <w:tcW w:w="732" w:type="dxa"/>
            <w:tcBorders>
              <w:top w:val="nil"/>
              <w:left w:val="nil"/>
              <w:bottom w:val="single" w:sz="4" w:space="0" w:color="auto"/>
              <w:right w:val="nil"/>
            </w:tcBorders>
            <w:shd w:val="clear" w:color="auto" w:fill="auto"/>
            <w:noWrap/>
            <w:vAlign w:val="bottom"/>
            <w:hideMark/>
          </w:tcPr>
          <w:p w14:paraId="39655D71"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0.197</w:t>
            </w:r>
          </w:p>
        </w:tc>
        <w:tc>
          <w:tcPr>
            <w:tcW w:w="732" w:type="dxa"/>
            <w:tcBorders>
              <w:top w:val="nil"/>
              <w:left w:val="nil"/>
              <w:bottom w:val="single" w:sz="4" w:space="0" w:color="auto"/>
              <w:right w:val="nil"/>
            </w:tcBorders>
            <w:shd w:val="clear" w:color="auto" w:fill="auto"/>
            <w:noWrap/>
            <w:vAlign w:val="bottom"/>
            <w:hideMark/>
          </w:tcPr>
          <w:p w14:paraId="00BE77BE"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0.217</w:t>
            </w:r>
          </w:p>
        </w:tc>
        <w:tc>
          <w:tcPr>
            <w:tcW w:w="818" w:type="dxa"/>
            <w:tcBorders>
              <w:top w:val="nil"/>
              <w:left w:val="nil"/>
              <w:bottom w:val="single" w:sz="4" w:space="0" w:color="auto"/>
              <w:right w:val="nil"/>
            </w:tcBorders>
            <w:shd w:val="clear" w:color="auto" w:fill="auto"/>
            <w:noWrap/>
            <w:vAlign w:val="bottom"/>
            <w:hideMark/>
          </w:tcPr>
          <w:p w14:paraId="260476A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0.240</w:t>
            </w:r>
          </w:p>
        </w:tc>
        <w:tc>
          <w:tcPr>
            <w:tcW w:w="948" w:type="dxa"/>
            <w:tcBorders>
              <w:top w:val="nil"/>
              <w:left w:val="nil"/>
              <w:bottom w:val="single" w:sz="4" w:space="0" w:color="auto"/>
              <w:right w:val="nil"/>
            </w:tcBorders>
            <w:shd w:val="clear" w:color="auto" w:fill="auto"/>
            <w:noWrap/>
            <w:vAlign w:val="bottom"/>
            <w:hideMark/>
          </w:tcPr>
          <w:p w14:paraId="1448110D"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0.224</w:t>
            </w:r>
          </w:p>
        </w:tc>
        <w:tc>
          <w:tcPr>
            <w:tcW w:w="919" w:type="dxa"/>
            <w:tcBorders>
              <w:top w:val="nil"/>
              <w:left w:val="nil"/>
              <w:bottom w:val="single" w:sz="4" w:space="0" w:color="auto"/>
              <w:right w:val="nil"/>
            </w:tcBorders>
            <w:shd w:val="clear" w:color="auto" w:fill="auto"/>
            <w:noWrap/>
            <w:vAlign w:val="bottom"/>
            <w:hideMark/>
          </w:tcPr>
          <w:p w14:paraId="2BC2E9CA"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0.071</w:t>
            </w:r>
          </w:p>
        </w:tc>
        <w:tc>
          <w:tcPr>
            <w:tcW w:w="849" w:type="dxa"/>
            <w:tcBorders>
              <w:top w:val="nil"/>
              <w:left w:val="nil"/>
              <w:bottom w:val="single" w:sz="4" w:space="0" w:color="auto"/>
              <w:right w:val="nil"/>
            </w:tcBorders>
            <w:shd w:val="clear" w:color="auto" w:fill="auto"/>
            <w:noWrap/>
            <w:vAlign w:val="bottom"/>
            <w:hideMark/>
          </w:tcPr>
          <w:p w14:paraId="6F8FC634"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0.151</w:t>
            </w:r>
          </w:p>
        </w:tc>
        <w:tc>
          <w:tcPr>
            <w:tcW w:w="879" w:type="dxa"/>
            <w:tcBorders>
              <w:top w:val="nil"/>
              <w:left w:val="nil"/>
              <w:bottom w:val="single" w:sz="4" w:space="0" w:color="auto"/>
              <w:right w:val="nil"/>
            </w:tcBorders>
            <w:shd w:val="clear" w:color="auto" w:fill="auto"/>
            <w:noWrap/>
            <w:vAlign w:val="bottom"/>
            <w:hideMark/>
          </w:tcPr>
          <w:p w14:paraId="79B3BCF3"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0.122</w:t>
            </w:r>
          </w:p>
        </w:tc>
        <w:tc>
          <w:tcPr>
            <w:tcW w:w="831" w:type="dxa"/>
            <w:tcBorders>
              <w:top w:val="nil"/>
              <w:left w:val="nil"/>
              <w:bottom w:val="single" w:sz="4" w:space="0" w:color="auto"/>
              <w:right w:val="nil"/>
            </w:tcBorders>
            <w:shd w:val="clear" w:color="auto" w:fill="auto"/>
            <w:noWrap/>
            <w:vAlign w:val="bottom"/>
            <w:hideMark/>
          </w:tcPr>
          <w:p w14:paraId="7F64A8D7"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0.074</w:t>
            </w:r>
          </w:p>
        </w:tc>
        <w:tc>
          <w:tcPr>
            <w:tcW w:w="865" w:type="dxa"/>
            <w:tcBorders>
              <w:top w:val="nil"/>
              <w:left w:val="nil"/>
              <w:bottom w:val="single" w:sz="4" w:space="0" w:color="auto"/>
              <w:right w:val="nil"/>
            </w:tcBorders>
            <w:shd w:val="clear" w:color="auto" w:fill="auto"/>
            <w:vAlign w:val="bottom"/>
          </w:tcPr>
          <w:p w14:paraId="53AE35F8" w14:textId="77777777" w:rsidR="00063F17" w:rsidRPr="00835DC6" w:rsidRDefault="00063F17" w:rsidP="00556CCF">
            <w:pPr>
              <w:spacing w:after="0" w:line="240" w:lineRule="auto"/>
              <w:jc w:val="center"/>
              <w:rPr>
                <w:rFonts w:ascii="Times New Roman" w:eastAsia="Times New Roman" w:hAnsi="Times New Roman" w:cs="Times New Roman"/>
                <w:color w:val="000000"/>
                <w:sz w:val="16"/>
                <w:szCs w:val="18"/>
              </w:rPr>
            </w:pPr>
            <w:r w:rsidRPr="00835DC6">
              <w:rPr>
                <w:rFonts w:ascii="Times New Roman" w:hAnsi="Times New Roman" w:cs="Times New Roman"/>
                <w:color w:val="000000"/>
                <w:sz w:val="16"/>
                <w:szCs w:val="18"/>
              </w:rPr>
              <w:t>0.091</w:t>
            </w:r>
          </w:p>
        </w:tc>
      </w:tr>
    </w:tbl>
    <w:p w14:paraId="431E28DC" w14:textId="77777777" w:rsidR="00063F17" w:rsidRPr="003D5D1F" w:rsidRDefault="00063F17" w:rsidP="00063F17">
      <w:pPr>
        <w:spacing w:after="0" w:line="240" w:lineRule="auto"/>
        <w:rPr>
          <w:rFonts w:ascii="Times New Roman" w:eastAsia="Times New Roman" w:hAnsi="Times New Roman" w:cs="Times New Roman"/>
          <w:color w:val="000000"/>
          <w:sz w:val="20"/>
        </w:rPr>
      </w:pPr>
      <w:r w:rsidRPr="003D5D1F">
        <w:rPr>
          <w:rFonts w:ascii="Times New Roman" w:eastAsia="Times New Roman" w:hAnsi="Times New Roman" w:cs="Times New Roman"/>
          <w:color w:val="000000"/>
          <w:sz w:val="20"/>
        </w:rPr>
        <w:t>Each model includes</w:t>
      </w:r>
      <w:r>
        <w:rPr>
          <w:rFonts w:ascii="Times New Roman" w:eastAsia="Times New Roman" w:hAnsi="Times New Roman" w:cs="Times New Roman"/>
          <w:color w:val="000000"/>
          <w:sz w:val="20"/>
        </w:rPr>
        <w:t xml:space="preserve"> cohort and high school fixed effects and</w:t>
      </w:r>
      <w:r w:rsidRPr="003D5D1F">
        <w:rPr>
          <w:rFonts w:ascii="Times New Roman" w:eastAsia="Times New Roman" w:hAnsi="Times New Roman" w:cs="Times New Roman"/>
          <w:color w:val="000000"/>
          <w:sz w:val="20"/>
        </w:rPr>
        <w:t xml:space="preserve"> controls for race/ethnicity, gender, age, pell, and an indicator of whether they received another scholarship. Robust standard errors in parentheses *** p&lt;0.01, ** p&lt;0.05, * p&lt;0.1</w:t>
      </w:r>
    </w:p>
    <w:p w14:paraId="7712630D" w14:textId="77777777" w:rsidR="00063F17" w:rsidRDefault="00063F17" w:rsidP="00063F1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76ECF7A" w14:textId="386DA7FB" w:rsidR="00063F17" w:rsidRPr="00190C11" w:rsidRDefault="00063F17" w:rsidP="00063F17">
      <w:pPr>
        <w:rPr>
          <w:rFonts w:ascii="Times New Roman" w:eastAsia="Times New Roman" w:hAnsi="Times New Roman" w:cs="Times New Roman"/>
          <w:bCs/>
          <w:sz w:val="24"/>
          <w:szCs w:val="24"/>
        </w:rPr>
      </w:pPr>
      <w:r w:rsidRPr="00613CD3">
        <w:rPr>
          <w:rFonts w:ascii="Times New Roman" w:eastAsia="Times New Roman" w:hAnsi="Times New Roman" w:cs="Times New Roman"/>
          <w:b/>
          <w:bCs/>
          <w:sz w:val="24"/>
          <w:szCs w:val="24"/>
        </w:rPr>
        <w:lastRenderedPageBreak/>
        <w:t xml:space="preserve">Table </w:t>
      </w:r>
      <w:r w:rsidR="005B5FB2">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B3</w:t>
      </w:r>
      <w:r w:rsidRPr="00613CD3">
        <w:rPr>
          <w:rFonts w:ascii="Times New Roman" w:eastAsia="Times New Roman" w:hAnsi="Times New Roman" w:cs="Times New Roman"/>
          <w:b/>
          <w:bCs/>
          <w:sz w:val="24"/>
          <w:szCs w:val="24"/>
        </w:rPr>
        <w:t>.</w:t>
      </w:r>
      <w:r>
        <w:rPr>
          <w:rFonts w:ascii="Palatino Linotype" w:eastAsia="Times New Roman" w:hAnsi="Palatino Linotype" w:cs="Calibri"/>
          <w:b/>
          <w:color w:val="000000"/>
          <w:sz w:val="20"/>
          <w:szCs w:val="20"/>
        </w:rPr>
        <w:t xml:space="preserve"> </w:t>
      </w:r>
      <w:r w:rsidR="005B5FB2">
        <w:rPr>
          <w:rFonts w:ascii="Times New Roman" w:eastAsia="Times New Roman" w:hAnsi="Times New Roman" w:cs="Times New Roman"/>
          <w:bCs/>
          <w:sz w:val="24"/>
          <w:szCs w:val="24"/>
        </w:rPr>
        <w:t>Robustness Check with High School Fixed Effects: D</w:t>
      </w:r>
      <w:r w:rsidRPr="00190C11">
        <w:rPr>
          <w:rFonts w:ascii="Times New Roman" w:eastAsia="Times New Roman" w:hAnsi="Times New Roman" w:cs="Times New Roman"/>
          <w:bCs/>
          <w:sz w:val="24"/>
          <w:szCs w:val="24"/>
        </w:rPr>
        <w:t>ifference-in-Difference Results for the Effect of Tulsa Achieves Eligibility on Student Outcomes (ITT)</w:t>
      </w:r>
    </w:p>
    <w:tbl>
      <w:tblPr>
        <w:tblW w:w="9212" w:type="dxa"/>
        <w:tblLayout w:type="fixed"/>
        <w:tblLook w:val="04A0" w:firstRow="1" w:lastRow="0" w:firstColumn="1" w:lastColumn="0" w:noHBand="0" w:noVBand="1"/>
      </w:tblPr>
      <w:tblGrid>
        <w:gridCol w:w="1584"/>
        <w:gridCol w:w="682"/>
        <w:gridCol w:w="841"/>
        <w:gridCol w:w="622"/>
        <w:gridCol w:w="768"/>
        <w:gridCol w:w="804"/>
        <w:gridCol w:w="770"/>
        <w:gridCol w:w="679"/>
        <w:gridCol w:w="858"/>
        <w:gridCol w:w="776"/>
        <w:gridCol w:w="828"/>
      </w:tblGrid>
      <w:tr w:rsidR="00063F17" w:rsidRPr="00284C07" w14:paraId="6268FFB7" w14:textId="77777777" w:rsidTr="00284C07">
        <w:trPr>
          <w:trHeight w:val="471"/>
        </w:trPr>
        <w:tc>
          <w:tcPr>
            <w:tcW w:w="1584" w:type="dxa"/>
            <w:tcBorders>
              <w:top w:val="nil"/>
              <w:left w:val="nil"/>
              <w:bottom w:val="double" w:sz="6" w:space="0" w:color="auto"/>
              <w:right w:val="nil"/>
            </w:tcBorders>
            <w:shd w:val="clear" w:color="auto" w:fill="auto"/>
            <w:noWrap/>
            <w:vAlign w:val="bottom"/>
            <w:hideMark/>
          </w:tcPr>
          <w:p w14:paraId="111A4893"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 </w:t>
            </w:r>
          </w:p>
        </w:tc>
        <w:tc>
          <w:tcPr>
            <w:tcW w:w="682" w:type="dxa"/>
            <w:tcBorders>
              <w:top w:val="nil"/>
              <w:left w:val="nil"/>
              <w:bottom w:val="double" w:sz="6" w:space="0" w:color="auto"/>
              <w:right w:val="nil"/>
            </w:tcBorders>
            <w:shd w:val="clear" w:color="auto" w:fill="auto"/>
            <w:vAlign w:val="bottom"/>
            <w:hideMark/>
          </w:tcPr>
          <w:p w14:paraId="385EED4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GPA End of Year 1</w:t>
            </w:r>
          </w:p>
        </w:tc>
        <w:tc>
          <w:tcPr>
            <w:tcW w:w="841" w:type="dxa"/>
            <w:tcBorders>
              <w:top w:val="nil"/>
              <w:left w:val="nil"/>
              <w:bottom w:val="double" w:sz="6" w:space="0" w:color="auto"/>
              <w:right w:val="nil"/>
            </w:tcBorders>
            <w:shd w:val="clear" w:color="auto" w:fill="auto"/>
            <w:vAlign w:val="bottom"/>
            <w:hideMark/>
          </w:tcPr>
          <w:p w14:paraId="2CC2316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Credits End of Year 1</w:t>
            </w:r>
          </w:p>
        </w:tc>
        <w:tc>
          <w:tcPr>
            <w:tcW w:w="622" w:type="dxa"/>
            <w:tcBorders>
              <w:top w:val="nil"/>
              <w:left w:val="nil"/>
              <w:bottom w:val="double" w:sz="6" w:space="0" w:color="auto"/>
              <w:right w:val="nil"/>
            </w:tcBorders>
            <w:shd w:val="clear" w:color="auto" w:fill="auto"/>
            <w:vAlign w:val="bottom"/>
            <w:hideMark/>
          </w:tcPr>
          <w:p w14:paraId="30EF4B5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GPA End of Year 3</w:t>
            </w:r>
          </w:p>
        </w:tc>
        <w:tc>
          <w:tcPr>
            <w:tcW w:w="768" w:type="dxa"/>
            <w:tcBorders>
              <w:top w:val="nil"/>
              <w:left w:val="nil"/>
              <w:bottom w:val="double" w:sz="6" w:space="0" w:color="auto"/>
              <w:right w:val="nil"/>
            </w:tcBorders>
            <w:shd w:val="clear" w:color="auto" w:fill="auto"/>
            <w:vAlign w:val="bottom"/>
            <w:hideMark/>
          </w:tcPr>
          <w:p w14:paraId="6729FE2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Credits End of Year 3</w:t>
            </w:r>
          </w:p>
        </w:tc>
        <w:tc>
          <w:tcPr>
            <w:tcW w:w="804" w:type="dxa"/>
            <w:tcBorders>
              <w:top w:val="nil"/>
              <w:left w:val="nil"/>
              <w:bottom w:val="double" w:sz="6" w:space="0" w:color="auto"/>
              <w:right w:val="nil"/>
            </w:tcBorders>
            <w:shd w:val="clear" w:color="auto" w:fill="auto"/>
            <w:vAlign w:val="bottom"/>
            <w:hideMark/>
          </w:tcPr>
          <w:p w14:paraId="5108FFA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Semesters Enrolled in 3 Years</w:t>
            </w:r>
          </w:p>
        </w:tc>
        <w:tc>
          <w:tcPr>
            <w:tcW w:w="770" w:type="dxa"/>
            <w:tcBorders>
              <w:top w:val="nil"/>
              <w:left w:val="nil"/>
              <w:bottom w:val="double" w:sz="6" w:space="0" w:color="auto"/>
              <w:right w:val="nil"/>
            </w:tcBorders>
            <w:shd w:val="clear" w:color="auto" w:fill="auto"/>
            <w:vAlign w:val="bottom"/>
            <w:hideMark/>
          </w:tcPr>
          <w:p w14:paraId="61458F4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Had 63 Credits by Year 3</w:t>
            </w:r>
          </w:p>
        </w:tc>
        <w:tc>
          <w:tcPr>
            <w:tcW w:w="679" w:type="dxa"/>
            <w:tcBorders>
              <w:top w:val="nil"/>
              <w:left w:val="nil"/>
              <w:bottom w:val="double" w:sz="6" w:space="0" w:color="auto"/>
              <w:right w:val="nil"/>
            </w:tcBorders>
            <w:shd w:val="clear" w:color="auto" w:fill="auto"/>
            <w:vAlign w:val="bottom"/>
            <w:hideMark/>
          </w:tcPr>
          <w:p w14:paraId="449755B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Graduate with Credential</w:t>
            </w:r>
          </w:p>
        </w:tc>
        <w:tc>
          <w:tcPr>
            <w:tcW w:w="858" w:type="dxa"/>
            <w:tcBorders>
              <w:top w:val="nil"/>
              <w:left w:val="nil"/>
              <w:bottom w:val="double" w:sz="6" w:space="0" w:color="auto"/>
              <w:right w:val="nil"/>
            </w:tcBorders>
            <w:shd w:val="clear" w:color="auto" w:fill="auto"/>
            <w:vAlign w:val="bottom"/>
            <w:hideMark/>
          </w:tcPr>
          <w:p w14:paraId="7CBF1D2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Transfer to Four Year College</w:t>
            </w:r>
          </w:p>
        </w:tc>
        <w:tc>
          <w:tcPr>
            <w:tcW w:w="776" w:type="dxa"/>
            <w:tcBorders>
              <w:top w:val="nil"/>
              <w:left w:val="nil"/>
              <w:bottom w:val="double" w:sz="6" w:space="0" w:color="auto"/>
              <w:right w:val="nil"/>
            </w:tcBorders>
            <w:shd w:val="clear" w:color="auto" w:fill="auto"/>
            <w:vAlign w:val="bottom"/>
            <w:hideMark/>
          </w:tcPr>
          <w:p w14:paraId="4ACF11D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Bachelors Degree</w:t>
            </w:r>
          </w:p>
        </w:tc>
        <w:tc>
          <w:tcPr>
            <w:tcW w:w="828" w:type="dxa"/>
            <w:tcBorders>
              <w:top w:val="nil"/>
              <w:left w:val="nil"/>
              <w:bottom w:val="double" w:sz="6" w:space="0" w:color="auto"/>
              <w:right w:val="nil"/>
            </w:tcBorders>
            <w:shd w:val="clear" w:color="auto" w:fill="auto"/>
            <w:vAlign w:val="bottom"/>
            <w:hideMark/>
          </w:tcPr>
          <w:p w14:paraId="04EBBAC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Bachelors Degree in 5 Years</w:t>
            </w:r>
          </w:p>
        </w:tc>
      </w:tr>
      <w:tr w:rsidR="00063F17" w:rsidRPr="00284C07" w14:paraId="0B210C0D" w14:textId="77777777" w:rsidTr="00284C07">
        <w:trPr>
          <w:trHeight w:val="160"/>
        </w:trPr>
        <w:tc>
          <w:tcPr>
            <w:tcW w:w="1584" w:type="dxa"/>
            <w:tcBorders>
              <w:top w:val="nil"/>
              <w:left w:val="nil"/>
              <w:bottom w:val="nil"/>
              <w:right w:val="nil"/>
            </w:tcBorders>
            <w:shd w:val="clear" w:color="auto" w:fill="auto"/>
            <w:noWrap/>
            <w:vAlign w:val="bottom"/>
            <w:hideMark/>
          </w:tcPr>
          <w:p w14:paraId="7126FBC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p>
        </w:tc>
        <w:tc>
          <w:tcPr>
            <w:tcW w:w="682" w:type="dxa"/>
            <w:tcBorders>
              <w:top w:val="nil"/>
              <w:left w:val="nil"/>
              <w:bottom w:val="nil"/>
              <w:right w:val="nil"/>
            </w:tcBorders>
            <w:shd w:val="clear" w:color="auto" w:fill="auto"/>
            <w:noWrap/>
            <w:vAlign w:val="bottom"/>
            <w:hideMark/>
          </w:tcPr>
          <w:p w14:paraId="7F94E0A5" w14:textId="77777777" w:rsidR="00063F17" w:rsidRPr="00284C07" w:rsidRDefault="00063F17" w:rsidP="00556CCF">
            <w:pPr>
              <w:spacing w:after="0" w:line="240" w:lineRule="auto"/>
              <w:rPr>
                <w:rFonts w:ascii="Times New Roman" w:eastAsia="Times New Roman" w:hAnsi="Times New Roman" w:cs="Times New Roman"/>
                <w:sz w:val="14"/>
                <w:szCs w:val="20"/>
              </w:rPr>
            </w:pPr>
          </w:p>
        </w:tc>
        <w:tc>
          <w:tcPr>
            <w:tcW w:w="841" w:type="dxa"/>
            <w:tcBorders>
              <w:top w:val="nil"/>
              <w:left w:val="nil"/>
              <w:bottom w:val="nil"/>
              <w:right w:val="nil"/>
            </w:tcBorders>
            <w:shd w:val="clear" w:color="auto" w:fill="auto"/>
            <w:noWrap/>
            <w:vAlign w:val="bottom"/>
            <w:hideMark/>
          </w:tcPr>
          <w:p w14:paraId="0D7B095D"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22" w:type="dxa"/>
            <w:tcBorders>
              <w:top w:val="nil"/>
              <w:left w:val="nil"/>
              <w:bottom w:val="nil"/>
              <w:right w:val="nil"/>
            </w:tcBorders>
            <w:shd w:val="clear" w:color="auto" w:fill="auto"/>
            <w:noWrap/>
            <w:vAlign w:val="bottom"/>
            <w:hideMark/>
          </w:tcPr>
          <w:p w14:paraId="4422EC28"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68" w:type="dxa"/>
            <w:tcBorders>
              <w:top w:val="nil"/>
              <w:left w:val="nil"/>
              <w:bottom w:val="nil"/>
              <w:right w:val="nil"/>
            </w:tcBorders>
            <w:shd w:val="clear" w:color="auto" w:fill="auto"/>
            <w:noWrap/>
            <w:vAlign w:val="bottom"/>
            <w:hideMark/>
          </w:tcPr>
          <w:p w14:paraId="0ACA9D4A"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04" w:type="dxa"/>
            <w:tcBorders>
              <w:top w:val="nil"/>
              <w:left w:val="nil"/>
              <w:bottom w:val="nil"/>
              <w:right w:val="nil"/>
            </w:tcBorders>
            <w:shd w:val="clear" w:color="auto" w:fill="auto"/>
            <w:noWrap/>
            <w:vAlign w:val="bottom"/>
            <w:hideMark/>
          </w:tcPr>
          <w:p w14:paraId="1A00E2CC"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0" w:type="dxa"/>
            <w:tcBorders>
              <w:top w:val="nil"/>
              <w:left w:val="nil"/>
              <w:bottom w:val="nil"/>
              <w:right w:val="nil"/>
            </w:tcBorders>
            <w:shd w:val="clear" w:color="auto" w:fill="auto"/>
            <w:noWrap/>
            <w:vAlign w:val="bottom"/>
            <w:hideMark/>
          </w:tcPr>
          <w:p w14:paraId="2F096774"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79" w:type="dxa"/>
            <w:tcBorders>
              <w:top w:val="nil"/>
              <w:left w:val="nil"/>
              <w:bottom w:val="nil"/>
              <w:right w:val="nil"/>
            </w:tcBorders>
            <w:shd w:val="clear" w:color="auto" w:fill="auto"/>
            <w:noWrap/>
            <w:vAlign w:val="bottom"/>
            <w:hideMark/>
          </w:tcPr>
          <w:p w14:paraId="16D2A196"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58" w:type="dxa"/>
            <w:tcBorders>
              <w:top w:val="nil"/>
              <w:left w:val="nil"/>
              <w:bottom w:val="nil"/>
              <w:right w:val="nil"/>
            </w:tcBorders>
            <w:shd w:val="clear" w:color="auto" w:fill="auto"/>
            <w:noWrap/>
            <w:vAlign w:val="bottom"/>
            <w:hideMark/>
          </w:tcPr>
          <w:p w14:paraId="298DC62B"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6" w:type="dxa"/>
            <w:tcBorders>
              <w:top w:val="nil"/>
              <w:left w:val="nil"/>
              <w:bottom w:val="nil"/>
              <w:right w:val="nil"/>
            </w:tcBorders>
            <w:shd w:val="clear" w:color="auto" w:fill="auto"/>
            <w:noWrap/>
            <w:vAlign w:val="bottom"/>
            <w:hideMark/>
          </w:tcPr>
          <w:p w14:paraId="3EF82ED2"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28" w:type="dxa"/>
            <w:tcBorders>
              <w:top w:val="nil"/>
              <w:left w:val="nil"/>
              <w:bottom w:val="nil"/>
              <w:right w:val="nil"/>
            </w:tcBorders>
            <w:shd w:val="clear" w:color="auto" w:fill="auto"/>
            <w:noWrap/>
            <w:vAlign w:val="bottom"/>
            <w:hideMark/>
          </w:tcPr>
          <w:p w14:paraId="522907E7"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r>
      <w:tr w:rsidR="00063F17" w:rsidRPr="00284C07" w14:paraId="0ECFDF0B" w14:textId="77777777" w:rsidTr="00284C07">
        <w:trPr>
          <w:trHeight w:val="35"/>
        </w:trPr>
        <w:tc>
          <w:tcPr>
            <w:tcW w:w="1584" w:type="dxa"/>
            <w:tcBorders>
              <w:top w:val="nil"/>
              <w:left w:val="nil"/>
              <w:bottom w:val="nil"/>
              <w:right w:val="nil"/>
            </w:tcBorders>
            <w:shd w:val="clear" w:color="auto" w:fill="auto"/>
            <w:vAlign w:val="bottom"/>
            <w:hideMark/>
          </w:tcPr>
          <w:p w14:paraId="0DD80E1E"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2005 Cohort*Tulsa Achieves Eligibility</w:t>
            </w:r>
          </w:p>
        </w:tc>
        <w:tc>
          <w:tcPr>
            <w:tcW w:w="682" w:type="dxa"/>
            <w:tcBorders>
              <w:top w:val="nil"/>
              <w:left w:val="nil"/>
              <w:bottom w:val="nil"/>
              <w:right w:val="nil"/>
            </w:tcBorders>
            <w:shd w:val="clear" w:color="auto" w:fill="auto"/>
            <w:noWrap/>
            <w:vAlign w:val="center"/>
            <w:hideMark/>
          </w:tcPr>
          <w:p w14:paraId="34A23BA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0.0958</w:t>
            </w:r>
          </w:p>
        </w:tc>
        <w:tc>
          <w:tcPr>
            <w:tcW w:w="841" w:type="dxa"/>
            <w:tcBorders>
              <w:top w:val="nil"/>
              <w:left w:val="nil"/>
              <w:bottom w:val="nil"/>
              <w:right w:val="nil"/>
            </w:tcBorders>
            <w:shd w:val="clear" w:color="auto" w:fill="auto"/>
            <w:noWrap/>
            <w:vAlign w:val="center"/>
            <w:hideMark/>
          </w:tcPr>
          <w:p w14:paraId="4ED6B28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0.0329</w:t>
            </w:r>
          </w:p>
        </w:tc>
        <w:tc>
          <w:tcPr>
            <w:tcW w:w="622" w:type="dxa"/>
            <w:tcBorders>
              <w:top w:val="nil"/>
              <w:left w:val="nil"/>
              <w:bottom w:val="nil"/>
              <w:right w:val="nil"/>
            </w:tcBorders>
            <w:shd w:val="clear" w:color="auto" w:fill="auto"/>
            <w:noWrap/>
            <w:vAlign w:val="center"/>
            <w:hideMark/>
          </w:tcPr>
          <w:p w14:paraId="1D8BEED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0.0720</w:t>
            </w:r>
          </w:p>
        </w:tc>
        <w:tc>
          <w:tcPr>
            <w:tcW w:w="768" w:type="dxa"/>
            <w:tcBorders>
              <w:top w:val="nil"/>
              <w:left w:val="nil"/>
              <w:bottom w:val="nil"/>
              <w:right w:val="nil"/>
            </w:tcBorders>
            <w:shd w:val="clear" w:color="auto" w:fill="auto"/>
            <w:noWrap/>
            <w:vAlign w:val="center"/>
            <w:hideMark/>
          </w:tcPr>
          <w:p w14:paraId="1C56630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-0.995</w:t>
            </w:r>
          </w:p>
        </w:tc>
        <w:tc>
          <w:tcPr>
            <w:tcW w:w="804" w:type="dxa"/>
            <w:tcBorders>
              <w:top w:val="nil"/>
              <w:left w:val="nil"/>
              <w:bottom w:val="nil"/>
              <w:right w:val="nil"/>
            </w:tcBorders>
            <w:shd w:val="clear" w:color="auto" w:fill="auto"/>
            <w:noWrap/>
            <w:vAlign w:val="center"/>
            <w:hideMark/>
          </w:tcPr>
          <w:p w14:paraId="3921005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0.0699</w:t>
            </w:r>
          </w:p>
        </w:tc>
        <w:tc>
          <w:tcPr>
            <w:tcW w:w="770" w:type="dxa"/>
            <w:tcBorders>
              <w:top w:val="nil"/>
              <w:left w:val="nil"/>
              <w:bottom w:val="nil"/>
              <w:right w:val="nil"/>
            </w:tcBorders>
            <w:shd w:val="clear" w:color="auto" w:fill="auto"/>
            <w:noWrap/>
            <w:vAlign w:val="center"/>
            <w:hideMark/>
          </w:tcPr>
          <w:p w14:paraId="421707C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-0.0137</w:t>
            </w:r>
          </w:p>
        </w:tc>
        <w:tc>
          <w:tcPr>
            <w:tcW w:w="679" w:type="dxa"/>
            <w:tcBorders>
              <w:top w:val="nil"/>
              <w:left w:val="nil"/>
              <w:bottom w:val="nil"/>
              <w:right w:val="nil"/>
            </w:tcBorders>
            <w:shd w:val="clear" w:color="auto" w:fill="auto"/>
            <w:noWrap/>
            <w:vAlign w:val="center"/>
            <w:hideMark/>
          </w:tcPr>
          <w:p w14:paraId="08927F5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-0.0131</w:t>
            </w:r>
          </w:p>
        </w:tc>
        <w:tc>
          <w:tcPr>
            <w:tcW w:w="858" w:type="dxa"/>
            <w:tcBorders>
              <w:top w:val="nil"/>
              <w:left w:val="nil"/>
              <w:bottom w:val="nil"/>
              <w:right w:val="nil"/>
            </w:tcBorders>
            <w:shd w:val="clear" w:color="auto" w:fill="auto"/>
            <w:noWrap/>
            <w:vAlign w:val="center"/>
            <w:hideMark/>
          </w:tcPr>
          <w:p w14:paraId="772CE85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0.0239</w:t>
            </w:r>
          </w:p>
        </w:tc>
        <w:tc>
          <w:tcPr>
            <w:tcW w:w="776" w:type="dxa"/>
            <w:tcBorders>
              <w:top w:val="nil"/>
              <w:left w:val="nil"/>
              <w:bottom w:val="nil"/>
              <w:right w:val="nil"/>
            </w:tcBorders>
            <w:shd w:val="clear" w:color="auto" w:fill="auto"/>
            <w:noWrap/>
            <w:vAlign w:val="center"/>
            <w:hideMark/>
          </w:tcPr>
          <w:p w14:paraId="10DAAF2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-0.00798</w:t>
            </w:r>
          </w:p>
        </w:tc>
        <w:tc>
          <w:tcPr>
            <w:tcW w:w="828" w:type="dxa"/>
            <w:tcBorders>
              <w:top w:val="nil"/>
              <w:left w:val="nil"/>
              <w:bottom w:val="nil"/>
              <w:right w:val="nil"/>
            </w:tcBorders>
            <w:shd w:val="clear" w:color="auto" w:fill="auto"/>
            <w:noWrap/>
            <w:vAlign w:val="center"/>
            <w:hideMark/>
          </w:tcPr>
          <w:p w14:paraId="307EE2C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0.0162</w:t>
            </w:r>
          </w:p>
        </w:tc>
      </w:tr>
      <w:tr w:rsidR="00063F17" w:rsidRPr="00284C07" w14:paraId="690D8551" w14:textId="77777777" w:rsidTr="00284C07">
        <w:trPr>
          <w:trHeight w:val="154"/>
        </w:trPr>
        <w:tc>
          <w:tcPr>
            <w:tcW w:w="1584" w:type="dxa"/>
            <w:tcBorders>
              <w:top w:val="nil"/>
              <w:left w:val="nil"/>
              <w:bottom w:val="nil"/>
              <w:right w:val="nil"/>
            </w:tcBorders>
            <w:shd w:val="clear" w:color="auto" w:fill="auto"/>
            <w:vAlign w:val="bottom"/>
            <w:hideMark/>
          </w:tcPr>
          <w:p w14:paraId="57AC532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p>
        </w:tc>
        <w:tc>
          <w:tcPr>
            <w:tcW w:w="682" w:type="dxa"/>
            <w:tcBorders>
              <w:top w:val="nil"/>
              <w:left w:val="nil"/>
              <w:bottom w:val="nil"/>
              <w:right w:val="nil"/>
            </w:tcBorders>
            <w:shd w:val="clear" w:color="auto" w:fill="auto"/>
            <w:noWrap/>
            <w:vAlign w:val="center"/>
            <w:hideMark/>
          </w:tcPr>
          <w:p w14:paraId="08FFEFAB" w14:textId="6627E6E5"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(0.085)</w:t>
            </w:r>
          </w:p>
        </w:tc>
        <w:tc>
          <w:tcPr>
            <w:tcW w:w="841" w:type="dxa"/>
            <w:tcBorders>
              <w:top w:val="nil"/>
              <w:left w:val="nil"/>
              <w:bottom w:val="nil"/>
              <w:right w:val="nil"/>
            </w:tcBorders>
            <w:shd w:val="clear" w:color="auto" w:fill="auto"/>
            <w:noWrap/>
            <w:vAlign w:val="center"/>
            <w:hideMark/>
          </w:tcPr>
          <w:p w14:paraId="5D9A326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(0.583)</w:t>
            </w:r>
          </w:p>
        </w:tc>
        <w:tc>
          <w:tcPr>
            <w:tcW w:w="622" w:type="dxa"/>
            <w:tcBorders>
              <w:top w:val="nil"/>
              <w:left w:val="nil"/>
              <w:bottom w:val="nil"/>
              <w:right w:val="nil"/>
            </w:tcBorders>
            <w:shd w:val="clear" w:color="auto" w:fill="auto"/>
            <w:noWrap/>
            <w:vAlign w:val="center"/>
            <w:hideMark/>
          </w:tcPr>
          <w:p w14:paraId="7F8DB8D1" w14:textId="23D1DD00"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(0.08)</w:t>
            </w:r>
          </w:p>
        </w:tc>
        <w:tc>
          <w:tcPr>
            <w:tcW w:w="768" w:type="dxa"/>
            <w:tcBorders>
              <w:top w:val="nil"/>
              <w:left w:val="nil"/>
              <w:bottom w:val="nil"/>
              <w:right w:val="nil"/>
            </w:tcBorders>
            <w:shd w:val="clear" w:color="auto" w:fill="auto"/>
            <w:noWrap/>
            <w:vAlign w:val="center"/>
            <w:hideMark/>
          </w:tcPr>
          <w:p w14:paraId="7AF82AB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(1.426)</w:t>
            </w:r>
          </w:p>
        </w:tc>
        <w:tc>
          <w:tcPr>
            <w:tcW w:w="804" w:type="dxa"/>
            <w:tcBorders>
              <w:top w:val="nil"/>
              <w:left w:val="nil"/>
              <w:bottom w:val="nil"/>
              <w:right w:val="nil"/>
            </w:tcBorders>
            <w:shd w:val="clear" w:color="auto" w:fill="auto"/>
            <w:noWrap/>
            <w:vAlign w:val="center"/>
            <w:hideMark/>
          </w:tcPr>
          <w:p w14:paraId="1D8C04B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(0.251)</w:t>
            </w:r>
          </w:p>
        </w:tc>
        <w:tc>
          <w:tcPr>
            <w:tcW w:w="770" w:type="dxa"/>
            <w:tcBorders>
              <w:top w:val="nil"/>
              <w:left w:val="nil"/>
              <w:bottom w:val="nil"/>
              <w:right w:val="nil"/>
            </w:tcBorders>
            <w:shd w:val="clear" w:color="auto" w:fill="auto"/>
            <w:noWrap/>
            <w:vAlign w:val="center"/>
            <w:hideMark/>
          </w:tcPr>
          <w:p w14:paraId="1F9D2CD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(0.0168)</w:t>
            </w:r>
          </w:p>
        </w:tc>
        <w:tc>
          <w:tcPr>
            <w:tcW w:w="679" w:type="dxa"/>
            <w:tcBorders>
              <w:top w:val="nil"/>
              <w:left w:val="nil"/>
              <w:bottom w:val="nil"/>
              <w:right w:val="nil"/>
            </w:tcBorders>
            <w:shd w:val="clear" w:color="auto" w:fill="auto"/>
            <w:noWrap/>
            <w:vAlign w:val="center"/>
            <w:hideMark/>
          </w:tcPr>
          <w:p w14:paraId="6BCEA1A0" w14:textId="25F5EA3D"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(0.030)</w:t>
            </w:r>
          </w:p>
        </w:tc>
        <w:tc>
          <w:tcPr>
            <w:tcW w:w="858" w:type="dxa"/>
            <w:tcBorders>
              <w:top w:val="nil"/>
              <w:left w:val="nil"/>
              <w:bottom w:val="nil"/>
              <w:right w:val="nil"/>
            </w:tcBorders>
            <w:shd w:val="clear" w:color="auto" w:fill="auto"/>
            <w:noWrap/>
            <w:vAlign w:val="center"/>
            <w:hideMark/>
          </w:tcPr>
          <w:p w14:paraId="711B6FA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(0.0336)</w:t>
            </w:r>
          </w:p>
        </w:tc>
        <w:tc>
          <w:tcPr>
            <w:tcW w:w="776" w:type="dxa"/>
            <w:tcBorders>
              <w:top w:val="nil"/>
              <w:left w:val="nil"/>
              <w:bottom w:val="nil"/>
              <w:right w:val="nil"/>
            </w:tcBorders>
            <w:shd w:val="clear" w:color="auto" w:fill="auto"/>
            <w:noWrap/>
            <w:vAlign w:val="center"/>
            <w:hideMark/>
          </w:tcPr>
          <w:p w14:paraId="4498707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(0.0274)</w:t>
            </w:r>
          </w:p>
        </w:tc>
        <w:tc>
          <w:tcPr>
            <w:tcW w:w="828" w:type="dxa"/>
            <w:tcBorders>
              <w:top w:val="nil"/>
              <w:left w:val="nil"/>
              <w:bottom w:val="nil"/>
              <w:right w:val="nil"/>
            </w:tcBorders>
            <w:shd w:val="clear" w:color="auto" w:fill="auto"/>
            <w:noWrap/>
            <w:vAlign w:val="center"/>
            <w:hideMark/>
          </w:tcPr>
          <w:p w14:paraId="271EF0E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(0.0170)</w:t>
            </w:r>
          </w:p>
        </w:tc>
      </w:tr>
      <w:tr w:rsidR="00063F17" w:rsidRPr="00284C07" w14:paraId="6C6692EF" w14:textId="77777777" w:rsidTr="00284C07">
        <w:trPr>
          <w:trHeight w:val="309"/>
        </w:trPr>
        <w:tc>
          <w:tcPr>
            <w:tcW w:w="1584" w:type="dxa"/>
            <w:tcBorders>
              <w:top w:val="nil"/>
              <w:left w:val="nil"/>
              <w:bottom w:val="nil"/>
              <w:right w:val="nil"/>
            </w:tcBorders>
            <w:shd w:val="clear" w:color="auto" w:fill="auto"/>
            <w:vAlign w:val="bottom"/>
            <w:hideMark/>
          </w:tcPr>
          <w:p w14:paraId="46C070BB"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2006 Cohort*Tulsa Achieves Eligibility</w:t>
            </w:r>
          </w:p>
        </w:tc>
        <w:tc>
          <w:tcPr>
            <w:tcW w:w="682" w:type="dxa"/>
            <w:tcBorders>
              <w:top w:val="nil"/>
              <w:left w:val="nil"/>
              <w:bottom w:val="nil"/>
              <w:right w:val="nil"/>
            </w:tcBorders>
            <w:shd w:val="clear" w:color="auto" w:fill="auto"/>
            <w:noWrap/>
            <w:vAlign w:val="center"/>
            <w:hideMark/>
          </w:tcPr>
          <w:p w14:paraId="5FB19CE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841" w:type="dxa"/>
            <w:tcBorders>
              <w:top w:val="nil"/>
              <w:left w:val="nil"/>
              <w:bottom w:val="nil"/>
              <w:right w:val="nil"/>
            </w:tcBorders>
            <w:shd w:val="clear" w:color="auto" w:fill="auto"/>
            <w:noWrap/>
            <w:vAlign w:val="center"/>
            <w:hideMark/>
          </w:tcPr>
          <w:p w14:paraId="3BDC79F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622" w:type="dxa"/>
            <w:tcBorders>
              <w:top w:val="nil"/>
              <w:left w:val="nil"/>
              <w:bottom w:val="nil"/>
              <w:right w:val="nil"/>
            </w:tcBorders>
            <w:shd w:val="clear" w:color="auto" w:fill="auto"/>
            <w:noWrap/>
            <w:vAlign w:val="center"/>
            <w:hideMark/>
          </w:tcPr>
          <w:p w14:paraId="1440003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768" w:type="dxa"/>
            <w:tcBorders>
              <w:top w:val="nil"/>
              <w:left w:val="nil"/>
              <w:bottom w:val="nil"/>
              <w:right w:val="nil"/>
            </w:tcBorders>
            <w:shd w:val="clear" w:color="auto" w:fill="auto"/>
            <w:noWrap/>
            <w:vAlign w:val="center"/>
            <w:hideMark/>
          </w:tcPr>
          <w:p w14:paraId="76548DF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804" w:type="dxa"/>
            <w:tcBorders>
              <w:top w:val="nil"/>
              <w:left w:val="nil"/>
              <w:bottom w:val="nil"/>
              <w:right w:val="nil"/>
            </w:tcBorders>
            <w:shd w:val="clear" w:color="auto" w:fill="auto"/>
            <w:noWrap/>
            <w:vAlign w:val="center"/>
            <w:hideMark/>
          </w:tcPr>
          <w:p w14:paraId="24D692E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770" w:type="dxa"/>
            <w:tcBorders>
              <w:top w:val="nil"/>
              <w:left w:val="nil"/>
              <w:bottom w:val="nil"/>
              <w:right w:val="nil"/>
            </w:tcBorders>
            <w:shd w:val="clear" w:color="auto" w:fill="auto"/>
            <w:noWrap/>
            <w:vAlign w:val="center"/>
            <w:hideMark/>
          </w:tcPr>
          <w:p w14:paraId="56CF341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679" w:type="dxa"/>
            <w:tcBorders>
              <w:top w:val="nil"/>
              <w:left w:val="nil"/>
              <w:bottom w:val="nil"/>
              <w:right w:val="nil"/>
            </w:tcBorders>
            <w:shd w:val="clear" w:color="auto" w:fill="auto"/>
            <w:noWrap/>
            <w:vAlign w:val="center"/>
            <w:hideMark/>
          </w:tcPr>
          <w:p w14:paraId="660E0D5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858" w:type="dxa"/>
            <w:tcBorders>
              <w:top w:val="nil"/>
              <w:left w:val="nil"/>
              <w:bottom w:val="nil"/>
              <w:right w:val="nil"/>
            </w:tcBorders>
            <w:shd w:val="clear" w:color="auto" w:fill="auto"/>
            <w:noWrap/>
            <w:vAlign w:val="center"/>
            <w:hideMark/>
          </w:tcPr>
          <w:p w14:paraId="44231BF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776" w:type="dxa"/>
            <w:tcBorders>
              <w:top w:val="nil"/>
              <w:left w:val="nil"/>
              <w:bottom w:val="nil"/>
              <w:right w:val="nil"/>
            </w:tcBorders>
            <w:shd w:val="clear" w:color="auto" w:fill="auto"/>
            <w:noWrap/>
            <w:vAlign w:val="center"/>
            <w:hideMark/>
          </w:tcPr>
          <w:p w14:paraId="11F4F6F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c>
          <w:tcPr>
            <w:tcW w:w="828" w:type="dxa"/>
            <w:tcBorders>
              <w:top w:val="nil"/>
              <w:left w:val="nil"/>
              <w:bottom w:val="nil"/>
              <w:right w:val="nil"/>
            </w:tcBorders>
            <w:shd w:val="clear" w:color="auto" w:fill="auto"/>
            <w:noWrap/>
            <w:vAlign w:val="center"/>
            <w:hideMark/>
          </w:tcPr>
          <w:p w14:paraId="7DB38E4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OMIT</w:t>
            </w:r>
          </w:p>
        </w:tc>
      </w:tr>
      <w:tr w:rsidR="00063F17" w:rsidRPr="00284C07" w14:paraId="55719957" w14:textId="77777777" w:rsidTr="00284C07">
        <w:trPr>
          <w:trHeight w:val="154"/>
        </w:trPr>
        <w:tc>
          <w:tcPr>
            <w:tcW w:w="1584" w:type="dxa"/>
            <w:tcBorders>
              <w:top w:val="nil"/>
              <w:left w:val="nil"/>
              <w:bottom w:val="nil"/>
              <w:right w:val="nil"/>
            </w:tcBorders>
            <w:shd w:val="clear" w:color="auto" w:fill="auto"/>
            <w:vAlign w:val="bottom"/>
            <w:hideMark/>
          </w:tcPr>
          <w:p w14:paraId="361FC3F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p>
        </w:tc>
        <w:tc>
          <w:tcPr>
            <w:tcW w:w="682" w:type="dxa"/>
            <w:tcBorders>
              <w:top w:val="nil"/>
              <w:left w:val="nil"/>
              <w:bottom w:val="nil"/>
              <w:right w:val="nil"/>
            </w:tcBorders>
            <w:shd w:val="clear" w:color="auto" w:fill="auto"/>
            <w:noWrap/>
            <w:vAlign w:val="center"/>
            <w:hideMark/>
          </w:tcPr>
          <w:p w14:paraId="7BAD151E" w14:textId="77777777" w:rsidR="00063F17" w:rsidRPr="00284C07" w:rsidRDefault="00063F17" w:rsidP="00556CCF">
            <w:pPr>
              <w:spacing w:after="0" w:line="240" w:lineRule="auto"/>
              <w:rPr>
                <w:rFonts w:ascii="Times New Roman" w:eastAsia="Times New Roman" w:hAnsi="Times New Roman" w:cs="Times New Roman"/>
                <w:sz w:val="14"/>
                <w:szCs w:val="20"/>
              </w:rPr>
            </w:pPr>
          </w:p>
        </w:tc>
        <w:tc>
          <w:tcPr>
            <w:tcW w:w="841" w:type="dxa"/>
            <w:tcBorders>
              <w:top w:val="nil"/>
              <w:left w:val="nil"/>
              <w:bottom w:val="nil"/>
              <w:right w:val="nil"/>
            </w:tcBorders>
            <w:shd w:val="clear" w:color="auto" w:fill="auto"/>
            <w:noWrap/>
            <w:vAlign w:val="center"/>
            <w:hideMark/>
          </w:tcPr>
          <w:p w14:paraId="3A1029EB"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22" w:type="dxa"/>
            <w:tcBorders>
              <w:top w:val="nil"/>
              <w:left w:val="nil"/>
              <w:bottom w:val="nil"/>
              <w:right w:val="nil"/>
            </w:tcBorders>
            <w:shd w:val="clear" w:color="auto" w:fill="auto"/>
            <w:noWrap/>
            <w:vAlign w:val="center"/>
            <w:hideMark/>
          </w:tcPr>
          <w:p w14:paraId="1924E654"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68" w:type="dxa"/>
            <w:tcBorders>
              <w:top w:val="nil"/>
              <w:left w:val="nil"/>
              <w:bottom w:val="nil"/>
              <w:right w:val="nil"/>
            </w:tcBorders>
            <w:shd w:val="clear" w:color="auto" w:fill="auto"/>
            <w:noWrap/>
            <w:vAlign w:val="center"/>
            <w:hideMark/>
          </w:tcPr>
          <w:p w14:paraId="37A4E2B5"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04" w:type="dxa"/>
            <w:tcBorders>
              <w:top w:val="nil"/>
              <w:left w:val="nil"/>
              <w:bottom w:val="nil"/>
              <w:right w:val="nil"/>
            </w:tcBorders>
            <w:shd w:val="clear" w:color="auto" w:fill="auto"/>
            <w:noWrap/>
            <w:vAlign w:val="center"/>
            <w:hideMark/>
          </w:tcPr>
          <w:p w14:paraId="4B9A0A74"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0" w:type="dxa"/>
            <w:tcBorders>
              <w:top w:val="nil"/>
              <w:left w:val="nil"/>
              <w:bottom w:val="nil"/>
              <w:right w:val="nil"/>
            </w:tcBorders>
            <w:shd w:val="clear" w:color="auto" w:fill="auto"/>
            <w:noWrap/>
            <w:vAlign w:val="center"/>
            <w:hideMark/>
          </w:tcPr>
          <w:p w14:paraId="6F8FCFAA"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79" w:type="dxa"/>
            <w:tcBorders>
              <w:top w:val="nil"/>
              <w:left w:val="nil"/>
              <w:bottom w:val="nil"/>
              <w:right w:val="nil"/>
            </w:tcBorders>
            <w:shd w:val="clear" w:color="auto" w:fill="auto"/>
            <w:noWrap/>
            <w:vAlign w:val="center"/>
            <w:hideMark/>
          </w:tcPr>
          <w:p w14:paraId="7B1EB08E"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58" w:type="dxa"/>
            <w:tcBorders>
              <w:top w:val="nil"/>
              <w:left w:val="nil"/>
              <w:bottom w:val="nil"/>
              <w:right w:val="nil"/>
            </w:tcBorders>
            <w:shd w:val="clear" w:color="auto" w:fill="auto"/>
            <w:noWrap/>
            <w:vAlign w:val="center"/>
            <w:hideMark/>
          </w:tcPr>
          <w:p w14:paraId="636824E8"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6" w:type="dxa"/>
            <w:tcBorders>
              <w:top w:val="nil"/>
              <w:left w:val="nil"/>
              <w:bottom w:val="nil"/>
              <w:right w:val="nil"/>
            </w:tcBorders>
            <w:shd w:val="clear" w:color="auto" w:fill="auto"/>
            <w:noWrap/>
            <w:vAlign w:val="center"/>
            <w:hideMark/>
          </w:tcPr>
          <w:p w14:paraId="2D5CB2B9"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28" w:type="dxa"/>
            <w:tcBorders>
              <w:top w:val="nil"/>
              <w:left w:val="nil"/>
              <w:bottom w:val="nil"/>
              <w:right w:val="nil"/>
            </w:tcBorders>
            <w:shd w:val="clear" w:color="auto" w:fill="auto"/>
            <w:noWrap/>
            <w:vAlign w:val="center"/>
            <w:hideMark/>
          </w:tcPr>
          <w:p w14:paraId="58411FE6"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r>
      <w:tr w:rsidR="00063F17" w:rsidRPr="00284C07" w14:paraId="219E681A" w14:textId="77777777" w:rsidTr="00284C07">
        <w:trPr>
          <w:trHeight w:val="309"/>
        </w:trPr>
        <w:tc>
          <w:tcPr>
            <w:tcW w:w="1584" w:type="dxa"/>
            <w:tcBorders>
              <w:top w:val="nil"/>
              <w:left w:val="nil"/>
              <w:bottom w:val="nil"/>
              <w:right w:val="nil"/>
            </w:tcBorders>
            <w:shd w:val="clear" w:color="auto" w:fill="auto"/>
            <w:vAlign w:val="bottom"/>
            <w:hideMark/>
          </w:tcPr>
          <w:p w14:paraId="02146FD5"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Post Cohort*Tulsa Achieves Eligibility</w:t>
            </w:r>
          </w:p>
        </w:tc>
        <w:tc>
          <w:tcPr>
            <w:tcW w:w="682" w:type="dxa"/>
            <w:tcBorders>
              <w:top w:val="nil"/>
              <w:left w:val="nil"/>
              <w:bottom w:val="nil"/>
              <w:right w:val="nil"/>
            </w:tcBorders>
            <w:shd w:val="clear" w:color="auto" w:fill="auto"/>
            <w:noWrap/>
            <w:vAlign w:val="center"/>
            <w:hideMark/>
          </w:tcPr>
          <w:p w14:paraId="6512EDF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0.0432</w:t>
            </w:r>
          </w:p>
        </w:tc>
        <w:tc>
          <w:tcPr>
            <w:tcW w:w="841" w:type="dxa"/>
            <w:tcBorders>
              <w:top w:val="nil"/>
              <w:left w:val="nil"/>
              <w:bottom w:val="nil"/>
              <w:right w:val="nil"/>
            </w:tcBorders>
            <w:shd w:val="clear" w:color="auto" w:fill="auto"/>
            <w:noWrap/>
            <w:vAlign w:val="center"/>
            <w:hideMark/>
          </w:tcPr>
          <w:p w14:paraId="223FB6F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0.471</w:t>
            </w:r>
          </w:p>
        </w:tc>
        <w:tc>
          <w:tcPr>
            <w:tcW w:w="622" w:type="dxa"/>
            <w:tcBorders>
              <w:top w:val="nil"/>
              <w:left w:val="nil"/>
              <w:bottom w:val="nil"/>
              <w:right w:val="nil"/>
            </w:tcBorders>
            <w:shd w:val="clear" w:color="auto" w:fill="auto"/>
            <w:noWrap/>
            <w:vAlign w:val="center"/>
            <w:hideMark/>
          </w:tcPr>
          <w:p w14:paraId="015AB58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0.0324</w:t>
            </w:r>
          </w:p>
        </w:tc>
        <w:tc>
          <w:tcPr>
            <w:tcW w:w="768" w:type="dxa"/>
            <w:tcBorders>
              <w:top w:val="nil"/>
              <w:left w:val="nil"/>
              <w:bottom w:val="nil"/>
              <w:right w:val="nil"/>
            </w:tcBorders>
            <w:shd w:val="clear" w:color="auto" w:fill="auto"/>
            <w:noWrap/>
            <w:vAlign w:val="center"/>
            <w:hideMark/>
          </w:tcPr>
          <w:p w14:paraId="0FF23AA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0.461</w:t>
            </w:r>
          </w:p>
        </w:tc>
        <w:tc>
          <w:tcPr>
            <w:tcW w:w="804" w:type="dxa"/>
            <w:tcBorders>
              <w:top w:val="nil"/>
              <w:left w:val="nil"/>
              <w:bottom w:val="nil"/>
              <w:right w:val="nil"/>
            </w:tcBorders>
            <w:shd w:val="clear" w:color="auto" w:fill="auto"/>
            <w:noWrap/>
            <w:vAlign w:val="center"/>
            <w:hideMark/>
          </w:tcPr>
          <w:p w14:paraId="5AC01CB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0.189</w:t>
            </w:r>
          </w:p>
        </w:tc>
        <w:tc>
          <w:tcPr>
            <w:tcW w:w="770" w:type="dxa"/>
            <w:tcBorders>
              <w:top w:val="nil"/>
              <w:left w:val="nil"/>
              <w:bottom w:val="nil"/>
              <w:right w:val="nil"/>
            </w:tcBorders>
            <w:shd w:val="clear" w:color="auto" w:fill="auto"/>
            <w:noWrap/>
            <w:vAlign w:val="center"/>
            <w:hideMark/>
          </w:tcPr>
          <w:p w14:paraId="171B535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0.00784</w:t>
            </w:r>
          </w:p>
        </w:tc>
        <w:tc>
          <w:tcPr>
            <w:tcW w:w="679" w:type="dxa"/>
            <w:tcBorders>
              <w:top w:val="nil"/>
              <w:left w:val="nil"/>
              <w:bottom w:val="nil"/>
              <w:right w:val="nil"/>
            </w:tcBorders>
            <w:shd w:val="clear" w:color="auto" w:fill="auto"/>
            <w:noWrap/>
            <w:vAlign w:val="center"/>
            <w:hideMark/>
          </w:tcPr>
          <w:p w14:paraId="0E5A1112" w14:textId="7D536215"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-0.0052</w:t>
            </w:r>
          </w:p>
        </w:tc>
        <w:tc>
          <w:tcPr>
            <w:tcW w:w="858" w:type="dxa"/>
            <w:tcBorders>
              <w:top w:val="nil"/>
              <w:left w:val="nil"/>
              <w:bottom w:val="nil"/>
              <w:right w:val="nil"/>
            </w:tcBorders>
            <w:shd w:val="clear" w:color="auto" w:fill="auto"/>
            <w:noWrap/>
            <w:vAlign w:val="center"/>
            <w:hideMark/>
          </w:tcPr>
          <w:p w14:paraId="304DA3C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-0.065***</w:t>
            </w:r>
          </w:p>
        </w:tc>
        <w:tc>
          <w:tcPr>
            <w:tcW w:w="776" w:type="dxa"/>
            <w:tcBorders>
              <w:top w:val="nil"/>
              <w:left w:val="nil"/>
              <w:bottom w:val="nil"/>
              <w:right w:val="nil"/>
            </w:tcBorders>
            <w:shd w:val="clear" w:color="auto" w:fill="auto"/>
            <w:noWrap/>
            <w:vAlign w:val="center"/>
            <w:hideMark/>
          </w:tcPr>
          <w:p w14:paraId="2D91B52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0.000</w:t>
            </w:r>
          </w:p>
        </w:tc>
        <w:tc>
          <w:tcPr>
            <w:tcW w:w="828" w:type="dxa"/>
            <w:tcBorders>
              <w:top w:val="nil"/>
              <w:left w:val="nil"/>
              <w:bottom w:val="nil"/>
              <w:right w:val="nil"/>
            </w:tcBorders>
            <w:shd w:val="clear" w:color="auto" w:fill="auto"/>
            <w:noWrap/>
            <w:vAlign w:val="center"/>
            <w:hideMark/>
          </w:tcPr>
          <w:p w14:paraId="49DF968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0.0252**</w:t>
            </w:r>
          </w:p>
        </w:tc>
      </w:tr>
      <w:tr w:rsidR="00063F17" w:rsidRPr="00284C07" w14:paraId="58EE72C6" w14:textId="77777777" w:rsidTr="00284C07">
        <w:trPr>
          <w:trHeight w:val="154"/>
        </w:trPr>
        <w:tc>
          <w:tcPr>
            <w:tcW w:w="1584" w:type="dxa"/>
            <w:tcBorders>
              <w:top w:val="nil"/>
              <w:left w:val="nil"/>
              <w:bottom w:val="nil"/>
              <w:right w:val="nil"/>
            </w:tcBorders>
            <w:shd w:val="clear" w:color="auto" w:fill="auto"/>
            <w:noWrap/>
            <w:vAlign w:val="bottom"/>
            <w:hideMark/>
          </w:tcPr>
          <w:p w14:paraId="550C639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p>
        </w:tc>
        <w:tc>
          <w:tcPr>
            <w:tcW w:w="682" w:type="dxa"/>
            <w:tcBorders>
              <w:top w:val="nil"/>
              <w:left w:val="nil"/>
              <w:bottom w:val="nil"/>
              <w:right w:val="nil"/>
            </w:tcBorders>
            <w:shd w:val="clear" w:color="auto" w:fill="auto"/>
            <w:noWrap/>
            <w:vAlign w:val="center"/>
            <w:hideMark/>
          </w:tcPr>
          <w:p w14:paraId="57568AC0" w14:textId="02E6C109"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(0.060)</w:t>
            </w:r>
          </w:p>
        </w:tc>
        <w:tc>
          <w:tcPr>
            <w:tcW w:w="841" w:type="dxa"/>
            <w:tcBorders>
              <w:top w:val="nil"/>
              <w:left w:val="nil"/>
              <w:bottom w:val="nil"/>
              <w:right w:val="nil"/>
            </w:tcBorders>
            <w:shd w:val="clear" w:color="auto" w:fill="auto"/>
            <w:noWrap/>
            <w:vAlign w:val="center"/>
            <w:hideMark/>
          </w:tcPr>
          <w:p w14:paraId="2E15C63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(0.411)</w:t>
            </w:r>
          </w:p>
        </w:tc>
        <w:tc>
          <w:tcPr>
            <w:tcW w:w="622" w:type="dxa"/>
            <w:tcBorders>
              <w:top w:val="nil"/>
              <w:left w:val="nil"/>
              <w:bottom w:val="nil"/>
              <w:right w:val="nil"/>
            </w:tcBorders>
            <w:shd w:val="clear" w:color="auto" w:fill="auto"/>
            <w:noWrap/>
            <w:vAlign w:val="center"/>
            <w:hideMark/>
          </w:tcPr>
          <w:p w14:paraId="1462C783" w14:textId="69881E0E"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(0.05)</w:t>
            </w:r>
          </w:p>
        </w:tc>
        <w:tc>
          <w:tcPr>
            <w:tcW w:w="768" w:type="dxa"/>
            <w:tcBorders>
              <w:top w:val="nil"/>
              <w:left w:val="nil"/>
              <w:bottom w:val="nil"/>
              <w:right w:val="nil"/>
            </w:tcBorders>
            <w:shd w:val="clear" w:color="auto" w:fill="auto"/>
            <w:noWrap/>
            <w:vAlign w:val="center"/>
            <w:hideMark/>
          </w:tcPr>
          <w:p w14:paraId="2C8CACA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(0.996)</w:t>
            </w:r>
          </w:p>
        </w:tc>
        <w:tc>
          <w:tcPr>
            <w:tcW w:w="804" w:type="dxa"/>
            <w:tcBorders>
              <w:top w:val="nil"/>
              <w:left w:val="nil"/>
              <w:bottom w:val="nil"/>
              <w:right w:val="nil"/>
            </w:tcBorders>
            <w:shd w:val="clear" w:color="auto" w:fill="auto"/>
            <w:noWrap/>
            <w:vAlign w:val="center"/>
            <w:hideMark/>
          </w:tcPr>
          <w:p w14:paraId="2BC8681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(0.173)</w:t>
            </w:r>
          </w:p>
        </w:tc>
        <w:tc>
          <w:tcPr>
            <w:tcW w:w="770" w:type="dxa"/>
            <w:tcBorders>
              <w:top w:val="nil"/>
              <w:left w:val="nil"/>
              <w:bottom w:val="nil"/>
              <w:right w:val="nil"/>
            </w:tcBorders>
            <w:shd w:val="clear" w:color="auto" w:fill="auto"/>
            <w:noWrap/>
            <w:vAlign w:val="center"/>
            <w:hideMark/>
          </w:tcPr>
          <w:p w14:paraId="424F44D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(0.0119)</w:t>
            </w:r>
          </w:p>
        </w:tc>
        <w:tc>
          <w:tcPr>
            <w:tcW w:w="679" w:type="dxa"/>
            <w:tcBorders>
              <w:top w:val="nil"/>
              <w:left w:val="nil"/>
              <w:bottom w:val="nil"/>
              <w:right w:val="nil"/>
            </w:tcBorders>
            <w:shd w:val="clear" w:color="auto" w:fill="auto"/>
            <w:noWrap/>
            <w:vAlign w:val="center"/>
            <w:hideMark/>
          </w:tcPr>
          <w:p w14:paraId="761145FE" w14:textId="48F86BFB"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(0.02</w:t>
            </w:r>
            <w:r w:rsidR="00284C07">
              <w:rPr>
                <w:rFonts w:ascii="Times New Roman" w:hAnsi="Times New Roman" w:cs="Times New Roman"/>
                <w:color w:val="000000"/>
                <w:sz w:val="14"/>
                <w:szCs w:val="20"/>
              </w:rPr>
              <w:t>1</w:t>
            </w:r>
            <w:r w:rsidRPr="00284C07">
              <w:rPr>
                <w:rFonts w:ascii="Times New Roman" w:hAnsi="Times New Roman" w:cs="Times New Roman"/>
                <w:color w:val="000000"/>
                <w:sz w:val="14"/>
                <w:szCs w:val="20"/>
              </w:rPr>
              <w:t>)</w:t>
            </w:r>
          </w:p>
        </w:tc>
        <w:tc>
          <w:tcPr>
            <w:tcW w:w="858" w:type="dxa"/>
            <w:tcBorders>
              <w:top w:val="nil"/>
              <w:left w:val="nil"/>
              <w:bottom w:val="nil"/>
              <w:right w:val="nil"/>
            </w:tcBorders>
            <w:shd w:val="clear" w:color="auto" w:fill="auto"/>
            <w:noWrap/>
            <w:vAlign w:val="center"/>
            <w:hideMark/>
          </w:tcPr>
          <w:p w14:paraId="0FB7299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(0.0234)</w:t>
            </w:r>
          </w:p>
        </w:tc>
        <w:tc>
          <w:tcPr>
            <w:tcW w:w="776" w:type="dxa"/>
            <w:tcBorders>
              <w:top w:val="nil"/>
              <w:left w:val="nil"/>
              <w:bottom w:val="nil"/>
              <w:right w:val="nil"/>
            </w:tcBorders>
            <w:shd w:val="clear" w:color="auto" w:fill="auto"/>
            <w:noWrap/>
            <w:vAlign w:val="center"/>
            <w:hideMark/>
          </w:tcPr>
          <w:p w14:paraId="00C2891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(0.0188)</w:t>
            </w:r>
          </w:p>
        </w:tc>
        <w:tc>
          <w:tcPr>
            <w:tcW w:w="828" w:type="dxa"/>
            <w:tcBorders>
              <w:top w:val="nil"/>
              <w:left w:val="nil"/>
              <w:bottom w:val="nil"/>
              <w:right w:val="nil"/>
            </w:tcBorders>
            <w:shd w:val="clear" w:color="auto" w:fill="auto"/>
            <w:noWrap/>
            <w:vAlign w:val="center"/>
            <w:hideMark/>
          </w:tcPr>
          <w:p w14:paraId="421273B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hAnsi="Times New Roman" w:cs="Times New Roman"/>
                <w:color w:val="000000"/>
                <w:sz w:val="14"/>
                <w:szCs w:val="20"/>
              </w:rPr>
              <w:t>(0.0115)</w:t>
            </w:r>
          </w:p>
        </w:tc>
      </w:tr>
      <w:tr w:rsidR="00063F17" w:rsidRPr="00284C07" w14:paraId="3F8FA66F" w14:textId="77777777" w:rsidTr="00284C07">
        <w:trPr>
          <w:trHeight w:val="154"/>
        </w:trPr>
        <w:tc>
          <w:tcPr>
            <w:tcW w:w="1584" w:type="dxa"/>
            <w:tcBorders>
              <w:top w:val="nil"/>
              <w:left w:val="nil"/>
              <w:bottom w:val="nil"/>
              <w:right w:val="nil"/>
            </w:tcBorders>
            <w:shd w:val="clear" w:color="auto" w:fill="auto"/>
            <w:noWrap/>
            <w:vAlign w:val="bottom"/>
            <w:hideMark/>
          </w:tcPr>
          <w:p w14:paraId="4EB5F0D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p>
        </w:tc>
        <w:tc>
          <w:tcPr>
            <w:tcW w:w="682" w:type="dxa"/>
            <w:tcBorders>
              <w:top w:val="nil"/>
              <w:left w:val="nil"/>
              <w:bottom w:val="nil"/>
              <w:right w:val="nil"/>
            </w:tcBorders>
            <w:shd w:val="clear" w:color="auto" w:fill="auto"/>
            <w:noWrap/>
            <w:vAlign w:val="bottom"/>
            <w:hideMark/>
          </w:tcPr>
          <w:p w14:paraId="34E4686E" w14:textId="77777777" w:rsidR="00063F17" w:rsidRPr="00284C07" w:rsidRDefault="00063F17" w:rsidP="00556CCF">
            <w:pPr>
              <w:spacing w:after="0" w:line="240" w:lineRule="auto"/>
              <w:rPr>
                <w:rFonts w:ascii="Times New Roman" w:eastAsia="Times New Roman" w:hAnsi="Times New Roman" w:cs="Times New Roman"/>
                <w:sz w:val="14"/>
                <w:szCs w:val="20"/>
              </w:rPr>
            </w:pPr>
          </w:p>
        </w:tc>
        <w:tc>
          <w:tcPr>
            <w:tcW w:w="841" w:type="dxa"/>
            <w:tcBorders>
              <w:top w:val="nil"/>
              <w:left w:val="nil"/>
              <w:bottom w:val="nil"/>
              <w:right w:val="nil"/>
            </w:tcBorders>
            <w:shd w:val="clear" w:color="auto" w:fill="auto"/>
            <w:noWrap/>
            <w:vAlign w:val="bottom"/>
            <w:hideMark/>
          </w:tcPr>
          <w:p w14:paraId="39870A05"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22" w:type="dxa"/>
            <w:tcBorders>
              <w:top w:val="nil"/>
              <w:left w:val="nil"/>
              <w:bottom w:val="nil"/>
              <w:right w:val="nil"/>
            </w:tcBorders>
            <w:shd w:val="clear" w:color="auto" w:fill="auto"/>
            <w:noWrap/>
            <w:vAlign w:val="bottom"/>
            <w:hideMark/>
          </w:tcPr>
          <w:p w14:paraId="0C98354A"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68" w:type="dxa"/>
            <w:tcBorders>
              <w:top w:val="nil"/>
              <w:left w:val="nil"/>
              <w:bottom w:val="nil"/>
              <w:right w:val="nil"/>
            </w:tcBorders>
            <w:shd w:val="clear" w:color="auto" w:fill="auto"/>
            <w:noWrap/>
            <w:vAlign w:val="bottom"/>
            <w:hideMark/>
          </w:tcPr>
          <w:p w14:paraId="464118B2"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04" w:type="dxa"/>
            <w:tcBorders>
              <w:top w:val="nil"/>
              <w:left w:val="nil"/>
              <w:bottom w:val="nil"/>
              <w:right w:val="nil"/>
            </w:tcBorders>
            <w:shd w:val="clear" w:color="auto" w:fill="auto"/>
            <w:noWrap/>
            <w:vAlign w:val="bottom"/>
            <w:hideMark/>
          </w:tcPr>
          <w:p w14:paraId="4A5D4313"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0" w:type="dxa"/>
            <w:tcBorders>
              <w:top w:val="nil"/>
              <w:left w:val="nil"/>
              <w:bottom w:val="nil"/>
              <w:right w:val="nil"/>
            </w:tcBorders>
            <w:shd w:val="clear" w:color="auto" w:fill="auto"/>
            <w:noWrap/>
            <w:vAlign w:val="bottom"/>
            <w:hideMark/>
          </w:tcPr>
          <w:p w14:paraId="76E304A5"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679" w:type="dxa"/>
            <w:tcBorders>
              <w:top w:val="nil"/>
              <w:left w:val="nil"/>
              <w:bottom w:val="nil"/>
              <w:right w:val="nil"/>
            </w:tcBorders>
            <w:shd w:val="clear" w:color="auto" w:fill="auto"/>
            <w:noWrap/>
            <w:vAlign w:val="bottom"/>
            <w:hideMark/>
          </w:tcPr>
          <w:p w14:paraId="7E36187C"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58" w:type="dxa"/>
            <w:tcBorders>
              <w:top w:val="nil"/>
              <w:left w:val="nil"/>
              <w:bottom w:val="nil"/>
              <w:right w:val="nil"/>
            </w:tcBorders>
            <w:shd w:val="clear" w:color="auto" w:fill="auto"/>
            <w:noWrap/>
            <w:vAlign w:val="bottom"/>
            <w:hideMark/>
          </w:tcPr>
          <w:p w14:paraId="7C5658A3"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776" w:type="dxa"/>
            <w:tcBorders>
              <w:top w:val="nil"/>
              <w:left w:val="nil"/>
              <w:bottom w:val="nil"/>
              <w:right w:val="nil"/>
            </w:tcBorders>
            <w:shd w:val="clear" w:color="auto" w:fill="auto"/>
            <w:noWrap/>
            <w:vAlign w:val="bottom"/>
            <w:hideMark/>
          </w:tcPr>
          <w:p w14:paraId="17934E58"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c>
          <w:tcPr>
            <w:tcW w:w="828" w:type="dxa"/>
            <w:tcBorders>
              <w:top w:val="nil"/>
              <w:left w:val="nil"/>
              <w:bottom w:val="nil"/>
              <w:right w:val="nil"/>
            </w:tcBorders>
            <w:shd w:val="clear" w:color="auto" w:fill="auto"/>
            <w:noWrap/>
            <w:vAlign w:val="bottom"/>
            <w:hideMark/>
          </w:tcPr>
          <w:p w14:paraId="09313374"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p>
        </w:tc>
      </w:tr>
      <w:tr w:rsidR="00063F17" w:rsidRPr="00284C07" w14:paraId="4AC2695F" w14:textId="77777777" w:rsidTr="00284C07">
        <w:trPr>
          <w:trHeight w:val="154"/>
        </w:trPr>
        <w:tc>
          <w:tcPr>
            <w:tcW w:w="1584" w:type="dxa"/>
            <w:tcBorders>
              <w:top w:val="nil"/>
              <w:left w:val="nil"/>
              <w:bottom w:val="nil"/>
              <w:right w:val="nil"/>
            </w:tcBorders>
            <w:shd w:val="clear" w:color="auto" w:fill="auto"/>
            <w:noWrap/>
            <w:vAlign w:val="bottom"/>
            <w:hideMark/>
          </w:tcPr>
          <w:p w14:paraId="04F0BA22"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Observations</w:t>
            </w:r>
          </w:p>
        </w:tc>
        <w:tc>
          <w:tcPr>
            <w:tcW w:w="682" w:type="dxa"/>
            <w:tcBorders>
              <w:top w:val="nil"/>
              <w:left w:val="nil"/>
              <w:bottom w:val="nil"/>
              <w:right w:val="nil"/>
            </w:tcBorders>
            <w:shd w:val="clear" w:color="auto" w:fill="auto"/>
            <w:noWrap/>
            <w:vAlign w:val="bottom"/>
            <w:hideMark/>
          </w:tcPr>
          <w:p w14:paraId="22215A9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35,452</w:t>
            </w:r>
          </w:p>
        </w:tc>
        <w:tc>
          <w:tcPr>
            <w:tcW w:w="841" w:type="dxa"/>
            <w:tcBorders>
              <w:top w:val="nil"/>
              <w:left w:val="nil"/>
              <w:bottom w:val="nil"/>
              <w:right w:val="nil"/>
            </w:tcBorders>
            <w:shd w:val="clear" w:color="auto" w:fill="auto"/>
            <w:noWrap/>
            <w:vAlign w:val="bottom"/>
            <w:hideMark/>
          </w:tcPr>
          <w:p w14:paraId="749DC53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622" w:type="dxa"/>
            <w:tcBorders>
              <w:top w:val="nil"/>
              <w:left w:val="nil"/>
              <w:bottom w:val="nil"/>
              <w:right w:val="nil"/>
            </w:tcBorders>
            <w:shd w:val="clear" w:color="auto" w:fill="auto"/>
            <w:noWrap/>
            <w:vAlign w:val="bottom"/>
            <w:hideMark/>
          </w:tcPr>
          <w:p w14:paraId="63A4F30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35,455</w:t>
            </w:r>
          </w:p>
        </w:tc>
        <w:tc>
          <w:tcPr>
            <w:tcW w:w="768" w:type="dxa"/>
            <w:tcBorders>
              <w:top w:val="nil"/>
              <w:left w:val="nil"/>
              <w:bottom w:val="nil"/>
              <w:right w:val="nil"/>
            </w:tcBorders>
            <w:shd w:val="clear" w:color="auto" w:fill="auto"/>
            <w:noWrap/>
            <w:vAlign w:val="bottom"/>
            <w:hideMark/>
          </w:tcPr>
          <w:p w14:paraId="4A0C382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804" w:type="dxa"/>
            <w:tcBorders>
              <w:top w:val="nil"/>
              <w:left w:val="nil"/>
              <w:bottom w:val="nil"/>
              <w:right w:val="nil"/>
            </w:tcBorders>
            <w:shd w:val="clear" w:color="auto" w:fill="auto"/>
            <w:noWrap/>
            <w:vAlign w:val="bottom"/>
            <w:hideMark/>
          </w:tcPr>
          <w:p w14:paraId="51D3C7A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770" w:type="dxa"/>
            <w:tcBorders>
              <w:top w:val="nil"/>
              <w:left w:val="nil"/>
              <w:bottom w:val="nil"/>
              <w:right w:val="nil"/>
            </w:tcBorders>
            <w:shd w:val="clear" w:color="auto" w:fill="auto"/>
            <w:noWrap/>
            <w:vAlign w:val="bottom"/>
            <w:hideMark/>
          </w:tcPr>
          <w:p w14:paraId="449F191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679" w:type="dxa"/>
            <w:tcBorders>
              <w:top w:val="nil"/>
              <w:left w:val="nil"/>
              <w:bottom w:val="nil"/>
              <w:right w:val="nil"/>
            </w:tcBorders>
            <w:shd w:val="clear" w:color="auto" w:fill="auto"/>
            <w:noWrap/>
            <w:vAlign w:val="bottom"/>
            <w:hideMark/>
          </w:tcPr>
          <w:p w14:paraId="2691CBB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858" w:type="dxa"/>
            <w:tcBorders>
              <w:top w:val="nil"/>
              <w:left w:val="nil"/>
              <w:bottom w:val="nil"/>
              <w:right w:val="nil"/>
            </w:tcBorders>
            <w:shd w:val="clear" w:color="auto" w:fill="auto"/>
            <w:noWrap/>
            <w:vAlign w:val="bottom"/>
            <w:hideMark/>
          </w:tcPr>
          <w:p w14:paraId="4240EED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776" w:type="dxa"/>
            <w:tcBorders>
              <w:top w:val="nil"/>
              <w:left w:val="nil"/>
              <w:bottom w:val="nil"/>
              <w:right w:val="nil"/>
            </w:tcBorders>
            <w:shd w:val="clear" w:color="auto" w:fill="auto"/>
            <w:noWrap/>
            <w:vAlign w:val="bottom"/>
            <w:hideMark/>
          </w:tcPr>
          <w:p w14:paraId="5017934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c>
          <w:tcPr>
            <w:tcW w:w="828" w:type="dxa"/>
            <w:tcBorders>
              <w:top w:val="nil"/>
              <w:left w:val="nil"/>
              <w:bottom w:val="nil"/>
              <w:right w:val="nil"/>
            </w:tcBorders>
            <w:shd w:val="clear" w:color="auto" w:fill="auto"/>
            <w:noWrap/>
            <w:vAlign w:val="bottom"/>
            <w:hideMark/>
          </w:tcPr>
          <w:p w14:paraId="33792D0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35,458</w:t>
            </w:r>
          </w:p>
        </w:tc>
      </w:tr>
      <w:tr w:rsidR="00063F17" w:rsidRPr="00284C07" w14:paraId="06A86948" w14:textId="77777777" w:rsidTr="00284C07">
        <w:trPr>
          <w:trHeight w:val="154"/>
        </w:trPr>
        <w:tc>
          <w:tcPr>
            <w:tcW w:w="1584" w:type="dxa"/>
            <w:tcBorders>
              <w:top w:val="nil"/>
              <w:left w:val="nil"/>
              <w:bottom w:val="single" w:sz="4" w:space="0" w:color="auto"/>
              <w:right w:val="nil"/>
            </w:tcBorders>
            <w:shd w:val="clear" w:color="auto" w:fill="auto"/>
            <w:noWrap/>
            <w:vAlign w:val="bottom"/>
            <w:hideMark/>
          </w:tcPr>
          <w:p w14:paraId="1F5141F2"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R-squared</w:t>
            </w:r>
          </w:p>
        </w:tc>
        <w:tc>
          <w:tcPr>
            <w:tcW w:w="682" w:type="dxa"/>
            <w:tcBorders>
              <w:top w:val="nil"/>
              <w:left w:val="nil"/>
              <w:bottom w:val="single" w:sz="4" w:space="0" w:color="auto"/>
              <w:right w:val="nil"/>
            </w:tcBorders>
            <w:shd w:val="clear" w:color="auto" w:fill="auto"/>
            <w:noWrap/>
            <w:vAlign w:val="bottom"/>
            <w:hideMark/>
          </w:tcPr>
          <w:p w14:paraId="0B5BB1FD"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0.168</w:t>
            </w:r>
          </w:p>
        </w:tc>
        <w:tc>
          <w:tcPr>
            <w:tcW w:w="841" w:type="dxa"/>
            <w:tcBorders>
              <w:top w:val="nil"/>
              <w:left w:val="nil"/>
              <w:bottom w:val="single" w:sz="4" w:space="0" w:color="auto"/>
              <w:right w:val="nil"/>
            </w:tcBorders>
            <w:shd w:val="clear" w:color="auto" w:fill="auto"/>
            <w:noWrap/>
            <w:vAlign w:val="bottom"/>
            <w:hideMark/>
          </w:tcPr>
          <w:p w14:paraId="57C7FEEA"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0.196</w:t>
            </w:r>
          </w:p>
        </w:tc>
        <w:tc>
          <w:tcPr>
            <w:tcW w:w="622" w:type="dxa"/>
            <w:tcBorders>
              <w:top w:val="nil"/>
              <w:left w:val="nil"/>
              <w:bottom w:val="single" w:sz="4" w:space="0" w:color="auto"/>
              <w:right w:val="nil"/>
            </w:tcBorders>
            <w:shd w:val="clear" w:color="auto" w:fill="auto"/>
            <w:noWrap/>
            <w:vAlign w:val="bottom"/>
            <w:hideMark/>
          </w:tcPr>
          <w:p w14:paraId="2E8B4634"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0.180</w:t>
            </w:r>
          </w:p>
        </w:tc>
        <w:tc>
          <w:tcPr>
            <w:tcW w:w="768" w:type="dxa"/>
            <w:tcBorders>
              <w:top w:val="nil"/>
              <w:left w:val="nil"/>
              <w:bottom w:val="single" w:sz="4" w:space="0" w:color="auto"/>
              <w:right w:val="nil"/>
            </w:tcBorders>
            <w:shd w:val="clear" w:color="auto" w:fill="auto"/>
            <w:noWrap/>
            <w:vAlign w:val="bottom"/>
            <w:hideMark/>
          </w:tcPr>
          <w:p w14:paraId="301101A6"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0.228</w:t>
            </w:r>
          </w:p>
        </w:tc>
        <w:tc>
          <w:tcPr>
            <w:tcW w:w="804" w:type="dxa"/>
            <w:tcBorders>
              <w:top w:val="nil"/>
              <w:left w:val="nil"/>
              <w:bottom w:val="single" w:sz="4" w:space="0" w:color="auto"/>
              <w:right w:val="nil"/>
            </w:tcBorders>
            <w:shd w:val="clear" w:color="auto" w:fill="auto"/>
            <w:noWrap/>
            <w:vAlign w:val="bottom"/>
            <w:hideMark/>
          </w:tcPr>
          <w:p w14:paraId="1778FF18"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0.220</w:t>
            </w:r>
          </w:p>
        </w:tc>
        <w:tc>
          <w:tcPr>
            <w:tcW w:w="770" w:type="dxa"/>
            <w:tcBorders>
              <w:top w:val="nil"/>
              <w:left w:val="nil"/>
              <w:bottom w:val="single" w:sz="4" w:space="0" w:color="auto"/>
              <w:right w:val="nil"/>
            </w:tcBorders>
            <w:shd w:val="clear" w:color="auto" w:fill="auto"/>
            <w:noWrap/>
            <w:vAlign w:val="bottom"/>
            <w:hideMark/>
          </w:tcPr>
          <w:p w14:paraId="17DF01A1"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0.062</w:t>
            </w:r>
          </w:p>
        </w:tc>
        <w:tc>
          <w:tcPr>
            <w:tcW w:w="679" w:type="dxa"/>
            <w:tcBorders>
              <w:top w:val="nil"/>
              <w:left w:val="nil"/>
              <w:bottom w:val="single" w:sz="4" w:space="0" w:color="auto"/>
              <w:right w:val="nil"/>
            </w:tcBorders>
            <w:shd w:val="clear" w:color="auto" w:fill="auto"/>
            <w:noWrap/>
            <w:vAlign w:val="bottom"/>
            <w:hideMark/>
          </w:tcPr>
          <w:p w14:paraId="614E4305"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0.132</w:t>
            </w:r>
          </w:p>
        </w:tc>
        <w:tc>
          <w:tcPr>
            <w:tcW w:w="858" w:type="dxa"/>
            <w:tcBorders>
              <w:top w:val="nil"/>
              <w:left w:val="nil"/>
              <w:bottom w:val="single" w:sz="4" w:space="0" w:color="auto"/>
              <w:right w:val="nil"/>
            </w:tcBorders>
            <w:shd w:val="clear" w:color="auto" w:fill="auto"/>
            <w:noWrap/>
            <w:vAlign w:val="bottom"/>
            <w:hideMark/>
          </w:tcPr>
          <w:p w14:paraId="126E063D"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0.081</w:t>
            </w:r>
          </w:p>
        </w:tc>
        <w:tc>
          <w:tcPr>
            <w:tcW w:w="776" w:type="dxa"/>
            <w:tcBorders>
              <w:top w:val="nil"/>
              <w:left w:val="nil"/>
              <w:bottom w:val="single" w:sz="4" w:space="0" w:color="auto"/>
              <w:right w:val="nil"/>
            </w:tcBorders>
            <w:shd w:val="clear" w:color="auto" w:fill="auto"/>
            <w:noWrap/>
            <w:vAlign w:val="bottom"/>
            <w:hideMark/>
          </w:tcPr>
          <w:p w14:paraId="21F20976"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0.111</w:t>
            </w:r>
          </w:p>
        </w:tc>
        <w:tc>
          <w:tcPr>
            <w:tcW w:w="828" w:type="dxa"/>
            <w:tcBorders>
              <w:top w:val="nil"/>
              <w:left w:val="nil"/>
              <w:bottom w:val="single" w:sz="4" w:space="0" w:color="auto"/>
              <w:right w:val="nil"/>
            </w:tcBorders>
            <w:shd w:val="clear" w:color="auto" w:fill="auto"/>
            <w:noWrap/>
            <w:vAlign w:val="bottom"/>
            <w:hideMark/>
          </w:tcPr>
          <w:p w14:paraId="5D61A94A" w14:textId="77777777" w:rsidR="00063F17" w:rsidRPr="00284C07" w:rsidRDefault="00063F17" w:rsidP="00556CCF">
            <w:pPr>
              <w:spacing w:after="0" w:line="240" w:lineRule="auto"/>
              <w:jc w:val="center"/>
              <w:rPr>
                <w:rFonts w:ascii="Times New Roman" w:eastAsia="Times New Roman" w:hAnsi="Times New Roman" w:cs="Times New Roman"/>
                <w:sz w:val="14"/>
                <w:szCs w:val="20"/>
              </w:rPr>
            </w:pPr>
            <w:r w:rsidRPr="00284C07">
              <w:rPr>
                <w:rFonts w:ascii="Times New Roman" w:eastAsia="Times New Roman" w:hAnsi="Times New Roman" w:cs="Times New Roman"/>
                <w:sz w:val="14"/>
                <w:szCs w:val="20"/>
              </w:rPr>
              <w:t>0.064</w:t>
            </w:r>
          </w:p>
        </w:tc>
      </w:tr>
      <w:tr w:rsidR="00063F17" w:rsidRPr="00284C07" w14:paraId="571A6597" w14:textId="77777777" w:rsidTr="00284C07">
        <w:trPr>
          <w:trHeight w:val="675"/>
        </w:trPr>
        <w:tc>
          <w:tcPr>
            <w:tcW w:w="9212" w:type="dxa"/>
            <w:gridSpan w:val="11"/>
            <w:tcBorders>
              <w:top w:val="single" w:sz="4" w:space="0" w:color="auto"/>
              <w:left w:val="nil"/>
              <w:bottom w:val="nil"/>
              <w:right w:val="nil"/>
            </w:tcBorders>
            <w:shd w:val="clear" w:color="auto" w:fill="auto"/>
            <w:vAlign w:val="bottom"/>
            <w:hideMark/>
          </w:tcPr>
          <w:p w14:paraId="05DBAA21" w14:textId="77777777" w:rsidR="00063F17" w:rsidRPr="00284C07" w:rsidRDefault="00063F17" w:rsidP="00556CCF">
            <w:pPr>
              <w:spacing w:after="0" w:line="240" w:lineRule="auto"/>
              <w:rPr>
                <w:rFonts w:ascii="Times New Roman" w:eastAsia="Times New Roman" w:hAnsi="Times New Roman" w:cs="Times New Roman"/>
                <w:color w:val="000000"/>
                <w:sz w:val="14"/>
                <w:szCs w:val="20"/>
              </w:rPr>
            </w:pPr>
            <w:r w:rsidRPr="00284C07">
              <w:rPr>
                <w:rFonts w:ascii="Times New Roman" w:eastAsia="Times New Roman" w:hAnsi="Times New Roman" w:cs="Times New Roman"/>
                <w:color w:val="000000"/>
                <w:sz w:val="14"/>
                <w:szCs w:val="20"/>
              </w:rPr>
              <w:t>The reference year utilized in each model is the year before Tulsa Achieves implementation, which is the 2006 cohort. The 2005 cohort coefficient provides an estimate of whether the eligible and ineligible groups were significantly difference in pre-treatment years. Each model includes cohort and high school fixed effects and controls for race/ethnicity, gender, age, pell, and an indicator of receipt of another scholarship. Robust standard errors in parentheses *** p&lt;0.01, ** p&lt;0.05, * p&lt;0.1</w:t>
            </w:r>
          </w:p>
        </w:tc>
      </w:tr>
    </w:tbl>
    <w:p w14:paraId="2AB83523" w14:textId="77777777" w:rsidR="00063F17" w:rsidRDefault="00063F17" w:rsidP="00063F17">
      <w:pPr>
        <w:spacing w:after="0" w:line="240" w:lineRule="auto"/>
        <w:rPr>
          <w:rFonts w:ascii="Palatino Linotype" w:eastAsia="Times New Roman" w:hAnsi="Palatino Linotype" w:cs="Calibri"/>
          <w:b/>
          <w:color w:val="000000"/>
          <w:sz w:val="20"/>
          <w:szCs w:val="20"/>
        </w:rPr>
      </w:pPr>
    </w:p>
    <w:p w14:paraId="77DB4D0A" w14:textId="77777777" w:rsidR="00063F17" w:rsidRDefault="00063F17" w:rsidP="00063F17">
      <w:pPr>
        <w:spacing w:after="0" w:line="240" w:lineRule="auto"/>
        <w:rPr>
          <w:rFonts w:ascii="Palatino Linotype" w:eastAsia="Times New Roman" w:hAnsi="Palatino Linotype" w:cs="Calibri"/>
          <w:b/>
          <w:color w:val="000000"/>
          <w:sz w:val="20"/>
          <w:szCs w:val="20"/>
        </w:rPr>
      </w:pPr>
    </w:p>
    <w:p w14:paraId="332763DB" w14:textId="77777777" w:rsidR="00063F17" w:rsidRDefault="00063F17" w:rsidP="00063F17">
      <w:pPr>
        <w:spacing w:after="0" w:line="240" w:lineRule="auto"/>
        <w:rPr>
          <w:rFonts w:ascii="Palatino Linotype" w:eastAsia="Times New Roman" w:hAnsi="Palatino Linotype" w:cs="Calibri"/>
          <w:b/>
          <w:color w:val="000000"/>
          <w:sz w:val="20"/>
          <w:szCs w:val="20"/>
        </w:rPr>
      </w:pPr>
    </w:p>
    <w:p w14:paraId="092E9FB4" w14:textId="77777777" w:rsidR="00063F17" w:rsidRDefault="00063F17" w:rsidP="00063F17">
      <w:pPr>
        <w:spacing w:after="0" w:line="240" w:lineRule="auto"/>
        <w:rPr>
          <w:rFonts w:ascii="Palatino Linotype" w:eastAsia="Times New Roman" w:hAnsi="Palatino Linotype" w:cs="Calibri"/>
          <w:b/>
          <w:color w:val="000000"/>
          <w:sz w:val="20"/>
          <w:szCs w:val="20"/>
        </w:rPr>
      </w:pPr>
    </w:p>
    <w:p w14:paraId="5CB17961" w14:textId="77777777" w:rsidR="00063F17" w:rsidRDefault="00063F17" w:rsidP="00063F17">
      <w:pPr>
        <w:rPr>
          <w:rFonts w:ascii="Palatino Linotype" w:eastAsia="Times New Roman" w:hAnsi="Palatino Linotype" w:cs="Calibri"/>
          <w:b/>
          <w:color w:val="000000"/>
          <w:sz w:val="20"/>
          <w:szCs w:val="20"/>
        </w:rPr>
      </w:pPr>
    </w:p>
    <w:p w14:paraId="1F8A78E6" w14:textId="77777777" w:rsidR="00063F17" w:rsidRDefault="00063F17" w:rsidP="00063F17">
      <w:pPr>
        <w:rPr>
          <w:rFonts w:ascii="Palatino Linotype" w:eastAsia="Times New Roman" w:hAnsi="Palatino Linotype" w:cs="Calibri"/>
          <w:b/>
          <w:color w:val="000000"/>
          <w:sz w:val="20"/>
          <w:szCs w:val="20"/>
        </w:rPr>
      </w:pPr>
    </w:p>
    <w:p w14:paraId="1E4CD04C" w14:textId="77777777" w:rsidR="00063F17" w:rsidRDefault="00063F17" w:rsidP="00063F17">
      <w:pPr>
        <w:rPr>
          <w:rFonts w:ascii="Palatino Linotype" w:eastAsia="Times New Roman" w:hAnsi="Palatino Linotype" w:cs="Calibri"/>
          <w:b/>
          <w:color w:val="000000"/>
          <w:sz w:val="20"/>
          <w:szCs w:val="20"/>
        </w:rPr>
      </w:pPr>
    </w:p>
    <w:p w14:paraId="03DFA4B1" w14:textId="77777777" w:rsidR="00063F17" w:rsidRDefault="00063F17" w:rsidP="00063F17">
      <w:pPr>
        <w:rPr>
          <w:rFonts w:ascii="Palatino Linotype" w:eastAsia="Times New Roman" w:hAnsi="Palatino Linotype" w:cs="Calibri"/>
          <w:b/>
          <w:color w:val="000000"/>
          <w:sz w:val="20"/>
          <w:szCs w:val="20"/>
        </w:rPr>
      </w:pPr>
    </w:p>
    <w:p w14:paraId="35BDCCCE" w14:textId="77777777" w:rsidR="00063F17" w:rsidRDefault="00063F17" w:rsidP="00063F17">
      <w:pPr>
        <w:rPr>
          <w:rFonts w:ascii="Palatino Linotype" w:eastAsia="Times New Roman" w:hAnsi="Palatino Linotype" w:cs="Calibri"/>
          <w:b/>
          <w:color w:val="000000"/>
          <w:sz w:val="20"/>
          <w:szCs w:val="20"/>
        </w:rPr>
      </w:pPr>
    </w:p>
    <w:p w14:paraId="4D66BEA5" w14:textId="77777777" w:rsidR="00063F17" w:rsidRDefault="00063F17" w:rsidP="00063F17">
      <w:pPr>
        <w:rPr>
          <w:rFonts w:ascii="Palatino Linotype" w:eastAsia="Times New Roman" w:hAnsi="Palatino Linotype" w:cs="Calibri"/>
          <w:b/>
          <w:color w:val="000000"/>
          <w:sz w:val="20"/>
          <w:szCs w:val="20"/>
        </w:rPr>
      </w:pPr>
    </w:p>
    <w:p w14:paraId="79ACA88A" w14:textId="77777777" w:rsidR="00063F17" w:rsidRDefault="00063F17" w:rsidP="00063F17">
      <w:pPr>
        <w:rPr>
          <w:rFonts w:ascii="Palatino Linotype" w:eastAsia="Times New Roman" w:hAnsi="Palatino Linotype" w:cs="Calibri"/>
          <w:b/>
          <w:color w:val="000000"/>
          <w:sz w:val="20"/>
          <w:szCs w:val="20"/>
        </w:rPr>
      </w:pPr>
    </w:p>
    <w:p w14:paraId="6FCAA5D9" w14:textId="77777777" w:rsidR="00063F17" w:rsidRDefault="00063F17" w:rsidP="00063F1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C496F71" w14:textId="70226C92" w:rsidR="00063F17" w:rsidRPr="00EC0994" w:rsidRDefault="00063F17" w:rsidP="00063F17">
      <w:pPr>
        <w:rPr>
          <w:rFonts w:ascii="Palatino Linotype" w:eastAsia="Times New Roman" w:hAnsi="Palatino Linotype" w:cs="Calibri"/>
          <w:b/>
          <w:color w:val="000000"/>
          <w:sz w:val="20"/>
          <w:szCs w:val="20"/>
        </w:rPr>
      </w:pPr>
      <w:r w:rsidRPr="005A0D63">
        <w:rPr>
          <w:rFonts w:ascii="Times New Roman" w:eastAsia="Times New Roman" w:hAnsi="Times New Roman" w:cs="Times New Roman"/>
          <w:b/>
          <w:bCs/>
          <w:sz w:val="24"/>
          <w:szCs w:val="24"/>
        </w:rPr>
        <w:lastRenderedPageBreak/>
        <w:t>Table</w:t>
      </w:r>
      <w:r>
        <w:rPr>
          <w:rFonts w:ascii="Times New Roman" w:eastAsia="Times New Roman" w:hAnsi="Times New Roman" w:cs="Times New Roman"/>
          <w:color w:val="000000"/>
          <w:sz w:val="21"/>
          <w:szCs w:val="21"/>
        </w:rPr>
        <w:t xml:space="preserve"> </w:t>
      </w:r>
      <w:r w:rsidR="005B5FB2">
        <w:rPr>
          <w:rFonts w:ascii="Times New Roman" w:eastAsia="Times New Roman" w:hAnsi="Times New Roman" w:cs="Times New Roman"/>
          <w:color w:val="000000"/>
          <w:sz w:val="21"/>
          <w:szCs w:val="21"/>
        </w:rPr>
        <w:t>5-</w:t>
      </w:r>
      <w:r>
        <w:rPr>
          <w:rFonts w:ascii="Times New Roman" w:eastAsia="Times New Roman" w:hAnsi="Times New Roman" w:cs="Times New Roman"/>
          <w:b/>
          <w:bCs/>
          <w:sz w:val="24"/>
          <w:szCs w:val="24"/>
        </w:rPr>
        <w:t>B4</w:t>
      </w:r>
      <w:r w:rsidRPr="005A0D63">
        <w:rPr>
          <w:rFonts w:ascii="Times New Roman" w:eastAsia="Times New Roman" w:hAnsi="Times New Roman" w:cs="Times New Roman"/>
          <w:b/>
          <w:bCs/>
          <w:sz w:val="24"/>
          <w:szCs w:val="24"/>
        </w:rPr>
        <w:t xml:space="preserve">. </w:t>
      </w:r>
      <w:r w:rsidR="005B5FB2">
        <w:rPr>
          <w:rFonts w:ascii="Times New Roman" w:hAnsi="Times New Roman" w:cs="Times New Roman"/>
          <w:sz w:val="24"/>
          <w:szCs w:val="24"/>
        </w:rPr>
        <w:t>Robustness Check with High School Fixed Effects</w:t>
      </w:r>
      <w:r w:rsidR="005B5FB2">
        <w:rPr>
          <w:rFonts w:ascii="Times New Roman" w:eastAsia="Times New Roman" w:hAnsi="Times New Roman" w:cs="Times New Roman"/>
          <w:bCs/>
          <w:sz w:val="24"/>
          <w:szCs w:val="24"/>
        </w:rPr>
        <w:t xml:space="preserve">: </w:t>
      </w:r>
      <w:r w:rsidRPr="00190C11">
        <w:rPr>
          <w:rFonts w:ascii="Times New Roman" w:eastAsia="Times New Roman" w:hAnsi="Times New Roman" w:cs="Times New Roman"/>
          <w:bCs/>
          <w:sz w:val="24"/>
          <w:szCs w:val="24"/>
        </w:rPr>
        <w:t>Event-Study</w:t>
      </w:r>
      <w:r w:rsidRPr="00190C11">
        <w:rPr>
          <w:rFonts w:ascii="Times New Roman" w:eastAsia="Times New Roman" w:hAnsi="Times New Roman" w:cs="Times New Roman"/>
          <w:color w:val="000000"/>
          <w:sz w:val="21"/>
          <w:szCs w:val="21"/>
        </w:rPr>
        <w:t xml:space="preserve"> </w:t>
      </w:r>
      <w:r w:rsidRPr="00190C11">
        <w:rPr>
          <w:rFonts w:ascii="Times New Roman" w:eastAsia="Times New Roman" w:hAnsi="Times New Roman" w:cs="Times New Roman"/>
          <w:bCs/>
          <w:sz w:val="24"/>
          <w:szCs w:val="24"/>
        </w:rPr>
        <w:t>Results for the Effect of Tulsa Achieves Eligibility on Student Outcomes (ITT)</w:t>
      </w:r>
    </w:p>
    <w:tbl>
      <w:tblPr>
        <w:tblW w:w="9480" w:type="dxa"/>
        <w:tblLayout w:type="fixed"/>
        <w:tblLook w:val="04A0" w:firstRow="1" w:lastRow="0" w:firstColumn="1" w:lastColumn="0" w:noHBand="0" w:noVBand="1"/>
      </w:tblPr>
      <w:tblGrid>
        <w:gridCol w:w="1380"/>
        <w:gridCol w:w="714"/>
        <w:gridCol w:w="714"/>
        <w:gridCol w:w="714"/>
        <w:gridCol w:w="797"/>
        <w:gridCol w:w="924"/>
        <w:gridCol w:w="897"/>
        <w:gridCol w:w="827"/>
        <w:gridCol w:w="857"/>
        <w:gridCol w:w="811"/>
        <w:gridCol w:w="845"/>
      </w:tblGrid>
      <w:tr w:rsidR="00063F17" w:rsidRPr="00284C07" w14:paraId="55100D56" w14:textId="77777777" w:rsidTr="00284C07">
        <w:trPr>
          <w:trHeight w:val="384"/>
        </w:trPr>
        <w:tc>
          <w:tcPr>
            <w:tcW w:w="1380" w:type="dxa"/>
            <w:tcBorders>
              <w:top w:val="nil"/>
              <w:left w:val="nil"/>
              <w:bottom w:val="double" w:sz="6" w:space="0" w:color="auto"/>
              <w:right w:val="nil"/>
            </w:tcBorders>
            <w:shd w:val="clear" w:color="auto" w:fill="auto"/>
            <w:noWrap/>
            <w:vAlign w:val="bottom"/>
            <w:hideMark/>
          </w:tcPr>
          <w:p w14:paraId="38451466"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 </w:t>
            </w:r>
          </w:p>
        </w:tc>
        <w:tc>
          <w:tcPr>
            <w:tcW w:w="714" w:type="dxa"/>
            <w:tcBorders>
              <w:top w:val="nil"/>
              <w:left w:val="nil"/>
              <w:bottom w:val="double" w:sz="6" w:space="0" w:color="auto"/>
              <w:right w:val="nil"/>
            </w:tcBorders>
            <w:shd w:val="clear" w:color="auto" w:fill="auto"/>
            <w:vAlign w:val="bottom"/>
            <w:hideMark/>
          </w:tcPr>
          <w:p w14:paraId="4D2C586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GPA End of Year 1</w:t>
            </w:r>
          </w:p>
        </w:tc>
        <w:tc>
          <w:tcPr>
            <w:tcW w:w="714" w:type="dxa"/>
            <w:tcBorders>
              <w:top w:val="nil"/>
              <w:left w:val="nil"/>
              <w:bottom w:val="double" w:sz="6" w:space="0" w:color="auto"/>
              <w:right w:val="nil"/>
            </w:tcBorders>
            <w:shd w:val="clear" w:color="auto" w:fill="auto"/>
            <w:vAlign w:val="bottom"/>
            <w:hideMark/>
          </w:tcPr>
          <w:p w14:paraId="394969D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Credits Year 1</w:t>
            </w:r>
          </w:p>
        </w:tc>
        <w:tc>
          <w:tcPr>
            <w:tcW w:w="714" w:type="dxa"/>
            <w:tcBorders>
              <w:top w:val="nil"/>
              <w:left w:val="nil"/>
              <w:bottom w:val="double" w:sz="6" w:space="0" w:color="auto"/>
              <w:right w:val="nil"/>
            </w:tcBorders>
            <w:shd w:val="clear" w:color="auto" w:fill="auto"/>
            <w:vAlign w:val="bottom"/>
            <w:hideMark/>
          </w:tcPr>
          <w:p w14:paraId="506D92C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GPA End of Year 3</w:t>
            </w:r>
          </w:p>
        </w:tc>
        <w:tc>
          <w:tcPr>
            <w:tcW w:w="797" w:type="dxa"/>
            <w:tcBorders>
              <w:top w:val="nil"/>
              <w:left w:val="nil"/>
              <w:bottom w:val="double" w:sz="6" w:space="0" w:color="auto"/>
              <w:right w:val="nil"/>
            </w:tcBorders>
            <w:shd w:val="clear" w:color="auto" w:fill="auto"/>
            <w:vAlign w:val="bottom"/>
            <w:hideMark/>
          </w:tcPr>
          <w:p w14:paraId="16A4AEF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Credits Year 3</w:t>
            </w:r>
          </w:p>
        </w:tc>
        <w:tc>
          <w:tcPr>
            <w:tcW w:w="924" w:type="dxa"/>
            <w:tcBorders>
              <w:top w:val="nil"/>
              <w:left w:val="nil"/>
              <w:bottom w:val="double" w:sz="6" w:space="0" w:color="auto"/>
              <w:right w:val="nil"/>
            </w:tcBorders>
            <w:shd w:val="clear" w:color="auto" w:fill="auto"/>
            <w:vAlign w:val="bottom"/>
            <w:hideMark/>
          </w:tcPr>
          <w:p w14:paraId="46D8147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Semesters Enrolled in 3 Years</w:t>
            </w:r>
          </w:p>
        </w:tc>
        <w:tc>
          <w:tcPr>
            <w:tcW w:w="897" w:type="dxa"/>
            <w:tcBorders>
              <w:top w:val="nil"/>
              <w:left w:val="nil"/>
              <w:bottom w:val="double" w:sz="6" w:space="0" w:color="auto"/>
              <w:right w:val="nil"/>
            </w:tcBorders>
            <w:shd w:val="clear" w:color="auto" w:fill="auto"/>
            <w:vAlign w:val="bottom"/>
            <w:hideMark/>
          </w:tcPr>
          <w:p w14:paraId="6A94F21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Had 63 Credits by Year 3</w:t>
            </w:r>
          </w:p>
        </w:tc>
        <w:tc>
          <w:tcPr>
            <w:tcW w:w="827" w:type="dxa"/>
            <w:tcBorders>
              <w:top w:val="nil"/>
              <w:left w:val="nil"/>
              <w:bottom w:val="double" w:sz="6" w:space="0" w:color="auto"/>
              <w:right w:val="nil"/>
            </w:tcBorders>
            <w:shd w:val="clear" w:color="auto" w:fill="auto"/>
            <w:vAlign w:val="bottom"/>
            <w:hideMark/>
          </w:tcPr>
          <w:p w14:paraId="6F1746C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Graduate with Credential</w:t>
            </w:r>
          </w:p>
        </w:tc>
        <w:tc>
          <w:tcPr>
            <w:tcW w:w="857" w:type="dxa"/>
            <w:tcBorders>
              <w:top w:val="nil"/>
              <w:left w:val="nil"/>
              <w:bottom w:val="double" w:sz="6" w:space="0" w:color="auto"/>
              <w:right w:val="nil"/>
            </w:tcBorders>
            <w:shd w:val="clear" w:color="auto" w:fill="auto"/>
            <w:vAlign w:val="bottom"/>
            <w:hideMark/>
          </w:tcPr>
          <w:p w14:paraId="6B03EB0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Transfer to Four Year</w:t>
            </w:r>
          </w:p>
        </w:tc>
        <w:tc>
          <w:tcPr>
            <w:tcW w:w="811" w:type="dxa"/>
            <w:tcBorders>
              <w:top w:val="nil"/>
              <w:left w:val="nil"/>
              <w:bottom w:val="double" w:sz="6" w:space="0" w:color="auto"/>
              <w:right w:val="nil"/>
            </w:tcBorders>
            <w:shd w:val="clear" w:color="auto" w:fill="auto"/>
            <w:vAlign w:val="bottom"/>
            <w:hideMark/>
          </w:tcPr>
          <w:p w14:paraId="105C738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Bachelors Degree</w:t>
            </w:r>
          </w:p>
        </w:tc>
        <w:tc>
          <w:tcPr>
            <w:tcW w:w="845" w:type="dxa"/>
            <w:tcBorders>
              <w:top w:val="nil"/>
              <w:left w:val="nil"/>
              <w:bottom w:val="double" w:sz="6" w:space="0" w:color="auto"/>
              <w:right w:val="nil"/>
            </w:tcBorders>
          </w:tcPr>
          <w:p w14:paraId="45C942A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Bachelors Degree in 5 Years</w:t>
            </w:r>
          </w:p>
        </w:tc>
      </w:tr>
      <w:tr w:rsidR="00063F17" w:rsidRPr="00284C07" w14:paraId="7742F31B" w14:textId="77777777" w:rsidTr="00284C07">
        <w:trPr>
          <w:trHeight w:val="337"/>
        </w:trPr>
        <w:tc>
          <w:tcPr>
            <w:tcW w:w="1380" w:type="dxa"/>
            <w:tcBorders>
              <w:top w:val="nil"/>
              <w:left w:val="nil"/>
              <w:bottom w:val="nil"/>
              <w:right w:val="nil"/>
            </w:tcBorders>
            <w:shd w:val="clear" w:color="auto" w:fill="auto"/>
            <w:vAlign w:val="bottom"/>
            <w:hideMark/>
          </w:tcPr>
          <w:p w14:paraId="63DC8D4F"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2005 Cohort*TA Eligibility</w:t>
            </w:r>
          </w:p>
        </w:tc>
        <w:tc>
          <w:tcPr>
            <w:tcW w:w="714" w:type="dxa"/>
            <w:tcBorders>
              <w:top w:val="nil"/>
              <w:left w:val="nil"/>
              <w:bottom w:val="nil"/>
              <w:right w:val="nil"/>
            </w:tcBorders>
            <w:shd w:val="clear" w:color="auto" w:fill="auto"/>
            <w:noWrap/>
            <w:vAlign w:val="center"/>
            <w:hideMark/>
          </w:tcPr>
          <w:p w14:paraId="1F25ED3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0.0959</w:t>
            </w:r>
          </w:p>
        </w:tc>
        <w:tc>
          <w:tcPr>
            <w:tcW w:w="714" w:type="dxa"/>
            <w:tcBorders>
              <w:top w:val="nil"/>
              <w:left w:val="nil"/>
              <w:bottom w:val="nil"/>
              <w:right w:val="nil"/>
            </w:tcBorders>
            <w:shd w:val="clear" w:color="auto" w:fill="auto"/>
            <w:noWrap/>
            <w:vAlign w:val="center"/>
            <w:hideMark/>
          </w:tcPr>
          <w:p w14:paraId="0D09FE7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0.0354</w:t>
            </w:r>
          </w:p>
        </w:tc>
        <w:tc>
          <w:tcPr>
            <w:tcW w:w="714" w:type="dxa"/>
            <w:tcBorders>
              <w:top w:val="nil"/>
              <w:left w:val="nil"/>
              <w:bottom w:val="nil"/>
              <w:right w:val="nil"/>
            </w:tcBorders>
            <w:shd w:val="clear" w:color="auto" w:fill="auto"/>
            <w:noWrap/>
            <w:vAlign w:val="center"/>
            <w:hideMark/>
          </w:tcPr>
          <w:p w14:paraId="537410D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0.0721</w:t>
            </w:r>
          </w:p>
        </w:tc>
        <w:tc>
          <w:tcPr>
            <w:tcW w:w="797" w:type="dxa"/>
            <w:tcBorders>
              <w:top w:val="nil"/>
              <w:left w:val="nil"/>
              <w:bottom w:val="nil"/>
              <w:right w:val="nil"/>
            </w:tcBorders>
            <w:shd w:val="clear" w:color="auto" w:fill="auto"/>
            <w:noWrap/>
            <w:vAlign w:val="center"/>
            <w:hideMark/>
          </w:tcPr>
          <w:p w14:paraId="26B7F53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-0.986</w:t>
            </w:r>
          </w:p>
        </w:tc>
        <w:tc>
          <w:tcPr>
            <w:tcW w:w="924" w:type="dxa"/>
            <w:tcBorders>
              <w:top w:val="nil"/>
              <w:left w:val="nil"/>
              <w:bottom w:val="nil"/>
              <w:right w:val="nil"/>
            </w:tcBorders>
            <w:shd w:val="clear" w:color="auto" w:fill="auto"/>
            <w:noWrap/>
            <w:vAlign w:val="center"/>
            <w:hideMark/>
          </w:tcPr>
          <w:p w14:paraId="7A47B77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0.0711</w:t>
            </w:r>
          </w:p>
        </w:tc>
        <w:tc>
          <w:tcPr>
            <w:tcW w:w="897" w:type="dxa"/>
            <w:tcBorders>
              <w:top w:val="nil"/>
              <w:left w:val="nil"/>
              <w:bottom w:val="nil"/>
              <w:right w:val="nil"/>
            </w:tcBorders>
            <w:shd w:val="clear" w:color="auto" w:fill="auto"/>
            <w:noWrap/>
            <w:vAlign w:val="center"/>
            <w:hideMark/>
          </w:tcPr>
          <w:p w14:paraId="2C55502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-0.0137</w:t>
            </w:r>
          </w:p>
        </w:tc>
        <w:tc>
          <w:tcPr>
            <w:tcW w:w="827" w:type="dxa"/>
            <w:tcBorders>
              <w:top w:val="nil"/>
              <w:left w:val="nil"/>
              <w:bottom w:val="nil"/>
              <w:right w:val="nil"/>
            </w:tcBorders>
            <w:shd w:val="clear" w:color="auto" w:fill="auto"/>
            <w:noWrap/>
            <w:vAlign w:val="center"/>
            <w:hideMark/>
          </w:tcPr>
          <w:p w14:paraId="5FF1BE5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-0.0130</w:t>
            </w:r>
          </w:p>
        </w:tc>
        <w:tc>
          <w:tcPr>
            <w:tcW w:w="857" w:type="dxa"/>
            <w:tcBorders>
              <w:top w:val="nil"/>
              <w:left w:val="nil"/>
              <w:bottom w:val="nil"/>
              <w:right w:val="nil"/>
            </w:tcBorders>
            <w:shd w:val="clear" w:color="auto" w:fill="auto"/>
            <w:noWrap/>
            <w:vAlign w:val="center"/>
            <w:hideMark/>
          </w:tcPr>
          <w:p w14:paraId="5820E4D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0.0112</w:t>
            </w:r>
          </w:p>
        </w:tc>
        <w:tc>
          <w:tcPr>
            <w:tcW w:w="811" w:type="dxa"/>
            <w:tcBorders>
              <w:top w:val="nil"/>
              <w:left w:val="nil"/>
              <w:bottom w:val="nil"/>
              <w:right w:val="nil"/>
            </w:tcBorders>
            <w:shd w:val="clear" w:color="auto" w:fill="auto"/>
            <w:noWrap/>
            <w:vAlign w:val="center"/>
            <w:hideMark/>
          </w:tcPr>
          <w:p w14:paraId="00F77A3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-0.00791</w:t>
            </w:r>
          </w:p>
        </w:tc>
        <w:tc>
          <w:tcPr>
            <w:tcW w:w="845" w:type="dxa"/>
            <w:tcBorders>
              <w:top w:val="nil"/>
              <w:left w:val="nil"/>
              <w:bottom w:val="nil"/>
              <w:right w:val="nil"/>
            </w:tcBorders>
            <w:shd w:val="clear" w:color="auto" w:fill="auto"/>
            <w:vAlign w:val="center"/>
          </w:tcPr>
          <w:p w14:paraId="3117C08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0.0162</w:t>
            </w:r>
          </w:p>
        </w:tc>
      </w:tr>
      <w:tr w:rsidR="00063F17" w:rsidRPr="00284C07" w14:paraId="08D15E42" w14:textId="77777777" w:rsidTr="00284C07">
        <w:trPr>
          <w:trHeight w:val="280"/>
        </w:trPr>
        <w:tc>
          <w:tcPr>
            <w:tcW w:w="1380" w:type="dxa"/>
            <w:tcBorders>
              <w:top w:val="nil"/>
              <w:left w:val="nil"/>
              <w:bottom w:val="nil"/>
              <w:right w:val="nil"/>
            </w:tcBorders>
            <w:shd w:val="clear" w:color="auto" w:fill="auto"/>
            <w:vAlign w:val="bottom"/>
            <w:hideMark/>
          </w:tcPr>
          <w:p w14:paraId="5E755140"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55BADED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(0.0857)</w:t>
            </w:r>
          </w:p>
        </w:tc>
        <w:tc>
          <w:tcPr>
            <w:tcW w:w="714" w:type="dxa"/>
            <w:tcBorders>
              <w:top w:val="nil"/>
              <w:left w:val="nil"/>
              <w:bottom w:val="nil"/>
              <w:right w:val="nil"/>
            </w:tcBorders>
            <w:shd w:val="clear" w:color="auto" w:fill="auto"/>
            <w:noWrap/>
            <w:vAlign w:val="center"/>
            <w:hideMark/>
          </w:tcPr>
          <w:p w14:paraId="7D03A8B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(0.583)</w:t>
            </w:r>
          </w:p>
        </w:tc>
        <w:tc>
          <w:tcPr>
            <w:tcW w:w="714" w:type="dxa"/>
            <w:tcBorders>
              <w:top w:val="nil"/>
              <w:left w:val="nil"/>
              <w:bottom w:val="nil"/>
              <w:right w:val="nil"/>
            </w:tcBorders>
            <w:shd w:val="clear" w:color="auto" w:fill="auto"/>
            <w:noWrap/>
            <w:vAlign w:val="center"/>
            <w:hideMark/>
          </w:tcPr>
          <w:p w14:paraId="106D0AD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(0.0798)</w:t>
            </w:r>
          </w:p>
        </w:tc>
        <w:tc>
          <w:tcPr>
            <w:tcW w:w="797" w:type="dxa"/>
            <w:tcBorders>
              <w:top w:val="nil"/>
              <w:left w:val="nil"/>
              <w:bottom w:val="nil"/>
              <w:right w:val="nil"/>
            </w:tcBorders>
            <w:shd w:val="clear" w:color="auto" w:fill="auto"/>
            <w:noWrap/>
            <w:vAlign w:val="center"/>
            <w:hideMark/>
          </w:tcPr>
          <w:p w14:paraId="4245AC2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(1.426)</w:t>
            </w:r>
          </w:p>
        </w:tc>
        <w:tc>
          <w:tcPr>
            <w:tcW w:w="924" w:type="dxa"/>
            <w:tcBorders>
              <w:top w:val="nil"/>
              <w:left w:val="nil"/>
              <w:bottom w:val="nil"/>
              <w:right w:val="nil"/>
            </w:tcBorders>
            <w:shd w:val="clear" w:color="auto" w:fill="auto"/>
            <w:noWrap/>
            <w:vAlign w:val="center"/>
            <w:hideMark/>
          </w:tcPr>
          <w:p w14:paraId="05EA2A0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(0.251)</w:t>
            </w:r>
          </w:p>
        </w:tc>
        <w:tc>
          <w:tcPr>
            <w:tcW w:w="897" w:type="dxa"/>
            <w:tcBorders>
              <w:top w:val="nil"/>
              <w:left w:val="nil"/>
              <w:bottom w:val="nil"/>
              <w:right w:val="nil"/>
            </w:tcBorders>
            <w:shd w:val="clear" w:color="auto" w:fill="auto"/>
            <w:noWrap/>
            <w:vAlign w:val="center"/>
            <w:hideMark/>
          </w:tcPr>
          <w:p w14:paraId="035B7B4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(0.0168)</w:t>
            </w:r>
          </w:p>
        </w:tc>
        <w:tc>
          <w:tcPr>
            <w:tcW w:w="827" w:type="dxa"/>
            <w:tcBorders>
              <w:top w:val="nil"/>
              <w:left w:val="nil"/>
              <w:bottom w:val="nil"/>
              <w:right w:val="nil"/>
            </w:tcBorders>
            <w:shd w:val="clear" w:color="auto" w:fill="auto"/>
            <w:noWrap/>
            <w:vAlign w:val="center"/>
            <w:hideMark/>
          </w:tcPr>
          <w:p w14:paraId="67943A3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(0.0305)</w:t>
            </w:r>
          </w:p>
        </w:tc>
        <w:tc>
          <w:tcPr>
            <w:tcW w:w="857" w:type="dxa"/>
            <w:tcBorders>
              <w:top w:val="nil"/>
              <w:left w:val="nil"/>
              <w:bottom w:val="nil"/>
              <w:right w:val="nil"/>
            </w:tcBorders>
            <w:shd w:val="clear" w:color="auto" w:fill="auto"/>
            <w:noWrap/>
            <w:vAlign w:val="center"/>
            <w:hideMark/>
          </w:tcPr>
          <w:p w14:paraId="3C8B16E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(0.0341)</w:t>
            </w:r>
          </w:p>
        </w:tc>
        <w:tc>
          <w:tcPr>
            <w:tcW w:w="811" w:type="dxa"/>
            <w:tcBorders>
              <w:top w:val="nil"/>
              <w:left w:val="nil"/>
              <w:bottom w:val="nil"/>
              <w:right w:val="nil"/>
            </w:tcBorders>
            <w:shd w:val="clear" w:color="auto" w:fill="auto"/>
            <w:noWrap/>
            <w:vAlign w:val="center"/>
            <w:hideMark/>
          </w:tcPr>
          <w:p w14:paraId="3EFA15C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(0.0274)</w:t>
            </w:r>
          </w:p>
        </w:tc>
        <w:tc>
          <w:tcPr>
            <w:tcW w:w="845" w:type="dxa"/>
            <w:tcBorders>
              <w:top w:val="nil"/>
              <w:left w:val="nil"/>
              <w:bottom w:val="nil"/>
              <w:right w:val="nil"/>
            </w:tcBorders>
            <w:shd w:val="clear" w:color="auto" w:fill="auto"/>
            <w:vAlign w:val="center"/>
          </w:tcPr>
          <w:p w14:paraId="1B222AD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(0.0171)</w:t>
            </w:r>
          </w:p>
        </w:tc>
      </w:tr>
      <w:tr w:rsidR="00063F17" w:rsidRPr="00284C07" w14:paraId="7D86F55E" w14:textId="77777777" w:rsidTr="00284C07">
        <w:trPr>
          <w:trHeight w:val="537"/>
        </w:trPr>
        <w:tc>
          <w:tcPr>
            <w:tcW w:w="1380" w:type="dxa"/>
            <w:tcBorders>
              <w:top w:val="nil"/>
              <w:left w:val="nil"/>
              <w:bottom w:val="nil"/>
              <w:right w:val="nil"/>
            </w:tcBorders>
            <w:shd w:val="clear" w:color="auto" w:fill="auto"/>
            <w:vAlign w:val="bottom"/>
            <w:hideMark/>
          </w:tcPr>
          <w:p w14:paraId="6319C4A5"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2006 Cohort*TA Eligibility</w:t>
            </w:r>
          </w:p>
        </w:tc>
        <w:tc>
          <w:tcPr>
            <w:tcW w:w="714" w:type="dxa"/>
            <w:tcBorders>
              <w:top w:val="nil"/>
              <w:left w:val="nil"/>
              <w:bottom w:val="nil"/>
              <w:right w:val="nil"/>
            </w:tcBorders>
            <w:shd w:val="clear" w:color="auto" w:fill="auto"/>
            <w:noWrap/>
            <w:vAlign w:val="center"/>
            <w:hideMark/>
          </w:tcPr>
          <w:p w14:paraId="6E99D06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714" w:type="dxa"/>
            <w:tcBorders>
              <w:top w:val="nil"/>
              <w:left w:val="nil"/>
              <w:bottom w:val="nil"/>
              <w:right w:val="nil"/>
            </w:tcBorders>
            <w:shd w:val="clear" w:color="auto" w:fill="auto"/>
            <w:noWrap/>
            <w:vAlign w:val="center"/>
            <w:hideMark/>
          </w:tcPr>
          <w:p w14:paraId="1DDCA67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714" w:type="dxa"/>
            <w:tcBorders>
              <w:top w:val="nil"/>
              <w:left w:val="nil"/>
              <w:bottom w:val="nil"/>
              <w:right w:val="nil"/>
            </w:tcBorders>
            <w:shd w:val="clear" w:color="auto" w:fill="auto"/>
            <w:noWrap/>
            <w:vAlign w:val="center"/>
            <w:hideMark/>
          </w:tcPr>
          <w:p w14:paraId="34EAA26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797" w:type="dxa"/>
            <w:tcBorders>
              <w:top w:val="nil"/>
              <w:left w:val="nil"/>
              <w:bottom w:val="nil"/>
              <w:right w:val="nil"/>
            </w:tcBorders>
            <w:shd w:val="clear" w:color="auto" w:fill="auto"/>
            <w:noWrap/>
            <w:vAlign w:val="center"/>
            <w:hideMark/>
          </w:tcPr>
          <w:p w14:paraId="286549B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924" w:type="dxa"/>
            <w:tcBorders>
              <w:top w:val="nil"/>
              <w:left w:val="nil"/>
              <w:bottom w:val="nil"/>
              <w:right w:val="nil"/>
            </w:tcBorders>
            <w:shd w:val="clear" w:color="auto" w:fill="auto"/>
            <w:noWrap/>
            <w:vAlign w:val="center"/>
            <w:hideMark/>
          </w:tcPr>
          <w:p w14:paraId="50C90A4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897" w:type="dxa"/>
            <w:tcBorders>
              <w:top w:val="nil"/>
              <w:left w:val="nil"/>
              <w:bottom w:val="nil"/>
              <w:right w:val="nil"/>
            </w:tcBorders>
            <w:shd w:val="clear" w:color="auto" w:fill="auto"/>
            <w:noWrap/>
            <w:vAlign w:val="center"/>
            <w:hideMark/>
          </w:tcPr>
          <w:p w14:paraId="4B9D279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827" w:type="dxa"/>
            <w:tcBorders>
              <w:top w:val="nil"/>
              <w:left w:val="nil"/>
              <w:bottom w:val="nil"/>
              <w:right w:val="nil"/>
            </w:tcBorders>
            <w:shd w:val="clear" w:color="auto" w:fill="auto"/>
            <w:noWrap/>
            <w:vAlign w:val="center"/>
            <w:hideMark/>
          </w:tcPr>
          <w:p w14:paraId="670533E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857" w:type="dxa"/>
            <w:tcBorders>
              <w:top w:val="nil"/>
              <w:left w:val="nil"/>
              <w:bottom w:val="nil"/>
              <w:right w:val="nil"/>
            </w:tcBorders>
            <w:shd w:val="clear" w:color="auto" w:fill="auto"/>
            <w:noWrap/>
            <w:vAlign w:val="center"/>
            <w:hideMark/>
          </w:tcPr>
          <w:p w14:paraId="4DA539E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811" w:type="dxa"/>
            <w:tcBorders>
              <w:top w:val="nil"/>
              <w:left w:val="nil"/>
              <w:bottom w:val="nil"/>
              <w:right w:val="nil"/>
            </w:tcBorders>
            <w:shd w:val="clear" w:color="auto" w:fill="auto"/>
            <w:noWrap/>
            <w:vAlign w:val="center"/>
            <w:hideMark/>
          </w:tcPr>
          <w:p w14:paraId="56AA241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c>
          <w:tcPr>
            <w:tcW w:w="845" w:type="dxa"/>
            <w:tcBorders>
              <w:top w:val="nil"/>
              <w:left w:val="nil"/>
              <w:bottom w:val="nil"/>
              <w:right w:val="nil"/>
            </w:tcBorders>
            <w:shd w:val="clear" w:color="auto" w:fill="auto"/>
            <w:vAlign w:val="center"/>
          </w:tcPr>
          <w:p w14:paraId="583828E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OMIT</w:t>
            </w:r>
          </w:p>
        </w:tc>
      </w:tr>
      <w:tr w:rsidR="00063F17" w:rsidRPr="00284C07" w14:paraId="399C2794" w14:textId="77777777" w:rsidTr="00284C07">
        <w:trPr>
          <w:trHeight w:val="328"/>
        </w:trPr>
        <w:tc>
          <w:tcPr>
            <w:tcW w:w="1380" w:type="dxa"/>
            <w:tcBorders>
              <w:top w:val="nil"/>
              <w:left w:val="nil"/>
              <w:bottom w:val="nil"/>
              <w:right w:val="nil"/>
            </w:tcBorders>
            <w:shd w:val="clear" w:color="auto" w:fill="auto"/>
            <w:vAlign w:val="bottom"/>
            <w:hideMark/>
          </w:tcPr>
          <w:p w14:paraId="3D801F38"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2007 Cohort*TA Eligibility</w:t>
            </w:r>
          </w:p>
        </w:tc>
        <w:tc>
          <w:tcPr>
            <w:tcW w:w="714" w:type="dxa"/>
            <w:tcBorders>
              <w:top w:val="nil"/>
              <w:left w:val="nil"/>
              <w:bottom w:val="nil"/>
              <w:right w:val="nil"/>
            </w:tcBorders>
            <w:shd w:val="clear" w:color="auto" w:fill="auto"/>
            <w:noWrap/>
            <w:vAlign w:val="center"/>
            <w:hideMark/>
          </w:tcPr>
          <w:p w14:paraId="773A7BC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0.204**</w:t>
            </w:r>
          </w:p>
        </w:tc>
        <w:tc>
          <w:tcPr>
            <w:tcW w:w="714" w:type="dxa"/>
            <w:tcBorders>
              <w:top w:val="nil"/>
              <w:left w:val="nil"/>
              <w:bottom w:val="nil"/>
              <w:right w:val="nil"/>
            </w:tcBorders>
            <w:shd w:val="clear" w:color="auto" w:fill="auto"/>
            <w:noWrap/>
            <w:vAlign w:val="center"/>
            <w:hideMark/>
          </w:tcPr>
          <w:p w14:paraId="19ABC30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1.422**</w:t>
            </w:r>
          </w:p>
        </w:tc>
        <w:tc>
          <w:tcPr>
            <w:tcW w:w="714" w:type="dxa"/>
            <w:tcBorders>
              <w:top w:val="nil"/>
              <w:left w:val="nil"/>
              <w:bottom w:val="nil"/>
              <w:right w:val="nil"/>
            </w:tcBorders>
            <w:shd w:val="clear" w:color="auto" w:fill="auto"/>
            <w:noWrap/>
            <w:vAlign w:val="center"/>
            <w:hideMark/>
          </w:tcPr>
          <w:p w14:paraId="6D66E5CC" w14:textId="2901C424"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w:t>
            </w:r>
          </w:p>
        </w:tc>
        <w:tc>
          <w:tcPr>
            <w:tcW w:w="797" w:type="dxa"/>
            <w:tcBorders>
              <w:top w:val="nil"/>
              <w:left w:val="nil"/>
              <w:bottom w:val="nil"/>
              <w:right w:val="nil"/>
            </w:tcBorders>
            <w:shd w:val="clear" w:color="auto" w:fill="auto"/>
            <w:noWrap/>
            <w:vAlign w:val="center"/>
            <w:hideMark/>
          </w:tcPr>
          <w:p w14:paraId="1F8AAAA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2.728*</w:t>
            </w:r>
          </w:p>
        </w:tc>
        <w:tc>
          <w:tcPr>
            <w:tcW w:w="924" w:type="dxa"/>
            <w:tcBorders>
              <w:top w:val="nil"/>
              <w:left w:val="nil"/>
              <w:bottom w:val="nil"/>
              <w:right w:val="nil"/>
            </w:tcBorders>
            <w:shd w:val="clear" w:color="auto" w:fill="auto"/>
            <w:noWrap/>
            <w:vAlign w:val="center"/>
            <w:hideMark/>
          </w:tcPr>
          <w:p w14:paraId="25C1F06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0.370</w:t>
            </w:r>
          </w:p>
        </w:tc>
        <w:tc>
          <w:tcPr>
            <w:tcW w:w="897" w:type="dxa"/>
            <w:tcBorders>
              <w:top w:val="nil"/>
              <w:left w:val="nil"/>
              <w:bottom w:val="nil"/>
              <w:right w:val="nil"/>
            </w:tcBorders>
            <w:shd w:val="clear" w:color="auto" w:fill="auto"/>
            <w:noWrap/>
            <w:vAlign w:val="center"/>
            <w:hideMark/>
          </w:tcPr>
          <w:p w14:paraId="1C31A06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0.0103</w:t>
            </w:r>
          </w:p>
        </w:tc>
        <w:tc>
          <w:tcPr>
            <w:tcW w:w="827" w:type="dxa"/>
            <w:tcBorders>
              <w:top w:val="nil"/>
              <w:left w:val="nil"/>
              <w:bottom w:val="nil"/>
              <w:right w:val="nil"/>
            </w:tcBorders>
            <w:shd w:val="clear" w:color="auto" w:fill="auto"/>
            <w:noWrap/>
            <w:vAlign w:val="center"/>
            <w:hideMark/>
          </w:tcPr>
          <w:p w14:paraId="36E34D3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0.0227</w:t>
            </w:r>
          </w:p>
        </w:tc>
        <w:tc>
          <w:tcPr>
            <w:tcW w:w="857" w:type="dxa"/>
            <w:tcBorders>
              <w:top w:val="nil"/>
              <w:left w:val="nil"/>
              <w:bottom w:val="nil"/>
              <w:right w:val="nil"/>
            </w:tcBorders>
            <w:shd w:val="clear" w:color="auto" w:fill="auto"/>
            <w:noWrap/>
            <w:vAlign w:val="center"/>
            <w:hideMark/>
          </w:tcPr>
          <w:p w14:paraId="4916CB0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0.00303</w:t>
            </w:r>
          </w:p>
        </w:tc>
        <w:tc>
          <w:tcPr>
            <w:tcW w:w="811" w:type="dxa"/>
            <w:tcBorders>
              <w:top w:val="nil"/>
              <w:left w:val="nil"/>
              <w:bottom w:val="nil"/>
              <w:right w:val="nil"/>
            </w:tcBorders>
            <w:shd w:val="clear" w:color="auto" w:fill="auto"/>
            <w:noWrap/>
            <w:vAlign w:val="center"/>
            <w:hideMark/>
          </w:tcPr>
          <w:p w14:paraId="0A77389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0.0124</w:t>
            </w:r>
          </w:p>
        </w:tc>
        <w:tc>
          <w:tcPr>
            <w:tcW w:w="845" w:type="dxa"/>
            <w:tcBorders>
              <w:top w:val="nil"/>
              <w:left w:val="nil"/>
              <w:bottom w:val="nil"/>
              <w:right w:val="nil"/>
            </w:tcBorders>
            <w:shd w:val="clear" w:color="auto" w:fill="auto"/>
            <w:vAlign w:val="center"/>
          </w:tcPr>
          <w:p w14:paraId="1AC2AE0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0.0167</w:t>
            </w:r>
          </w:p>
        </w:tc>
      </w:tr>
      <w:tr w:rsidR="00063F17" w:rsidRPr="00284C07" w14:paraId="333BBF64" w14:textId="77777777" w:rsidTr="00284C07">
        <w:trPr>
          <w:trHeight w:val="280"/>
        </w:trPr>
        <w:tc>
          <w:tcPr>
            <w:tcW w:w="1380" w:type="dxa"/>
            <w:tcBorders>
              <w:top w:val="nil"/>
              <w:left w:val="nil"/>
              <w:bottom w:val="nil"/>
              <w:right w:val="nil"/>
            </w:tcBorders>
            <w:shd w:val="clear" w:color="auto" w:fill="auto"/>
            <w:vAlign w:val="bottom"/>
            <w:hideMark/>
          </w:tcPr>
          <w:p w14:paraId="36A72019"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448735E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(0.0822)</w:t>
            </w:r>
          </w:p>
        </w:tc>
        <w:tc>
          <w:tcPr>
            <w:tcW w:w="714" w:type="dxa"/>
            <w:tcBorders>
              <w:top w:val="nil"/>
              <w:left w:val="nil"/>
              <w:bottom w:val="nil"/>
              <w:right w:val="nil"/>
            </w:tcBorders>
            <w:shd w:val="clear" w:color="auto" w:fill="auto"/>
            <w:noWrap/>
            <w:vAlign w:val="center"/>
            <w:hideMark/>
          </w:tcPr>
          <w:p w14:paraId="122C8C9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(0.576)</w:t>
            </w:r>
          </w:p>
        </w:tc>
        <w:tc>
          <w:tcPr>
            <w:tcW w:w="714" w:type="dxa"/>
            <w:tcBorders>
              <w:top w:val="nil"/>
              <w:left w:val="nil"/>
              <w:bottom w:val="nil"/>
              <w:right w:val="nil"/>
            </w:tcBorders>
            <w:shd w:val="clear" w:color="auto" w:fill="auto"/>
            <w:noWrap/>
            <w:vAlign w:val="center"/>
            <w:hideMark/>
          </w:tcPr>
          <w:p w14:paraId="5219EE8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(0.0754)</w:t>
            </w:r>
          </w:p>
        </w:tc>
        <w:tc>
          <w:tcPr>
            <w:tcW w:w="797" w:type="dxa"/>
            <w:tcBorders>
              <w:top w:val="nil"/>
              <w:left w:val="nil"/>
              <w:bottom w:val="nil"/>
              <w:right w:val="nil"/>
            </w:tcBorders>
            <w:shd w:val="clear" w:color="auto" w:fill="auto"/>
            <w:noWrap/>
            <w:vAlign w:val="center"/>
            <w:hideMark/>
          </w:tcPr>
          <w:p w14:paraId="47E1301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(1.426)</w:t>
            </w:r>
          </w:p>
        </w:tc>
        <w:tc>
          <w:tcPr>
            <w:tcW w:w="924" w:type="dxa"/>
            <w:tcBorders>
              <w:top w:val="nil"/>
              <w:left w:val="nil"/>
              <w:bottom w:val="nil"/>
              <w:right w:val="nil"/>
            </w:tcBorders>
            <w:shd w:val="clear" w:color="auto" w:fill="auto"/>
            <w:noWrap/>
            <w:vAlign w:val="center"/>
            <w:hideMark/>
          </w:tcPr>
          <w:p w14:paraId="24FF149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(0.241)</w:t>
            </w:r>
          </w:p>
        </w:tc>
        <w:tc>
          <w:tcPr>
            <w:tcW w:w="897" w:type="dxa"/>
            <w:tcBorders>
              <w:top w:val="nil"/>
              <w:left w:val="nil"/>
              <w:bottom w:val="nil"/>
              <w:right w:val="nil"/>
            </w:tcBorders>
            <w:shd w:val="clear" w:color="auto" w:fill="auto"/>
            <w:noWrap/>
            <w:vAlign w:val="center"/>
            <w:hideMark/>
          </w:tcPr>
          <w:p w14:paraId="68C6833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(0.0177)</w:t>
            </w:r>
          </w:p>
        </w:tc>
        <w:tc>
          <w:tcPr>
            <w:tcW w:w="827" w:type="dxa"/>
            <w:tcBorders>
              <w:top w:val="nil"/>
              <w:left w:val="nil"/>
              <w:bottom w:val="nil"/>
              <w:right w:val="nil"/>
            </w:tcBorders>
            <w:shd w:val="clear" w:color="auto" w:fill="auto"/>
            <w:noWrap/>
            <w:vAlign w:val="center"/>
            <w:hideMark/>
          </w:tcPr>
          <w:p w14:paraId="22A5511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(0.0293)</w:t>
            </w:r>
          </w:p>
        </w:tc>
        <w:tc>
          <w:tcPr>
            <w:tcW w:w="857" w:type="dxa"/>
            <w:tcBorders>
              <w:top w:val="nil"/>
              <w:left w:val="nil"/>
              <w:bottom w:val="nil"/>
              <w:right w:val="nil"/>
            </w:tcBorders>
            <w:shd w:val="clear" w:color="auto" w:fill="auto"/>
            <w:noWrap/>
            <w:vAlign w:val="center"/>
            <w:hideMark/>
          </w:tcPr>
          <w:p w14:paraId="3B25A7D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(0.0326)</w:t>
            </w:r>
          </w:p>
        </w:tc>
        <w:tc>
          <w:tcPr>
            <w:tcW w:w="811" w:type="dxa"/>
            <w:tcBorders>
              <w:top w:val="nil"/>
              <w:left w:val="nil"/>
              <w:bottom w:val="nil"/>
              <w:right w:val="nil"/>
            </w:tcBorders>
            <w:shd w:val="clear" w:color="auto" w:fill="auto"/>
            <w:noWrap/>
            <w:vAlign w:val="center"/>
            <w:hideMark/>
          </w:tcPr>
          <w:p w14:paraId="2EA4C8E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(0.0265)</w:t>
            </w:r>
          </w:p>
        </w:tc>
        <w:tc>
          <w:tcPr>
            <w:tcW w:w="845" w:type="dxa"/>
            <w:tcBorders>
              <w:top w:val="nil"/>
              <w:left w:val="nil"/>
              <w:bottom w:val="nil"/>
              <w:right w:val="nil"/>
            </w:tcBorders>
            <w:shd w:val="clear" w:color="auto" w:fill="auto"/>
            <w:vAlign w:val="center"/>
          </w:tcPr>
          <w:p w14:paraId="02BD4CE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(0.0170)</w:t>
            </w:r>
          </w:p>
        </w:tc>
      </w:tr>
      <w:tr w:rsidR="00063F17" w:rsidRPr="00284C07" w14:paraId="21550894" w14:textId="77777777" w:rsidTr="00284C07">
        <w:trPr>
          <w:trHeight w:val="182"/>
        </w:trPr>
        <w:tc>
          <w:tcPr>
            <w:tcW w:w="1380" w:type="dxa"/>
            <w:tcBorders>
              <w:top w:val="nil"/>
              <w:left w:val="nil"/>
              <w:bottom w:val="nil"/>
              <w:right w:val="nil"/>
            </w:tcBorders>
            <w:shd w:val="clear" w:color="auto" w:fill="auto"/>
            <w:vAlign w:val="bottom"/>
            <w:hideMark/>
          </w:tcPr>
          <w:p w14:paraId="162A1CC6"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2008 Cohort*TA Eligibility</w:t>
            </w:r>
          </w:p>
        </w:tc>
        <w:tc>
          <w:tcPr>
            <w:tcW w:w="714" w:type="dxa"/>
            <w:tcBorders>
              <w:top w:val="nil"/>
              <w:left w:val="nil"/>
              <w:bottom w:val="nil"/>
              <w:right w:val="nil"/>
            </w:tcBorders>
            <w:shd w:val="clear" w:color="auto" w:fill="auto"/>
            <w:noWrap/>
            <w:vAlign w:val="center"/>
            <w:hideMark/>
          </w:tcPr>
          <w:p w14:paraId="689EA04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0.144*</w:t>
            </w:r>
          </w:p>
        </w:tc>
        <w:tc>
          <w:tcPr>
            <w:tcW w:w="714" w:type="dxa"/>
            <w:tcBorders>
              <w:top w:val="nil"/>
              <w:left w:val="nil"/>
              <w:bottom w:val="nil"/>
              <w:right w:val="nil"/>
            </w:tcBorders>
            <w:shd w:val="clear" w:color="auto" w:fill="auto"/>
            <w:noWrap/>
            <w:vAlign w:val="center"/>
            <w:hideMark/>
          </w:tcPr>
          <w:p w14:paraId="2878E25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0.519</w:t>
            </w:r>
          </w:p>
        </w:tc>
        <w:tc>
          <w:tcPr>
            <w:tcW w:w="714" w:type="dxa"/>
            <w:tcBorders>
              <w:top w:val="nil"/>
              <w:left w:val="nil"/>
              <w:bottom w:val="nil"/>
              <w:right w:val="nil"/>
            </w:tcBorders>
            <w:shd w:val="clear" w:color="auto" w:fill="auto"/>
            <w:noWrap/>
            <w:vAlign w:val="center"/>
            <w:hideMark/>
          </w:tcPr>
          <w:p w14:paraId="4091310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0.158**</w:t>
            </w:r>
          </w:p>
        </w:tc>
        <w:tc>
          <w:tcPr>
            <w:tcW w:w="797" w:type="dxa"/>
            <w:tcBorders>
              <w:top w:val="nil"/>
              <w:left w:val="nil"/>
              <w:bottom w:val="nil"/>
              <w:right w:val="nil"/>
            </w:tcBorders>
            <w:shd w:val="clear" w:color="auto" w:fill="auto"/>
            <w:noWrap/>
            <w:vAlign w:val="center"/>
            <w:hideMark/>
          </w:tcPr>
          <w:p w14:paraId="1D129D3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1.539</w:t>
            </w:r>
          </w:p>
        </w:tc>
        <w:tc>
          <w:tcPr>
            <w:tcW w:w="924" w:type="dxa"/>
            <w:tcBorders>
              <w:top w:val="nil"/>
              <w:left w:val="nil"/>
              <w:bottom w:val="nil"/>
              <w:right w:val="nil"/>
            </w:tcBorders>
            <w:shd w:val="clear" w:color="auto" w:fill="auto"/>
            <w:noWrap/>
            <w:vAlign w:val="center"/>
            <w:hideMark/>
          </w:tcPr>
          <w:p w14:paraId="6E25AE8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0.318</w:t>
            </w:r>
          </w:p>
        </w:tc>
        <w:tc>
          <w:tcPr>
            <w:tcW w:w="897" w:type="dxa"/>
            <w:tcBorders>
              <w:top w:val="nil"/>
              <w:left w:val="nil"/>
              <w:bottom w:val="nil"/>
              <w:right w:val="nil"/>
            </w:tcBorders>
            <w:shd w:val="clear" w:color="auto" w:fill="auto"/>
            <w:noWrap/>
            <w:vAlign w:val="center"/>
            <w:hideMark/>
          </w:tcPr>
          <w:p w14:paraId="36A64F2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0.0112</w:t>
            </w:r>
          </w:p>
        </w:tc>
        <w:tc>
          <w:tcPr>
            <w:tcW w:w="827" w:type="dxa"/>
            <w:tcBorders>
              <w:top w:val="nil"/>
              <w:left w:val="nil"/>
              <w:bottom w:val="nil"/>
              <w:right w:val="nil"/>
            </w:tcBorders>
            <w:shd w:val="clear" w:color="auto" w:fill="auto"/>
            <w:noWrap/>
            <w:vAlign w:val="center"/>
            <w:hideMark/>
          </w:tcPr>
          <w:p w14:paraId="2538909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0.00868</w:t>
            </w:r>
          </w:p>
        </w:tc>
        <w:tc>
          <w:tcPr>
            <w:tcW w:w="857" w:type="dxa"/>
            <w:tcBorders>
              <w:top w:val="nil"/>
              <w:left w:val="nil"/>
              <w:bottom w:val="nil"/>
              <w:right w:val="nil"/>
            </w:tcBorders>
            <w:shd w:val="clear" w:color="auto" w:fill="auto"/>
            <w:noWrap/>
            <w:vAlign w:val="center"/>
            <w:hideMark/>
          </w:tcPr>
          <w:p w14:paraId="060F0A5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-0.0136</w:t>
            </w:r>
          </w:p>
        </w:tc>
        <w:tc>
          <w:tcPr>
            <w:tcW w:w="811" w:type="dxa"/>
            <w:tcBorders>
              <w:top w:val="nil"/>
              <w:left w:val="nil"/>
              <w:bottom w:val="nil"/>
              <w:right w:val="nil"/>
            </w:tcBorders>
            <w:shd w:val="clear" w:color="auto" w:fill="auto"/>
            <w:noWrap/>
            <w:vAlign w:val="center"/>
            <w:hideMark/>
          </w:tcPr>
          <w:p w14:paraId="0A0D0C5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0.00399</w:t>
            </w:r>
          </w:p>
        </w:tc>
        <w:tc>
          <w:tcPr>
            <w:tcW w:w="845" w:type="dxa"/>
            <w:tcBorders>
              <w:top w:val="nil"/>
              <w:left w:val="nil"/>
              <w:bottom w:val="nil"/>
              <w:right w:val="nil"/>
            </w:tcBorders>
            <w:shd w:val="clear" w:color="auto" w:fill="auto"/>
            <w:vAlign w:val="center"/>
          </w:tcPr>
          <w:p w14:paraId="319E4F4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0.0205</w:t>
            </w:r>
          </w:p>
        </w:tc>
      </w:tr>
      <w:tr w:rsidR="00063F17" w:rsidRPr="00284C07" w14:paraId="60E6AD32" w14:textId="77777777" w:rsidTr="00284C07">
        <w:trPr>
          <w:trHeight w:val="280"/>
        </w:trPr>
        <w:tc>
          <w:tcPr>
            <w:tcW w:w="1380" w:type="dxa"/>
            <w:tcBorders>
              <w:top w:val="nil"/>
              <w:left w:val="nil"/>
              <w:bottom w:val="nil"/>
              <w:right w:val="nil"/>
            </w:tcBorders>
            <w:shd w:val="clear" w:color="auto" w:fill="auto"/>
            <w:vAlign w:val="bottom"/>
            <w:hideMark/>
          </w:tcPr>
          <w:p w14:paraId="5636D3CE"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10686EF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(0.0796)</w:t>
            </w:r>
          </w:p>
        </w:tc>
        <w:tc>
          <w:tcPr>
            <w:tcW w:w="714" w:type="dxa"/>
            <w:tcBorders>
              <w:top w:val="nil"/>
              <w:left w:val="nil"/>
              <w:bottom w:val="nil"/>
              <w:right w:val="nil"/>
            </w:tcBorders>
            <w:shd w:val="clear" w:color="auto" w:fill="auto"/>
            <w:noWrap/>
            <w:vAlign w:val="center"/>
            <w:hideMark/>
          </w:tcPr>
          <w:p w14:paraId="1175A72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(0.566)</w:t>
            </w:r>
          </w:p>
        </w:tc>
        <w:tc>
          <w:tcPr>
            <w:tcW w:w="714" w:type="dxa"/>
            <w:tcBorders>
              <w:top w:val="nil"/>
              <w:left w:val="nil"/>
              <w:bottom w:val="nil"/>
              <w:right w:val="nil"/>
            </w:tcBorders>
            <w:shd w:val="clear" w:color="auto" w:fill="auto"/>
            <w:noWrap/>
            <w:vAlign w:val="center"/>
            <w:hideMark/>
          </w:tcPr>
          <w:p w14:paraId="6999C66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(0.0728)</w:t>
            </w:r>
          </w:p>
        </w:tc>
        <w:tc>
          <w:tcPr>
            <w:tcW w:w="797" w:type="dxa"/>
            <w:tcBorders>
              <w:top w:val="nil"/>
              <w:left w:val="nil"/>
              <w:bottom w:val="nil"/>
              <w:right w:val="nil"/>
            </w:tcBorders>
            <w:shd w:val="clear" w:color="auto" w:fill="auto"/>
            <w:noWrap/>
            <w:vAlign w:val="center"/>
            <w:hideMark/>
          </w:tcPr>
          <w:p w14:paraId="4B5D2B5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(1.386)</w:t>
            </w:r>
          </w:p>
        </w:tc>
        <w:tc>
          <w:tcPr>
            <w:tcW w:w="924" w:type="dxa"/>
            <w:tcBorders>
              <w:top w:val="nil"/>
              <w:left w:val="nil"/>
              <w:bottom w:val="nil"/>
              <w:right w:val="nil"/>
            </w:tcBorders>
            <w:shd w:val="clear" w:color="auto" w:fill="auto"/>
            <w:noWrap/>
            <w:vAlign w:val="center"/>
            <w:hideMark/>
          </w:tcPr>
          <w:p w14:paraId="5054A53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(0.236)</w:t>
            </w:r>
          </w:p>
        </w:tc>
        <w:tc>
          <w:tcPr>
            <w:tcW w:w="897" w:type="dxa"/>
            <w:tcBorders>
              <w:top w:val="nil"/>
              <w:left w:val="nil"/>
              <w:bottom w:val="nil"/>
              <w:right w:val="nil"/>
            </w:tcBorders>
            <w:shd w:val="clear" w:color="auto" w:fill="auto"/>
            <w:noWrap/>
            <w:vAlign w:val="center"/>
            <w:hideMark/>
          </w:tcPr>
          <w:p w14:paraId="5A52E51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(0.0174)</w:t>
            </w:r>
          </w:p>
        </w:tc>
        <w:tc>
          <w:tcPr>
            <w:tcW w:w="827" w:type="dxa"/>
            <w:tcBorders>
              <w:top w:val="nil"/>
              <w:left w:val="nil"/>
              <w:bottom w:val="nil"/>
              <w:right w:val="nil"/>
            </w:tcBorders>
            <w:shd w:val="clear" w:color="auto" w:fill="auto"/>
            <w:noWrap/>
            <w:vAlign w:val="center"/>
            <w:hideMark/>
          </w:tcPr>
          <w:p w14:paraId="392B0FA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(0.0277)</w:t>
            </w:r>
          </w:p>
        </w:tc>
        <w:tc>
          <w:tcPr>
            <w:tcW w:w="857" w:type="dxa"/>
            <w:tcBorders>
              <w:top w:val="nil"/>
              <w:left w:val="nil"/>
              <w:bottom w:val="nil"/>
              <w:right w:val="nil"/>
            </w:tcBorders>
            <w:shd w:val="clear" w:color="auto" w:fill="auto"/>
            <w:noWrap/>
            <w:vAlign w:val="center"/>
            <w:hideMark/>
          </w:tcPr>
          <w:p w14:paraId="440435E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(0.0318)</w:t>
            </w:r>
          </w:p>
        </w:tc>
        <w:tc>
          <w:tcPr>
            <w:tcW w:w="811" w:type="dxa"/>
            <w:tcBorders>
              <w:top w:val="nil"/>
              <w:left w:val="nil"/>
              <w:bottom w:val="nil"/>
              <w:right w:val="nil"/>
            </w:tcBorders>
            <w:shd w:val="clear" w:color="auto" w:fill="auto"/>
            <w:noWrap/>
            <w:vAlign w:val="center"/>
            <w:hideMark/>
          </w:tcPr>
          <w:p w14:paraId="709506F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(0.0252)</w:t>
            </w:r>
          </w:p>
        </w:tc>
        <w:tc>
          <w:tcPr>
            <w:tcW w:w="845" w:type="dxa"/>
            <w:tcBorders>
              <w:top w:val="nil"/>
              <w:left w:val="nil"/>
              <w:bottom w:val="nil"/>
              <w:right w:val="nil"/>
            </w:tcBorders>
            <w:shd w:val="clear" w:color="auto" w:fill="auto"/>
            <w:vAlign w:val="center"/>
          </w:tcPr>
          <w:p w14:paraId="2039B52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(0.0167)</w:t>
            </w:r>
          </w:p>
        </w:tc>
      </w:tr>
      <w:tr w:rsidR="00063F17" w:rsidRPr="00284C07" w14:paraId="46E2F4FB" w14:textId="77777777" w:rsidTr="00284C07">
        <w:trPr>
          <w:trHeight w:val="136"/>
        </w:trPr>
        <w:tc>
          <w:tcPr>
            <w:tcW w:w="1380" w:type="dxa"/>
            <w:tcBorders>
              <w:top w:val="nil"/>
              <w:left w:val="nil"/>
              <w:bottom w:val="nil"/>
              <w:right w:val="nil"/>
            </w:tcBorders>
            <w:shd w:val="clear" w:color="auto" w:fill="auto"/>
            <w:vAlign w:val="bottom"/>
            <w:hideMark/>
          </w:tcPr>
          <w:p w14:paraId="0C8F3AD2"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2009 Cohort*TA Eligibility</w:t>
            </w:r>
          </w:p>
        </w:tc>
        <w:tc>
          <w:tcPr>
            <w:tcW w:w="714" w:type="dxa"/>
            <w:tcBorders>
              <w:top w:val="nil"/>
              <w:left w:val="nil"/>
              <w:bottom w:val="nil"/>
              <w:right w:val="nil"/>
            </w:tcBorders>
            <w:shd w:val="clear" w:color="auto" w:fill="auto"/>
            <w:noWrap/>
            <w:vAlign w:val="center"/>
            <w:hideMark/>
          </w:tcPr>
          <w:p w14:paraId="6DD0541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0.0273</w:t>
            </w:r>
          </w:p>
        </w:tc>
        <w:tc>
          <w:tcPr>
            <w:tcW w:w="714" w:type="dxa"/>
            <w:tcBorders>
              <w:top w:val="nil"/>
              <w:left w:val="nil"/>
              <w:bottom w:val="nil"/>
              <w:right w:val="nil"/>
            </w:tcBorders>
            <w:shd w:val="clear" w:color="auto" w:fill="auto"/>
            <w:noWrap/>
            <w:vAlign w:val="center"/>
            <w:hideMark/>
          </w:tcPr>
          <w:p w14:paraId="6C36F35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0.838*</w:t>
            </w:r>
          </w:p>
        </w:tc>
        <w:tc>
          <w:tcPr>
            <w:tcW w:w="714" w:type="dxa"/>
            <w:tcBorders>
              <w:top w:val="nil"/>
              <w:left w:val="nil"/>
              <w:bottom w:val="nil"/>
              <w:right w:val="nil"/>
            </w:tcBorders>
            <w:shd w:val="clear" w:color="auto" w:fill="auto"/>
            <w:noWrap/>
            <w:vAlign w:val="center"/>
            <w:hideMark/>
          </w:tcPr>
          <w:p w14:paraId="1322032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-0.002</w:t>
            </w:r>
          </w:p>
        </w:tc>
        <w:tc>
          <w:tcPr>
            <w:tcW w:w="797" w:type="dxa"/>
            <w:tcBorders>
              <w:top w:val="nil"/>
              <w:left w:val="nil"/>
              <w:bottom w:val="nil"/>
              <w:right w:val="nil"/>
            </w:tcBorders>
            <w:shd w:val="clear" w:color="auto" w:fill="auto"/>
            <w:noWrap/>
            <w:vAlign w:val="center"/>
            <w:hideMark/>
          </w:tcPr>
          <w:p w14:paraId="1AE0ECE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0.826</w:t>
            </w:r>
          </w:p>
        </w:tc>
        <w:tc>
          <w:tcPr>
            <w:tcW w:w="924" w:type="dxa"/>
            <w:tcBorders>
              <w:top w:val="nil"/>
              <w:left w:val="nil"/>
              <w:bottom w:val="nil"/>
              <w:right w:val="nil"/>
            </w:tcBorders>
            <w:shd w:val="clear" w:color="auto" w:fill="auto"/>
            <w:noWrap/>
            <w:vAlign w:val="center"/>
            <w:hideMark/>
          </w:tcPr>
          <w:p w14:paraId="41EE2B8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0.147</w:t>
            </w:r>
          </w:p>
        </w:tc>
        <w:tc>
          <w:tcPr>
            <w:tcW w:w="897" w:type="dxa"/>
            <w:tcBorders>
              <w:top w:val="nil"/>
              <w:left w:val="nil"/>
              <w:bottom w:val="nil"/>
              <w:right w:val="nil"/>
            </w:tcBorders>
            <w:shd w:val="clear" w:color="auto" w:fill="auto"/>
            <w:noWrap/>
            <w:vAlign w:val="center"/>
            <w:hideMark/>
          </w:tcPr>
          <w:p w14:paraId="69095F7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0.0202</w:t>
            </w:r>
          </w:p>
        </w:tc>
        <w:tc>
          <w:tcPr>
            <w:tcW w:w="827" w:type="dxa"/>
            <w:tcBorders>
              <w:top w:val="nil"/>
              <w:left w:val="nil"/>
              <w:bottom w:val="nil"/>
              <w:right w:val="nil"/>
            </w:tcBorders>
            <w:shd w:val="clear" w:color="auto" w:fill="auto"/>
            <w:noWrap/>
            <w:vAlign w:val="center"/>
            <w:hideMark/>
          </w:tcPr>
          <w:p w14:paraId="27A04E9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0.00752</w:t>
            </w:r>
          </w:p>
        </w:tc>
        <w:tc>
          <w:tcPr>
            <w:tcW w:w="857" w:type="dxa"/>
            <w:tcBorders>
              <w:top w:val="nil"/>
              <w:left w:val="nil"/>
              <w:bottom w:val="nil"/>
              <w:right w:val="nil"/>
            </w:tcBorders>
            <w:shd w:val="clear" w:color="auto" w:fill="auto"/>
            <w:noWrap/>
            <w:vAlign w:val="center"/>
            <w:hideMark/>
          </w:tcPr>
          <w:p w14:paraId="4BF4DCF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-0.079***</w:t>
            </w:r>
          </w:p>
        </w:tc>
        <w:tc>
          <w:tcPr>
            <w:tcW w:w="811" w:type="dxa"/>
            <w:tcBorders>
              <w:top w:val="nil"/>
              <w:left w:val="nil"/>
              <w:bottom w:val="nil"/>
              <w:right w:val="nil"/>
            </w:tcBorders>
            <w:shd w:val="clear" w:color="auto" w:fill="auto"/>
            <w:noWrap/>
            <w:vAlign w:val="center"/>
            <w:hideMark/>
          </w:tcPr>
          <w:p w14:paraId="0BCCBF5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0.0115</w:t>
            </w:r>
          </w:p>
        </w:tc>
        <w:tc>
          <w:tcPr>
            <w:tcW w:w="845" w:type="dxa"/>
            <w:tcBorders>
              <w:top w:val="nil"/>
              <w:left w:val="nil"/>
              <w:bottom w:val="nil"/>
              <w:right w:val="nil"/>
            </w:tcBorders>
            <w:shd w:val="clear" w:color="auto" w:fill="auto"/>
            <w:vAlign w:val="center"/>
          </w:tcPr>
          <w:p w14:paraId="48D5A33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0.0217</w:t>
            </w:r>
          </w:p>
        </w:tc>
      </w:tr>
      <w:tr w:rsidR="00063F17" w:rsidRPr="00284C07" w14:paraId="7BECCD37" w14:textId="77777777" w:rsidTr="00284C07">
        <w:trPr>
          <w:trHeight w:val="280"/>
        </w:trPr>
        <w:tc>
          <w:tcPr>
            <w:tcW w:w="1380" w:type="dxa"/>
            <w:tcBorders>
              <w:top w:val="nil"/>
              <w:left w:val="nil"/>
              <w:bottom w:val="nil"/>
              <w:right w:val="nil"/>
            </w:tcBorders>
            <w:shd w:val="clear" w:color="auto" w:fill="auto"/>
            <w:vAlign w:val="bottom"/>
            <w:hideMark/>
          </w:tcPr>
          <w:p w14:paraId="0BDD1B07"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3C6286D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(0.0713)</w:t>
            </w:r>
          </w:p>
        </w:tc>
        <w:tc>
          <w:tcPr>
            <w:tcW w:w="714" w:type="dxa"/>
            <w:tcBorders>
              <w:top w:val="nil"/>
              <w:left w:val="nil"/>
              <w:bottom w:val="nil"/>
              <w:right w:val="nil"/>
            </w:tcBorders>
            <w:shd w:val="clear" w:color="auto" w:fill="auto"/>
            <w:noWrap/>
            <w:vAlign w:val="center"/>
            <w:hideMark/>
          </w:tcPr>
          <w:p w14:paraId="2ADC329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(0.484)</w:t>
            </w:r>
          </w:p>
        </w:tc>
        <w:tc>
          <w:tcPr>
            <w:tcW w:w="714" w:type="dxa"/>
            <w:tcBorders>
              <w:top w:val="nil"/>
              <w:left w:val="nil"/>
              <w:bottom w:val="nil"/>
              <w:right w:val="nil"/>
            </w:tcBorders>
            <w:shd w:val="clear" w:color="auto" w:fill="auto"/>
            <w:noWrap/>
            <w:vAlign w:val="center"/>
            <w:hideMark/>
          </w:tcPr>
          <w:p w14:paraId="5C8D72B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(0.0661)</w:t>
            </w:r>
          </w:p>
        </w:tc>
        <w:tc>
          <w:tcPr>
            <w:tcW w:w="797" w:type="dxa"/>
            <w:tcBorders>
              <w:top w:val="nil"/>
              <w:left w:val="nil"/>
              <w:bottom w:val="nil"/>
              <w:right w:val="nil"/>
            </w:tcBorders>
            <w:shd w:val="clear" w:color="auto" w:fill="auto"/>
            <w:noWrap/>
            <w:vAlign w:val="center"/>
            <w:hideMark/>
          </w:tcPr>
          <w:p w14:paraId="3976C89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(1.165)</w:t>
            </w:r>
          </w:p>
        </w:tc>
        <w:tc>
          <w:tcPr>
            <w:tcW w:w="924" w:type="dxa"/>
            <w:tcBorders>
              <w:top w:val="nil"/>
              <w:left w:val="nil"/>
              <w:bottom w:val="nil"/>
              <w:right w:val="nil"/>
            </w:tcBorders>
            <w:shd w:val="clear" w:color="auto" w:fill="auto"/>
            <w:noWrap/>
            <w:vAlign w:val="center"/>
            <w:hideMark/>
          </w:tcPr>
          <w:p w14:paraId="1CFA619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(0.203)</w:t>
            </w:r>
          </w:p>
        </w:tc>
        <w:tc>
          <w:tcPr>
            <w:tcW w:w="897" w:type="dxa"/>
            <w:tcBorders>
              <w:top w:val="nil"/>
              <w:left w:val="nil"/>
              <w:bottom w:val="nil"/>
              <w:right w:val="nil"/>
            </w:tcBorders>
            <w:shd w:val="clear" w:color="auto" w:fill="auto"/>
            <w:noWrap/>
            <w:vAlign w:val="center"/>
            <w:hideMark/>
          </w:tcPr>
          <w:p w14:paraId="4C7D8BD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(0.0141)</w:t>
            </w:r>
          </w:p>
        </w:tc>
        <w:tc>
          <w:tcPr>
            <w:tcW w:w="827" w:type="dxa"/>
            <w:tcBorders>
              <w:top w:val="nil"/>
              <w:left w:val="nil"/>
              <w:bottom w:val="nil"/>
              <w:right w:val="nil"/>
            </w:tcBorders>
            <w:shd w:val="clear" w:color="auto" w:fill="auto"/>
            <w:noWrap/>
            <w:vAlign w:val="center"/>
            <w:hideMark/>
          </w:tcPr>
          <w:p w14:paraId="076A3EE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(0.0239)</w:t>
            </w:r>
          </w:p>
        </w:tc>
        <w:tc>
          <w:tcPr>
            <w:tcW w:w="857" w:type="dxa"/>
            <w:tcBorders>
              <w:top w:val="nil"/>
              <w:left w:val="nil"/>
              <w:bottom w:val="nil"/>
              <w:right w:val="nil"/>
            </w:tcBorders>
            <w:shd w:val="clear" w:color="auto" w:fill="auto"/>
            <w:noWrap/>
            <w:vAlign w:val="center"/>
            <w:hideMark/>
          </w:tcPr>
          <w:p w14:paraId="11FBD33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(0.0274)</w:t>
            </w:r>
          </w:p>
        </w:tc>
        <w:tc>
          <w:tcPr>
            <w:tcW w:w="811" w:type="dxa"/>
            <w:tcBorders>
              <w:top w:val="nil"/>
              <w:left w:val="nil"/>
              <w:bottom w:val="nil"/>
              <w:right w:val="nil"/>
            </w:tcBorders>
            <w:shd w:val="clear" w:color="auto" w:fill="auto"/>
            <w:noWrap/>
            <w:vAlign w:val="center"/>
            <w:hideMark/>
          </w:tcPr>
          <w:p w14:paraId="04E2169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(0.0217)</w:t>
            </w:r>
          </w:p>
        </w:tc>
        <w:tc>
          <w:tcPr>
            <w:tcW w:w="845" w:type="dxa"/>
            <w:tcBorders>
              <w:top w:val="nil"/>
              <w:left w:val="nil"/>
              <w:bottom w:val="nil"/>
              <w:right w:val="nil"/>
            </w:tcBorders>
            <w:shd w:val="clear" w:color="auto" w:fill="auto"/>
            <w:vAlign w:val="center"/>
          </w:tcPr>
          <w:p w14:paraId="708A124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(0.0145)</w:t>
            </w:r>
          </w:p>
        </w:tc>
      </w:tr>
      <w:tr w:rsidR="00063F17" w:rsidRPr="00284C07" w14:paraId="07450917" w14:textId="77777777" w:rsidTr="00284C07">
        <w:trPr>
          <w:trHeight w:val="99"/>
        </w:trPr>
        <w:tc>
          <w:tcPr>
            <w:tcW w:w="1380" w:type="dxa"/>
            <w:tcBorders>
              <w:top w:val="nil"/>
              <w:left w:val="nil"/>
              <w:bottom w:val="nil"/>
              <w:right w:val="nil"/>
            </w:tcBorders>
            <w:shd w:val="clear" w:color="auto" w:fill="auto"/>
            <w:vAlign w:val="bottom"/>
            <w:hideMark/>
          </w:tcPr>
          <w:p w14:paraId="4689AE7E"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2010 Cohort*TA Eligibility</w:t>
            </w:r>
          </w:p>
        </w:tc>
        <w:tc>
          <w:tcPr>
            <w:tcW w:w="714" w:type="dxa"/>
            <w:tcBorders>
              <w:top w:val="nil"/>
              <w:left w:val="nil"/>
              <w:bottom w:val="nil"/>
              <w:right w:val="nil"/>
            </w:tcBorders>
            <w:shd w:val="clear" w:color="auto" w:fill="auto"/>
            <w:noWrap/>
            <w:vAlign w:val="center"/>
            <w:hideMark/>
          </w:tcPr>
          <w:p w14:paraId="2AF7E6D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0.151**</w:t>
            </w:r>
          </w:p>
        </w:tc>
        <w:tc>
          <w:tcPr>
            <w:tcW w:w="714" w:type="dxa"/>
            <w:tcBorders>
              <w:top w:val="nil"/>
              <w:left w:val="nil"/>
              <w:bottom w:val="nil"/>
              <w:right w:val="nil"/>
            </w:tcBorders>
            <w:shd w:val="clear" w:color="auto" w:fill="auto"/>
            <w:noWrap/>
            <w:vAlign w:val="center"/>
            <w:hideMark/>
          </w:tcPr>
          <w:p w14:paraId="035EF85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0.911*</w:t>
            </w:r>
          </w:p>
        </w:tc>
        <w:tc>
          <w:tcPr>
            <w:tcW w:w="714" w:type="dxa"/>
            <w:tcBorders>
              <w:top w:val="nil"/>
              <w:left w:val="nil"/>
              <w:bottom w:val="nil"/>
              <w:right w:val="nil"/>
            </w:tcBorders>
            <w:shd w:val="clear" w:color="auto" w:fill="auto"/>
            <w:noWrap/>
            <w:vAlign w:val="center"/>
            <w:hideMark/>
          </w:tcPr>
          <w:p w14:paraId="6D6999E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0.128*</w:t>
            </w:r>
          </w:p>
        </w:tc>
        <w:tc>
          <w:tcPr>
            <w:tcW w:w="797" w:type="dxa"/>
            <w:tcBorders>
              <w:top w:val="nil"/>
              <w:left w:val="nil"/>
              <w:bottom w:val="nil"/>
              <w:right w:val="nil"/>
            </w:tcBorders>
            <w:shd w:val="clear" w:color="auto" w:fill="auto"/>
            <w:noWrap/>
            <w:vAlign w:val="center"/>
            <w:hideMark/>
          </w:tcPr>
          <w:p w14:paraId="07417E7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2.693**</w:t>
            </w:r>
          </w:p>
        </w:tc>
        <w:tc>
          <w:tcPr>
            <w:tcW w:w="924" w:type="dxa"/>
            <w:tcBorders>
              <w:top w:val="nil"/>
              <w:left w:val="nil"/>
              <w:bottom w:val="nil"/>
              <w:right w:val="nil"/>
            </w:tcBorders>
            <w:shd w:val="clear" w:color="auto" w:fill="auto"/>
            <w:noWrap/>
            <w:vAlign w:val="center"/>
            <w:hideMark/>
          </w:tcPr>
          <w:p w14:paraId="769D95B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0.676***</w:t>
            </w:r>
          </w:p>
        </w:tc>
        <w:tc>
          <w:tcPr>
            <w:tcW w:w="897" w:type="dxa"/>
            <w:tcBorders>
              <w:top w:val="nil"/>
              <w:left w:val="nil"/>
              <w:bottom w:val="nil"/>
              <w:right w:val="nil"/>
            </w:tcBorders>
            <w:shd w:val="clear" w:color="auto" w:fill="auto"/>
            <w:noWrap/>
            <w:vAlign w:val="center"/>
            <w:hideMark/>
          </w:tcPr>
          <w:p w14:paraId="16864CD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0.0286**</w:t>
            </w:r>
          </w:p>
        </w:tc>
        <w:tc>
          <w:tcPr>
            <w:tcW w:w="827" w:type="dxa"/>
            <w:tcBorders>
              <w:top w:val="nil"/>
              <w:left w:val="nil"/>
              <w:bottom w:val="nil"/>
              <w:right w:val="nil"/>
            </w:tcBorders>
            <w:shd w:val="clear" w:color="auto" w:fill="auto"/>
            <w:noWrap/>
            <w:vAlign w:val="center"/>
            <w:hideMark/>
          </w:tcPr>
          <w:p w14:paraId="393E1A7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0.0340</w:t>
            </w:r>
          </w:p>
        </w:tc>
        <w:tc>
          <w:tcPr>
            <w:tcW w:w="857" w:type="dxa"/>
            <w:tcBorders>
              <w:top w:val="nil"/>
              <w:left w:val="nil"/>
              <w:bottom w:val="nil"/>
              <w:right w:val="nil"/>
            </w:tcBorders>
            <w:shd w:val="clear" w:color="auto" w:fill="auto"/>
            <w:noWrap/>
            <w:vAlign w:val="center"/>
            <w:hideMark/>
          </w:tcPr>
          <w:p w14:paraId="1E8AED1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-0.0410</w:t>
            </w:r>
          </w:p>
        </w:tc>
        <w:tc>
          <w:tcPr>
            <w:tcW w:w="811" w:type="dxa"/>
            <w:tcBorders>
              <w:top w:val="nil"/>
              <w:left w:val="nil"/>
              <w:bottom w:val="nil"/>
              <w:right w:val="nil"/>
            </w:tcBorders>
            <w:shd w:val="clear" w:color="auto" w:fill="auto"/>
            <w:noWrap/>
            <w:vAlign w:val="center"/>
            <w:hideMark/>
          </w:tcPr>
          <w:p w14:paraId="52B6C10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0.0299</w:t>
            </w:r>
          </w:p>
        </w:tc>
        <w:tc>
          <w:tcPr>
            <w:tcW w:w="845" w:type="dxa"/>
            <w:tcBorders>
              <w:top w:val="nil"/>
              <w:left w:val="nil"/>
              <w:bottom w:val="nil"/>
              <w:right w:val="nil"/>
            </w:tcBorders>
            <w:shd w:val="clear" w:color="auto" w:fill="auto"/>
            <w:vAlign w:val="center"/>
          </w:tcPr>
          <w:p w14:paraId="4819224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0.0315**</w:t>
            </w:r>
          </w:p>
        </w:tc>
      </w:tr>
      <w:tr w:rsidR="00063F17" w:rsidRPr="00284C07" w14:paraId="498886F4" w14:textId="77777777" w:rsidTr="00284C07">
        <w:trPr>
          <w:trHeight w:val="280"/>
        </w:trPr>
        <w:tc>
          <w:tcPr>
            <w:tcW w:w="1380" w:type="dxa"/>
            <w:tcBorders>
              <w:top w:val="nil"/>
              <w:left w:val="nil"/>
              <w:bottom w:val="nil"/>
              <w:right w:val="nil"/>
            </w:tcBorders>
            <w:shd w:val="clear" w:color="auto" w:fill="auto"/>
            <w:vAlign w:val="bottom"/>
            <w:hideMark/>
          </w:tcPr>
          <w:p w14:paraId="7E7A5E2A"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377B74E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(0.0734)</w:t>
            </w:r>
          </w:p>
        </w:tc>
        <w:tc>
          <w:tcPr>
            <w:tcW w:w="714" w:type="dxa"/>
            <w:tcBorders>
              <w:top w:val="nil"/>
              <w:left w:val="nil"/>
              <w:bottom w:val="nil"/>
              <w:right w:val="nil"/>
            </w:tcBorders>
            <w:shd w:val="clear" w:color="auto" w:fill="auto"/>
            <w:noWrap/>
            <w:vAlign w:val="center"/>
            <w:hideMark/>
          </w:tcPr>
          <w:p w14:paraId="1640C7A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(0.488)</w:t>
            </w:r>
          </w:p>
        </w:tc>
        <w:tc>
          <w:tcPr>
            <w:tcW w:w="714" w:type="dxa"/>
            <w:tcBorders>
              <w:top w:val="nil"/>
              <w:left w:val="nil"/>
              <w:bottom w:val="nil"/>
              <w:right w:val="nil"/>
            </w:tcBorders>
            <w:shd w:val="clear" w:color="auto" w:fill="auto"/>
            <w:noWrap/>
            <w:vAlign w:val="center"/>
            <w:hideMark/>
          </w:tcPr>
          <w:p w14:paraId="4E38A75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(0.0678)</w:t>
            </w:r>
          </w:p>
        </w:tc>
        <w:tc>
          <w:tcPr>
            <w:tcW w:w="797" w:type="dxa"/>
            <w:tcBorders>
              <w:top w:val="nil"/>
              <w:left w:val="nil"/>
              <w:bottom w:val="nil"/>
              <w:right w:val="nil"/>
            </w:tcBorders>
            <w:shd w:val="clear" w:color="auto" w:fill="auto"/>
            <w:noWrap/>
            <w:vAlign w:val="center"/>
            <w:hideMark/>
          </w:tcPr>
          <w:p w14:paraId="6E79761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(1.179)</w:t>
            </w:r>
          </w:p>
        </w:tc>
        <w:tc>
          <w:tcPr>
            <w:tcW w:w="924" w:type="dxa"/>
            <w:tcBorders>
              <w:top w:val="nil"/>
              <w:left w:val="nil"/>
              <w:bottom w:val="nil"/>
              <w:right w:val="nil"/>
            </w:tcBorders>
            <w:shd w:val="clear" w:color="auto" w:fill="auto"/>
            <w:noWrap/>
            <w:vAlign w:val="center"/>
            <w:hideMark/>
          </w:tcPr>
          <w:p w14:paraId="44B56D3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(0.204)</w:t>
            </w:r>
          </w:p>
        </w:tc>
        <w:tc>
          <w:tcPr>
            <w:tcW w:w="897" w:type="dxa"/>
            <w:tcBorders>
              <w:top w:val="nil"/>
              <w:left w:val="nil"/>
              <w:bottom w:val="nil"/>
              <w:right w:val="nil"/>
            </w:tcBorders>
            <w:shd w:val="clear" w:color="auto" w:fill="auto"/>
            <w:noWrap/>
            <w:vAlign w:val="center"/>
            <w:hideMark/>
          </w:tcPr>
          <w:p w14:paraId="7F2B847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(0.0140)</w:t>
            </w:r>
          </w:p>
        </w:tc>
        <w:tc>
          <w:tcPr>
            <w:tcW w:w="827" w:type="dxa"/>
            <w:tcBorders>
              <w:top w:val="nil"/>
              <w:left w:val="nil"/>
              <w:bottom w:val="nil"/>
              <w:right w:val="nil"/>
            </w:tcBorders>
            <w:shd w:val="clear" w:color="auto" w:fill="auto"/>
            <w:noWrap/>
            <w:vAlign w:val="center"/>
            <w:hideMark/>
          </w:tcPr>
          <w:p w14:paraId="4385868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(0.0239)</w:t>
            </w:r>
          </w:p>
        </w:tc>
        <w:tc>
          <w:tcPr>
            <w:tcW w:w="857" w:type="dxa"/>
            <w:tcBorders>
              <w:top w:val="nil"/>
              <w:left w:val="nil"/>
              <w:bottom w:val="nil"/>
              <w:right w:val="nil"/>
            </w:tcBorders>
            <w:shd w:val="clear" w:color="auto" w:fill="auto"/>
            <w:noWrap/>
            <w:vAlign w:val="center"/>
            <w:hideMark/>
          </w:tcPr>
          <w:p w14:paraId="74868CA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(0.0279)</w:t>
            </w:r>
          </w:p>
        </w:tc>
        <w:tc>
          <w:tcPr>
            <w:tcW w:w="811" w:type="dxa"/>
            <w:tcBorders>
              <w:top w:val="nil"/>
              <w:left w:val="nil"/>
              <w:bottom w:val="nil"/>
              <w:right w:val="nil"/>
            </w:tcBorders>
            <w:shd w:val="clear" w:color="auto" w:fill="auto"/>
            <w:noWrap/>
            <w:vAlign w:val="center"/>
            <w:hideMark/>
          </w:tcPr>
          <w:p w14:paraId="68CE076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(0.0215)</w:t>
            </w:r>
          </w:p>
        </w:tc>
        <w:tc>
          <w:tcPr>
            <w:tcW w:w="845" w:type="dxa"/>
            <w:tcBorders>
              <w:top w:val="nil"/>
              <w:left w:val="nil"/>
              <w:bottom w:val="nil"/>
              <w:right w:val="nil"/>
            </w:tcBorders>
            <w:shd w:val="clear" w:color="auto" w:fill="auto"/>
            <w:vAlign w:val="center"/>
          </w:tcPr>
          <w:p w14:paraId="42FEF1A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(0.0144)</w:t>
            </w:r>
          </w:p>
        </w:tc>
      </w:tr>
      <w:tr w:rsidR="00063F17" w:rsidRPr="00284C07" w14:paraId="35CA9C75" w14:textId="77777777" w:rsidTr="00284C07">
        <w:trPr>
          <w:trHeight w:val="66"/>
        </w:trPr>
        <w:tc>
          <w:tcPr>
            <w:tcW w:w="1380" w:type="dxa"/>
            <w:tcBorders>
              <w:top w:val="nil"/>
              <w:left w:val="nil"/>
              <w:bottom w:val="nil"/>
              <w:right w:val="nil"/>
            </w:tcBorders>
            <w:shd w:val="clear" w:color="auto" w:fill="auto"/>
            <w:vAlign w:val="bottom"/>
            <w:hideMark/>
          </w:tcPr>
          <w:p w14:paraId="15AE13D6"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2011 Cohort*TA Eligibility</w:t>
            </w:r>
          </w:p>
        </w:tc>
        <w:tc>
          <w:tcPr>
            <w:tcW w:w="714" w:type="dxa"/>
            <w:tcBorders>
              <w:top w:val="nil"/>
              <w:left w:val="nil"/>
              <w:bottom w:val="nil"/>
              <w:right w:val="nil"/>
            </w:tcBorders>
            <w:shd w:val="clear" w:color="auto" w:fill="auto"/>
            <w:noWrap/>
            <w:vAlign w:val="center"/>
            <w:hideMark/>
          </w:tcPr>
          <w:p w14:paraId="523BC05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0.0671</w:t>
            </w:r>
          </w:p>
        </w:tc>
        <w:tc>
          <w:tcPr>
            <w:tcW w:w="714" w:type="dxa"/>
            <w:tcBorders>
              <w:top w:val="nil"/>
              <w:left w:val="nil"/>
              <w:bottom w:val="nil"/>
              <w:right w:val="nil"/>
            </w:tcBorders>
            <w:shd w:val="clear" w:color="auto" w:fill="auto"/>
            <w:noWrap/>
            <w:vAlign w:val="center"/>
            <w:hideMark/>
          </w:tcPr>
          <w:p w14:paraId="594FEF3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0.452</w:t>
            </w:r>
          </w:p>
        </w:tc>
        <w:tc>
          <w:tcPr>
            <w:tcW w:w="714" w:type="dxa"/>
            <w:tcBorders>
              <w:top w:val="nil"/>
              <w:left w:val="nil"/>
              <w:bottom w:val="nil"/>
              <w:right w:val="nil"/>
            </w:tcBorders>
            <w:shd w:val="clear" w:color="auto" w:fill="auto"/>
            <w:noWrap/>
            <w:vAlign w:val="center"/>
            <w:hideMark/>
          </w:tcPr>
          <w:p w14:paraId="6A99616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0.0462</w:t>
            </w:r>
          </w:p>
        </w:tc>
        <w:tc>
          <w:tcPr>
            <w:tcW w:w="797" w:type="dxa"/>
            <w:tcBorders>
              <w:top w:val="nil"/>
              <w:left w:val="nil"/>
              <w:bottom w:val="nil"/>
              <w:right w:val="nil"/>
            </w:tcBorders>
            <w:shd w:val="clear" w:color="auto" w:fill="auto"/>
            <w:noWrap/>
            <w:vAlign w:val="center"/>
            <w:hideMark/>
          </w:tcPr>
          <w:p w14:paraId="193B9F3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0.826</w:t>
            </w:r>
          </w:p>
        </w:tc>
        <w:tc>
          <w:tcPr>
            <w:tcW w:w="924" w:type="dxa"/>
            <w:tcBorders>
              <w:top w:val="nil"/>
              <w:left w:val="nil"/>
              <w:bottom w:val="nil"/>
              <w:right w:val="nil"/>
            </w:tcBorders>
            <w:shd w:val="clear" w:color="auto" w:fill="auto"/>
            <w:noWrap/>
            <w:vAlign w:val="center"/>
            <w:hideMark/>
          </w:tcPr>
          <w:p w14:paraId="1F58BEA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0.393*</w:t>
            </w:r>
          </w:p>
        </w:tc>
        <w:tc>
          <w:tcPr>
            <w:tcW w:w="897" w:type="dxa"/>
            <w:tcBorders>
              <w:top w:val="nil"/>
              <w:left w:val="nil"/>
              <w:bottom w:val="nil"/>
              <w:right w:val="nil"/>
            </w:tcBorders>
            <w:shd w:val="clear" w:color="auto" w:fill="auto"/>
            <w:noWrap/>
            <w:vAlign w:val="center"/>
            <w:hideMark/>
          </w:tcPr>
          <w:p w14:paraId="2A97D2A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-0.00275</w:t>
            </w:r>
          </w:p>
        </w:tc>
        <w:tc>
          <w:tcPr>
            <w:tcW w:w="827" w:type="dxa"/>
            <w:tcBorders>
              <w:top w:val="nil"/>
              <w:left w:val="nil"/>
              <w:bottom w:val="nil"/>
              <w:right w:val="nil"/>
            </w:tcBorders>
            <w:shd w:val="clear" w:color="auto" w:fill="auto"/>
            <w:noWrap/>
            <w:vAlign w:val="center"/>
            <w:hideMark/>
          </w:tcPr>
          <w:p w14:paraId="1D7A434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-0.00337</w:t>
            </w:r>
          </w:p>
        </w:tc>
        <w:tc>
          <w:tcPr>
            <w:tcW w:w="857" w:type="dxa"/>
            <w:tcBorders>
              <w:top w:val="nil"/>
              <w:left w:val="nil"/>
              <w:bottom w:val="nil"/>
              <w:right w:val="nil"/>
            </w:tcBorders>
            <w:shd w:val="clear" w:color="auto" w:fill="auto"/>
            <w:noWrap/>
            <w:vAlign w:val="center"/>
            <w:hideMark/>
          </w:tcPr>
          <w:p w14:paraId="76734A5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-0.082***</w:t>
            </w:r>
          </w:p>
        </w:tc>
        <w:tc>
          <w:tcPr>
            <w:tcW w:w="811" w:type="dxa"/>
            <w:tcBorders>
              <w:top w:val="nil"/>
              <w:left w:val="nil"/>
              <w:bottom w:val="nil"/>
              <w:right w:val="nil"/>
            </w:tcBorders>
            <w:shd w:val="clear" w:color="auto" w:fill="auto"/>
            <w:noWrap/>
            <w:vAlign w:val="center"/>
            <w:hideMark/>
          </w:tcPr>
          <w:p w14:paraId="3FF6CB4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0.00520</w:t>
            </w:r>
          </w:p>
        </w:tc>
        <w:tc>
          <w:tcPr>
            <w:tcW w:w="845" w:type="dxa"/>
            <w:tcBorders>
              <w:top w:val="nil"/>
              <w:left w:val="nil"/>
              <w:bottom w:val="nil"/>
              <w:right w:val="nil"/>
            </w:tcBorders>
            <w:shd w:val="clear" w:color="auto" w:fill="auto"/>
            <w:vAlign w:val="center"/>
          </w:tcPr>
          <w:p w14:paraId="79E087E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0.0381***</w:t>
            </w:r>
          </w:p>
        </w:tc>
      </w:tr>
      <w:tr w:rsidR="00063F17" w:rsidRPr="00284C07" w14:paraId="548904AB" w14:textId="77777777" w:rsidTr="00284C07">
        <w:trPr>
          <w:trHeight w:val="280"/>
        </w:trPr>
        <w:tc>
          <w:tcPr>
            <w:tcW w:w="1380" w:type="dxa"/>
            <w:tcBorders>
              <w:top w:val="nil"/>
              <w:left w:val="nil"/>
              <w:bottom w:val="nil"/>
              <w:right w:val="nil"/>
            </w:tcBorders>
            <w:shd w:val="clear" w:color="auto" w:fill="auto"/>
            <w:vAlign w:val="bottom"/>
            <w:hideMark/>
          </w:tcPr>
          <w:p w14:paraId="38E111F1"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2D7A116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(0.0737)</w:t>
            </w:r>
          </w:p>
        </w:tc>
        <w:tc>
          <w:tcPr>
            <w:tcW w:w="714" w:type="dxa"/>
            <w:tcBorders>
              <w:top w:val="nil"/>
              <w:left w:val="nil"/>
              <w:bottom w:val="nil"/>
              <w:right w:val="nil"/>
            </w:tcBorders>
            <w:shd w:val="clear" w:color="auto" w:fill="auto"/>
            <w:noWrap/>
            <w:vAlign w:val="center"/>
            <w:hideMark/>
          </w:tcPr>
          <w:p w14:paraId="3EFBA2B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(0.493)</w:t>
            </w:r>
          </w:p>
        </w:tc>
        <w:tc>
          <w:tcPr>
            <w:tcW w:w="714" w:type="dxa"/>
            <w:tcBorders>
              <w:top w:val="nil"/>
              <w:left w:val="nil"/>
              <w:bottom w:val="nil"/>
              <w:right w:val="nil"/>
            </w:tcBorders>
            <w:shd w:val="clear" w:color="auto" w:fill="auto"/>
            <w:noWrap/>
            <w:vAlign w:val="center"/>
            <w:hideMark/>
          </w:tcPr>
          <w:p w14:paraId="569E4D0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(0.0683)</w:t>
            </w:r>
          </w:p>
        </w:tc>
        <w:tc>
          <w:tcPr>
            <w:tcW w:w="797" w:type="dxa"/>
            <w:tcBorders>
              <w:top w:val="nil"/>
              <w:left w:val="nil"/>
              <w:bottom w:val="nil"/>
              <w:right w:val="nil"/>
            </w:tcBorders>
            <w:shd w:val="clear" w:color="auto" w:fill="auto"/>
            <w:noWrap/>
            <w:vAlign w:val="center"/>
            <w:hideMark/>
          </w:tcPr>
          <w:p w14:paraId="11FECE4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(1.201)</w:t>
            </w:r>
          </w:p>
        </w:tc>
        <w:tc>
          <w:tcPr>
            <w:tcW w:w="924" w:type="dxa"/>
            <w:tcBorders>
              <w:top w:val="nil"/>
              <w:left w:val="nil"/>
              <w:bottom w:val="nil"/>
              <w:right w:val="nil"/>
            </w:tcBorders>
            <w:shd w:val="clear" w:color="auto" w:fill="auto"/>
            <w:noWrap/>
            <w:vAlign w:val="center"/>
            <w:hideMark/>
          </w:tcPr>
          <w:p w14:paraId="773B67F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(0.207)</w:t>
            </w:r>
          </w:p>
        </w:tc>
        <w:tc>
          <w:tcPr>
            <w:tcW w:w="897" w:type="dxa"/>
            <w:tcBorders>
              <w:top w:val="nil"/>
              <w:left w:val="nil"/>
              <w:bottom w:val="nil"/>
              <w:right w:val="nil"/>
            </w:tcBorders>
            <w:shd w:val="clear" w:color="auto" w:fill="auto"/>
            <w:noWrap/>
            <w:vAlign w:val="center"/>
            <w:hideMark/>
          </w:tcPr>
          <w:p w14:paraId="3D10F64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(0.0146)</w:t>
            </w:r>
          </w:p>
        </w:tc>
        <w:tc>
          <w:tcPr>
            <w:tcW w:w="827" w:type="dxa"/>
            <w:tcBorders>
              <w:top w:val="nil"/>
              <w:left w:val="nil"/>
              <w:bottom w:val="nil"/>
              <w:right w:val="nil"/>
            </w:tcBorders>
            <w:shd w:val="clear" w:color="auto" w:fill="auto"/>
            <w:noWrap/>
            <w:vAlign w:val="center"/>
            <w:hideMark/>
          </w:tcPr>
          <w:p w14:paraId="4EC3EF0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(0.0239)</w:t>
            </w:r>
          </w:p>
        </w:tc>
        <w:tc>
          <w:tcPr>
            <w:tcW w:w="857" w:type="dxa"/>
            <w:tcBorders>
              <w:top w:val="nil"/>
              <w:left w:val="nil"/>
              <w:bottom w:val="nil"/>
              <w:right w:val="nil"/>
            </w:tcBorders>
            <w:shd w:val="clear" w:color="auto" w:fill="auto"/>
            <w:noWrap/>
            <w:vAlign w:val="center"/>
            <w:hideMark/>
          </w:tcPr>
          <w:p w14:paraId="4DB4FFE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(0.0281)</w:t>
            </w:r>
          </w:p>
        </w:tc>
        <w:tc>
          <w:tcPr>
            <w:tcW w:w="811" w:type="dxa"/>
            <w:tcBorders>
              <w:top w:val="nil"/>
              <w:left w:val="nil"/>
              <w:bottom w:val="nil"/>
              <w:right w:val="nil"/>
            </w:tcBorders>
            <w:shd w:val="clear" w:color="auto" w:fill="auto"/>
            <w:noWrap/>
            <w:vAlign w:val="center"/>
            <w:hideMark/>
          </w:tcPr>
          <w:p w14:paraId="33CB565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(0.0212)</w:t>
            </w:r>
          </w:p>
        </w:tc>
        <w:tc>
          <w:tcPr>
            <w:tcW w:w="845" w:type="dxa"/>
            <w:tcBorders>
              <w:top w:val="nil"/>
              <w:left w:val="nil"/>
              <w:bottom w:val="nil"/>
              <w:right w:val="nil"/>
            </w:tcBorders>
            <w:shd w:val="clear" w:color="auto" w:fill="auto"/>
            <w:vAlign w:val="center"/>
          </w:tcPr>
          <w:p w14:paraId="1ABCB56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(0.0143)</w:t>
            </w:r>
          </w:p>
        </w:tc>
      </w:tr>
      <w:tr w:rsidR="00063F17" w:rsidRPr="00284C07" w14:paraId="619F1DE1" w14:textId="77777777" w:rsidTr="00284C07">
        <w:trPr>
          <w:trHeight w:val="108"/>
        </w:trPr>
        <w:tc>
          <w:tcPr>
            <w:tcW w:w="1380" w:type="dxa"/>
            <w:tcBorders>
              <w:top w:val="nil"/>
              <w:left w:val="nil"/>
              <w:bottom w:val="nil"/>
              <w:right w:val="nil"/>
            </w:tcBorders>
            <w:shd w:val="clear" w:color="auto" w:fill="auto"/>
            <w:vAlign w:val="bottom"/>
            <w:hideMark/>
          </w:tcPr>
          <w:p w14:paraId="2784E771"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2012 Cohort*TA Eligibility</w:t>
            </w:r>
          </w:p>
        </w:tc>
        <w:tc>
          <w:tcPr>
            <w:tcW w:w="714" w:type="dxa"/>
            <w:tcBorders>
              <w:top w:val="nil"/>
              <w:left w:val="nil"/>
              <w:bottom w:val="nil"/>
              <w:right w:val="nil"/>
            </w:tcBorders>
            <w:shd w:val="clear" w:color="auto" w:fill="auto"/>
            <w:noWrap/>
            <w:vAlign w:val="center"/>
            <w:hideMark/>
          </w:tcPr>
          <w:p w14:paraId="30AFB34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0.00684</w:t>
            </w:r>
          </w:p>
        </w:tc>
        <w:tc>
          <w:tcPr>
            <w:tcW w:w="714" w:type="dxa"/>
            <w:tcBorders>
              <w:top w:val="nil"/>
              <w:left w:val="nil"/>
              <w:bottom w:val="nil"/>
              <w:right w:val="nil"/>
            </w:tcBorders>
            <w:shd w:val="clear" w:color="auto" w:fill="auto"/>
            <w:noWrap/>
            <w:vAlign w:val="center"/>
            <w:hideMark/>
          </w:tcPr>
          <w:p w14:paraId="5F7E048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0.338</w:t>
            </w:r>
          </w:p>
        </w:tc>
        <w:tc>
          <w:tcPr>
            <w:tcW w:w="714" w:type="dxa"/>
            <w:tcBorders>
              <w:top w:val="nil"/>
              <w:left w:val="nil"/>
              <w:bottom w:val="nil"/>
              <w:right w:val="nil"/>
            </w:tcBorders>
            <w:shd w:val="clear" w:color="auto" w:fill="auto"/>
            <w:noWrap/>
            <w:vAlign w:val="center"/>
            <w:hideMark/>
          </w:tcPr>
          <w:p w14:paraId="0080CFC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-0.00322</w:t>
            </w:r>
          </w:p>
        </w:tc>
        <w:tc>
          <w:tcPr>
            <w:tcW w:w="797" w:type="dxa"/>
            <w:tcBorders>
              <w:top w:val="nil"/>
              <w:left w:val="nil"/>
              <w:bottom w:val="nil"/>
              <w:right w:val="nil"/>
            </w:tcBorders>
            <w:shd w:val="clear" w:color="auto" w:fill="auto"/>
            <w:noWrap/>
            <w:vAlign w:val="center"/>
            <w:hideMark/>
          </w:tcPr>
          <w:p w14:paraId="68AF5D6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0.521</w:t>
            </w:r>
          </w:p>
        </w:tc>
        <w:tc>
          <w:tcPr>
            <w:tcW w:w="924" w:type="dxa"/>
            <w:tcBorders>
              <w:top w:val="nil"/>
              <w:left w:val="nil"/>
              <w:bottom w:val="nil"/>
              <w:right w:val="nil"/>
            </w:tcBorders>
            <w:shd w:val="clear" w:color="auto" w:fill="auto"/>
            <w:noWrap/>
            <w:vAlign w:val="center"/>
            <w:hideMark/>
          </w:tcPr>
          <w:p w14:paraId="2AA02CE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0.214</w:t>
            </w:r>
          </w:p>
        </w:tc>
        <w:tc>
          <w:tcPr>
            <w:tcW w:w="897" w:type="dxa"/>
            <w:tcBorders>
              <w:top w:val="nil"/>
              <w:left w:val="nil"/>
              <w:bottom w:val="nil"/>
              <w:right w:val="nil"/>
            </w:tcBorders>
            <w:shd w:val="clear" w:color="auto" w:fill="auto"/>
            <w:noWrap/>
            <w:vAlign w:val="center"/>
            <w:hideMark/>
          </w:tcPr>
          <w:p w14:paraId="5DE6E34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0.00782</w:t>
            </w:r>
          </w:p>
        </w:tc>
        <w:tc>
          <w:tcPr>
            <w:tcW w:w="827" w:type="dxa"/>
            <w:tcBorders>
              <w:top w:val="nil"/>
              <w:left w:val="nil"/>
              <w:bottom w:val="nil"/>
              <w:right w:val="nil"/>
            </w:tcBorders>
            <w:shd w:val="clear" w:color="auto" w:fill="auto"/>
            <w:noWrap/>
            <w:vAlign w:val="center"/>
            <w:hideMark/>
          </w:tcPr>
          <w:p w14:paraId="7DAAA47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-0.0230</w:t>
            </w:r>
          </w:p>
        </w:tc>
        <w:tc>
          <w:tcPr>
            <w:tcW w:w="857" w:type="dxa"/>
            <w:tcBorders>
              <w:top w:val="nil"/>
              <w:left w:val="nil"/>
              <w:bottom w:val="nil"/>
              <w:right w:val="nil"/>
            </w:tcBorders>
            <w:shd w:val="clear" w:color="auto" w:fill="auto"/>
            <w:noWrap/>
            <w:vAlign w:val="center"/>
            <w:hideMark/>
          </w:tcPr>
          <w:p w14:paraId="16752D0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-0.115***</w:t>
            </w:r>
          </w:p>
        </w:tc>
        <w:tc>
          <w:tcPr>
            <w:tcW w:w="811" w:type="dxa"/>
            <w:tcBorders>
              <w:top w:val="nil"/>
              <w:left w:val="nil"/>
              <w:bottom w:val="nil"/>
              <w:right w:val="nil"/>
            </w:tcBorders>
            <w:shd w:val="clear" w:color="auto" w:fill="auto"/>
            <w:noWrap/>
            <w:vAlign w:val="center"/>
            <w:hideMark/>
          </w:tcPr>
          <w:p w14:paraId="284C078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-0.0118</w:t>
            </w:r>
          </w:p>
        </w:tc>
        <w:tc>
          <w:tcPr>
            <w:tcW w:w="845" w:type="dxa"/>
            <w:tcBorders>
              <w:top w:val="nil"/>
              <w:left w:val="nil"/>
              <w:bottom w:val="nil"/>
              <w:right w:val="nil"/>
            </w:tcBorders>
            <w:shd w:val="clear" w:color="auto" w:fill="auto"/>
            <w:vAlign w:val="center"/>
          </w:tcPr>
          <w:p w14:paraId="07C9BE8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0.0268*</w:t>
            </w:r>
          </w:p>
        </w:tc>
      </w:tr>
      <w:tr w:rsidR="00063F17" w:rsidRPr="00284C07" w14:paraId="16C6BA4F" w14:textId="77777777" w:rsidTr="00284C07">
        <w:trPr>
          <w:trHeight w:val="280"/>
        </w:trPr>
        <w:tc>
          <w:tcPr>
            <w:tcW w:w="1380" w:type="dxa"/>
            <w:tcBorders>
              <w:top w:val="nil"/>
              <w:left w:val="nil"/>
              <w:bottom w:val="nil"/>
              <w:right w:val="nil"/>
            </w:tcBorders>
            <w:shd w:val="clear" w:color="auto" w:fill="auto"/>
            <w:vAlign w:val="bottom"/>
            <w:hideMark/>
          </w:tcPr>
          <w:p w14:paraId="304A1C9A"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26380DF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(0.0754)</w:t>
            </w:r>
          </w:p>
        </w:tc>
        <w:tc>
          <w:tcPr>
            <w:tcW w:w="714" w:type="dxa"/>
            <w:tcBorders>
              <w:top w:val="nil"/>
              <w:left w:val="nil"/>
              <w:bottom w:val="nil"/>
              <w:right w:val="nil"/>
            </w:tcBorders>
            <w:shd w:val="clear" w:color="auto" w:fill="auto"/>
            <w:noWrap/>
            <w:vAlign w:val="center"/>
            <w:hideMark/>
          </w:tcPr>
          <w:p w14:paraId="4F7BDA2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(0.500)</w:t>
            </w:r>
          </w:p>
        </w:tc>
        <w:tc>
          <w:tcPr>
            <w:tcW w:w="714" w:type="dxa"/>
            <w:tcBorders>
              <w:top w:val="nil"/>
              <w:left w:val="nil"/>
              <w:bottom w:val="nil"/>
              <w:right w:val="nil"/>
            </w:tcBorders>
            <w:shd w:val="clear" w:color="auto" w:fill="auto"/>
            <w:noWrap/>
            <w:vAlign w:val="center"/>
            <w:hideMark/>
          </w:tcPr>
          <w:p w14:paraId="5D6BD5F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(0.0697)</w:t>
            </w:r>
          </w:p>
        </w:tc>
        <w:tc>
          <w:tcPr>
            <w:tcW w:w="797" w:type="dxa"/>
            <w:tcBorders>
              <w:top w:val="nil"/>
              <w:left w:val="nil"/>
              <w:bottom w:val="nil"/>
              <w:right w:val="nil"/>
            </w:tcBorders>
            <w:shd w:val="clear" w:color="auto" w:fill="auto"/>
            <w:noWrap/>
            <w:vAlign w:val="center"/>
            <w:hideMark/>
          </w:tcPr>
          <w:p w14:paraId="0CFC447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(1.202)</w:t>
            </w:r>
          </w:p>
        </w:tc>
        <w:tc>
          <w:tcPr>
            <w:tcW w:w="924" w:type="dxa"/>
            <w:tcBorders>
              <w:top w:val="nil"/>
              <w:left w:val="nil"/>
              <w:bottom w:val="nil"/>
              <w:right w:val="nil"/>
            </w:tcBorders>
            <w:shd w:val="clear" w:color="auto" w:fill="auto"/>
            <w:noWrap/>
            <w:vAlign w:val="center"/>
            <w:hideMark/>
          </w:tcPr>
          <w:p w14:paraId="44DC4E7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(0.210)</w:t>
            </w:r>
          </w:p>
        </w:tc>
        <w:tc>
          <w:tcPr>
            <w:tcW w:w="897" w:type="dxa"/>
            <w:tcBorders>
              <w:top w:val="nil"/>
              <w:left w:val="nil"/>
              <w:bottom w:val="nil"/>
              <w:right w:val="nil"/>
            </w:tcBorders>
            <w:shd w:val="clear" w:color="auto" w:fill="auto"/>
            <w:noWrap/>
            <w:vAlign w:val="center"/>
            <w:hideMark/>
          </w:tcPr>
          <w:p w14:paraId="52BC24D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(0.0143)</w:t>
            </w:r>
          </w:p>
        </w:tc>
        <w:tc>
          <w:tcPr>
            <w:tcW w:w="827" w:type="dxa"/>
            <w:tcBorders>
              <w:top w:val="nil"/>
              <w:left w:val="nil"/>
              <w:bottom w:val="nil"/>
              <w:right w:val="nil"/>
            </w:tcBorders>
            <w:shd w:val="clear" w:color="auto" w:fill="auto"/>
            <w:noWrap/>
            <w:vAlign w:val="center"/>
            <w:hideMark/>
          </w:tcPr>
          <w:p w14:paraId="16DF447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(0.0234)</w:t>
            </w:r>
          </w:p>
        </w:tc>
        <w:tc>
          <w:tcPr>
            <w:tcW w:w="857" w:type="dxa"/>
            <w:tcBorders>
              <w:top w:val="nil"/>
              <w:left w:val="nil"/>
              <w:bottom w:val="nil"/>
              <w:right w:val="nil"/>
            </w:tcBorders>
            <w:shd w:val="clear" w:color="auto" w:fill="auto"/>
            <w:noWrap/>
            <w:vAlign w:val="center"/>
            <w:hideMark/>
          </w:tcPr>
          <w:p w14:paraId="0E52980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(0.0284)</w:t>
            </w:r>
          </w:p>
        </w:tc>
        <w:tc>
          <w:tcPr>
            <w:tcW w:w="811" w:type="dxa"/>
            <w:tcBorders>
              <w:top w:val="nil"/>
              <w:left w:val="nil"/>
              <w:bottom w:val="nil"/>
              <w:right w:val="nil"/>
            </w:tcBorders>
            <w:shd w:val="clear" w:color="auto" w:fill="auto"/>
            <w:noWrap/>
            <w:vAlign w:val="center"/>
            <w:hideMark/>
          </w:tcPr>
          <w:p w14:paraId="119FBFC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(0.0208)</w:t>
            </w:r>
          </w:p>
        </w:tc>
        <w:tc>
          <w:tcPr>
            <w:tcW w:w="845" w:type="dxa"/>
            <w:tcBorders>
              <w:top w:val="nil"/>
              <w:left w:val="nil"/>
              <w:bottom w:val="nil"/>
              <w:right w:val="nil"/>
            </w:tcBorders>
            <w:shd w:val="clear" w:color="auto" w:fill="auto"/>
            <w:vAlign w:val="center"/>
          </w:tcPr>
          <w:p w14:paraId="388D10B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(0.0147)</w:t>
            </w:r>
          </w:p>
        </w:tc>
      </w:tr>
      <w:tr w:rsidR="00063F17" w:rsidRPr="00284C07" w14:paraId="40EE2AB4" w14:textId="77777777" w:rsidTr="00284C07">
        <w:trPr>
          <w:trHeight w:val="72"/>
        </w:trPr>
        <w:tc>
          <w:tcPr>
            <w:tcW w:w="1380" w:type="dxa"/>
            <w:tcBorders>
              <w:top w:val="nil"/>
              <w:left w:val="nil"/>
              <w:bottom w:val="nil"/>
              <w:right w:val="nil"/>
            </w:tcBorders>
            <w:shd w:val="clear" w:color="auto" w:fill="auto"/>
            <w:vAlign w:val="bottom"/>
            <w:hideMark/>
          </w:tcPr>
          <w:p w14:paraId="60E63845"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2013 Cohort*TA Eligibility</w:t>
            </w:r>
          </w:p>
        </w:tc>
        <w:tc>
          <w:tcPr>
            <w:tcW w:w="714" w:type="dxa"/>
            <w:tcBorders>
              <w:top w:val="nil"/>
              <w:left w:val="nil"/>
              <w:bottom w:val="nil"/>
              <w:right w:val="nil"/>
            </w:tcBorders>
            <w:shd w:val="clear" w:color="auto" w:fill="auto"/>
            <w:noWrap/>
            <w:vAlign w:val="center"/>
            <w:hideMark/>
          </w:tcPr>
          <w:p w14:paraId="7B09AB8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-0.0504</w:t>
            </w:r>
          </w:p>
        </w:tc>
        <w:tc>
          <w:tcPr>
            <w:tcW w:w="714" w:type="dxa"/>
            <w:tcBorders>
              <w:top w:val="nil"/>
              <w:left w:val="nil"/>
              <w:bottom w:val="nil"/>
              <w:right w:val="nil"/>
            </w:tcBorders>
            <w:shd w:val="clear" w:color="auto" w:fill="auto"/>
            <w:noWrap/>
            <w:vAlign w:val="center"/>
            <w:hideMark/>
          </w:tcPr>
          <w:p w14:paraId="3D06023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0.0304</w:t>
            </w:r>
          </w:p>
        </w:tc>
        <w:tc>
          <w:tcPr>
            <w:tcW w:w="714" w:type="dxa"/>
            <w:tcBorders>
              <w:top w:val="nil"/>
              <w:left w:val="nil"/>
              <w:bottom w:val="nil"/>
              <w:right w:val="nil"/>
            </w:tcBorders>
            <w:shd w:val="clear" w:color="auto" w:fill="auto"/>
            <w:noWrap/>
            <w:vAlign w:val="center"/>
            <w:hideMark/>
          </w:tcPr>
          <w:p w14:paraId="2A8F6C8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-0.0494</w:t>
            </w:r>
          </w:p>
        </w:tc>
        <w:tc>
          <w:tcPr>
            <w:tcW w:w="797" w:type="dxa"/>
            <w:tcBorders>
              <w:top w:val="nil"/>
              <w:left w:val="nil"/>
              <w:bottom w:val="nil"/>
              <w:right w:val="nil"/>
            </w:tcBorders>
            <w:shd w:val="clear" w:color="auto" w:fill="auto"/>
            <w:noWrap/>
            <w:vAlign w:val="center"/>
            <w:hideMark/>
          </w:tcPr>
          <w:p w14:paraId="5B42E5C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-0.221</w:t>
            </w:r>
          </w:p>
        </w:tc>
        <w:tc>
          <w:tcPr>
            <w:tcW w:w="924" w:type="dxa"/>
            <w:tcBorders>
              <w:top w:val="nil"/>
              <w:left w:val="nil"/>
              <w:bottom w:val="nil"/>
              <w:right w:val="nil"/>
            </w:tcBorders>
            <w:shd w:val="clear" w:color="auto" w:fill="auto"/>
            <w:noWrap/>
            <w:vAlign w:val="center"/>
            <w:hideMark/>
          </w:tcPr>
          <w:p w14:paraId="3077189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0.0573</w:t>
            </w:r>
          </w:p>
        </w:tc>
        <w:tc>
          <w:tcPr>
            <w:tcW w:w="897" w:type="dxa"/>
            <w:tcBorders>
              <w:top w:val="nil"/>
              <w:left w:val="nil"/>
              <w:bottom w:val="nil"/>
              <w:right w:val="nil"/>
            </w:tcBorders>
            <w:shd w:val="clear" w:color="auto" w:fill="auto"/>
            <w:noWrap/>
            <w:vAlign w:val="center"/>
            <w:hideMark/>
          </w:tcPr>
          <w:p w14:paraId="63F6D28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0.00107</w:t>
            </w:r>
          </w:p>
        </w:tc>
        <w:tc>
          <w:tcPr>
            <w:tcW w:w="827" w:type="dxa"/>
            <w:tcBorders>
              <w:top w:val="nil"/>
              <w:left w:val="nil"/>
              <w:bottom w:val="nil"/>
              <w:right w:val="nil"/>
            </w:tcBorders>
            <w:shd w:val="clear" w:color="auto" w:fill="auto"/>
            <w:noWrap/>
            <w:vAlign w:val="center"/>
            <w:hideMark/>
          </w:tcPr>
          <w:p w14:paraId="0EF8AE4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-0.0294</w:t>
            </w:r>
          </w:p>
        </w:tc>
        <w:tc>
          <w:tcPr>
            <w:tcW w:w="857" w:type="dxa"/>
            <w:tcBorders>
              <w:top w:val="nil"/>
              <w:left w:val="nil"/>
              <w:bottom w:val="nil"/>
              <w:right w:val="nil"/>
            </w:tcBorders>
            <w:shd w:val="clear" w:color="auto" w:fill="auto"/>
            <w:noWrap/>
            <w:vAlign w:val="center"/>
            <w:hideMark/>
          </w:tcPr>
          <w:p w14:paraId="754212E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-0.074***</w:t>
            </w:r>
          </w:p>
        </w:tc>
        <w:tc>
          <w:tcPr>
            <w:tcW w:w="811" w:type="dxa"/>
            <w:tcBorders>
              <w:top w:val="nil"/>
              <w:left w:val="nil"/>
              <w:bottom w:val="nil"/>
              <w:right w:val="nil"/>
            </w:tcBorders>
            <w:shd w:val="clear" w:color="auto" w:fill="auto"/>
            <w:noWrap/>
            <w:vAlign w:val="center"/>
            <w:hideMark/>
          </w:tcPr>
          <w:p w14:paraId="02DC54E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-0.0142</w:t>
            </w:r>
          </w:p>
        </w:tc>
        <w:tc>
          <w:tcPr>
            <w:tcW w:w="845" w:type="dxa"/>
            <w:tcBorders>
              <w:top w:val="nil"/>
              <w:left w:val="nil"/>
              <w:bottom w:val="nil"/>
              <w:right w:val="nil"/>
            </w:tcBorders>
            <w:shd w:val="clear" w:color="auto" w:fill="auto"/>
            <w:vAlign w:val="center"/>
          </w:tcPr>
          <w:p w14:paraId="59B2F1A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0.0245*</w:t>
            </w:r>
          </w:p>
        </w:tc>
      </w:tr>
      <w:tr w:rsidR="00063F17" w:rsidRPr="00284C07" w14:paraId="2CB869EB" w14:textId="77777777" w:rsidTr="00284C07">
        <w:trPr>
          <w:trHeight w:val="280"/>
        </w:trPr>
        <w:tc>
          <w:tcPr>
            <w:tcW w:w="1380" w:type="dxa"/>
            <w:tcBorders>
              <w:top w:val="nil"/>
              <w:left w:val="nil"/>
              <w:bottom w:val="nil"/>
              <w:right w:val="nil"/>
            </w:tcBorders>
            <w:shd w:val="clear" w:color="auto" w:fill="auto"/>
            <w:vAlign w:val="bottom"/>
            <w:hideMark/>
          </w:tcPr>
          <w:p w14:paraId="0BE9165B"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080B682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(0.0747)</w:t>
            </w:r>
          </w:p>
        </w:tc>
        <w:tc>
          <w:tcPr>
            <w:tcW w:w="714" w:type="dxa"/>
            <w:tcBorders>
              <w:top w:val="nil"/>
              <w:left w:val="nil"/>
              <w:bottom w:val="nil"/>
              <w:right w:val="nil"/>
            </w:tcBorders>
            <w:shd w:val="clear" w:color="auto" w:fill="auto"/>
            <w:noWrap/>
            <w:vAlign w:val="center"/>
            <w:hideMark/>
          </w:tcPr>
          <w:p w14:paraId="38A7FB8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(0.499)</w:t>
            </w:r>
          </w:p>
        </w:tc>
        <w:tc>
          <w:tcPr>
            <w:tcW w:w="714" w:type="dxa"/>
            <w:tcBorders>
              <w:top w:val="nil"/>
              <w:left w:val="nil"/>
              <w:bottom w:val="nil"/>
              <w:right w:val="nil"/>
            </w:tcBorders>
            <w:shd w:val="clear" w:color="auto" w:fill="auto"/>
            <w:noWrap/>
            <w:vAlign w:val="center"/>
            <w:hideMark/>
          </w:tcPr>
          <w:p w14:paraId="1F6A70C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(0.0691)</w:t>
            </w:r>
          </w:p>
        </w:tc>
        <w:tc>
          <w:tcPr>
            <w:tcW w:w="797" w:type="dxa"/>
            <w:tcBorders>
              <w:top w:val="nil"/>
              <w:left w:val="nil"/>
              <w:bottom w:val="nil"/>
              <w:right w:val="nil"/>
            </w:tcBorders>
            <w:shd w:val="clear" w:color="auto" w:fill="auto"/>
            <w:noWrap/>
            <w:vAlign w:val="center"/>
            <w:hideMark/>
          </w:tcPr>
          <w:p w14:paraId="5175FF6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(1.170)</w:t>
            </w:r>
          </w:p>
        </w:tc>
        <w:tc>
          <w:tcPr>
            <w:tcW w:w="924" w:type="dxa"/>
            <w:tcBorders>
              <w:top w:val="nil"/>
              <w:left w:val="nil"/>
              <w:bottom w:val="nil"/>
              <w:right w:val="nil"/>
            </w:tcBorders>
            <w:shd w:val="clear" w:color="auto" w:fill="auto"/>
            <w:noWrap/>
            <w:vAlign w:val="center"/>
            <w:hideMark/>
          </w:tcPr>
          <w:p w14:paraId="36D3DC3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(0.200)</w:t>
            </w:r>
          </w:p>
        </w:tc>
        <w:tc>
          <w:tcPr>
            <w:tcW w:w="897" w:type="dxa"/>
            <w:tcBorders>
              <w:top w:val="nil"/>
              <w:left w:val="nil"/>
              <w:bottom w:val="nil"/>
              <w:right w:val="nil"/>
            </w:tcBorders>
            <w:shd w:val="clear" w:color="auto" w:fill="auto"/>
            <w:noWrap/>
            <w:vAlign w:val="center"/>
            <w:hideMark/>
          </w:tcPr>
          <w:p w14:paraId="78B44D5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(0.0132)</w:t>
            </w:r>
          </w:p>
        </w:tc>
        <w:tc>
          <w:tcPr>
            <w:tcW w:w="827" w:type="dxa"/>
            <w:tcBorders>
              <w:top w:val="nil"/>
              <w:left w:val="nil"/>
              <w:bottom w:val="nil"/>
              <w:right w:val="nil"/>
            </w:tcBorders>
            <w:shd w:val="clear" w:color="auto" w:fill="auto"/>
            <w:noWrap/>
            <w:vAlign w:val="center"/>
            <w:hideMark/>
          </w:tcPr>
          <w:p w14:paraId="3807421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(0.0223)</w:t>
            </w:r>
          </w:p>
        </w:tc>
        <w:tc>
          <w:tcPr>
            <w:tcW w:w="857" w:type="dxa"/>
            <w:tcBorders>
              <w:top w:val="nil"/>
              <w:left w:val="nil"/>
              <w:bottom w:val="nil"/>
              <w:right w:val="nil"/>
            </w:tcBorders>
            <w:shd w:val="clear" w:color="auto" w:fill="auto"/>
            <w:noWrap/>
            <w:vAlign w:val="center"/>
            <w:hideMark/>
          </w:tcPr>
          <w:p w14:paraId="097F5D93"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(0.0284)</w:t>
            </w:r>
          </w:p>
        </w:tc>
        <w:tc>
          <w:tcPr>
            <w:tcW w:w="811" w:type="dxa"/>
            <w:tcBorders>
              <w:top w:val="nil"/>
              <w:left w:val="nil"/>
              <w:bottom w:val="nil"/>
              <w:right w:val="nil"/>
            </w:tcBorders>
            <w:shd w:val="clear" w:color="auto" w:fill="auto"/>
            <w:noWrap/>
            <w:vAlign w:val="center"/>
            <w:hideMark/>
          </w:tcPr>
          <w:p w14:paraId="7635957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(0.0198)</w:t>
            </w:r>
          </w:p>
        </w:tc>
        <w:tc>
          <w:tcPr>
            <w:tcW w:w="845" w:type="dxa"/>
            <w:tcBorders>
              <w:top w:val="nil"/>
              <w:left w:val="nil"/>
              <w:bottom w:val="nil"/>
              <w:right w:val="nil"/>
            </w:tcBorders>
            <w:shd w:val="clear" w:color="auto" w:fill="auto"/>
            <w:vAlign w:val="center"/>
          </w:tcPr>
          <w:p w14:paraId="00B4A20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(0.0130)</w:t>
            </w:r>
          </w:p>
        </w:tc>
      </w:tr>
      <w:tr w:rsidR="00063F17" w:rsidRPr="00284C07" w14:paraId="3F6E42D6" w14:textId="77777777" w:rsidTr="00284C07">
        <w:trPr>
          <w:trHeight w:val="66"/>
        </w:trPr>
        <w:tc>
          <w:tcPr>
            <w:tcW w:w="1380" w:type="dxa"/>
            <w:tcBorders>
              <w:top w:val="nil"/>
              <w:left w:val="nil"/>
              <w:bottom w:val="nil"/>
              <w:right w:val="nil"/>
            </w:tcBorders>
            <w:shd w:val="clear" w:color="auto" w:fill="auto"/>
            <w:vAlign w:val="bottom"/>
            <w:hideMark/>
          </w:tcPr>
          <w:p w14:paraId="39C41684"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2014 Cohort*TA Eligibility</w:t>
            </w:r>
          </w:p>
        </w:tc>
        <w:tc>
          <w:tcPr>
            <w:tcW w:w="714" w:type="dxa"/>
            <w:tcBorders>
              <w:top w:val="nil"/>
              <w:left w:val="nil"/>
              <w:bottom w:val="nil"/>
              <w:right w:val="nil"/>
            </w:tcBorders>
            <w:shd w:val="clear" w:color="auto" w:fill="auto"/>
            <w:noWrap/>
            <w:vAlign w:val="center"/>
            <w:hideMark/>
          </w:tcPr>
          <w:p w14:paraId="32A0A97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-0.0215</w:t>
            </w:r>
          </w:p>
        </w:tc>
        <w:tc>
          <w:tcPr>
            <w:tcW w:w="714" w:type="dxa"/>
            <w:tcBorders>
              <w:top w:val="nil"/>
              <w:left w:val="nil"/>
              <w:bottom w:val="nil"/>
              <w:right w:val="nil"/>
            </w:tcBorders>
            <w:shd w:val="clear" w:color="auto" w:fill="auto"/>
            <w:noWrap/>
            <w:vAlign w:val="center"/>
            <w:hideMark/>
          </w:tcPr>
          <w:p w14:paraId="58933FB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0.309</w:t>
            </w:r>
          </w:p>
        </w:tc>
        <w:tc>
          <w:tcPr>
            <w:tcW w:w="714" w:type="dxa"/>
            <w:tcBorders>
              <w:top w:val="nil"/>
              <w:left w:val="nil"/>
              <w:bottom w:val="nil"/>
              <w:right w:val="nil"/>
            </w:tcBorders>
            <w:shd w:val="clear" w:color="auto" w:fill="auto"/>
            <w:noWrap/>
            <w:vAlign w:val="center"/>
            <w:hideMark/>
          </w:tcPr>
          <w:p w14:paraId="23FFE30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-0.0208</w:t>
            </w:r>
          </w:p>
        </w:tc>
        <w:tc>
          <w:tcPr>
            <w:tcW w:w="797" w:type="dxa"/>
            <w:tcBorders>
              <w:top w:val="nil"/>
              <w:left w:val="nil"/>
              <w:bottom w:val="nil"/>
              <w:right w:val="nil"/>
            </w:tcBorders>
            <w:shd w:val="clear" w:color="auto" w:fill="auto"/>
            <w:noWrap/>
            <w:vAlign w:val="center"/>
            <w:hideMark/>
          </w:tcPr>
          <w:p w14:paraId="2AB5B9C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-1.417</w:t>
            </w:r>
          </w:p>
        </w:tc>
        <w:tc>
          <w:tcPr>
            <w:tcW w:w="924" w:type="dxa"/>
            <w:tcBorders>
              <w:top w:val="nil"/>
              <w:left w:val="nil"/>
              <w:bottom w:val="nil"/>
              <w:right w:val="nil"/>
            </w:tcBorders>
            <w:shd w:val="clear" w:color="auto" w:fill="auto"/>
            <w:noWrap/>
            <w:vAlign w:val="center"/>
            <w:hideMark/>
          </w:tcPr>
          <w:p w14:paraId="18A48AD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-0.126</w:t>
            </w:r>
          </w:p>
        </w:tc>
        <w:tc>
          <w:tcPr>
            <w:tcW w:w="897" w:type="dxa"/>
            <w:tcBorders>
              <w:top w:val="nil"/>
              <w:left w:val="nil"/>
              <w:bottom w:val="nil"/>
              <w:right w:val="nil"/>
            </w:tcBorders>
            <w:shd w:val="clear" w:color="auto" w:fill="auto"/>
            <w:noWrap/>
            <w:vAlign w:val="center"/>
            <w:hideMark/>
          </w:tcPr>
          <w:p w14:paraId="7B6E3C0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-0.00490</w:t>
            </w:r>
          </w:p>
        </w:tc>
        <w:tc>
          <w:tcPr>
            <w:tcW w:w="827" w:type="dxa"/>
            <w:tcBorders>
              <w:top w:val="nil"/>
              <w:left w:val="nil"/>
              <w:bottom w:val="nil"/>
              <w:right w:val="nil"/>
            </w:tcBorders>
            <w:shd w:val="clear" w:color="auto" w:fill="auto"/>
            <w:noWrap/>
            <w:vAlign w:val="center"/>
            <w:hideMark/>
          </w:tcPr>
          <w:p w14:paraId="4F00E88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-0.0333</w:t>
            </w:r>
          </w:p>
        </w:tc>
        <w:tc>
          <w:tcPr>
            <w:tcW w:w="857" w:type="dxa"/>
            <w:tcBorders>
              <w:top w:val="nil"/>
              <w:left w:val="nil"/>
              <w:bottom w:val="nil"/>
              <w:right w:val="nil"/>
            </w:tcBorders>
            <w:shd w:val="clear" w:color="auto" w:fill="auto"/>
            <w:noWrap/>
            <w:vAlign w:val="center"/>
            <w:hideMark/>
          </w:tcPr>
          <w:p w14:paraId="70E547C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-0.089***</w:t>
            </w:r>
          </w:p>
        </w:tc>
        <w:tc>
          <w:tcPr>
            <w:tcW w:w="811" w:type="dxa"/>
            <w:tcBorders>
              <w:top w:val="nil"/>
              <w:left w:val="nil"/>
              <w:bottom w:val="nil"/>
              <w:right w:val="nil"/>
            </w:tcBorders>
            <w:shd w:val="clear" w:color="auto" w:fill="auto"/>
            <w:noWrap/>
            <w:vAlign w:val="center"/>
            <w:hideMark/>
          </w:tcPr>
          <w:p w14:paraId="26FE803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-0.0219</w:t>
            </w:r>
          </w:p>
        </w:tc>
        <w:tc>
          <w:tcPr>
            <w:tcW w:w="845" w:type="dxa"/>
            <w:tcBorders>
              <w:top w:val="nil"/>
              <w:left w:val="nil"/>
              <w:bottom w:val="nil"/>
              <w:right w:val="nil"/>
            </w:tcBorders>
            <w:shd w:val="clear" w:color="auto" w:fill="auto"/>
            <w:vAlign w:val="center"/>
          </w:tcPr>
          <w:p w14:paraId="0C8AAF2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0.0234**</w:t>
            </w:r>
          </w:p>
        </w:tc>
      </w:tr>
      <w:tr w:rsidR="00063F17" w:rsidRPr="00284C07" w14:paraId="727BF434" w14:textId="77777777" w:rsidTr="00284C07">
        <w:trPr>
          <w:trHeight w:val="280"/>
        </w:trPr>
        <w:tc>
          <w:tcPr>
            <w:tcW w:w="1380" w:type="dxa"/>
            <w:tcBorders>
              <w:top w:val="nil"/>
              <w:left w:val="nil"/>
              <w:bottom w:val="nil"/>
              <w:right w:val="nil"/>
            </w:tcBorders>
            <w:shd w:val="clear" w:color="auto" w:fill="auto"/>
            <w:vAlign w:val="bottom"/>
            <w:hideMark/>
          </w:tcPr>
          <w:p w14:paraId="0406D327"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14DF369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(0.0746)</w:t>
            </w:r>
          </w:p>
        </w:tc>
        <w:tc>
          <w:tcPr>
            <w:tcW w:w="714" w:type="dxa"/>
            <w:tcBorders>
              <w:top w:val="nil"/>
              <w:left w:val="nil"/>
              <w:bottom w:val="nil"/>
              <w:right w:val="nil"/>
            </w:tcBorders>
            <w:shd w:val="clear" w:color="auto" w:fill="auto"/>
            <w:noWrap/>
            <w:vAlign w:val="center"/>
            <w:hideMark/>
          </w:tcPr>
          <w:p w14:paraId="523F0EC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(0.501)</w:t>
            </w:r>
          </w:p>
        </w:tc>
        <w:tc>
          <w:tcPr>
            <w:tcW w:w="714" w:type="dxa"/>
            <w:tcBorders>
              <w:top w:val="nil"/>
              <w:left w:val="nil"/>
              <w:bottom w:val="nil"/>
              <w:right w:val="nil"/>
            </w:tcBorders>
            <w:shd w:val="clear" w:color="auto" w:fill="auto"/>
            <w:noWrap/>
            <w:vAlign w:val="center"/>
            <w:hideMark/>
          </w:tcPr>
          <w:p w14:paraId="58260DA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(0.0702)</w:t>
            </w:r>
          </w:p>
        </w:tc>
        <w:tc>
          <w:tcPr>
            <w:tcW w:w="797" w:type="dxa"/>
            <w:tcBorders>
              <w:top w:val="nil"/>
              <w:left w:val="nil"/>
              <w:bottom w:val="nil"/>
              <w:right w:val="nil"/>
            </w:tcBorders>
            <w:shd w:val="clear" w:color="auto" w:fill="auto"/>
            <w:noWrap/>
            <w:vAlign w:val="center"/>
            <w:hideMark/>
          </w:tcPr>
          <w:p w14:paraId="46E5BB9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(1.069)</w:t>
            </w:r>
          </w:p>
        </w:tc>
        <w:tc>
          <w:tcPr>
            <w:tcW w:w="924" w:type="dxa"/>
            <w:tcBorders>
              <w:top w:val="nil"/>
              <w:left w:val="nil"/>
              <w:bottom w:val="nil"/>
              <w:right w:val="nil"/>
            </w:tcBorders>
            <w:shd w:val="clear" w:color="auto" w:fill="auto"/>
            <w:noWrap/>
            <w:vAlign w:val="center"/>
            <w:hideMark/>
          </w:tcPr>
          <w:p w14:paraId="7659A0F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(0.185)</w:t>
            </w:r>
          </w:p>
        </w:tc>
        <w:tc>
          <w:tcPr>
            <w:tcW w:w="897" w:type="dxa"/>
            <w:tcBorders>
              <w:top w:val="nil"/>
              <w:left w:val="nil"/>
              <w:bottom w:val="nil"/>
              <w:right w:val="nil"/>
            </w:tcBorders>
            <w:shd w:val="clear" w:color="auto" w:fill="auto"/>
            <w:noWrap/>
            <w:vAlign w:val="center"/>
            <w:hideMark/>
          </w:tcPr>
          <w:p w14:paraId="6780DDC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(0.0119)</w:t>
            </w:r>
          </w:p>
        </w:tc>
        <w:tc>
          <w:tcPr>
            <w:tcW w:w="827" w:type="dxa"/>
            <w:tcBorders>
              <w:top w:val="nil"/>
              <w:left w:val="nil"/>
              <w:bottom w:val="nil"/>
              <w:right w:val="nil"/>
            </w:tcBorders>
            <w:shd w:val="clear" w:color="auto" w:fill="auto"/>
            <w:noWrap/>
            <w:vAlign w:val="center"/>
            <w:hideMark/>
          </w:tcPr>
          <w:p w14:paraId="55C9D29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(0.0216)</w:t>
            </w:r>
          </w:p>
        </w:tc>
        <w:tc>
          <w:tcPr>
            <w:tcW w:w="857" w:type="dxa"/>
            <w:tcBorders>
              <w:top w:val="nil"/>
              <w:left w:val="nil"/>
              <w:bottom w:val="nil"/>
              <w:right w:val="nil"/>
            </w:tcBorders>
            <w:shd w:val="clear" w:color="auto" w:fill="auto"/>
            <w:noWrap/>
            <w:vAlign w:val="center"/>
            <w:hideMark/>
          </w:tcPr>
          <w:p w14:paraId="3AA1ECB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(0.0282)</w:t>
            </w:r>
          </w:p>
        </w:tc>
        <w:tc>
          <w:tcPr>
            <w:tcW w:w="811" w:type="dxa"/>
            <w:tcBorders>
              <w:top w:val="nil"/>
              <w:left w:val="nil"/>
              <w:bottom w:val="nil"/>
              <w:right w:val="nil"/>
            </w:tcBorders>
            <w:shd w:val="clear" w:color="auto" w:fill="auto"/>
            <w:noWrap/>
            <w:vAlign w:val="center"/>
            <w:hideMark/>
          </w:tcPr>
          <w:p w14:paraId="7103D35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(0.0191)</w:t>
            </w:r>
          </w:p>
        </w:tc>
        <w:tc>
          <w:tcPr>
            <w:tcW w:w="845" w:type="dxa"/>
            <w:tcBorders>
              <w:top w:val="nil"/>
              <w:left w:val="nil"/>
              <w:bottom w:val="nil"/>
              <w:right w:val="nil"/>
            </w:tcBorders>
            <w:shd w:val="clear" w:color="auto" w:fill="auto"/>
            <w:vAlign w:val="center"/>
          </w:tcPr>
          <w:p w14:paraId="3AD0ACA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(0.0114)</w:t>
            </w:r>
          </w:p>
        </w:tc>
      </w:tr>
      <w:tr w:rsidR="00063F17" w:rsidRPr="00284C07" w14:paraId="0842F472" w14:textId="77777777" w:rsidTr="00284C07">
        <w:trPr>
          <w:trHeight w:val="66"/>
        </w:trPr>
        <w:tc>
          <w:tcPr>
            <w:tcW w:w="1380" w:type="dxa"/>
            <w:tcBorders>
              <w:top w:val="nil"/>
              <w:left w:val="nil"/>
              <w:bottom w:val="nil"/>
              <w:right w:val="nil"/>
            </w:tcBorders>
            <w:shd w:val="clear" w:color="auto" w:fill="auto"/>
            <w:vAlign w:val="bottom"/>
            <w:hideMark/>
          </w:tcPr>
          <w:p w14:paraId="18546CEC"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2015 Cohort*TA Eligibility</w:t>
            </w:r>
          </w:p>
        </w:tc>
        <w:tc>
          <w:tcPr>
            <w:tcW w:w="714" w:type="dxa"/>
            <w:tcBorders>
              <w:top w:val="nil"/>
              <w:left w:val="nil"/>
              <w:bottom w:val="nil"/>
              <w:right w:val="nil"/>
            </w:tcBorders>
            <w:shd w:val="clear" w:color="auto" w:fill="auto"/>
            <w:noWrap/>
            <w:vAlign w:val="center"/>
            <w:hideMark/>
          </w:tcPr>
          <w:p w14:paraId="79E3614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-0.0961</w:t>
            </w:r>
          </w:p>
        </w:tc>
        <w:tc>
          <w:tcPr>
            <w:tcW w:w="714" w:type="dxa"/>
            <w:tcBorders>
              <w:top w:val="nil"/>
              <w:left w:val="nil"/>
              <w:bottom w:val="nil"/>
              <w:right w:val="nil"/>
            </w:tcBorders>
            <w:shd w:val="clear" w:color="auto" w:fill="auto"/>
            <w:noWrap/>
            <w:vAlign w:val="center"/>
            <w:hideMark/>
          </w:tcPr>
          <w:p w14:paraId="23183FA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-0.624</w:t>
            </w:r>
          </w:p>
        </w:tc>
        <w:tc>
          <w:tcPr>
            <w:tcW w:w="714" w:type="dxa"/>
            <w:tcBorders>
              <w:top w:val="nil"/>
              <w:left w:val="nil"/>
              <w:bottom w:val="nil"/>
              <w:right w:val="nil"/>
            </w:tcBorders>
            <w:shd w:val="clear" w:color="auto" w:fill="auto"/>
            <w:noWrap/>
            <w:vAlign w:val="center"/>
            <w:hideMark/>
          </w:tcPr>
          <w:p w14:paraId="744DE51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-0.102</w:t>
            </w:r>
          </w:p>
        </w:tc>
        <w:tc>
          <w:tcPr>
            <w:tcW w:w="797" w:type="dxa"/>
            <w:tcBorders>
              <w:top w:val="nil"/>
              <w:left w:val="nil"/>
              <w:bottom w:val="nil"/>
              <w:right w:val="nil"/>
            </w:tcBorders>
            <w:shd w:val="clear" w:color="auto" w:fill="auto"/>
            <w:noWrap/>
            <w:vAlign w:val="center"/>
            <w:hideMark/>
          </w:tcPr>
          <w:p w14:paraId="6B5BA3B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-3.512***</w:t>
            </w:r>
          </w:p>
        </w:tc>
        <w:tc>
          <w:tcPr>
            <w:tcW w:w="924" w:type="dxa"/>
            <w:tcBorders>
              <w:top w:val="nil"/>
              <w:left w:val="nil"/>
              <w:bottom w:val="nil"/>
              <w:right w:val="nil"/>
            </w:tcBorders>
            <w:shd w:val="clear" w:color="auto" w:fill="auto"/>
            <w:noWrap/>
            <w:vAlign w:val="center"/>
            <w:hideMark/>
          </w:tcPr>
          <w:p w14:paraId="35A55C9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-0.464***</w:t>
            </w:r>
          </w:p>
        </w:tc>
        <w:tc>
          <w:tcPr>
            <w:tcW w:w="897" w:type="dxa"/>
            <w:tcBorders>
              <w:top w:val="nil"/>
              <w:left w:val="nil"/>
              <w:bottom w:val="nil"/>
              <w:right w:val="nil"/>
            </w:tcBorders>
            <w:shd w:val="clear" w:color="auto" w:fill="auto"/>
            <w:noWrap/>
            <w:vAlign w:val="center"/>
            <w:hideMark/>
          </w:tcPr>
          <w:p w14:paraId="23DE832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-0.0102</w:t>
            </w:r>
          </w:p>
        </w:tc>
        <w:tc>
          <w:tcPr>
            <w:tcW w:w="827" w:type="dxa"/>
            <w:tcBorders>
              <w:top w:val="nil"/>
              <w:left w:val="nil"/>
              <w:bottom w:val="nil"/>
              <w:right w:val="nil"/>
            </w:tcBorders>
            <w:shd w:val="clear" w:color="auto" w:fill="auto"/>
            <w:noWrap/>
            <w:vAlign w:val="center"/>
            <w:hideMark/>
          </w:tcPr>
          <w:p w14:paraId="2A59FE4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-0.0349*</w:t>
            </w:r>
          </w:p>
        </w:tc>
        <w:tc>
          <w:tcPr>
            <w:tcW w:w="857" w:type="dxa"/>
            <w:tcBorders>
              <w:top w:val="nil"/>
              <w:left w:val="nil"/>
              <w:bottom w:val="nil"/>
              <w:right w:val="nil"/>
            </w:tcBorders>
            <w:shd w:val="clear" w:color="auto" w:fill="auto"/>
            <w:noWrap/>
            <w:vAlign w:val="center"/>
            <w:hideMark/>
          </w:tcPr>
          <w:p w14:paraId="597DC45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-0.120***</w:t>
            </w:r>
          </w:p>
        </w:tc>
        <w:tc>
          <w:tcPr>
            <w:tcW w:w="811" w:type="dxa"/>
            <w:tcBorders>
              <w:top w:val="nil"/>
              <w:left w:val="nil"/>
              <w:bottom w:val="nil"/>
              <w:right w:val="nil"/>
            </w:tcBorders>
            <w:shd w:val="clear" w:color="auto" w:fill="auto"/>
            <w:noWrap/>
            <w:vAlign w:val="center"/>
            <w:hideMark/>
          </w:tcPr>
          <w:p w14:paraId="48E1F47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-0.0254</w:t>
            </w:r>
          </w:p>
        </w:tc>
        <w:tc>
          <w:tcPr>
            <w:tcW w:w="845" w:type="dxa"/>
            <w:tcBorders>
              <w:top w:val="nil"/>
              <w:left w:val="nil"/>
              <w:bottom w:val="nil"/>
              <w:right w:val="nil"/>
            </w:tcBorders>
            <w:shd w:val="clear" w:color="auto" w:fill="auto"/>
            <w:vAlign w:val="center"/>
          </w:tcPr>
          <w:p w14:paraId="1F6BDE7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0.0162</w:t>
            </w:r>
          </w:p>
        </w:tc>
      </w:tr>
      <w:tr w:rsidR="00063F17" w:rsidRPr="00284C07" w14:paraId="164BCFAC" w14:textId="77777777" w:rsidTr="00284C07">
        <w:trPr>
          <w:trHeight w:val="280"/>
        </w:trPr>
        <w:tc>
          <w:tcPr>
            <w:tcW w:w="1380" w:type="dxa"/>
            <w:tcBorders>
              <w:top w:val="nil"/>
              <w:left w:val="nil"/>
              <w:bottom w:val="nil"/>
              <w:right w:val="nil"/>
            </w:tcBorders>
            <w:shd w:val="clear" w:color="auto" w:fill="auto"/>
            <w:vAlign w:val="bottom"/>
            <w:hideMark/>
          </w:tcPr>
          <w:p w14:paraId="0BA87223"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p>
        </w:tc>
        <w:tc>
          <w:tcPr>
            <w:tcW w:w="714" w:type="dxa"/>
            <w:tcBorders>
              <w:top w:val="nil"/>
              <w:left w:val="nil"/>
              <w:bottom w:val="nil"/>
              <w:right w:val="nil"/>
            </w:tcBorders>
            <w:shd w:val="clear" w:color="auto" w:fill="auto"/>
            <w:noWrap/>
            <w:vAlign w:val="center"/>
            <w:hideMark/>
          </w:tcPr>
          <w:p w14:paraId="582F6F7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(0.0809)</w:t>
            </w:r>
          </w:p>
        </w:tc>
        <w:tc>
          <w:tcPr>
            <w:tcW w:w="714" w:type="dxa"/>
            <w:tcBorders>
              <w:top w:val="nil"/>
              <w:left w:val="nil"/>
              <w:bottom w:val="nil"/>
              <w:right w:val="nil"/>
            </w:tcBorders>
            <w:shd w:val="clear" w:color="auto" w:fill="auto"/>
            <w:noWrap/>
            <w:vAlign w:val="center"/>
            <w:hideMark/>
          </w:tcPr>
          <w:p w14:paraId="2ED3543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(0.443)</w:t>
            </w:r>
          </w:p>
        </w:tc>
        <w:tc>
          <w:tcPr>
            <w:tcW w:w="714" w:type="dxa"/>
            <w:tcBorders>
              <w:top w:val="nil"/>
              <w:left w:val="nil"/>
              <w:bottom w:val="nil"/>
              <w:right w:val="nil"/>
            </w:tcBorders>
            <w:shd w:val="clear" w:color="auto" w:fill="auto"/>
            <w:noWrap/>
            <w:vAlign w:val="center"/>
            <w:hideMark/>
          </w:tcPr>
          <w:p w14:paraId="7C536A3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(0.0774)</w:t>
            </w:r>
          </w:p>
        </w:tc>
        <w:tc>
          <w:tcPr>
            <w:tcW w:w="797" w:type="dxa"/>
            <w:tcBorders>
              <w:top w:val="nil"/>
              <w:left w:val="nil"/>
              <w:bottom w:val="nil"/>
              <w:right w:val="nil"/>
            </w:tcBorders>
            <w:shd w:val="clear" w:color="auto" w:fill="auto"/>
            <w:noWrap/>
            <w:vAlign w:val="center"/>
            <w:hideMark/>
          </w:tcPr>
          <w:p w14:paraId="271FD4AC"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(1.038)</w:t>
            </w:r>
          </w:p>
        </w:tc>
        <w:tc>
          <w:tcPr>
            <w:tcW w:w="924" w:type="dxa"/>
            <w:tcBorders>
              <w:top w:val="nil"/>
              <w:left w:val="nil"/>
              <w:bottom w:val="nil"/>
              <w:right w:val="nil"/>
            </w:tcBorders>
            <w:shd w:val="clear" w:color="auto" w:fill="auto"/>
            <w:noWrap/>
            <w:vAlign w:val="center"/>
            <w:hideMark/>
          </w:tcPr>
          <w:p w14:paraId="0B2E7F9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(0.177)</w:t>
            </w:r>
          </w:p>
        </w:tc>
        <w:tc>
          <w:tcPr>
            <w:tcW w:w="897" w:type="dxa"/>
            <w:tcBorders>
              <w:top w:val="nil"/>
              <w:left w:val="nil"/>
              <w:bottom w:val="nil"/>
              <w:right w:val="nil"/>
            </w:tcBorders>
            <w:shd w:val="clear" w:color="auto" w:fill="auto"/>
            <w:noWrap/>
            <w:vAlign w:val="center"/>
            <w:hideMark/>
          </w:tcPr>
          <w:p w14:paraId="11E25532"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(0.0119)</w:t>
            </w:r>
          </w:p>
        </w:tc>
        <w:tc>
          <w:tcPr>
            <w:tcW w:w="827" w:type="dxa"/>
            <w:tcBorders>
              <w:top w:val="nil"/>
              <w:left w:val="nil"/>
              <w:bottom w:val="nil"/>
              <w:right w:val="nil"/>
            </w:tcBorders>
            <w:shd w:val="clear" w:color="auto" w:fill="auto"/>
            <w:noWrap/>
            <w:vAlign w:val="center"/>
            <w:hideMark/>
          </w:tcPr>
          <w:p w14:paraId="32EB2A9E"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(0.0209)</w:t>
            </w:r>
          </w:p>
        </w:tc>
        <w:tc>
          <w:tcPr>
            <w:tcW w:w="857" w:type="dxa"/>
            <w:tcBorders>
              <w:top w:val="nil"/>
              <w:left w:val="nil"/>
              <w:bottom w:val="nil"/>
              <w:right w:val="nil"/>
            </w:tcBorders>
            <w:shd w:val="clear" w:color="auto" w:fill="auto"/>
            <w:noWrap/>
            <w:vAlign w:val="center"/>
            <w:hideMark/>
          </w:tcPr>
          <w:p w14:paraId="02CEC5DF"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(0.0281)</w:t>
            </w:r>
          </w:p>
        </w:tc>
        <w:tc>
          <w:tcPr>
            <w:tcW w:w="811" w:type="dxa"/>
            <w:tcBorders>
              <w:top w:val="nil"/>
              <w:left w:val="nil"/>
              <w:bottom w:val="nil"/>
              <w:right w:val="nil"/>
            </w:tcBorders>
            <w:shd w:val="clear" w:color="auto" w:fill="auto"/>
            <w:noWrap/>
            <w:vAlign w:val="center"/>
            <w:hideMark/>
          </w:tcPr>
          <w:p w14:paraId="5189A0A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(0.0189)</w:t>
            </w:r>
          </w:p>
        </w:tc>
        <w:tc>
          <w:tcPr>
            <w:tcW w:w="845" w:type="dxa"/>
            <w:tcBorders>
              <w:top w:val="nil"/>
              <w:left w:val="nil"/>
              <w:bottom w:val="nil"/>
              <w:right w:val="nil"/>
            </w:tcBorders>
            <w:shd w:val="clear" w:color="auto" w:fill="auto"/>
            <w:vAlign w:val="center"/>
          </w:tcPr>
          <w:p w14:paraId="27E4F9B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(0.0114)</w:t>
            </w:r>
          </w:p>
        </w:tc>
      </w:tr>
      <w:tr w:rsidR="00063F17" w:rsidRPr="00284C07" w14:paraId="75109C2C" w14:textId="77777777" w:rsidTr="00284C07">
        <w:trPr>
          <w:trHeight w:val="280"/>
        </w:trPr>
        <w:tc>
          <w:tcPr>
            <w:tcW w:w="1380" w:type="dxa"/>
            <w:tcBorders>
              <w:top w:val="nil"/>
              <w:left w:val="nil"/>
              <w:bottom w:val="nil"/>
              <w:right w:val="nil"/>
            </w:tcBorders>
            <w:shd w:val="clear" w:color="auto" w:fill="auto"/>
            <w:noWrap/>
            <w:vAlign w:val="bottom"/>
            <w:hideMark/>
          </w:tcPr>
          <w:p w14:paraId="756AC130"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Observations</w:t>
            </w:r>
          </w:p>
        </w:tc>
        <w:tc>
          <w:tcPr>
            <w:tcW w:w="714" w:type="dxa"/>
            <w:tcBorders>
              <w:top w:val="nil"/>
              <w:left w:val="nil"/>
              <w:bottom w:val="nil"/>
              <w:right w:val="nil"/>
            </w:tcBorders>
            <w:shd w:val="clear" w:color="auto" w:fill="auto"/>
            <w:noWrap/>
            <w:vAlign w:val="bottom"/>
            <w:hideMark/>
          </w:tcPr>
          <w:p w14:paraId="1B82482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34,489</w:t>
            </w:r>
          </w:p>
        </w:tc>
        <w:tc>
          <w:tcPr>
            <w:tcW w:w="714" w:type="dxa"/>
            <w:tcBorders>
              <w:top w:val="nil"/>
              <w:left w:val="nil"/>
              <w:bottom w:val="nil"/>
              <w:right w:val="nil"/>
            </w:tcBorders>
            <w:shd w:val="clear" w:color="auto" w:fill="auto"/>
            <w:noWrap/>
            <w:vAlign w:val="bottom"/>
            <w:hideMark/>
          </w:tcPr>
          <w:p w14:paraId="7015A680"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714" w:type="dxa"/>
            <w:tcBorders>
              <w:top w:val="nil"/>
              <w:left w:val="nil"/>
              <w:bottom w:val="nil"/>
              <w:right w:val="nil"/>
            </w:tcBorders>
            <w:shd w:val="clear" w:color="auto" w:fill="auto"/>
            <w:noWrap/>
            <w:vAlign w:val="bottom"/>
            <w:hideMark/>
          </w:tcPr>
          <w:p w14:paraId="09A16328"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34,492</w:t>
            </w:r>
          </w:p>
        </w:tc>
        <w:tc>
          <w:tcPr>
            <w:tcW w:w="797" w:type="dxa"/>
            <w:tcBorders>
              <w:top w:val="nil"/>
              <w:left w:val="nil"/>
              <w:bottom w:val="nil"/>
              <w:right w:val="nil"/>
            </w:tcBorders>
            <w:shd w:val="clear" w:color="auto" w:fill="auto"/>
            <w:noWrap/>
            <w:vAlign w:val="bottom"/>
            <w:hideMark/>
          </w:tcPr>
          <w:p w14:paraId="0F65A35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924" w:type="dxa"/>
            <w:tcBorders>
              <w:top w:val="nil"/>
              <w:left w:val="nil"/>
              <w:bottom w:val="nil"/>
              <w:right w:val="nil"/>
            </w:tcBorders>
            <w:shd w:val="clear" w:color="auto" w:fill="auto"/>
            <w:noWrap/>
            <w:vAlign w:val="bottom"/>
            <w:hideMark/>
          </w:tcPr>
          <w:p w14:paraId="49370D3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897" w:type="dxa"/>
            <w:tcBorders>
              <w:top w:val="nil"/>
              <w:left w:val="nil"/>
              <w:bottom w:val="nil"/>
              <w:right w:val="nil"/>
            </w:tcBorders>
            <w:shd w:val="clear" w:color="auto" w:fill="auto"/>
            <w:noWrap/>
            <w:vAlign w:val="bottom"/>
            <w:hideMark/>
          </w:tcPr>
          <w:p w14:paraId="600349C1"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827" w:type="dxa"/>
            <w:tcBorders>
              <w:top w:val="nil"/>
              <w:left w:val="nil"/>
              <w:bottom w:val="nil"/>
              <w:right w:val="nil"/>
            </w:tcBorders>
            <w:shd w:val="clear" w:color="auto" w:fill="auto"/>
            <w:noWrap/>
            <w:vAlign w:val="bottom"/>
            <w:hideMark/>
          </w:tcPr>
          <w:p w14:paraId="7931493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857" w:type="dxa"/>
            <w:tcBorders>
              <w:top w:val="nil"/>
              <w:left w:val="nil"/>
              <w:bottom w:val="nil"/>
              <w:right w:val="nil"/>
            </w:tcBorders>
            <w:shd w:val="clear" w:color="auto" w:fill="auto"/>
            <w:noWrap/>
            <w:vAlign w:val="bottom"/>
            <w:hideMark/>
          </w:tcPr>
          <w:p w14:paraId="72D3274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811" w:type="dxa"/>
            <w:tcBorders>
              <w:top w:val="nil"/>
              <w:left w:val="nil"/>
              <w:bottom w:val="nil"/>
              <w:right w:val="nil"/>
            </w:tcBorders>
            <w:shd w:val="clear" w:color="auto" w:fill="auto"/>
            <w:noWrap/>
            <w:vAlign w:val="bottom"/>
            <w:hideMark/>
          </w:tcPr>
          <w:p w14:paraId="2997070B"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c>
          <w:tcPr>
            <w:tcW w:w="845" w:type="dxa"/>
            <w:tcBorders>
              <w:top w:val="nil"/>
              <w:left w:val="nil"/>
              <w:bottom w:val="nil"/>
              <w:right w:val="nil"/>
            </w:tcBorders>
            <w:shd w:val="clear" w:color="auto" w:fill="auto"/>
            <w:vAlign w:val="bottom"/>
          </w:tcPr>
          <w:p w14:paraId="21F5FDA6"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34,495</w:t>
            </w:r>
          </w:p>
        </w:tc>
      </w:tr>
      <w:tr w:rsidR="00063F17" w:rsidRPr="00284C07" w14:paraId="43A89CF6" w14:textId="77777777" w:rsidTr="00284C07">
        <w:trPr>
          <w:trHeight w:val="280"/>
        </w:trPr>
        <w:tc>
          <w:tcPr>
            <w:tcW w:w="1380" w:type="dxa"/>
            <w:tcBorders>
              <w:top w:val="nil"/>
              <w:left w:val="nil"/>
              <w:bottom w:val="single" w:sz="4" w:space="0" w:color="auto"/>
              <w:right w:val="nil"/>
            </w:tcBorders>
            <w:shd w:val="clear" w:color="auto" w:fill="auto"/>
            <w:noWrap/>
            <w:vAlign w:val="bottom"/>
            <w:hideMark/>
          </w:tcPr>
          <w:p w14:paraId="19444025" w14:textId="77777777" w:rsidR="00063F17" w:rsidRPr="00284C07" w:rsidRDefault="00063F17" w:rsidP="00556CCF">
            <w:pPr>
              <w:spacing w:after="0" w:line="240" w:lineRule="auto"/>
              <w:rPr>
                <w:rFonts w:ascii="Times New Roman" w:eastAsia="Times New Roman" w:hAnsi="Times New Roman" w:cs="Times New Roman"/>
                <w:color w:val="000000"/>
                <w:sz w:val="14"/>
                <w:szCs w:val="18"/>
              </w:rPr>
            </w:pPr>
            <w:r w:rsidRPr="00284C07">
              <w:rPr>
                <w:rFonts w:ascii="Times New Roman" w:eastAsia="Times New Roman" w:hAnsi="Times New Roman" w:cs="Times New Roman"/>
                <w:color w:val="000000"/>
                <w:sz w:val="14"/>
                <w:szCs w:val="18"/>
              </w:rPr>
              <w:t>R-squared</w:t>
            </w:r>
          </w:p>
        </w:tc>
        <w:tc>
          <w:tcPr>
            <w:tcW w:w="714" w:type="dxa"/>
            <w:tcBorders>
              <w:top w:val="nil"/>
              <w:left w:val="nil"/>
              <w:bottom w:val="single" w:sz="4" w:space="0" w:color="auto"/>
              <w:right w:val="nil"/>
            </w:tcBorders>
            <w:shd w:val="clear" w:color="auto" w:fill="auto"/>
            <w:noWrap/>
            <w:vAlign w:val="bottom"/>
            <w:hideMark/>
          </w:tcPr>
          <w:p w14:paraId="6A5D7E2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0.205</w:t>
            </w:r>
          </w:p>
        </w:tc>
        <w:tc>
          <w:tcPr>
            <w:tcW w:w="714" w:type="dxa"/>
            <w:tcBorders>
              <w:top w:val="nil"/>
              <w:left w:val="nil"/>
              <w:bottom w:val="single" w:sz="4" w:space="0" w:color="auto"/>
              <w:right w:val="nil"/>
            </w:tcBorders>
            <w:shd w:val="clear" w:color="auto" w:fill="auto"/>
            <w:noWrap/>
            <w:vAlign w:val="bottom"/>
            <w:hideMark/>
          </w:tcPr>
          <w:p w14:paraId="1FBE1057"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0.244</w:t>
            </w:r>
          </w:p>
        </w:tc>
        <w:tc>
          <w:tcPr>
            <w:tcW w:w="714" w:type="dxa"/>
            <w:tcBorders>
              <w:top w:val="nil"/>
              <w:left w:val="nil"/>
              <w:bottom w:val="single" w:sz="4" w:space="0" w:color="auto"/>
              <w:right w:val="nil"/>
            </w:tcBorders>
            <w:shd w:val="clear" w:color="auto" w:fill="auto"/>
            <w:noWrap/>
            <w:vAlign w:val="bottom"/>
            <w:hideMark/>
          </w:tcPr>
          <w:p w14:paraId="59858F7A"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0.217</w:t>
            </w:r>
          </w:p>
        </w:tc>
        <w:tc>
          <w:tcPr>
            <w:tcW w:w="797" w:type="dxa"/>
            <w:tcBorders>
              <w:top w:val="nil"/>
              <w:left w:val="nil"/>
              <w:bottom w:val="single" w:sz="4" w:space="0" w:color="auto"/>
              <w:right w:val="nil"/>
            </w:tcBorders>
            <w:shd w:val="clear" w:color="auto" w:fill="auto"/>
            <w:noWrap/>
            <w:vAlign w:val="bottom"/>
            <w:hideMark/>
          </w:tcPr>
          <w:p w14:paraId="73DE2C2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0.267</w:t>
            </w:r>
          </w:p>
        </w:tc>
        <w:tc>
          <w:tcPr>
            <w:tcW w:w="924" w:type="dxa"/>
            <w:tcBorders>
              <w:top w:val="nil"/>
              <w:left w:val="nil"/>
              <w:bottom w:val="single" w:sz="4" w:space="0" w:color="auto"/>
              <w:right w:val="nil"/>
            </w:tcBorders>
            <w:shd w:val="clear" w:color="auto" w:fill="auto"/>
            <w:noWrap/>
            <w:vAlign w:val="bottom"/>
            <w:hideMark/>
          </w:tcPr>
          <w:p w14:paraId="2D510FDD"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0.252</w:t>
            </w:r>
          </w:p>
        </w:tc>
        <w:tc>
          <w:tcPr>
            <w:tcW w:w="897" w:type="dxa"/>
            <w:tcBorders>
              <w:top w:val="nil"/>
              <w:left w:val="nil"/>
              <w:bottom w:val="single" w:sz="4" w:space="0" w:color="auto"/>
              <w:right w:val="nil"/>
            </w:tcBorders>
            <w:shd w:val="clear" w:color="auto" w:fill="auto"/>
            <w:noWrap/>
            <w:vAlign w:val="bottom"/>
            <w:hideMark/>
          </w:tcPr>
          <w:p w14:paraId="19DA6B9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0.080</w:t>
            </w:r>
          </w:p>
        </w:tc>
        <w:tc>
          <w:tcPr>
            <w:tcW w:w="827" w:type="dxa"/>
            <w:tcBorders>
              <w:top w:val="nil"/>
              <w:left w:val="nil"/>
              <w:bottom w:val="single" w:sz="4" w:space="0" w:color="auto"/>
              <w:right w:val="nil"/>
            </w:tcBorders>
            <w:shd w:val="clear" w:color="auto" w:fill="auto"/>
            <w:noWrap/>
            <w:vAlign w:val="bottom"/>
            <w:hideMark/>
          </w:tcPr>
          <w:p w14:paraId="6B5DBB85"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0.155</w:t>
            </w:r>
          </w:p>
        </w:tc>
        <w:tc>
          <w:tcPr>
            <w:tcW w:w="857" w:type="dxa"/>
            <w:tcBorders>
              <w:top w:val="nil"/>
              <w:left w:val="nil"/>
              <w:bottom w:val="single" w:sz="4" w:space="0" w:color="auto"/>
              <w:right w:val="nil"/>
            </w:tcBorders>
            <w:shd w:val="clear" w:color="auto" w:fill="auto"/>
            <w:noWrap/>
            <w:vAlign w:val="bottom"/>
            <w:hideMark/>
          </w:tcPr>
          <w:p w14:paraId="05EFC45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0.112</w:t>
            </w:r>
          </w:p>
        </w:tc>
        <w:tc>
          <w:tcPr>
            <w:tcW w:w="811" w:type="dxa"/>
            <w:tcBorders>
              <w:top w:val="nil"/>
              <w:left w:val="nil"/>
              <w:bottom w:val="single" w:sz="4" w:space="0" w:color="auto"/>
              <w:right w:val="nil"/>
            </w:tcBorders>
            <w:shd w:val="clear" w:color="auto" w:fill="auto"/>
            <w:noWrap/>
            <w:vAlign w:val="bottom"/>
            <w:hideMark/>
          </w:tcPr>
          <w:p w14:paraId="5A4C3484"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0.136</w:t>
            </w:r>
          </w:p>
        </w:tc>
        <w:tc>
          <w:tcPr>
            <w:tcW w:w="845" w:type="dxa"/>
            <w:tcBorders>
              <w:top w:val="nil"/>
              <w:left w:val="nil"/>
              <w:bottom w:val="single" w:sz="4" w:space="0" w:color="auto"/>
              <w:right w:val="nil"/>
            </w:tcBorders>
            <w:shd w:val="clear" w:color="auto" w:fill="auto"/>
            <w:vAlign w:val="bottom"/>
          </w:tcPr>
          <w:p w14:paraId="38878FE9" w14:textId="77777777" w:rsidR="00063F17" w:rsidRPr="00284C07" w:rsidRDefault="00063F17" w:rsidP="00556CCF">
            <w:pPr>
              <w:spacing w:after="0" w:line="240" w:lineRule="auto"/>
              <w:jc w:val="center"/>
              <w:rPr>
                <w:rFonts w:ascii="Times New Roman" w:eastAsia="Times New Roman" w:hAnsi="Times New Roman" w:cs="Times New Roman"/>
                <w:color w:val="000000"/>
                <w:sz w:val="14"/>
                <w:szCs w:val="18"/>
              </w:rPr>
            </w:pPr>
            <w:r w:rsidRPr="00284C07">
              <w:rPr>
                <w:rFonts w:ascii="Times New Roman" w:hAnsi="Times New Roman" w:cs="Times New Roman"/>
                <w:color w:val="000000"/>
                <w:sz w:val="14"/>
                <w:szCs w:val="18"/>
              </w:rPr>
              <w:t>0.084</w:t>
            </w:r>
          </w:p>
        </w:tc>
      </w:tr>
    </w:tbl>
    <w:p w14:paraId="369A4F80" w14:textId="77777777" w:rsidR="00063F17" w:rsidRPr="00EC0994" w:rsidRDefault="00063F17" w:rsidP="00063F17">
      <w:pPr>
        <w:spacing w:after="0" w:line="240" w:lineRule="auto"/>
        <w:rPr>
          <w:rFonts w:ascii="Times New Roman" w:eastAsia="Times New Roman" w:hAnsi="Times New Roman" w:cs="Times New Roman"/>
          <w:color w:val="000000"/>
          <w:sz w:val="18"/>
        </w:rPr>
      </w:pPr>
      <w:r w:rsidRPr="00EC0994">
        <w:rPr>
          <w:rFonts w:ascii="Times New Roman" w:eastAsia="Times New Roman" w:hAnsi="Times New Roman" w:cs="Times New Roman"/>
          <w:color w:val="000000"/>
          <w:sz w:val="18"/>
        </w:rPr>
        <w:t>Each model includes cohort and high school fixed effects and controls for race/ethnicity, gender, age, pell, and an indicator of whether they received another scholarship. Robust standard errors in parentheses *** p&lt;0.01, ** p&lt;0.05, * p&lt;0.1</w:t>
      </w:r>
    </w:p>
    <w:p w14:paraId="58E8BBF0" w14:textId="77777777" w:rsidR="00063F17" w:rsidRPr="00756309" w:rsidRDefault="00063F17" w:rsidP="00063F17">
      <w:pPr>
        <w:spacing w:after="0" w:line="240" w:lineRule="auto"/>
        <w:rPr>
          <w:rFonts w:ascii="Palatino Linotype" w:eastAsia="Times New Roman" w:hAnsi="Palatino Linotype" w:cs="Calibri"/>
          <w:b/>
          <w:color w:val="000000"/>
          <w:sz w:val="20"/>
          <w:szCs w:val="20"/>
        </w:rPr>
      </w:pPr>
    </w:p>
    <w:p w14:paraId="19E17099" w14:textId="58F8C00F" w:rsidR="00D67CF8" w:rsidRPr="002E11AE" w:rsidRDefault="00D67CF8" w:rsidP="000E68A5">
      <w:pPr>
        <w:spacing w:line="480" w:lineRule="auto"/>
        <w:rPr>
          <w:rFonts w:ascii="Times New Roman" w:hAnsi="Times New Roman" w:cs="Times New Roman"/>
          <w:b/>
          <w:sz w:val="24"/>
          <w:szCs w:val="24"/>
        </w:rPr>
      </w:pPr>
      <w:r w:rsidRPr="002E11AE">
        <w:rPr>
          <w:rFonts w:ascii="Times New Roman" w:hAnsi="Times New Roman" w:cs="Times New Roman"/>
          <w:b/>
          <w:sz w:val="24"/>
          <w:szCs w:val="24"/>
        </w:rPr>
        <w:br w:type="page"/>
      </w:r>
    </w:p>
    <w:p w14:paraId="39D9B13F" w14:textId="21E0218C" w:rsidR="003F1F83" w:rsidRDefault="009D5924" w:rsidP="00383984">
      <w:pPr>
        <w:spacing w:after="0" w:line="480" w:lineRule="auto"/>
        <w:rPr>
          <w:rFonts w:ascii="Times New Roman" w:hAnsi="Times New Roman" w:cs="Times New Roman"/>
          <w:b/>
          <w:sz w:val="36"/>
          <w:szCs w:val="36"/>
        </w:rPr>
      </w:pPr>
      <w:r w:rsidRPr="009D5924">
        <w:rPr>
          <w:rFonts w:ascii="Times New Roman" w:hAnsi="Times New Roman" w:cs="Times New Roman"/>
          <w:b/>
          <w:sz w:val="36"/>
          <w:szCs w:val="36"/>
        </w:rPr>
        <w:lastRenderedPageBreak/>
        <w:t xml:space="preserve">Chapter </w:t>
      </w:r>
      <w:r>
        <w:rPr>
          <w:rFonts w:ascii="Times New Roman" w:hAnsi="Times New Roman" w:cs="Times New Roman"/>
          <w:b/>
          <w:sz w:val="36"/>
          <w:szCs w:val="36"/>
        </w:rPr>
        <w:t>6</w:t>
      </w:r>
      <w:r w:rsidRPr="009D5924">
        <w:rPr>
          <w:rFonts w:ascii="Times New Roman" w:hAnsi="Times New Roman" w:cs="Times New Roman"/>
          <w:b/>
          <w:sz w:val="36"/>
          <w:szCs w:val="36"/>
        </w:rPr>
        <w:t xml:space="preserve">: </w:t>
      </w:r>
      <w:r>
        <w:rPr>
          <w:rFonts w:ascii="Times New Roman" w:hAnsi="Times New Roman" w:cs="Times New Roman"/>
          <w:b/>
          <w:sz w:val="36"/>
          <w:szCs w:val="36"/>
        </w:rPr>
        <w:t>Conclusion</w:t>
      </w:r>
    </w:p>
    <w:p w14:paraId="2E73C590" w14:textId="6F193ADC" w:rsidR="00383984" w:rsidRPr="00383984" w:rsidRDefault="00383984" w:rsidP="00383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1, I </w:t>
      </w:r>
      <w:r w:rsidR="007777C5">
        <w:rPr>
          <w:rFonts w:ascii="Times New Roman" w:hAnsi="Times New Roman" w:cs="Times New Roman"/>
          <w:sz w:val="24"/>
          <w:szCs w:val="24"/>
        </w:rPr>
        <w:t xml:space="preserve">draw on literature from public management and public policy to </w:t>
      </w:r>
      <w:r>
        <w:rPr>
          <w:rFonts w:ascii="Times New Roman" w:hAnsi="Times New Roman" w:cs="Times New Roman"/>
          <w:sz w:val="24"/>
          <w:szCs w:val="24"/>
        </w:rPr>
        <w:t xml:space="preserve">introduce a comprehensive framework for assessing the impact of policy design on outcomes which I apply to college promise policies in Chapter 2. This framework, described in detail in Figure </w:t>
      </w:r>
      <w:r w:rsidR="001A1421">
        <w:rPr>
          <w:rFonts w:ascii="Times New Roman" w:hAnsi="Times New Roman" w:cs="Times New Roman"/>
          <w:sz w:val="24"/>
          <w:szCs w:val="24"/>
        </w:rPr>
        <w:t>6-1</w:t>
      </w:r>
      <w:r>
        <w:rPr>
          <w:rFonts w:ascii="Times New Roman" w:hAnsi="Times New Roman" w:cs="Times New Roman"/>
          <w:sz w:val="24"/>
          <w:szCs w:val="24"/>
        </w:rPr>
        <w:t xml:space="preserve">, reaches across the boundaries of public policy and public administration to construct the following logic model for the three pathways by which I argue policy design affects outcomes. </w:t>
      </w:r>
    </w:p>
    <w:p w14:paraId="2CDD6546" w14:textId="2587C0B6" w:rsidR="00E75719" w:rsidRDefault="00284C07" w:rsidP="00E75719">
      <w:pPr>
        <w:spacing w:after="0" w:line="240" w:lineRule="auto"/>
        <w:textAlignment w:val="center"/>
        <w:rPr>
          <w:rFonts w:ascii="Times New Roman" w:eastAsia="Times New Roman" w:hAnsi="Times New Roman" w:cs="Times New Roman"/>
          <w:sz w:val="24"/>
          <w:szCs w:val="24"/>
        </w:rPr>
      </w:pPr>
      <w:r w:rsidRPr="005B2DFB">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70882041" wp14:editId="128C596F">
                <wp:simplePos x="0" y="0"/>
                <wp:positionH relativeFrom="column">
                  <wp:posOffset>4411980</wp:posOffset>
                </wp:positionH>
                <wp:positionV relativeFrom="paragraph">
                  <wp:posOffset>1428750</wp:posOffset>
                </wp:positionV>
                <wp:extent cx="281940" cy="419100"/>
                <wp:effectExtent l="0" t="38100" r="41910" b="57150"/>
                <wp:wrapNone/>
                <wp:docPr id="54" name="Arrow: Right 54"/>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2A6EA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4" o:spid="_x0000_s1026" type="#_x0000_t13" style="position:absolute;margin-left:347.4pt;margin-top:112.5pt;width:22.2pt;height:33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0C4BB4B2" wp14:editId="438FF032">
                <wp:simplePos x="0" y="0"/>
                <wp:positionH relativeFrom="column">
                  <wp:posOffset>2926080</wp:posOffset>
                </wp:positionH>
                <wp:positionV relativeFrom="paragraph">
                  <wp:posOffset>1405890</wp:posOffset>
                </wp:positionV>
                <wp:extent cx="281940" cy="419100"/>
                <wp:effectExtent l="0" t="38100" r="41910" b="57150"/>
                <wp:wrapNone/>
                <wp:docPr id="55" name="Arrow: Right 55"/>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F18D7E5" id="Arrow: Right 55" o:spid="_x0000_s1026" type="#_x0000_t13" style="position:absolute;margin-left:230.4pt;margin-top:110.7pt;width:22.2pt;height:33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" adj="10800" fillcolor="black [3213]" strokecolor="black [3213]" strokeweight="1pt"/>
            </w:pict>
          </mc:Fallback>
        </mc:AlternateContent>
      </w:r>
      <w:r w:rsidRPr="005B2DFB">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26FA5601" wp14:editId="06E91413">
                <wp:simplePos x="0" y="0"/>
                <wp:positionH relativeFrom="column">
                  <wp:posOffset>1356360</wp:posOffset>
                </wp:positionH>
                <wp:positionV relativeFrom="paragraph">
                  <wp:posOffset>1428750</wp:posOffset>
                </wp:positionV>
                <wp:extent cx="281940" cy="419100"/>
                <wp:effectExtent l="0" t="38100" r="41910" b="57150"/>
                <wp:wrapNone/>
                <wp:docPr id="56" name="Arrow: Right 56"/>
                <wp:cNvGraphicFramePr/>
                <a:graphic xmlns:a="http://schemas.openxmlformats.org/drawingml/2006/main">
                  <a:graphicData uri="http://schemas.microsoft.com/office/word/2010/wordprocessingShape">
                    <wps:wsp>
                      <wps:cNvSpPr/>
                      <wps:spPr>
                        <a:xfrm>
                          <a:off x="0" y="0"/>
                          <a:ext cx="281940" cy="41910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5E5660" id="Arrow: Right 56" o:spid="_x0000_s1026" type="#_x0000_t13" style="position:absolute;margin-left:106.8pt;margin-top:112.5pt;width:22.2pt;height:33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" adj="10800" fillcolor="black [3213]" strokecolor="black [3213]" strokeweight="1pt"/>
            </w:pict>
          </mc:Fallback>
        </mc:AlternateContent>
      </w:r>
      <w:r w:rsidR="00E75719" w:rsidRPr="005B2DFB">
        <w:rPr>
          <w:rFonts w:ascii="Times New Roman" w:hAnsi="Times New Roman" w:cs="Times New Roman"/>
          <w:noProof/>
          <w:sz w:val="24"/>
          <w:szCs w:val="24"/>
        </w:rPr>
        <w:drawing>
          <wp:inline distT="0" distB="0" distL="0" distR="0" wp14:anchorId="6F04EEA9" wp14:editId="0457C5A5">
            <wp:extent cx="6019800" cy="3116580"/>
            <wp:effectExtent l="0" t="0" r="0" b="45720"/>
            <wp:docPr id="57" name="Diagra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p>
    <w:p w14:paraId="4482FF47" w14:textId="5D773D21" w:rsidR="00E75719" w:rsidRDefault="00E75719" w:rsidP="00E75719">
      <w:pPr>
        <w:spacing w:after="0" w:line="240" w:lineRule="auto"/>
        <w:rPr>
          <w:rFonts w:ascii="Times New Roman" w:hAnsi="Times New Roman" w:cs="Times New Roman"/>
          <w:sz w:val="24"/>
          <w:szCs w:val="24"/>
        </w:rPr>
      </w:pPr>
      <w:r w:rsidRPr="005B2DFB">
        <w:rPr>
          <w:rFonts w:ascii="Times New Roman" w:hAnsi="Times New Roman" w:cs="Times New Roman"/>
          <w:sz w:val="24"/>
          <w:szCs w:val="24"/>
        </w:rPr>
        <w:t xml:space="preserve">Figure </w:t>
      </w:r>
      <w:r w:rsidR="001A1421">
        <w:rPr>
          <w:rFonts w:ascii="Times New Roman" w:hAnsi="Times New Roman" w:cs="Times New Roman"/>
          <w:sz w:val="24"/>
          <w:szCs w:val="24"/>
        </w:rPr>
        <w:t>6-</w:t>
      </w:r>
      <w:r w:rsidRPr="005B2DFB">
        <w:rPr>
          <w:rFonts w:ascii="Times New Roman" w:hAnsi="Times New Roman" w:cs="Times New Roman"/>
          <w:sz w:val="24"/>
          <w:szCs w:val="24"/>
        </w:rPr>
        <w:t>1. Policy Design Framework</w:t>
      </w:r>
      <w:r>
        <w:rPr>
          <w:rFonts w:ascii="Times New Roman" w:hAnsi="Times New Roman" w:cs="Times New Roman"/>
          <w:sz w:val="24"/>
          <w:szCs w:val="24"/>
        </w:rPr>
        <w:t xml:space="preserve"> Applied to College Promise Policies</w:t>
      </w:r>
    </w:p>
    <w:p w14:paraId="62F9CDB8" w14:textId="168DF49F" w:rsidR="00383984" w:rsidRDefault="00383984" w:rsidP="00D35EEB">
      <w:pPr>
        <w:spacing w:after="0" w:line="480" w:lineRule="auto"/>
        <w:rPr>
          <w:rFonts w:ascii="Times New Roman" w:hAnsi="Times New Roman" w:cs="Times New Roman"/>
          <w:sz w:val="24"/>
          <w:szCs w:val="24"/>
        </w:rPr>
      </w:pPr>
    </w:p>
    <w:p w14:paraId="208EEF4E" w14:textId="69875B89" w:rsidR="003714EF" w:rsidRDefault="00A46C48" w:rsidP="00D35E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there is the politics </w:t>
      </w:r>
      <w:r w:rsidR="003714EF">
        <w:rPr>
          <w:rFonts w:ascii="Times New Roman" w:hAnsi="Times New Roman" w:cs="Times New Roman"/>
          <w:sz w:val="24"/>
          <w:szCs w:val="24"/>
        </w:rPr>
        <w:t>pathway</w:t>
      </w:r>
      <w:r>
        <w:rPr>
          <w:rFonts w:ascii="Times New Roman" w:hAnsi="Times New Roman" w:cs="Times New Roman"/>
          <w:sz w:val="24"/>
          <w:szCs w:val="24"/>
        </w:rPr>
        <w:t>, in which political feasibility may come into conflict with efficiency and effectiveness</w:t>
      </w:r>
      <w:r w:rsidR="003714EF">
        <w:rPr>
          <w:rFonts w:ascii="Times New Roman" w:hAnsi="Times New Roman" w:cs="Times New Roman"/>
          <w:sz w:val="24"/>
          <w:szCs w:val="24"/>
        </w:rPr>
        <w:t>, ultimately shaping who gets what when and how in college promise policies. In Chapter 3, I demonstrate how the social construction of target population shapes public support for college promise policies</w:t>
      </w:r>
      <w:r w:rsidR="001A72CC">
        <w:rPr>
          <w:rFonts w:ascii="Times New Roman" w:hAnsi="Times New Roman" w:cs="Times New Roman"/>
          <w:sz w:val="24"/>
          <w:szCs w:val="24"/>
        </w:rPr>
        <w:t xml:space="preserve"> and introduces potential tensions between political feasibility and effectiveness. In particular, while the public is more likely to support college promise policies that are structured as universal, merit-based benefits, these policies are </w:t>
      </w:r>
      <w:r w:rsidR="001A72CC">
        <w:rPr>
          <w:rFonts w:ascii="Times New Roman" w:hAnsi="Times New Roman" w:cs="Times New Roman"/>
          <w:sz w:val="24"/>
          <w:szCs w:val="24"/>
        </w:rPr>
        <w:lastRenderedPageBreak/>
        <w:t>likely to be the least efficient and also potentially the least effective at accomplishing the goals of expanding college access and affordability. From a political standpoint, policymakers looking to gain support from broad constituencies would gain political points</w:t>
      </w:r>
      <w:r w:rsidR="00794178">
        <w:rPr>
          <w:rFonts w:ascii="Times New Roman" w:hAnsi="Times New Roman" w:cs="Times New Roman"/>
          <w:sz w:val="24"/>
          <w:szCs w:val="24"/>
        </w:rPr>
        <w:t xml:space="preserve"> (a broader political constituency)</w:t>
      </w:r>
      <w:r w:rsidR="001A72CC">
        <w:rPr>
          <w:rFonts w:ascii="Times New Roman" w:hAnsi="Times New Roman" w:cs="Times New Roman"/>
          <w:sz w:val="24"/>
          <w:szCs w:val="24"/>
        </w:rPr>
        <w:t xml:space="preserve"> for allowing all in-state families to benefit from college promise and ensuring that tax payer money is only allocated to those students that demonstrate some degree of “college readiness”. However, </w:t>
      </w:r>
      <w:r w:rsidR="0027002D">
        <w:rPr>
          <w:rFonts w:ascii="Times New Roman" w:hAnsi="Times New Roman" w:cs="Times New Roman"/>
          <w:sz w:val="24"/>
          <w:szCs w:val="24"/>
        </w:rPr>
        <w:t xml:space="preserve">this politically optimal structure also would shut out students that likely face the most challenges in accessing and affording college and provide benefits to students who would have attended college with or without the presence of a college promise program. Therefore, this chapter demonstrates the importance of politics and social constructions of target populations in shaping the relationship between policy design and outcomes. However, there are also instances where despite the potential political costs, policymakers may enact policies that target benefits to students who need help the most. </w:t>
      </w:r>
      <w:r w:rsidR="00112F98">
        <w:rPr>
          <w:rFonts w:ascii="Times New Roman" w:hAnsi="Times New Roman" w:cs="Times New Roman"/>
          <w:sz w:val="24"/>
          <w:szCs w:val="24"/>
        </w:rPr>
        <w:t xml:space="preserve">In this case, the first pathway between policy design and outcomes would be clear of barriers, but there are still two other pathways by which policy design can form barriers to achieving the policy goals. </w:t>
      </w:r>
    </w:p>
    <w:p w14:paraId="712BAA95" w14:textId="308F436A" w:rsidR="003F1F83" w:rsidRDefault="003714EF" w:rsidP="00D35E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 I discuss the statutory design pathway</w:t>
      </w:r>
      <w:r w:rsidR="00656994">
        <w:rPr>
          <w:rFonts w:ascii="Times New Roman" w:hAnsi="Times New Roman" w:cs="Times New Roman"/>
          <w:sz w:val="24"/>
          <w:szCs w:val="24"/>
        </w:rPr>
        <w:t xml:space="preserve"> in Chapter </w:t>
      </w:r>
      <w:r w:rsidR="001B7710">
        <w:rPr>
          <w:rFonts w:ascii="Times New Roman" w:hAnsi="Times New Roman" w:cs="Times New Roman"/>
          <w:sz w:val="24"/>
          <w:szCs w:val="24"/>
        </w:rPr>
        <w:t>5</w:t>
      </w:r>
      <w:r>
        <w:rPr>
          <w:rFonts w:ascii="Times New Roman" w:hAnsi="Times New Roman" w:cs="Times New Roman"/>
          <w:sz w:val="24"/>
          <w:szCs w:val="24"/>
        </w:rPr>
        <w:t xml:space="preserve">, which describes the </w:t>
      </w:r>
      <w:r w:rsidR="00E560F0">
        <w:rPr>
          <w:rFonts w:ascii="Times New Roman" w:hAnsi="Times New Roman" w:cs="Times New Roman"/>
          <w:sz w:val="24"/>
          <w:szCs w:val="24"/>
        </w:rPr>
        <w:t>implications of aid structures</w:t>
      </w:r>
      <w:r>
        <w:rPr>
          <w:rFonts w:ascii="Times New Roman" w:hAnsi="Times New Roman" w:cs="Times New Roman"/>
          <w:sz w:val="24"/>
          <w:szCs w:val="24"/>
        </w:rPr>
        <w:t>,</w:t>
      </w:r>
      <w:r w:rsidR="00E560F0">
        <w:rPr>
          <w:rFonts w:ascii="Times New Roman" w:hAnsi="Times New Roman" w:cs="Times New Roman"/>
          <w:sz w:val="24"/>
          <w:szCs w:val="24"/>
        </w:rPr>
        <w:t xml:space="preserve"> </w:t>
      </w:r>
      <w:r>
        <w:rPr>
          <w:rFonts w:ascii="Times New Roman" w:hAnsi="Times New Roman" w:cs="Times New Roman"/>
          <w:sz w:val="24"/>
          <w:szCs w:val="24"/>
        </w:rPr>
        <w:t>eligibility requirements,</w:t>
      </w:r>
      <w:r w:rsidR="00E560F0">
        <w:rPr>
          <w:rFonts w:ascii="Times New Roman" w:hAnsi="Times New Roman" w:cs="Times New Roman"/>
          <w:sz w:val="24"/>
          <w:szCs w:val="24"/>
        </w:rPr>
        <w:t xml:space="preserve"> </w:t>
      </w:r>
      <w:r>
        <w:rPr>
          <w:rFonts w:ascii="Times New Roman" w:hAnsi="Times New Roman" w:cs="Times New Roman"/>
          <w:sz w:val="24"/>
          <w:szCs w:val="24"/>
        </w:rPr>
        <w:t xml:space="preserve">requirements for students receiving aid and the provision or lack thereof of student supports like mentoring and </w:t>
      </w:r>
      <w:r w:rsidR="00BD7A3E">
        <w:rPr>
          <w:rFonts w:ascii="Times New Roman" w:hAnsi="Times New Roman" w:cs="Times New Roman"/>
          <w:sz w:val="24"/>
          <w:szCs w:val="24"/>
        </w:rPr>
        <w:t>childcare</w:t>
      </w:r>
      <w:r>
        <w:rPr>
          <w:rFonts w:ascii="Times New Roman" w:hAnsi="Times New Roman" w:cs="Times New Roman"/>
          <w:sz w:val="24"/>
          <w:szCs w:val="24"/>
        </w:rPr>
        <w:t>.</w:t>
      </w:r>
      <w:r w:rsidR="00656994">
        <w:rPr>
          <w:rFonts w:ascii="Times New Roman" w:hAnsi="Times New Roman" w:cs="Times New Roman"/>
          <w:sz w:val="24"/>
          <w:szCs w:val="24"/>
        </w:rPr>
        <w:t xml:space="preserve"> </w:t>
      </w:r>
      <w:r w:rsidR="0022716F">
        <w:rPr>
          <w:rFonts w:ascii="Times New Roman" w:hAnsi="Times New Roman" w:cs="Times New Roman"/>
          <w:sz w:val="24"/>
          <w:szCs w:val="24"/>
        </w:rPr>
        <w:t xml:space="preserve">Even if the policy is structured so that those who need help the most are eligible for the aid, </w:t>
      </w:r>
      <w:r w:rsidR="008E3E13">
        <w:rPr>
          <w:rFonts w:ascii="Times New Roman" w:hAnsi="Times New Roman" w:cs="Times New Roman"/>
          <w:sz w:val="24"/>
          <w:szCs w:val="24"/>
        </w:rPr>
        <w:t>the statutory design must demonstrate an alignment with client needs and integrate the policy tools that meaningfully meet those needs. For instance, in the</w:t>
      </w:r>
      <w:r w:rsidR="00E30789">
        <w:rPr>
          <w:rFonts w:ascii="Times New Roman" w:hAnsi="Times New Roman" w:cs="Times New Roman"/>
          <w:sz w:val="24"/>
          <w:szCs w:val="24"/>
        </w:rPr>
        <w:t xml:space="preserve"> narrow, last-dollar</w:t>
      </w:r>
      <w:r w:rsidR="008E3E13">
        <w:rPr>
          <w:rFonts w:ascii="Times New Roman" w:hAnsi="Times New Roman" w:cs="Times New Roman"/>
          <w:sz w:val="24"/>
          <w:szCs w:val="24"/>
        </w:rPr>
        <w:t xml:space="preserve"> Tulsa Achieves program, low-income students are eligible for the aid as long as they have a 2.0 high school GPA</w:t>
      </w:r>
      <w:r w:rsidR="002743FC">
        <w:rPr>
          <w:rFonts w:ascii="Times New Roman" w:hAnsi="Times New Roman" w:cs="Times New Roman"/>
          <w:sz w:val="24"/>
          <w:szCs w:val="24"/>
        </w:rPr>
        <w:t xml:space="preserve">, but many of these students do not receive any financial support due to the last-dollar structure and the lack of support for living expenses such as rent, transportation and books. Therefore, the </w:t>
      </w:r>
      <w:r w:rsidR="002743FC">
        <w:rPr>
          <w:rFonts w:ascii="Times New Roman" w:hAnsi="Times New Roman" w:cs="Times New Roman"/>
          <w:sz w:val="24"/>
          <w:szCs w:val="24"/>
        </w:rPr>
        <w:lastRenderedPageBreak/>
        <w:t xml:space="preserve">students who benefit the most from this policy are those that are not eligible for the federal </w:t>
      </w:r>
      <w:r w:rsidR="00E560F0">
        <w:rPr>
          <w:rFonts w:ascii="Times New Roman" w:hAnsi="Times New Roman" w:cs="Times New Roman"/>
          <w:sz w:val="24"/>
          <w:szCs w:val="24"/>
        </w:rPr>
        <w:t>Pell</w:t>
      </w:r>
      <w:r w:rsidR="002743FC">
        <w:rPr>
          <w:rFonts w:ascii="Times New Roman" w:hAnsi="Times New Roman" w:cs="Times New Roman"/>
          <w:sz w:val="24"/>
          <w:szCs w:val="24"/>
        </w:rPr>
        <w:t xml:space="preserve"> grant, which excludes the students in the lowest income quartile from receiving any benefit from the program—the students who are also least likely to </w:t>
      </w:r>
      <w:r w:rsidR="00E560F0">
        <w:rPr>
          <w:rFonts w:ascii="Times New Roman" w:hAnsi="Times New Roman" w:cs="Times New Roman"/>
          <w:sz w:val="24"/>
          <w:szCs w:val="24"/>
        </w:rPr>
        <w:t xml:space="preserve">earn a degree and afford college. </w:t>
      </w:r>
      <w:r w:rsidR="00FA6379">
        <w:rPr>
          <w:rFonts w:ascii="Times New Roman" w:hAnsi="Times New Roman" w:cs="Times New Roman"/>
          <w:sz w:val="24"/>
          <w:szCs w:val="24"/>
        </w:rPr>
        <w:t xml:space="preserve">However, financial aid may be one of many ways in which Tulsa Achieves impacted college access and success for students. </w:t>
      </w:r>
      <w:r w:rsidR="005C5A80">
        <w:rPr>
          <w:rFonts w:ascii="Times New Roman" w:hAnsi="Times New Roman" w:cs="Times New Roman"/>
          <w:sz w:val="24"/>
          <w:szCs w:val="24"/>
        </w:rPr>
        <w:t>Indeed, according to the analysis, the program did induce some positive changes in GPA and bachelor’s degree completion. I</w:t>
      </w:r>
      <w:r w:rsidR="00FA6379">
        <w:rPr>
          <w:rFonts w:ascii="Times New Roman" w:hAnsi="Times New Roman" w:cs="Times New Roman"/>
          <w:sz w:val="24"/>
          <w:szCs w:val="24"/>
        </w:rPr>
        <w:t xml:space="preserve">t </w:t>
      </w:r>
      <w:r w:rsidR="005C5A80">
        <w:rPr>
          <w:rFonts w:ascii="Times New Roman" w:hAnsi="Times New Roman" w:cs="Times New Roman"/>
          <w:sz w:val="24"/>
          <w:szCs w:val="24"/>
        </w:rPr>
        <w:t xml:space="preserve">also </w:t>
      </w:r>
      <w:r w:rsidR="00FA6379">
        <w:rPr>
          <w:rFonts w:ascii="Times New Roman" w:hAnsi="Times New Roman" w:cs="Times New Roman"/>
          <w:sz w:val="24"/>
          <w:szCs w:val="24"/>
        </w:rPr>
        <w:t>appears that</w:t>
      </w:r>
      <w:r w:rsidR="005C5A80">
        <w:rPr>
          <w:rFonts w:ascii="Times New Roman" w:hAnsi="Times New Roman" w:cs="Times New Roman"/>
          <w:sz w:val="24"/>
          <w:szCs w:val="24"/>
        </w:rPr>
        <w:t xml:space="preserve"> as a result of the narrow structure, in which students can only attend TCC if they are receiving aid from the program,</w:t>
      </w:r>
      <w:r w:rsidR="00FA6379">
        <w:rPr>
          <w:rFonts w:ascii="Times New Roman" w:hAnsi="Times New Roman" w:cs="Times New Roman"/>
          <w:sz w:val="24"/>
          <w:szCs w:val="24"/>
        </w:rPr>
        <w:t xml:space="preserve"> students who ma</w:t>
      </w:r>
      <w:r w:rsidR="005C5A80">
        <w:rPr>
          <w:rFonts w:ascii="Times New Roman" w:hAnsi="Times New Roman" w:cs="Times New Roman"/>
          <w:sz w:val="24"/>
          <w:szCs w:val="24"/>
        </w:rPr>
        <w:t xml:space="preserve">y </w:t>
      </w:r>
      <w:r w:rsidR="00FA6379">
        <w:rPr>
          <w:rFonts w:ascii="Times New Roman" w:hAnsi="Times New Roman" w:cs="Times New Roman"/>
          <w:sz w:val="24"/>
          <w:szCs w:val="24"/>
        </w:rPr>
        <w:t xml:space="preserve">have otherwise </w:t>
      </w:r>
      <w:r w:rsidR="005C5A80">
        <w:rPr>
          <w:rFonts w:ascii="Times New Roman" w:hAnsi="Times New Roman" w:cs="Times New Roman"/>
          <w:sz w:val="24"/>
          <w:szCs w:val="24"/>
        </w:rPr>
        <w:t>started at</w:t>
      </w:r>
      <w:r w:rsidR="00FA6379">
        <w:rPr>
          <w:rFonts w:ascii="Times New Roman" w:hAnsi="Times New Roman" w:cs="Times New Roman"/>
          <w:sz w:val="24"/>
          <w:szCs w:val="24"/>
        </w:rPr>
        <w:t xml:space="preserve"> a four-year college in the absence of the policy chose to attend TCC instead</w:t>
      </w:r>
      <w:r w:rsidR="005C5A80">
        <w:rPr>
          <w:rFonts w:ascii="Times New Roman" w:hAnsi="Times New Roman" w:cs="Times New Roman"/>
          <w:sz w:val="24"/>
          <w:szCs w:val="24"/>
        </w:rPr>
        <w:t xml:space="preserve"> and while some made it to the four-year college many others did not.</w:t>
      </w:r>
      <w:r w:rsidR="00FA6379">
        <w:rPr>
          <w:rFonts w:ascii="Times New Roman" w:hAnsi="Times New Roman" w:cs="Times New Roman"/>
          <w:sz w:val="24"/>
          <w:szCs w:val="24"/>
        </w:rPr>
        <w:t xml:space="preserve"> </w:t>
      </w:r>
      <w:r w:rsidR="005C5A80">
        <w:rPr>
          <w:rFonts w:ascii="Times New Roman" w:hAnsi="Times New Roman" w:cs="Times New Roman"/>
          <w:sz w:val="24"/>
          <w:szCs w:val="24"/>
        </w:rPr>
        <w:t>But, those that did make it to a four-year college were more likely to graduate with a bachelor’s degree</w:t>
      </w:r>
      <w:r w:rsidR="00FC31E8">
        <w:rPr>
          <w:rFonts w:ascii="Times New Roman" w:hAnsi="Times New Roman" w:cs="Times New Roman"/>
          <w:sz w:val="24"/>
          <w:szCs w:val="24"/>
        </w:rPr>
        <w:t xml:space="preserve">. </w:t>
      </w:r>
      <w:r w:rsidR="00656994">
        <w:rPr>
          <w:rFonts w:ascii="Times New Roman" w:hAnsi="Times New Roman" w:cs="Times New Roman"/>
          <w:sz w:val="24"/>
          <w:szCs w:val="24"/>
        </w:rPr>
        <w:t xml:space="preserve">As this chapter demonstrates, the statutory design is important in predicting whether </w:t>
      </w:r>
      <w:r w:rsidR="007D1D57">
        <w:rPr>
          <w:rFonts w:ascii="Times New Roman" w:hAnsi="Times New Roman" w:cs="Times New Roman"/>
          <w:sz w:val="24"/>
          <w:szCs w:val="24"/>
        </w:rPr>
        <w:t xml:space="preserve">college promise expands college access and affordability and for whom this expansion occurs. </w:t>
      </w:r>
    </w:p>
    <w:p w14:paraId="500E8D9E" w14:textId="1782503E" w:rsidR="007D1D57" w:rsidRDefault="007D1D57" w:rsidP="00D35EE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Chapter </w:t>
      </w:r>
      <w:r w:rsidR="001B7710">
        <w:rPr>
          <w:rFonts w:ascii="Times New Roman" w:hAnsi="Times New Roman" w:cs="Times New Roman"/>
          <w:sz w:val="24"/>
          <w:szCs w:val="24"/>
        </w:rPr>
        <w:t>4</w:t>
      </w:r>
      <w:r>
        <w:rPr>
          <w:rFonts w:ascii="Times New Roman" w:hAnsi="Times New Roman" w:cs="Times New Roman"/>
          <w:sz w:val="24"/>
          <w:szCs w:val="24"/>
        </w:rPr>
        <w:t xml:space="preserve"> </w:t>
      </w:r>
      <w:r w:rsidR="00FC31E8">
        <w:rPr>
          <w:rFonts w:ascii="Times New Roman" w:hAnsi="Times New Roman" w:cs="Times New Roman"/>
          <w:sz w:val="24"/>
          <w:szCs w:val="24"/>
        </w:rPr>
        <w:t xml:space="preserve">reveals that even if the politics and statutory design are set up for success, the implementation pathway can still pose barriers to accomplishing the goals of college promise programs. </w:t>
      </w:r>
      <w:r w:rsidR="002E154A">
        <w:rPr>
          <w:rFonts w:ascii="Times New Roman" w:hAnsi="Times New Roman" w:cs="Times New Roman"/>
          <w:sz w:val="24"/>
          <w:szCs w:val="24"/>
        </w:rPr>
        <w:t>In this chapter I leverage the growing literature on administrative burden—the political tool by which policymakers induce additional costs on clients seeking access to programs in the bureaucratic application processes</w:t>
      </w:r>
      <w:r w:rsidR="00E22366">
        <w:rPr>
          <w:rFonts w:ascii="Times New Roman" w:hAnsi="Times New Roman" w:cs="Times New Roman"/>
          <w:sz w:val="24"/>
          <w:szCs w:val="24"/>
        </w:rPr>
        <w:t xml:space="preserve">—to explore the ways by which individual bureaucrats can alleviate or exacerbate the learning, psychological, and compliance costs of applying for Oklahoma’s Promise program. </w:t>
      </w:r>
      <w:r w:rsidR="00FC31E8">
        <w:rPr>
          <w:rFonts w:ascii="Times New Roman" w:hAnsi="Times New Roman" w:cs="Times New Roman"/>
          <w:sz w:val="24"/>
          <w:szCs w:val="24"/>
        </w:rPr>
        <w:t>This chapter reveals that the</w:t>
      </w:r>
      <w:r w:rsidR="00926398">
        <w:rPr>
          <w:rFonts w:ascii="Times New Roman" w:hAnsi="Times New Roman" w:cs="Times New Roman"/>
          <w:sz w:val="24"/>
          <w:szCs w:val="24"/>
        </w:rPr>
        <w:t xml:space="preserve"> role perception and uses of discretion among street-level bureaucrats—in this case, high school counselors—affects the ability of low-income students to gain access to college promise aid. </w:t>
      </w:r>
      <w:r w:rsidR="001610EA">
        <w:rPr>
          <w:rFonts w:ascii="Times New Roman" w:hAnsi="Times New Roman" w:cs="Times New Roman"/>
          <w:sz w:val="24"/>
          <w:szCs w:val="24"/>
        </w:rPr>
        <w:t xml:space="preserve">In particular, some counselors went above and beyond to support students </w:t>
      </w:r>
      <w:r w:rsidR="00B96F6C">
        <w:rPr>
          <w:rFonts w:ascii="Times New Roman" w:hAnsi="Times New Roman" w:cs="Times New Roman"/>
          <w:sz w:val="24"/>
          <w:szCs w:val="24"/>
        </w:rPr>
        <w:t xml:space="preserve">through the burdensome bureaucratic </w:t>
      </w:r>
      <w:r w:rsidR="00B96F6C">
        <w:rPr>
          <w:rFonts w:ascii="Times New Roman" w:hAnsi="Times New Roman" w:cs="Times New Roman"/>
          <w:sz w:val="24"/>
          <w:szCs w:val="24"/>
        </w:rPr>
        <w:lastRenderedPageBreak/>
        <w:t>application process of Oklahoma’s Promise program while others</w:t>
      </w:r>
      <w:r w:rsidR="00E22366">
        <w:rPr>
          <w:rFonts w:ascii="Times New Roman" w:hAnsi="Times New Roman" w:cs="Times New Roman"/>
          <w:sz w:val="24"/>
          <w:szCs w:val="24"/>
        </w:rPr>
        <w:t xml:space="preserve"> exacerbated the costs of applying for the program, </w:t>
      </w:r>
      <w:r w:rsidR="00B96F6C">
        <w:rPr>
          <w:rFonts w:ascii="Times New Roman" w:hAnsi="Times New Roman" w:cs="Times New Roman"/>
          <w:sz w:val="24"/>
          <w:szCs w:val="24"/>
        </w:rPr>
        <w:t>consider</w:t>
      </w:r>
      <w:r w:rsidR="00E22366">
        <w:rPr>
          <w:rFonts w:ascii="Times New Roman" w:hAnsi="Times New Roman" w:cs="Times New Roman"/>
          <w:sz w:val="24"/>
          <w:szCs w:val="24"/>
        </w:rPr>
        <w:t>ing</w:t>
      </w:r>
      <w:r w:rsidR="00B96F6C">
        <w:rPr>
          <w:rFonts w:ascii="Times New Roman" w:hAnsi="Times New Roman" w:cs="Times New Roman"/>
          <w:sz w:val="24"/>
          <w:szCs w:val="24"/>
        </w:rPr>
        <w:t xml:space="preserve"> it their job to serve as gatekeepers to a valuable tax payer benefit. </w:t>
      </w:r>
      <w:r w:rsidR="00E22366">
        <w:rPr>
          <w:rFonts w:ascii="Times New Roman" w:hAnsi="Times New Roman" w:cs="Times New Roman"/>
          <w:sz w:val="24"/>
          <w:szCs w:val="24"/>
        </w:rPr>
        <w:t xml:space="preserve">Finally, this chapter reveals that agency resources and capacity were another important element predicting the </w:t>
      </w:r>
      <w:r w:rsidR="00563463">
        <w:rPr>
          <w:rFonts w:ascii="Times New Roman" w:hAnsi="Times New Roman" w:cs="Times New Roman"/>
          <w:sz w:val="24"/>
          <w:szCs w:val="24"/>
        </w:rPr>
        <w:t xml:space="preserve">proportion of students that were able to overcome the costs of applying for the program and gain access to Oklahoma’s Promise. In fact, the analysis reveals that the schools with the highest proportions of eligible low-income students were also the schools that were less likely to have the resources to aid students in overcoming the costs of applying for the program. This solidifies previous notions that administrative burdens are not only consequential, but also distributive (Herd and Moynihan 2018). </w:t>
      </w:r>
      <w:r w:rsidR="00912625">
        <w:rPr>
          <w:rFonts w:ascii="Times New Roman" w:hAnsi="Times New Roman" w:cs="Times New Roman"/>
          <w:sz w:val="24"/>
          <w:szCs w:val="24"/>
        </w:rPr>
        <w:t>In sum, t</w:t>
      </w:r>
      <w:r w:rsidR="00926398">
        <w:rPr>
          <w:rFonts w:ascii="Times New Roman" w:hAnsi="Times New Roman" w:cs="Times New Roman"/>
          <w:sz w:val="24"/>
          <w:szCs w:val="24"/>
        </w:rPr>
        <w:t>his chapter reveals that</w:t>
      </w:r>
      <w:r w:rsidR="00294A84">
        <w:rPr>
          <w:rFonts w:ascii="Times New Roman" w:hAnsi="Times New Roman" w:cs="Times New Roman"/>
          <w:sz w:val="24"/>
          <w:szCs w:val="24"/>
        </w:rPr>
        <w:t xml:space="preserve"> bureaucrats play an essential role in translating statutory design into program access and </w:t>
      </w:r>
      <w:r w:rsidR="00912625">
        <w:rPr>
          <w:rFonts w:ascii="Times New Roman" w:hAnsi="Times New Roman" w:cs="Times New Roman"/>
          <w:sz w:val="24"/>
          <w:szCs w:val="24"/>
        </w:rPr>
        <w:t xml:space="preserve">outcomes, serving to either exacerbate or alleviate the learning, compliance and psychological costs of means-tested </w:t>
      </w:r>
      <w:r w:rsidR="005A1648">
        <w:rPr>
          <w:rFonts w:ascii="Times New Roman" w:hAnsi="Times New Roman" w:cs="Times New Roman"/>
          <w:sz w:val="24"/>
          <w:szCs w:val="24"/>
        </w:rPr>
        <w:t xml:space="preserve">programs. </w:t>
      </w:r>
    </w:p>
    <w:p w14:paraId="75819222" w14:textId="3040EB48" w:rsidR="005F073F" w:rsidRDefault="005A1648" w:rsidP="00D35EE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Together this dissertation puts forth a framework for assessing the holistic impact of policy design on outcomes in the context of college promise policies. I argue that </w:t>
      </w:r>
      <w:r w:rsidR="009144E4">
        <w:rPr>
          <w:rFonts w:ascii="Times New Roman" w:hAnsi="Times New Roman" w:cs="Times New Roman"/>
          <w:sz w:val="24"/>
          <w:szCs w:val="24"/>
        </w:rPr>
        <w:t>policy design works t</w:t>
      </w:r>
      <w:r>
        <w:rPr>
          <w:rFonts w:ascii="Times New Roman" w:hAnsi="Times New Roman" w:cs="Times New Roman"/>
          <w:sz w:val="24"/>
          <w:szCs w:val="24"/>
        </w:rPr>
        <w:t xml:space="preserve">hrough the three pathways—political, statutory, and </w:t>
      </w:r>
      <w:r w:rsidR="005F073F">
        <w:rPr>
          <w:rFonts w:ascii="Times New Roman" w:hAnsi="Times New Roman" w:cs="Times New Roman"/>
          <w:sz w:val="24"/>
          <w:szCs w:val="24"/>
        </w:rPr>
        <w:t>administrative</w:t>
      </w:r>
      <w:r>
        <w:rPr>
          <w:rFonts w:ascii="Times New Roman" w:hAnsi="Times New Roman" w:cs="Times New Roman"/>
          <w:sz w:val="24"/>
          <w:szCs w:val="24"/>
        </w:rPr>
        <w:t>—</w:t>
      </w:r>
      <w:r w:rsidR="009144E4">
        <w:rPr>
          <w:rFonts w:ascii="Times New Roman" w:hAnsi="Times New Roman" w:cs="Times New Roman"/>
          <w:sz w:val="24"/>
          <w:szCs w:val="24"/>
        </w:rPr>
        <w:t xml:space="preserve">to determine whether public policies will fulfill their goals and improve the lives of citizens or exacerbate inequality and forge a system of degenerative politics. </w:t>
      </w:r>
      <w:r w:rsidR="005F073F">
        <w:rPr>
          <w:rFonts w:ascii="Times New Roman" w:hAnsi="Times New Roman" w:cs="Times New Roman"/>
          <w:sz w:val="24"/>
          <w:szCs w:val="24"/>
        </w:rPr>
        <w:t>For all those concerned with the effective design and delivery of public programs</w:t>
      </w:r>
      <w:r w:rsidR="00B10AA4">
        <w:rPr>
          <w:rFonts w:ascii="Times New Roman" w:hAnsi="Times New Roman" w:cs="Times New Roman"/>
          <w:sz w:val="24"/>
          <w:szCs w:val="24"/>
        </w:rPr>
        <w:t xml:space="preserve"> and the efficacy of democratic governance</w:t>
      </w:r>
      <w:r w:rsidR="005F073F">
        <w:rPr>
          <w:rFonts w:ascii="Times New Roman" w:hAnsi="Times New Roman" w:cs="Times New Roman"/>
          <w:sz w:val="24"/>
          <w:szCs w:val="24"/>
        </w:rPr>
        <w:t xml:space="preserve">, this framework </w:t>
      </w:r>
      <w:r w:rsidR="00B10AA4">
        <w:rPr>
          <w:rFonts w:ascii="Times New Roman" w:hAnsi="Times New Roman" w:cs="Times New Roman"/>
          <w:sz w:val="24"/>
          <w:szCs w:val="24"/>
        </w:rPr>
        <w:t>takes the first step in determining the critical junctures that can either facilitate or impede the effectiveness of public policies.</w:t>
      </w:r>
      <w:r w:rsidR="005F073F">
        <w:rPr>
          <w:rFonts w:ascii="Times New Roman" w:hAnsi="Times New Roman" w:cs="Times New Roman"/>
          <w:sz w:val="24"/>
          <w:szCs w:val="24"/>
        </w:rPr>
        <w:t xml:space="preserve"> </w:t>
      </w:r>
    </w:p>
    <w:p w14:paraId="5ADFDC7D" w14:textId="455EE21D" w:rsidR="009F595C" w:rsidRDefault="009F595C" w:rsidP="00967B87">
      <w:pPr>
        <w:spacing w:line="480" w:lineRule="auto"/>
        <w:rPr>
          <w:rFonts w:ascii="Times New Roman" w:hAnsi="Times New Roman" w:cs="Times New Roman"/>
          <w:sz w:val="24"/>
          <w:szCs w:val="24"/>
        </w:rPr>
      </w:pPr>
    </w:p>
    <w:p w14:paraId="68DA660D" w14:textId="414F9ECE" w:rsidR="009F595C" w:rsidRDefault="009F595C" w:rsidP="00967B87">
      <w:pPr>
        <w:spacing w:line="480" w:lineRule="auto"/>
        <w:rPr>
          <w:rFonts w:ascii="Times New Roman" w:hAnsi="Times New Roman" w:cs="Times New Roman"/>
          <w:sz w:val="24"/>
          <w:szCs w:val="24"/>
        </w:rPr>
      </w:pPr>
    </w:p>
    <w:p w14:paraId="0747E9FC" w14:textId="0EFA629E" w:rsidR="009D5924" w:rsidRDefault="009D5924">
      <w:pPr>
        <w:rPr>
          <w:rFonts w:ascii="Times New Roman" w:hAnsi="Times New Roman" w:cs="Times New Roman"/>
          <w:b/>
          <w:sz w:val="24"/>
          <w:szCs w:val="24"/>
        </w:rPr>
      </w:pPr>
      <w:r>
        <w:rPr>
          <w:rFonts w:ascii="Times New Roman" w:hAnsi="Times New Roman" w:cs="Times New Roman"/>
          <w:b/>
          <w:sz w:val="24"/>
          <w:szCs w:val="24"/>
        </w:rPr>
        <w:br w:type="page"/>
      </w:r>
    </w:p>
    <w:p w14:paraId="4A57BC94" w14:textId="40152C0E" w:rsidR="009F595C" w:rsidRDefault="009F595C" w:rsidP="009F595C">
      <w:pPr>
        <w:spacing w:after="0" w:line="240" w:lineRule="auto"/>
        <w:jc w:val="center"/>
        <w:textAlignment w:val="center"/>
        <w:rPr>
          <w:rFonts w:ascii="Times New Roman" w:hAnsi="Times New Roman" w:cs="Times New Roman"/>
          <w:b/>
          <w:sz w:val="24"/>
          <w:szCs w:val="24"/>
        </w:rPr>
      </w:pPr>
      <w:r w:rsidRPr="00B1521E">
        <w:rPr>
          <w:rFonts w:ascii="Times New Roman" w:hAnsi="Times New Roman" w:cs="Times New Roman"/>
          <w:b/>
          <w:sz w:val="24"/>
          <w:szCs w:val="24"/>
        </w:rPr>
        <w:lastRenderedPageBreak/>
        <w:t>References</w:t>
      </w:r>
    </w:p>
    <w:p w14:paraId="22EA5A5A" w14:textId="77777777" w:rsidR="009F595C" w:rsidRPr="00B1521E" w:rsidRDefault="009F595C" w:rsidP="008878FA">
      <w:pPr>
        <w:spacing w:after="0" w:line="480" w:lineRule="auto"/>
        <w:ind w:left="720" w:hanging="720"/>
        <w:jc w:val="center"/>
        <w:textAlignment w:val="center"/>
        <w:rPr>
          <w:rFonts w:ascii="Times New Roman" w:hAnsi="Times New Roman" w:cs="Times New Roman"/>
          <w:b/>
          <w:sz w:val="24"/>
          <w:szCs w:val="24"/>
        </w:rPr>
      </w:pPr>
    </w:p>
    <w:p w14:paraId="1398E75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Alon, S. (2009). The Evolution of Class Inequality in Higher Education: Competition, Exclusion, and Adaptation. American Sociological Review, 74(5), 731–755. https://doi.org/10.1177/000312240907400503</w:t>
      </w:r>
    </w:p>
    <w:p w14:paraId="6BEFDAB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Andrews, R. J., DesJardins, S., &amp; Ranchhod, V. (2010). The effects of the Kalamazoo Promise on college choice. Economics of Education Review, 29(5), 722–737. https://doi.org/10.1016/j.econedurev.2010.05.004</w:t>
      </w:r>
    </w:p>
    <w:p w14:paraId="6BA727E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Arnold, R. D. (1990). The Logic of Congressional Action (Reprint edition). Yale University Press.</w:t>
      </w:r>
    </w:p>
    <w:p w14:paraId="06B1A49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Bachrach, P., &amp; Baratz, M. S. (1962). Two Faces of Power. American Political Science Review, 56(04), 947–952. https://doi.org/10.2307/1952796</w:t>
      </w:r>
    </w:p>
    <w:p w14:paraId="680474E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Bailey, M. J., &amp; Dynarski, S. M. (2011). Gains and Gaps: Changing Inequality in U.S. College Entry and Completion (Working Paper No. 17633). National Bureau of Economic Research. https://doi.org/10.3386/w17633</w:t>
      </w:r>
    </w:p>
    <w:p w14:paraId="0E0563F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Bartik, T. J., Hershbein, B. J., &amp; Lachowska, M. (2015). The Effects of the Kalamazoo Promise Scholarship on College Enrollment, Persistence, and Completion (SSRN Scholarly Paper No. ID 2624727). Rochester, NY: Social Science Research Network. Retrieved from https://papers.ssrn.com/abstract=2624727</w:t>
      </w:r>
    </w:p>
    <w:p w14:paraId="7FD7B37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Bartik, T., Eberts, R., &amp; Huang, W.-J. (2010). The Kalamazoo Promise, and Enrollment and Achievement Trends in Kalamazoo Public Schools. Upjohn Institute. Retrieved from http://research.upjohn.org/confpapers/15</w:t>
      </w:r>
    </w:p>
    <w:p w14:paraId="110DE9A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Baumgartner, F. R., &amp; Jones, B. D. (2010). Agendas and Instability in American Politics, Second Edition. University of Chicago Press.</w:t>
      </w:r>
    </w:p>
    <w:p w14:paraId="5DC96F5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Bell, E. (Forthcoming). Deserving to Whom? The Heterogeneous Effects of Social Constructions on Mass Opinion. Policy Studies Journal.</w:t>
      </w:r>
    </w:p>
    <w:p w14:paraId="13C0C42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Bertelli, A. M., &amp; Lynn, L. E. (2003). Managerial Responsibility. Public Administration Review, 63(3), 259–268.</w:t>
      </w:r>
    </w:p>
    <w:p w14:paraId="6532EA4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Bloemraad, I. (2006). Becoming a Citizen: Incorporating Immigrants and Refugees in the United States and Canada (1 edition). Berkeley: University of California Press.</w:t>
      </w:r>
    </w:p>
    <w:p w14:paraId="6D53AB1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Boushey, G. (2016). Targeted for Diffusion? How the Use and Acceptance of Stereotypes Shape the Diffusion of Criminal Justice Policy Innovations in the American States. American Political Science Review, 110(1), 198–214. https://doi.org/10.1017/S0003055415000532</w:t>
      </w:r>
    </w:p>
    <w:p w14:paraId="3DD8969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Boushey, G. (2016). Targeted for Diffusion? How the Use and Acceptance of Stereotypes Shape the Diffusion of Criminal Justice Policy Innovations in the American States. American Political Science Review, 110(1), 198–214. https://doi.org/10.1017/S0003055415000532</w:t>
      </w:r>
    </w:p>
    <w:p w14:paraId="3916AA2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Bowen, W. G., Kurzweil, M. A., Tobin, E. M., Pichler, S. C., Hall, M., &amp; Ryan, A. (2006). Equity and Excellence in American Higher Education (1st Pbk. Ed edition). Charlottesville: University of Virginia Press.</w:t>
      </w:r>
    </w:p>
    <w:p w14:paraId="35896418"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Bozeman, Barry, Patrick Scott, and Pamela Reed. 1992. “Red Tape and Task Delays in Public and Private Organizations.” </w:t>
      </w:r>
      <w:r w:rsidRPr="001257D9">
        <w:rPr>
          <w:rFonts w:ascii="Times New Roman" w:hAnsi="Times New Roman" w:cs="Times New Roman"/>
          <w:i/>
          <w:iCs/>
          <w:sz w:val="24"/>
          <w:szCs w:val="24"/>
        </w:rPr>
        <w:t>Administration and Society</w:t>
      </w:r>
      <w:r w:rsidRPr="001257D9">
        <w:rPr>
          <w:rFonts w:ascii="Times New Roman" w:hAnsi="Times New Roman" w:cs="Times New Roman"/>
          <w:sz w:val="24"/>
          <w:szCs w:val="24"/>
        </w:rPr>
        <w:t xml:space="preserve"> 24 (3): 290–322. </w:t>
      </w:r>
    </w:p>
    <w:p w14:paraId="72D1B7B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Bozick, R., Gonzalez, G., &amp; Engberg, J. (2015). Using a Merit-Based Scholarship Program to Increase Rates of College Enrollment in an Urban School District: The Case of the Pittsburgh Promise. Journal of Student Financial Aid, 45(2). Retrieved from https://publications.nasfaa.org/jsfa/vol45/iss2/2</w:t>
      </w:r>
    </w:p>
    <w:p w14:paraId="7282073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Brehm, J., &amp; Gates, S. (1997). Working, Shirking, and Sabotage: Bureaucratic Response to a Democratic Public. Ann Arbor, MI: University of Michigan Press.</w:t>
      </w:r>
    </w:p>
    <w:p w14:paraId="015C1FCE"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lastRenderedPageBreak/>
        <w:t xml:space="preserve">Brehm, John, and Scott Gates. 1997. </w:t>
      </w:r>
      <w:r w:rsidRPr="001257D9">
        <w:rPr>
          <w:rFonts w:ascii="Times New Roman" w:hAnsi="Times New Roman" w:cs="Times New Roman"/>
          <w:i/>
          <w:iCs/>
          <w:sz w:val="24"/>
          <w:szCs w:val="24"/>
        </w:rPr>
        <w:t>Working, Shirking, and Sabotage: Bureaucratic Response to a Democratic Public</w:t>
      </w:r>
      <w:r w:rsidRPr="001257D9">
        <w:rPr>
          <w:rFonts w:ascii="Times New Roman" w:hAnsi="Times New Roman" w:cs="Times New Roman"/>
          <w:sz w:val="24"/>
          <w:szCs w:val="24"/>
        </w:rPr>
        <w:t>. Ann Arbor, MI: University of Michigan Press.</w:t>
      </w:r>
    </w:p>
    <w:p w14:paraId="463CCC5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Brodkin, E. Z. (2011). Policy Work: Street-Level Organizations Under New Managerialism. Journal of Public Administration Research and Theory, 21(suppl_2), i253–i277. https://doi.org/10.1093/jopart/muq093</w:t>
      </w:r>
    </w:p>
    <w:p w14:paraId="25773F4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Brodkin, Evelyn, and Malay Majmundar. 2010. “Administrative Exclusion: Organizations and the Hidden Costs of Welfare Claiming.”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20 (4): 827–48. </w:t>
      </w:r>
    </w:p>
    <w:p w14:paraId="6AC28145"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Brodkin, Evelyn. 1997. “Inside the Welfare Contract: Discretion and Accountability in State Welfare Administration.” </w:t>
      </w:r>
      <w:r w:rsidRPr="001257D9">
        <w:rPr>
          <w:rFonts w:ascii="Times New Roman" w:hAnsi="Times New Roman" w:cs="Times New Roman"/>
          <w:i/>
          <w:iCs/>
          <w:sz w:val="24"/>
          <w:szCs w:val="24"/>
        </w:rPr>
        <w:t>Social Service Review</w:t>
      </w:r>
      <w:r w:rsidRPr="001257D9">
        <w:rPr>
          <w:rFonts w:ascii="Times New Roman" w:hAnsi="Times New Roman" w:cs="Times New Roman"/>
          <w:sz w:val="24"/>
          <w:szCs w:val="24"/>
        </w:rPr>
        <w:t xml:space="preserve"> 71 (1): 1–33.</w:t>
      </w:r>
    </w:p>
    <w:p w14:paraId="42E61A0B"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Brodkin, Evelyn. 2008. “Accountability in Street-Level Organizations.” </w:t>
      </w:r>
      <w:r w:rsidRPr="001257D9">
        <w:rPr>
          <w:rFonts w:ascii="Times New Roman" w:hAnsi="Times New Roman" w:cs="Times New Roman"/>
          <w:i/>
          <w:iCs/>
          <w:sz w:val="24"/>
          <w:szCs w:val="24"/>
        </w:rPr>
        <w:t>International Journal of Public Administration</w:t>
      </w:r>
      <w:r w:rsidRPr="001257D9">
        <w:rPr>
          <w:rFonts w:ascii="Times New Roman" w:hAnsi="Times New Roman" w:cs="Times New Roman"/>
          <w:sz w:val="24"/>
          <w:szCs w:val="24"/>
        </w:rPr>
        <w:t xml:space="preserve"> 31 (3): 317–36.</w:t>
      </w:r>
    </w:p>
    <w:p w14:paraId="1081FA01"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Bruch, Sarah, Myra Marx Ferree, and Joe Soss. 2010. “From Policy to Polity: Democracy, Paternalism, and the Incorporation of Disadvantaged Citizens.” </w:t>
      </w:r>
      <w:r w:rsidRPr="001257D9">
        <w:rPr>
          <w:rFonts w:ascii="Times New Roman" w:hAnsi="Times New Roman" w:cs="Times New Roman"/>
          <w:i/>
          <w:iCs/>
          <w:sz w:val="24"/>
          <w:szCs w:val="24"/>
        </w:rPr>
        <w:t>American Sociological Review</w:t>
      </w:r>
      <w:r w:rsidRPr="001257D9">
        <w:rPr>
          <w:rFonts w:ascii="Times New Roman" w:hAnsi="Times New Roman" w:cs="Times New Roman"/>
          <w:sz w:val="24"/>
          <w:szCs w:val="24"/>
        </w:rPr>
        <w:t xml:space="preserve"> 75 (2): 205–26. </w:t>
      </w:r>
    </w:p>
    <w:p w14:paraId="6560C251"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Burch, Patricia, and Carolyn J. Heinrich. 2016. </w:t>
      </w:r>
      <w:r w:rsidRPr="001257D9">
        <w:rPr>
          <w:rFonts w:ascii="Times New Roman" w:hAnsi="Times New Roman" w:cs="Times New Roman"/>
          <w:i/>
          <w:sz w:val="24"/>
          <w:szCs w:val="24"/>
        </w:rPr>
        <w:t>Mixed Methods for Policy Research and Program Evaluation.</w:t>
      </w:r>
      <w:r w:rsidRPr="001257D9">
        <w:rPr>
          <w:rFonts w:ascii="Times New Roman" w:hAnsi="Times New Roman" w:cs="Times New Roman"/>
          <w:sz w:val="24"/>
          <w:szCs w:val="24"/>
        </w:rPr>
        <w:t xml:space="preserve"> Thousand Oaks California: SAGE Publications, Inc. </w:t>
      </w:r>
    </w:p>
    <w:p w14:paraId="4C0B81F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Burden, B. C., Canon, D. T., Mayer, K. R., &amp; Moynihan, D. P. (2012). The Effect of Administrative Burden on Bureaucratic Perception of Policies: Evidence from Election Administration. Public Administration Review, 72(5), 741–751. https://doi.org/10.1111/j.1540-6210.2012.02600.x</w:t>
      </w:r>
    </w:p>
    <w:p w14:paraId="70864AE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 xml:space="preserve">Callahan, M., Perna, L. W., Yamashita, M., Wright, J., &amp; Santillan, S. (2018). 2018 Indicators of Higher Education Equity in the United States: Historical Trend Report. Washington, DC: </w:t>
      </w:r>
      <w:r w:rsidRPr="001257D9">
        <w:rPr>
          <w:rFonts w:ascii="Times New Roman" w:hAnsi="Times New Roman" w:cs="Times New Roman"/>
          <w:sz w:val="24"/>
          <w:szCs w:val="24"/>
        </w:rPr>
        <w:lastRenderedPageBreak/>
        <w:t>The Pell Institute for the Study of Opportunity in Higher Education, Council for Opportunity in Education and Alliance for Higher Education and Democracy of the University of Pennsylvania. Retrieved from http://pellinstitute.org/downloads/publications-Indicators_of_Higher_Education_Equity_in_the_US_2018_Historical_Trend_Report.pdf</w:t>
      </w:r>
    </w:p>
    <w:p w14:paraId="6AF38BA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Campbell, A. L. (2002, September). Self-Interest, Social Security, and the Distinctive Participation Patterns of Senior Citizens. https://doi.org/10.1017/S0003055402000333</w:t>
      </w:r>
    </w:p>
    <w:p w14:paraId="1C407CE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Campbell, A. L. (2002, September). Self-Interest, Social Security, and the Distinctive Participation Patterns of Senior Citizens. https://doi.org/10.1017/S0003055402000333</w:t>
      </w:r>
    </w:p>
    <w:p w14:paraId="7105570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 xml:space="preserve">Campbell, A. L. (2003). Self-Interest, Social Security, and the Distinctive Participation Patterns of Senior Citizens. American Political Science Review, 96(3). </w:t>
      </w:r>
    </w:p>
    <w:p w14:paraId="74E98E7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Canaday, M. (2011). The Straight State: Sexuality and Citizenship in Twentieth-Century America (unknown edition). Princeton, NJ: Princeton University Press.</w:t>
      </w:r>
    </w:p>
    <w:p w14:paraId="3F0AAE0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Carruthers, C. K., &amp; Fox, W. F. (2016). Aid for all: College coaching, financial aid, and post-secondary persistence in Tennessee. Economics of Education Review, 51, 97–112. https://doi.org/10.1016/j.econedurev.2015.06.001</w:t>
      </w:r>
    </w:p>
    <w:p w14:paraId="17C29A0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Cattaneo, M. D., &amp; Escanciano, J. C. (Eds.). (2017). Regression Discontinuity Designs: Theory and Applications. United Kingdom ; North America: Emerald Publishing Limited.</w:t>
      </w:r>
    </w:p>
    <w:p w14:paraId="1F9B0E4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Cattaneo, M. D., Jansson, M., &amp; Ma, X. (2018). Manipulation testing based on density discontinuity. Stata Journal, 18(1), 234–261.</w:t>
      </w:r>
    </w:p>
    <w:p w14:paraId="1A80761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Cattaneo, M. D., Titiunik, R., &amp; Vazquez-Bare, G. (2017). Comparing Inference Approaches for RD Designs: A Reexamination of the Effect of Head Start on Child Mortality. Journal of Policy Analysis and Management, 36(3), 643–681. https://doi.org/10.1002/pam.21985</w:t>
      </w:r>
    </w:p>
    <w:p w14:paraId="4D3E38B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Chanley, J. J. J. (2005). An analysis of civic education policy-making in Arizona using the advocacy coalition framework and policy design theory.</w:t>
      </w:r>
    </w:p>
    <w:p w14:paraId="671212A7"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Cherlin, Andrew, Karen Bogen, James Quane, and Linda Burton. 2002. “Operating within the Rules: Welfare Recipients’ Experiences with Sanctions and Case Closings.” </w:t>
      </w:r>
      <w:r w:rsidRPr="001257D9">
        <w:rPr>
          <w:rFonts w:ascii="Times New Roman" w:hAnsi="Times New Roman" w:cs="Times New Roman"/>
          <w:i/>
          <w:iCs/>
          <w:sz w:val="24"/>
          <w:szCs w:val="24"/>
        </w:rPr>
        <w:t>Social Service Review</w:t>
      </w:r>
      <w:r w:rsidRPr="001257D9">
        <w:rPr>
          <w:rFonts w:ascii="Times New Roman" w:hAnsi="Times New Roman" w:cs="Times New Roman"/>
          <w:sz w:val="24"/>
          <w:szCs w:val="24"/>
        </w:rPr>
        <w:t xml:space="preserve"> 76 (3): 387–405. </w:t>
      </w:r>
    </w:p>
    <w:p w14:paraId="3B627286"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Corbin, Juliet, and Anselm Strauss. 2007. </w:t>
      </w:r>
      <w:r w:rsidRPr="001257D9">
        <w:rPr>
          <w:rFonts w:ascii="Times New Roman" w:hAnsi="Times New Roman" w:cs="Times New Roman"/>
          <w:i/>
          <w:iCs/>
          <w:sz w:val="24"/>
          <w:szCs w:val="24"/>
        </w:rPr>
        <w:t>Basics of Qualitative Research: Techniques and Procedures for Developing Grounded Theory</w:t>
      </w:r>
      <w:r w:rsidRPr="001257D9">
        <w:rPr>
          <w:rFonts w:ascii="Times New Roman" w:hAnsi="Times New Roman" w:cs="Times New Roman"/>
          <w:sz w:val="24"/>
          <w:szCs w:val="24"/>
        </w:rPr>
        <w:t>. 3rd edition. Los Angeles, Calif: SAGE Publications, Inc.</w:t>
      </w:r>
    </w:p>
    <w:p w14:paraId="4AD0610F"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Creswell, John. 2009. </w:t>
      </w:r>
      <w:r w:rsidRPr="001257D9">
        <w:rPr>
          <w:rFonts w:ascii="Times New Roman" w:hAnsi="Times New Roman" w:cs="Times New Roman"/>
          <w:i/>
          <w:iCs/>
          <w:sz w:val="24"/>
          <w:szCs w:val="24"/>
        </w:rPr>
        <w:t>Research Design: Qualitative, Quantitative, and Mixed Methods Approaches</w:t>
      </w:r>
      <w:r w:rsidRPr="001257D9">
        <w:rPr>
          <w:rFonts w:ascii="Times New Roman" w:hAnsi="Times New Roman" w:cs="Times New Roman"/>
          <w:sz w:val="24"/>
          <w:szCs w:val="24"/>
        </w:rPr>
        <w:t>. SAGE Publications.</w:t>
      </w:r>
    </w:p>
    <w:p w14:paraId="3728693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Dahl, R. A. (2003). How Democratic is the American Constitution? Second Edition (2nd ed. edition). New Haven, Conn.: Yale University Press.</w:t>
      </w:r>
    </w:p>
    <w:p w14:paraId="245A65D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Dar, L. (2012). The Political Dynamics of Higher Education Policy. The Journal of Higher Education, 83(6), 769–794. https://doi.org/10.1080/00221546.2012.11777269</w:t>
      </w:r>
    </w:p>
    <w:p w14:paraId="3B01955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Daugherty, L., &amp; Gonzalez, G. C. (2016). The Impact of the New Haven Promise Program on College Enrollment, Choice, and Persistence. RAND Corporation. Retrieved from https://www.rand.org/pubs/working_papers/WR1147.html</w:t>
      </w:r>
    </w:p>
    <w:p w14:paraId="46C9FE5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Demos. (2016). New National Poll Shows 80% of Americans Support Addressing College Affordability Crisis. Demos. Retrieved from http://www.demos.org/press-release/new-national-poll-shows-80-americans-support-addressing-college-affordability-crisis</w:t>
      </w:r>
    </w:p>
    <w:p w14:paraId="4E2F5F7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Derthick, M. (1979). Policymaking for Social Security. Washington: Brookings Institution Press.</w:t>
      </w:r>
    </w:p>
    <w:p w14:paraId="0A6E4ED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Donovan, M. C. (1993). Social Constructions of People with AIDS: Target Populations and United States Policy, 1981–1990. Review of Policy Research, 12(3–4), 3–29. https://doi.org/10.1111/j.1541-1338.1993.tb00548.x</w:t>
      </w:r>
    </w:p>
    <w:p w14:paraId="44D37C8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Donovan, M. C. (1993). Social Constructions of People with AIDS: Target Populations and United States Policy, 1981–1990. Review of Policy Research, 12(3–4), 3–29. https://doi.org/10.1111/j.1541-1338.1993.tb00548.x</w:t>
      </w:r>
    </w:p>
    <w:p w14:paraId="005DFD0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Doyle, W. R. (2007). Public Opinion, Partisan Identification, and Higher Education Policy. The Journal of Higher Education, 78(4), 369–401. https://doi.org/10.1080/00221546.2007.11772321</w:t>
      </w:r>
    </w:p>
    <w:p w14:paraId="30C093D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Doyle, W. R. (2010). U.S. Senator’s Ideal Points for Higher Education: Documenting Partisanship, 1965–2004. The Journal of Higher Education, 81(5), 619–644. https://doi.org/10.1353/jhe.2010.0006</w:t>
      </w:r>
    </w:p>
    <w:p w14:paraId="66F37B1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Doyle, W. R. (2012). The Politics of Public College Tuition and State Financial Aid. The Journal of Higher Education, 83(5), 617–647. https://doi.org/10.1353/jhe.2012.0033</w:t>
      </w:r>
    </w:p>
    <w:p w14:paraId="25C5F22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Druckman, J. N. (2001). On the Limits of Framing Effects: Who Can Frame? Journal of Politics, 63(4), 1041–1066. https://doi.org/10.1111/0022-3816.00100</w:t>
      </w:r>
    </w:p>
    <w:p w14:paraId="35E6AE7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Dynarski, S. (2000). Hope for Whom? Financial Aid for the Middle Class and Its Impact on College Attendance (Working Paper No. 7756). National Bureau of Economic Research. https://doi.org/10.3386/w7756</w:t>
      </w:r>
    </w:p>
    <w:p w14:paraId="6DC0A45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Dynarski, S. (2000). Hope for Whom? Financial Aid for the Middle Class and Its Impact on College Attendance (Working Paper No. 7756). National Bureau of Economic Research. https://doi.org/10.3386/w7756</w:t>
      </w:r>
    </w:p>
    <w:p w14:paraId="126E4B0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Dynarski, S. (2002). The Behavioral and Distributional Implications of Aid for College. American Economic Review, 92(2), 279–285. https://doi.org/10.1257/000282802320189401</w:t>
      </w:r>
    </w:p>
    <w:p w14:paraId="2C41B4F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Dynarski, S., &amp; Scott-Clayton, J. (2013). Financial aid policy: lessons from research. The Future of Children, 23(1), 67–91.</w:t>
      </w:r>
    </w:p>
    <w:p w14:paraId="6FC77A7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Edelman, M. (1988). Constructing the Political Spectacle. University of Chicago Press.</w:t>
      </w:r>
    </w:p>
    <w:p w14:paraId="52B2C754"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Education Week. 2018. “Map: Per-Pupil Spending, State-by-State - Education Week.” </w:t>
      </w:r>
      <w:r w:rsidRPr="001257D9">
        <w:rPr>
          <w:rFonts w:ascii="Times New Roman" w:hAnsi="Times New Roman" w:cs="Times New Roman"/>
          <w:i/>
          <w:iCs/>
          <w:sz w:val="24"/>
          <w:szCs w:val="24"/>
        </w:rPr>
        <w:t>Education Week</w:t>
      </w:r>
      <w:r w:rsidRPr="001257D9">
        <w:rPr>
          <w:rFonts w:ascii="Times New Roman" w:hAnsi="Times New Roman" w:cs="Times New Roman"/>
          <w:sz w:val="24"/>
          <w:szCs w:val="24"/>
        </w:rPr>
        <w:t>, June 6, 2018. https://www.edweek.org/ew/collections/quality-counts-2018-state-finance/map-per-pupil-spending-state-by-state.html.</w:t>
      </w:r>
    </w:p>
    <w:p w14:paraId="2F95CB1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Engel, L. C. (2014). Global citizenship and national (re)formations: Analysis of citizenship education reform in Spain. Education, Citizenship and Social Justice, 9(3), 239–254. https://doi.org/10.1177/1746197914545927</w:t>
      </w:r>
    </w:p>
    <w:p w14:paraId="209D0893"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Federal Register. 2015. “Child Nutrition Programs-Income Eligibility Guidelines.” Food and Nutrition Service. https://www.federalregister.gov/documents/2015/03/31/2015-07358/child-nutrition-programs-income-eligibility-guidelines.</w:t>
      </w:r>
    </w:p>
    <w:p w14:paraId="435EB35D"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Feeney, Mary, and Hal Rainey. 2010. “Personnel Flexibility and Red Tape in Public and Nonprofit Organizations: Distinctions Due to Institutional and Political Accountability.”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20 (4): 801–26. </w:t>
      </w:r>
    </w:p>
    <w:p w14:paraId="2313C6F6" w14:textId="77777777" w:rsidR="009F595C" w:rsidRPr="001257D9" w:rsidRDefault="009F595C" w:rsidP="008878FA">
      <w:pPr>
        <w:spacing w:after="0" w:line="480" w:lineRule="auto"/>
        <w:ind w:left="720" w:hanging="720"/>
        <w:rPr>
          <w:rFonts w:ascii="Times New Roman" w:hAnsi="Times New Roman" w:cs="Times New Roman"/>
          <w:sz w:val="24"/>
          <w:szCs w:val="24"/>
        </w:rPr>
      </w:pPr>
      <w:r w:rsidRPr="001257D9">
        <w:rPr>
          <w:rFonts w:ascii="Times New Roman" w:hAnsi="Times New Roman" w:cs="Times New Roman"/>
          <w:sz w:val="24"/>
          <w:szCs w:val="24"/>
        </w:rPr>
        <w:t xml:space="preserve">Felder, Ben. 2017. “Student Denied Oklahoma’s Promise Has Rejection Overturned.” </w:t>
      </w:r>
      <w:r w:rsidRPr="001257D9">
        <w:rPr>
          <w:rFonts w:ascii="Times New Roman" w:hAnsi="Times New Roman" w:cs="Times New Roman"/>
          <w:i/>
          <w:sz w:val="24"/>
          <w:szCs w:val="24"/>
        </w:rPr>
        <w:t>NewsOK</w:t>
      </w:r>
      <w:r w:rsidRPr="001257D9">
        <w:rPr>
          <w:rFonts w:ascii="Times New Roman" w:hAnsi="Times New Roman" w:cs="Times New Roman"/>
          <w:sz w:val="24"/>
          <w:szCs w:val="24"/>
        </w:rPr>
        <w:t>. https://newsok.com/article/5569688/student-denied-oklahomas-promise-has-rejection-overturned.</w:t>
      </w:r>
    </w:p>
    <w:p w14:paraId="48C48C7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Feldman, S., &amp; Zaller, J. (1992). The Political Culture of Ambivalence: Ideological Responses to the Welfare State. American Journal of Political Science, 36(1), 268–307. https://doi.org/10.2307/2111433</w:t>
      </w:r>
    </w:p>
    <w:p w14:paraId="374E1E9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Finer, H. (1941). Administrative Responsibility in Democratic Government. Public Administration Review, 1(4), 335–350. https://doi.org/10.2307/972907</w:t>
      </w:r>
    </w:p>
    <w:p w14:paraId="4AF8E49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Fox, C. (2012). Three Worlds of Relief: Race, Immigration, and the American Welfare State from the Progressive Era to the New Deal. Princeton N.J.: Princeton University Press.</w:t>
      </w:r>
    </w:p>
    <w:p w14:paraId="49657AB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Frederickson, H. G. (2010). Social Equity and Public Administration: Origins, Developments, and Applications. Armonk, N.Y.: M.E. Sharpe, Inc.</w:t>
      </w:r>
    </w:p>
    <w:p w14:paraId="5521E23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Frederickson, H. G., Smith, K. B., Larimer, C. W., &amp; Licari, M. J. (2015). The Public Administration Theory Primer (3 edition). Boulder, CO: Westview Press.</w:t>
      </w:r>
    </w:p>
    <w:p w14:paraId="0FEF93F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Friedrich, C. (1940). Public Policy and the Nature of Administrative Responsibility. In Public Policy. Cambidge: Harvard University Press.</w:t>
      </w:r>
    </w:p>
    <w:p w14:paraId="750B877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Gandara, D., &amp; Li, A. (2018). How Promise programs for two-year colleges affect different student subgroups. Presented at the American Educational Research Association, New York City, NY.</w:t>
      </w:r>
    </w:p>
    <w:p w14:paraId="56582D2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Garcia, S. (2018). 4 Principles for a Free Community College Program That Works for All. Retrieved from https://www.americanprogress.org/issues/education-postsecondary/news/2018/05/24/451337/4-principles-free-community-college-program-works/</w:t>
      </w:r>
    </w:p>
    <w:p w14:paraId="0FC829A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Gerchick, A. (2018). Americans Overwhelmingly Embrace Free College Tuition’s Promise of Economic Opportunity. Retrieved May 29, 2018, from https://www.freecollegenow.org/poll_econopp_feb</w:t>
      </w:r>
    </w:p>
    <w:p w14:paraId="0CF1A26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Gonzalez, G. C., Bozick, R., Daugherty, L., Scherer, E., Singh, R., Suárez, M. J., &amp; Ryan, S. (2014). Transforming an Urban School System - Progress of New Haven School Change and New Haven Promise Education Reforms (2010–2013). RAND Corporation.</w:t>
      </w:r>
    </w:p>
    <w:p w14:paraId="2CF0745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Goodnow, F. J. (1900). Politics and administration; a study in government. New York ; London: Macmillan. Retrieved from http://archive.org/details/politicsadminis00good</w:t>
      </w:r>
    </w:p>
    <w:p w14:paraId="1FABA0B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Gurantz, O. (2018). The Oregon Promise and college attendance. College Board.</w:t>
      </w:r>
    </w:p>
    <w:p w14:paraId="1641836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Hacker, J. S. (2004). Privatizing risk without privatizing the welfare state: The hidden politics of social policy retrenchment in the United States. The American Political Science Review., 98(02), 243. https://doi.org/10.1017/S0003055404001121</w:t>
      </w:r>
    </w:p>
    <w:p w14:paraId="6A5A774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Harris, D. N., Farmer-Hinton, R., Kim, D., Diamond, J., Reavis, B., Rifelj, K. K., … Carl, B. (2018). The promise of free college (and its potential pitfalls). Brown Center for Education Policy, The Brookings Institution, 38.</w:t>
      </w:r>
    </w:p>
    <w:p w14:paraId="2B9EEAD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Heinrich, C. J. (2016). The Bite of Administrative Burden: A Theoretical and Empirical Investigation. Journal of Public Administration Research and Theory, 26(3), 403–420. https://doi.org/10.1093/jopart/muv034</w:t>
      </w:r>
    </w:p>
    <w:p w14:paraId="0AA3D9E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Heinrich, C. J., &amp; Brill, R. (2015). Stopped in the Name of the Law: Administrative Burden and its Implications for Cash Transfer Program Effectiveness. World Development, 72(Supplement C), 277–295. https://doi.org/10.1016/j.worlddev.2015.03.015</w:t>
      </w:r>
    </w:p>
    <w:p w14:paraId="4AEA40D0"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Heinrich, Carolyn, and Robert Brill. 2015. “Stopped in the Name of the Law: Administrative Burden and Its Implications for Cash Transfer Program Effectiveness.” </w:t>
      </w:r>
      <w:r w:rsidRPr="001257D9">
        <w:rPr>
          <w:rFonts w:ascii="Times New Roman" w:hAnsi="Times New Roman" w:cs="Times New Roman"/>
          <w:i/>
          <w:iCs/>
          <w:sz w:val="24"/>
          <w:szCs w:val="24"/>
        </w:rPr>
        <w:t>World Development</w:t>
      </w:r>
      <w:r w:rsidRPr="001257D9">
        <w:rPr>
          <w:rFonts w:ascii="Times New Roman" w:hAnsi="Times New Roman" w:cs="Times New Roman"/>
          <w:sz w:val="24"/>
          <w:szCs w:val="24"/>
        </w:rPr>
        <w:t xml:space="preserve"> 72: 277–95.</w:t>
      </w:r>
    </w:p>
    <w:p w14:paraId="17C54E9F"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Heinrich, Carolyn. 2016. “The Bite of Administrative Burden: A Theoretical and Empirical Investigation.”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26 (3): 403–20. </w:t>
      </w:r>
    </w:p>
    <w:p w14:paraId="0765E230"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lastRenderedPageBreak/>
        <w:t xml:space="preserve">Heinrich, Carolyn. 2018. “"A Thousand Petty Fortresses”: Administrative Burden in U.S. Immigration Policies and Its Consequences.” </w:t>
      </w:r>
      <w:r w:rsidRPr="001257D9">
        <w:rPr>
          <w:rFonts w:ascii="Times New Roman" w:hAnsi="Times New Roman" w:cs="Times New Roman"/>
          <w:i/>
          <w:iCs/>
          <w:sz w:val="24"/>
          <w:szCs w:val="24"/>
        </w:rPr>
        <w:t>Journal of Policy Analysis and Management</w:t>
      </w:r>
      <w:r w:rsidRPr="001257D9">
        <w:rPr>
          <w:rFonts w:ascii="Times New Roman" w:hAnsi="Times New Roman" w:cs="Times New Roman"/>
          <w:sz w:val="24"/>
          <w:szCs w:val="24"/>
        </w:rPr>
        <w:t xml:space="preserve">. </w:t>
      </w:r>
    </w:p>
    <w:p w14:paraId="6AA2F64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Heller, D. E., &amp; Marin, P. (2002). Who Should We Help? The Negative Social Consequences of Merit Scholarships. Civil Rights Project, Harvard University, 124 Mt. Retrieved from https://eric.ed.gov/?id=ED468845</w:t>
      </w:r>
    </w:p>
    <w:p w14:paraId="08CF978E"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Hendren, Kathryn, Qian Eric Luo, and Sanjay Pandey. 2018. “The State of Mixed Methods Research in Public Administration and Public Policy.” </w:t>
      </w:r>
      <w:r w:rsidRPr="001257D9">
        <w:rPr>
          <w:rFonts w:ascii="Times New Roman" w:hAnsi="Times New Roman" w:cs="Times New Roman"/>
          <w:i/>
          <w:iCs/>
          <w:sz w:val="24"/>
          <w:szCs w:val="24"/>
        </w:rPr>
        <w:t>Public Administration Review</w:t>
      </w:r>
      <w:r w:rsidRPr="001257D9">
        <w:rPr>
          <w:rFonts w:ascii="Times New Roman" w:hAnsi="Times New Roman" w:cs="Times New Roman"/>
          <w:sz w:val="24"/>
          <w:szCs w:val="24"/>
        </w:rPr>
        <w:t xml:space="preserve"> 78 (6): 904–16. </w:t>
      </w:r>
    </w:p>
    <w:p w14:paraId="773080D5" w14:textId="77777777" w:rsidR="00563463"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Herd, Pamela, Thomas DeLeire, Hope Harvey, and Donald Moynihan. 2013. “Shifting Administrative Burden to the State: The Case of Medicaid Take-Up.” </w:t>
      </w:r>
      <w:r w:rsidRPr="001257D9">
        <w:rPr>
          <w:rFonts w:ascii="Times New Roman" w:hAnsi="Times New Roman" w:cs="Times New Roman"/>
          <w:i/>
          <w:iCs/>
          <w:sz w:val="24"/>
          <w:szCs w:val="24"/>
        </w:rPr>
        <w:t>Public Administration Review</w:t>
      </w:r>
      <w:r w:rsidRPr="001257D9">
        <w:rPr>
          <w:rFonts w:ascii="Times New Roman" w:hAnsi="Times New Roman" w:cs="Times New Roman"/>
          <w:sz w:val="24"/>
          <w:szCs w:val="24"/>
        </w:rPr>
        <w:t xml:space="preserve"> 73 (s1): S69–81.</w:t>
      </w:r>
    </w:p>
    <w:p w14:paraId="0FE39070" w14:textId="49424117" w:rsidR="00563463" w:rsidRPr="00563463" w:rsidRDefault="00563463" w:rsidP="008878FA">
      <w:pPr>
        <w:pStyle w:val="Bibliography"/>
        <w:rPr>
          <w:rFonts w:ascii="Times New Roman" w:hAnsi="Times New Roman" w:cs="Times New Roman"/>
          <w:sz w:val="24"/>
          <w:szCs w:val="24"/>
        </w:rPr>
      </w:pPr>
      <w:r w:rsidRPr="00563463">
        <w:rPr>
          <w:rFonts w:ascii="Times New Roman" w:hAnsi="Times New Roman" w:cs="Times New Roman"/>
          <w:sz w:val="24"/>
          <w:szCs w:val="24"/>
        </w:rPr>
        <w:t xml:space="preserve">Herd, P., &amp; Moynihan, D. P. (2018). </w:t>
      </w:r>
      <w:r w:rsidRPr="00563463">
        <w:rPr>
          <w:rFonts w:ascii="Times New Roman" w:hAnsi="Times New Roman" w:cs="Times New Roman"/>
          <w:i/>
          <w:sz w:val="24"/>
          <w:szCs w:val="24"/>
        </w:rPr>
        <w:t>Administrative Burden: Policymaking by Other Means</w:t>
      </w:r>
      <w:r w:rsidRPr="00563463">
        <w:rPr>
          <w:rFonts w:ascii="Times New Roman" w:hAnsi="Times New Roman" w:cs="Times New Roman"/>
          <w:sz w:val="24"/>
          <w:szCs w:val="24"/>
        </w:rPr>
        <w:t>. New York: Russell Sage Foundation.</w:t>
      </w:r>
    </w:p>
    <w:p w14:paraId="5A18FED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Hillman, N. W., Tandberg, D. A., &amp; Sponsler, B. A. (2015). Public Policy and Higher Education: Strategies for Framing a Research Agenda. ASHE Higher Education Report, 41(2), 1–98. https://doi.org/10.1002/aehe.20020</w:t>
      </w:r>
    </w:p>
    <w:p w14:paraId="0BF5D24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Hogan, N. (1997). The Social Construction of Target Populations and the Transformation of Prison-Based AIDS Policy. Journal of Homosexuality, 32(3–4), 77–114. https://doi.org/10.1300/J082v32n03_04</w:t>
      </w:r>
    </w:p>
    <w:p w14:paraId="7091BD65"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Honig, Dan. 2018. “Case Study Design and Analysis as a Complementary Empirical Strategy to Econometric Analysis in the Study of Public Agencies: Deploying Mutually Supportive Mixed Methods.”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w:t>
      </w:r>
    </w:p>
    <w:p w14:paraId="221BBB5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Howlett, M., &amp; Lejano, R. P. (2013). Tales From the Crypt: The Rise and Fall (and Rebirth?) of Policy Design. Administration &amp; Society, 45(3), 357–381. https://doi.org/10.1177/0095399712459725</w:t>
      </w:r>
    </w:p>
    <w:p w14:paraId="1CEE9E9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Imbens, G., &amp; Lemieux, T. (2007). Regression Discontinuity Designs: A Guide to Practice (Working Paper No. 13039). National Bureau of Economic Research. https://doi.org/10.3386/w13039</w:t>
      </w:r>
    </w:p>
    <w:p w14:paraId="09470A9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Ingram, H., &amp; Schneider, A. (1991). The Choice of Target Populations. Administration &amp; Society, 23(3), 333–356. https://doi.org/10.1177/009539979102300304</w:t>
      </w:r>
    </w:p>
    <w:p w14:paraId="056DB60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Jakobsen, T. G. (2011). Welfare Attitudes and Social Expenditure: Do Regimes Shape Public Opinion? Social Indicators Research, 101(3), 323–340. https://doi.org/10.1007/s11205-010-9666-8</w:t>
      </w:r>
    </w:p>
    <w:p w14:paraId="5CED9B8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Jilani, Z. (2017, September 21). More Republicans Now Support Free College Than Oppose It, Poll Finds. Retrieved May 29, 2018, from https://theintercept.com/2017/09/21/free-college-tuition-republicans-bernie-sanders/</w:t>
      </w:r>
    </w:p>
    <w:p w14:paraId="2273D06D"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Jilke, Sebastian, Wouter van Dooren, and Sabine Rys. 2018. “Discrimination and Administrative Burden in Public Service Markets: Does a Public-Private Difference Exist?”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w:t>
      </w:r>
    </w:p>
    <w:p w14:paraId="500FA54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Jones, B. D. (1994). Reconceiving Decision-Making in Democratic Politics. Retrieved from https://books.google.com/books/about/Reconceiving_Decision_Making_in_Democrat.html?id=PuLskkB8MScC</w:t>
      </w:r>
    </w:p>
    <w:p w14:paraId="0344CA8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Jones, J. (2015). U.S. Parents’ College Funding Worries Are Top Money Concern. Gallup. Retrieved from https://news.gallup.com/poll/182537/parents-college-funding-worries-top-money-concern.aspx</w:t>
      </w:r>
    </w:p>
    <w:p w14:paraId="01192FF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Jordan, J. (2013). Policy feedback and support for the welfare state. Journal of European Social Policy, 23(2), 134–148. https://doi.org/10.1177/0958928712471224</w:t>
      </w:r>
    </w:p>
    <w:p w14:paraId="3E522206"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Kahn, Robert, Daniel Katz, and Barbara Gutek. 1976. “Bureaucratic Encounters— An Evaluation of Government Services.” </w:t>
      </w:r>
      <w:r w:rsidRPr="001257D9">
        <w:rPr>
          <w:rFonts w:ascii="Times New Roman" w:hAnsi="Times New Roman" w:cs="Times New Roman"/>
          <w:i/>
          <w:iCs/>
          <w:sz w:val="24"/>
          <w:szCs w:val="24"/>
        </w:rPr>
        <w:t>The Journal of Applied Behavioral Science</w:t>
      </w:r>
      <w:r w:rsidRPr="001257D9">
        <w:rPr>
          <w:rFonts w:ascii="Times New Roman" w:hAnsi="Times New Roman" w:cs="Times New Roman"/>
          <w:sz w:val="24"/>
          <w:szCs w:val="24"/>
        </w:rPr>
        <w:t xml:space="preserve"> 12 (2): 178–98. </w:t>
      </w:r>
    </w:p>
    <w:p w14:paraId="6FF0245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Keiser, L. R. (1999). State Bureaucratic Discretion and the Administration of Social Welfare Programs: The Case of Social Security Disability. Journal of Public Administration Research and Theory, 9(1), 87–106. https://doi.org/10.1093/oxfordjournals.jpart.a024407</w:t>
      </w:r>
    </w:p>
    <w:p w14:paraId="6AAF782B"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Keiser, Lael. 1999. “State Bureaucratic Discretion and the Administration of Social Welfare Programs: The Case of Social Security Disability.”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9 (1): 87–106. </w:t>
      </w:r>
    </w:p>
    <w:p w14:paraId="68A203F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Kelly, M. (1994). Theories of Justice and Street-Level Discretion. Journal of Public Administration Research and Theory: J-PART, 4(2), 119–140.</w:t>
      </w:r>
    </w:p>
    <w:p w14:paraId="2A7F7F6A"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Kelly, Marisa. 1994. “Theories of Justice and Street-Level Discretion.” </w:t>
      </w:r>
      <w:r w:rsidRPr="001257D9">
        <w:rPr>
          <w:rFonts w:ascii="Times New Roman" w:hAnsi="Times New Roman" w:cs="Times New Roman"/>
          <w:i/>
          <w:iCs/>
          <w:sz w:val="24"/>
          <w:szCs w:val="24"/>
        </w:rPr>
        <w:t xml:space="preserve">Journal of Public Administration Research and Theory: </w:t>
      </w:r>
      <w:r w:rsidRPr="001257D9">
        <w:rPr>
          <w:rFonts w:ascii="Times New Roman" w:hAnsi="Times New Roman" w:cs="Times New Roman"/>
          <w:sz w:val="24"/>
          <w:szCs w:val="24"/>
        </w:rPr>
        <w:t>4 (2): 119–40.</w:t>
      </w:r>
    </w:p>
    <w:p w14:paraId="7847C71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Keyssar, A. (2009). The Right to Vote: The Contested History of Democracy in the United States (Revised ed. edition). New York: Basic Books.</w:t>
      </w:r>
    </w:p>
    <w:p w14:paraId="74ACD4E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Kingdon, J. W. (1984). Agendas, alternatives, and public policies. Little, Brown.</w:t>
      </w:r>
    </w:p>
    <w:p w14:paraId="25709A5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Korpi, W., &amp; Palme, J. (1998). The Paradox of Redistribution and Strategies of Equality: Welfare State Institutions, Inequality, and Poverty in the Western Countries. American Sociological Review, 63(5), 661–687. https://doi.org/10.2307/2657333</w:t>
      </w:r>
    </w:p>
    <w:p w14:paraId="6BDD5E7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 xml:space="preserve">Lachowska, M., &amp; Bartik, T. J. (2013). The Short-Term Effects of the Kalamazoo Promise Scholarship on Student Outcomes. In New Analyses of Worker Well-Being (Vol. 38, pp. </w:t>
      </w:r>
      <w:r w:rsidRPr="001257D9">
        <w:rPr>
          <w:rFonts w:ascii="Times New Roman" w:hAnsi="Times New Roman" w:cs="Times New Roman"/>
          <w:sz w:val="24"/>
          <w:szCs w:val="24"/>
        </w:rPr>
        <w:lastRenderedPageBreak/>
        <w:t>37–76). Emerald Group Publishing Limited. https://doi.org/10.1108/S0147-9121(2013)0000038002</w:t>
      </w:r>
    </w:p>
    <w:p w14:paraId="267D957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Lasswell, H. D. (1971). A pre-view of policy sciences. American Elsevier Pub. Co.</w:t>
      </w:r>
    </w:p>
    <w:p w14:paraId="3ADB7329"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Lavertu, Stéphane, David Lewis, and Donald Moynihan. 2013. “Government Reform, Political Ideology, and Administrative Burden: The Case of Performance Management in the Bush Administration.” </w:t>
      </w:r>
      <w:r w:rsidRPr="001257D9">
        <w:rPr>
          <w:rFonts w:ascii="Times New Roman" w:hAnsi="Times New Roman" w:cs="Times New Roman"/>
          <w:i/>
          <w:sz w:val="24"/>
          <w:szCs w:val="24"/>
        </w:rPr>
        <w:t>Public Administration Review</w:t>
      </w:r>
      <w:r w:rsidRPr="001257D9">
        <w:rPr>
          <w:rFonts w:ascii="Times New Roman" w:hAnsi="Times New Roman" w:cs="Times New Roman"/>
          <w:sz w:val="24"/>
          <w:szCs w:val="24"/>
        </w:rPr>
        <w:t xml:space="preserve"> 73 (6): 845–57. </w:t>
      </w:r>
    </w:p>
    <w:p w14:paraId="0FDDB49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Lawrence, E., Stoker, R., &amp; Wolman, H. (2013). The Effects of Beneficiary Targeting on Public Support for Social Policies. Policy Studies Journal, 41(2), 199–216. https://doi.org/10.1111/psj.12014</w:t>
      </w:r>
    </w:p>
    <w:p w14:paraId="47654C9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Lee, D. S., &amp; Card, D. (2008). Regression discontinuity inference with specification error. Journal of Econometrics, 142(2), 655–674. https://doi.org/10.1016/j.jeconom.2007.05.003</w:t>
      </w:r>
    </w:p>
    <w:p w14:paraId="1437E08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LeGower, M., &amp; Walsh, R. (2017). Promise scholarship programs as place-making policy: Evidence from school enrollment and housing prices. Journal of Urban Economics, 101(Supplement C), 74–89. https://doi.org/10.1016/j.jue.2017.06.001</w:t>
      </w:r>
    </w:p>
    <w:p w14:paraId="3EAD39D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Libassi, C. J. (2018). The Neglected College Race Gap: Racial Disparities Among College Completers. Retrieved May 25, 2018, from https://www.americanprogress.org/issues/education-postsecondary/reports/2018/05/23/451186/neglected-college-race-gap-racial-disparities-among-college-completers/</w:t>
      </w:r>
    </w:p>
    <w:p w14:paraId="1690B9A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Lindhorst, T., &amp; Padgett, J. D. (2005). Disjunctures for Women and Frontline Workers: Implementation of the Family Violence Option. The Social Service Review, 79(3), 405–429. https://doi.org/10.1086/430891</w:t>
      </w:r>
    </w:p>
    <w:p w14:paraId="49303A7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Lipsky, M. (2010a). Street-Level Bureaucracy: Dilemmas of the Individual in Public Service, 30th Anniversary Expanded Edition (Anniversary, Expanded, Updated edition). New York: Russell Sage Foundation.</w:t>
      </w:r>
    </w:p>
    <w:p w14:paraId="5A40343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Lipsky, M. (2010b). Street-Level Bureaucracy: Dilemmas of the Individual in Public Service, 30th Anniversary Expanded Edition (30 Anv Exp edition). New York: Russell Sage Foundation.</w:t>
      </w:r>
    </w:p>
    <w:p w14:paraId="6C20BA6F"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Lipsky, Michael. 1984. “Bureaucratic Disentitlement in Social Welfare Programs.” </w:t>
      </w:r>
      <w:r w:rsidRPr="001257D9">
        <w:rPr>
          <w:rFonts w:ascii="Times New Roman" w:hAnsi="Times New Roman" w:cs="Times New Roman"/>
          <w:i/>
          <w:iCs/>
          <w:sz w:val="24"/>
          <w:szCs w:val="24"/>
        </w:rPr>
        <w:t>Social Service Review</w:t>
      </w:r>
      <w:r w:rsidRPr="001257D9">
        <w:rPr>
          <w:rFonts w:ascii="Times New Roman" w:hAnsi="Times New Roman" w:cs="Times New Roman"/>
          <w:sz w:val="24"/>
          <w:szCs w:val="24"/>
        </w:rPr>
        <w:t xml:space="preserve"> 58 (1): 3–27. </w:t>
      </w:r>
    </w:p>
    <w:p w14:paraId="3E9D2FF5"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Lipsky, Michael. 2010. </w:t>
      </w:r>
      <w:r w:rsidRPr="001257D9">
        <w:rPr>
          <w:rFonts w:ascii="Times New Roman" w:hAnsi="Times New Roman" w:cs="Times New Roman"/>
          <w:i/>
          <w:iCs/>
          <w:sz w:val="24"/>
          <w:szCs w:val="24"/>
        </w:rPr>
        <w:t>Street-Level Bureaucracy: Dilemmas of the Individual in Public Service, 30th Anniversary Expanded Edition</w:t>
      </w:r>
      <w:r w:rsidRPr="001257D9">
        <w:rPr>
          <w:rFonts w:ascii="Times New Roman" w:hAnsi="Times New Roman" w:cs="Times New Roman"/>
          <w:sz w:val="24"/>
          <w:szCs w:val="24"/>
        </w:rPr>
        <w:t>. New York: Russell Sage Foundation.</w:t>
      </w:r>
    </w:p>
    <w:p w14:paraId="2F4598C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Lobosco, K. (2017, August 22). Oregon promised free tuition. Now it’s cutting back. CNNMoney. Retrieved from https://money.cnn.com/2017/08/22/pf/college/oregon-free-tuition-promise-scholarship/index.html</w:t>
      </w:r>
    </w:p>
    <w:p w14:paraId="1C01FA4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Lowi, T. J. (1964). Review: American Business, Public Policy, Case-Studies, and Political Theory. World Politics, 16(4), 677–715. https://doi.org/10.2307/2009452</w:t>
      </w:r>
    </w:p>
    <w:p w14:paraId="12EB71A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Lynn, L. E., Heinrich, C. J., &amp; Hill, C. J. (2001). Improving Governance: A New Logic for Empirical Research. Washington, DC: Georgetown University Press.</w:t>
      </w:r>
    </w:p>
    <w:p w14:paraId="6D73D0CF"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Lynn, Laurence, Carolyn Heinrich, and Carolyn Hill. 2001. </w:t>
      </w:r>
      <w:r w:rsidRPr="001257D9">
        <w:rPr>
          <w:rFonts w:ascii="Times New Roman" w:hAnsi="Times New Roman" w:cs="Times New Roman"/>
          <w:i/>
          <w:iCs/>
          <w:sz w:val="24"/>
          <w:szCs w:val="24"/>
        </w:rPr>
        <w:t>Improving Governance: A New Logic for Empirical Research</w:t>
      </w:r>
      <w:r w:rsidRPr="001257D9">
        <w:rPr>
          <w:rFonts w:ascii="Times New Roman" w:hAnsi="Times New Roman" w:cs="Times New Roman"/>
          <w:sz w:val="24"/>
          <w:szCs w:val="24"/>
        </w:rPr>
        <w:t>. Washington, DC: Georgetown University Press.</w:t>
      </w:r>
    </w:p>
    <w:p w14:paraId="0F1E776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May, P. J. (1991). Reconsidering Policy Design: Policies and Publics. Journal of Public Policy, 11(2), 187–206.</w:t>
      </w:r>
    </w:p>
    <w:p w14:paraId="1ED895E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May, P. J., &amp; Winter, S. C. (2009). Politicians, Managers, and Street-Level Bureaucrats: Influences on Policy Implementation. Journal of Public Administration Research and Theory, 19(3), 453–476. https://doi.org/10.1093/jopart/mum030</w:t>
      </w:r>
    </w:p>
    <w:p w14:paraId="75FB5159"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May, Peter, and Søren Winter. 2009. “Politicians, Managers, and Street-Level Bureaucrats: Influences on Policy Implementation.”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19 (3): 453–76.</w:t>
      </w:r>
    </w:p>
    <w:p w14:paraId="456CB76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Maynard-Moody, S. W., &amp; Musheno, M. C. (2003). Cops, Teachers, Counselors: Stories from the Front Lines of Public Service (58807th edition). Ann Arbor: University of Michigan Press.</w:t>
      </w:r>
    </w:p>
    <w:p w14:paraId="76C4857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Maynard-Moody, S., &amp; Musheno, M. (2000). State Agent or Citizen Agent: Two Narratives of Discretion. Journal of Public Administration Research and Theory, 10(2), 329–358. https://doi.org/10.1093/oxfordjournals.jpart.a024272</w:t>
      </w:r>
    </w:p>
    <w:p w14:paraId="6C411605"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Maynard-Moody, Steven Williams, and Michael Musheno. 2003. </w:t>
      </w:r>
      <w:r w:rsidRPr="001257D9">
        <w:rPr>
          <w:rFonts w:ascii="Times New Roman" w:hAnsi="Times New Roman" w:cs="Times New Roman"/>
          <w:i/>
          <w:iCs/>
          <w:sz w:val="24"/>
          <w:szCs w:val="24"/>
        </w:rPr>
        <w:t>Cops, Teachers, Counselors: Stories from the Front Lines of Public Service</w:t>
      </w:r>
      <w:r w:rsidRPr="001257D9">
        <w:rPr>
          <w:rFonts w:ascii="Times New Roman" w:hAnsi="Times New Roman" w:cs="Times New Roman"/>
          <w:sz w:val="24"/>
          <w:szCs w:val="24"/>
        </w:rPr>
        <w:t>. Ann Arbor: University of Michigan Press.</w:t>
      </w:r>
    </w:p>
    <w:p w14:paraId="17F6BE5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Maynard-Moody, Steven, and Michael Musheno. 2000. “State Agent or Citizen Agent: Two Narratives of Discretion.”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10 (2): 329–58. </w:t>
      </w:r>
    </w:p>
    <w:p w14:paraId="6FF0170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McCann, P. J. C. (2016). The Federal Design Dilemma: Congress and Intergovernmental Delegation. New York, NY: Cambridge University Press.</w:t>
      </w:r>
    </w:p>
    <w:p w14:paraId="68B0F73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McClendon, M., Cohen-Vogel, L., &amp; Wachen, J. (2003). Understanding education policymaking and policy change in the American states: Learning from contemporary policy theory. In Handbook of Education Politics and Policy (2nd ed., pp. 86–117).</w:t>
      </w:r>
    </w:p>
    <w:p w14:paraId="6809848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McLendon, M. K. (2003). The Politics of Higher Education: Toward an Expanded Research Agenda. Educational Policy, 17(1), 165–191. https://doi.org/10.1177/0895904802239291</w:t>
      </w:r>
    </w:p>
    <w:p w14:paraId="502EE13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Meier, K. J. (1997). Bureaucracy and Democracy: The Case for More Bureaucracy and Less Democracy. Public Administration Review, 57(3), 193–199.</w:t>
      </w:r>
    </w:p>
    <w:p w14:paraId="3182426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Mettler, S. (1998). Dividing Citizens: Gender and Federalism in New Deal Public Policy. Cornell University Press.</w:t>
      </w:r>
    </w:p>
    <w:p w14:paraId="6D3A8AA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Mettler, S. (2007). Soldiers to Citizens: The G.I. Bill and the Making of the Greatest Generation (1 edition). Oxford ; New York: Oxford University Press.</w:t>
      </w:r>
    </w:p>
    <w:p w14:paraId="79E6716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Mettler, S. (2007). Soldiers to Citizens: The G.I. Bill and the Making of the Greatest Generation (1 edition). Oxford ; New York: Oxford University Press.</w:t>
      </w:r>
    </w:p>
    <w:p w14:paraId="1899479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Mettler, S. (2011). The Submerged State: How Invisible Government Policies Undermine American Democracy. University of Chicago Press.</w:t>
      </w:r>
    </w:p>
    <w:p w14:paraId="4B5B8D1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Mettler, S., &amp; Stonecash, J. M. (2008). Government Program Usage and Political Voice*. Social Science Quarterly, 89(2), 273–293. https://doi.org/10.1111/j.1540-6237.2008.00532.x</w:t>
      </w:r>
    </w:p>
    <w:p w14:paraId="123FCDF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Meyers, M. K., Glaser, B., &amp; Donald, K. M. (1988). On the front lines of welfare delivery: Are workers implementing policy reforms? Journal of Policy Analysis and Management, 17(1), 1–22. https://doi.org/10.1002/(SICI)1520-6688(199824)17:1&lt;1::AID-PAM1&gt;3.0.CO;2-I</w:t>
      </w:r>
    </w:p>
    <w:p w14:paraId="34CE7D0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Miller-Adams, M. (2015). Promise Nation: Transforming Communities through Place-Based Scholarships. Upjohn Press. https://doi.org/10.17848/9780880995061</w:t>
      </w:r>
    </w:p>
    <w:p w14:paraId="709FB47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Millett, C. (2017). Designing Sustainable Funding for College Promise Initiatives. ETS Research Report Series, 2017(1), 1–55. https://doi.org/10.1002/ets2.12161</w:t>
      </w:r>
    </w:p>
    <w:p w14:paraId="39DAE5D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Mishory, J. (2018a). The Future of Statewide College Promise Programs. The Century Foundation. Retrieved from https://tcf.org/content/report/future-statewide-college-promise-programs/</w:t>
      </w:r>
    </w:p>
    <w:p w14:paraId="1DAF396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Mishory, J. (2018b, July 12). “Free College:” Here to Stay? Retrieved July 12, 2018, from https://tcf.org/content/report/free-college-stay/</w:t>
      </w:r>
    </w:p>
    <w:p w14:paraId="6639D9E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Moe, T. M. (1989). The Politics of Bureaucratic Structure. In J. E. Chubb &amp; P. E. Peterson (Eds.), Can the Government Govern? (pp. 267–329). Washington, DC: The Brookings Institution.</w:t>
      </w:r>
    </w:p>
    <w:p w14:paraId="5469DA5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Moore, P. (2015, January 13). Americans back free community college plan. Retrieved May 29, 2018, from https://today.yougov.com/topics/politics/articles-reports/2015/01/13/free-community-college</w:t>
      </w:r>
    </w:p>
    <w:p w14:paraId="7BEB4BB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Moynihan, D. P., Herd, P., &amp; Ribgy, E. (2016). Policymaking by Other Means: Do States Use Administrative Barriers to Limit Access to Medicaid? Administration &amp; Society, 48(4), 497–524. https://doi.org/10.1177/0095399713503540</w:t>
      </w:r>
    </w:p>
    <w:p w14:paraId="0CC4D08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Moynihan, D., &amp; Herd, P. (2010). Red Tape and Democracy: How Rules Affect Citizenship Rights. The American Review of Public Administration, 40(6), 654–670. https://doi.org/10.1177/0275074010366732</w:t>
      </w:r>
    </w:p>
    <w:p w14:paraId="75816AB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Moynihan, D., Herd, P., &amp; Harvey, H. (2015). Administrative Burden: Learning, Psychological, and Compliance Costs in Citizen-State Interactions. Journal of Public Administration Research and Theory, 25(1), 43–69. https://doi.org/10.1093/jopart/muu009</w:t>
      </w:r>
    </w:p>
    <w:p w14:paraId="00E6EE5B"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Moynihan, Donald, and Pamela Herd. 2010. “Red Tape and Democracy: How Rules Affect Citizenship Rights.” </w:t>
      </w:r>
      <w:r w:rsidRPr="001257D9">
        <w:rPr>
          <w:rFonts w:ascii="Times New Roman" w:hAnsi="Times New Roman" w:cs="Times New Roman"/>
          <w:i/>
          <w:iCs/>
          <w:sz w:val="24"/>
          <w:szCs w:val="24"/>
        </w:rPr>
        <w:t>The American Review of Public Administration</w:t>
      </w:r>
      <w:r w:rsidRPr="001257D9">
        <w:rPr>
          <w:rFonts w:ascii="Times New Roman" w:hAnsi="Times New Roman" w:cs="Times New Roman"/>
          <w:sz w:val="24"/>
          <w:szCs w:val="24"/>
        </w:rPr>
        <w:t xml:space="preserve"> 40 (6): 654–70. </w:t>
      </w:r>
    </w:p>
    <w:p w14:paraId="3652DBD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lastRenderedPageBreak/>
        <w:t xml:space="preserve">Moynihan, Donald, Pamela Herd, and Elizabeth Ribgy. 2016. “Policymaking by Other Means: Do States Use Administrative Barriers to Limit Access to Medicaid?” </w:t>
      </w:r>
      <w:r w:rsidRPr="001257D9">
        <w:rPr>
          <w:rFonts w:ascii="Times New Roman" w:hAnsi="Times New Roman" w:cs="Times New Roman"/>
          <w:i/>
          <w:iCs/>
          <w:sz w:val="24"/>
          <w:szCs w:val="24"/>
        </w:rPr>
        <w:t>Administration &amp; Society</w:t>
      </w:r>
      <w:r w:rsidRPr="001257D9">
        <w:rPr>
          <w:rFonts w:ascii="Times New Roman" w:hAnsi="Times New Roman" w:cs="Times New Roman"/>
          <w:sz w:val="24"/>
          <w:szCs w:val="24"/>
        </w:rPr>
        <w:t xml:space="preserve"> 48 (4): 497–524.</w:t>
      </w:r>
    </w:p>
    <w:p w14:paraId="23C7DB10"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Moynihan, Donald, Pamela Herd, and Hope Harvey. 2015. “Administrative Burden: Learning, Psychological, and Compliance Costs in Citizen-State Interactions.”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25 (1): 43–69. </w:t>
      </w:r>
    </w:p>
    <w:p w14:paraId="452BB69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Munro, G. D., Ditto, P. H., Lockhart, L. K., Fagerlin, A., Gready, M., &amp; Peterson, E. (2002). Biased Assimilation of Sociopolitical Arguments: Evaluating the 1996 U.S. Presidential Debate. Basic and Applied Social Psychology, 24(1), 15–26. https://doi.org/10.1207/S15324834BASP2401_2</w:t>
      </w:r>
    </w:p>
    <w:p w14:paraId="3908F7D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Ness, E. (2008). Merit aid and the politics of education. New York: Routledge.</w:t>
      </w:r>
    </w:p>
    <w:p w14:paraId="2819521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Ness, E. C. (2010). The Politics of Determining Merit Aid Eligibility Criteria: An Analysis of the Policy Process. The Journal of Higher Education, 81(1), 33–60. https://doi.org/10.1080/00221546.2010.11778969</w:t>
      </w:r>
    </w:p>
    <w:p w14:paraId="6E6F2BC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Ness, E. C., &amp; Gándara, D. (2014). Ideological Think Tanks in the States: An Inventory of Their Prevalence, Networks, and Higher Education Policy Activity. Educational Policy, 28(2), 258–280. https://doi.org/10.1177/0895904813515328</w:t>
      </w:r>
    </w:p>
    <w:p w14:paraId="39EF289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Nisar, M. (2017). Children of a Lesser God: Administrative Burden and Social Equity in Citizen–State Interactions. Journal of Public Administration Research and Theory, 28(1), 104–119. https://doi.org/10.1093/jopart/mux025</w:t>
      </w:r>
    </w:p>
    <w:p w14:paraId="26F504C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Nisar, M. A. (2018). Overcoming resistance to resistance in public administration: Resistance strategies of marginalized publics in citizen-state interactions. Public Administration and Development, 38(1), 15–25. https://doi.org/10.1002/pad.1817</w:t>
      </w:r>
    </w:p>
    <w:p w14:paraId="20C5B4B8"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lastRenderedPageBreak/>
        <w:t xml:space="preserve">Nisar, Muhammad. 2017. “Children of a Lesser God: Administrative Burden and Social Equity in Citizen–State Interactions.”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28 (1): 104–19. </w:t>
      </w:r>
    </w:p>
    <w:p w14:paraId="5BB2A99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Nisar, Muhammad. 2018. “Overcoming Resistance to Resistance in Public Administration: Resistance Strategies of Marginalized Publics in Citizen-State Interactions.” </w:t>
      </w:r>
      <w:r w:rsidRPr="001257D9">
        <w:rPr>
          <w:rFonts w:ascii="Times New Roman" w:hAnsi="Times New Roman" w:cs="Times New Roman"/>
          <w:i/>
          <w:iCs/>
          <w:sz w:val="24"/>
          <w:szCs w:val="24"/>
        </w:rPr>
        <w:t>Public Administration and Development</w:t>
      </w:r>
      <w:r w:rsidRPr="001257D9">
        <w:rPr>
          <w:rFonts w:ascii="Times New Roman" w:hAnsi="Times New Roman" w:cs="Times New Roman"/>
          <w:sz w:val="24"/>
          <w:szCs w:val="24"/>
        </w:rPr>
        <w:t xml:space="preserve"> 38 (1): 15–25. </w:t>
      </w:r>
    </w:p>
    <w:p w14:paraId="70201EC0"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Oklahoma State Regents for Higher Education. 2017. “Oklahoma’s Promise 2016-17 Year End Report.”</w:t>
      </w:r>
    </w:p>
    <w:p w14:paraId="1B48AE5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Orloff, A. S. (1993). Gender and the Social Rights of Citizenship: The Comparative Analysis of Gender Relations and Welfare States. American Sociological Review, 58(3), 303–328. https://doi.org/10.2307/2095903</w:t>
      </w:r>
    </w:p>
    <w:p w14:paraId="4E557D4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Page, L. C., Iriti, J. E., Lowry, D. J., &amp; Anthony, A. M. (2018). The Promise of Place-Based Investment in Postsecondary Access and Success: Investigating the Impact of the Pittsburgh Promise. Education Finance and Policy, 1–60. https://doi.org/10.1162/edfp_a_00257</w:t>
      </w:r>
    </w:p>
    <w:p w14:paraId="40B2CFD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Perna, L. W., &amp; Leigh, E. W. (2017). Understanding the Promise: A Typology of State and Local College Promise Programs. Educational Researcher, 0013189X17742653. https://doi.org/10.3102/0013189X17742653</w:t>
      </w:r>
    </w:p>
    <w:p w14:paraId="26DBA7BF"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Perna, L. W., Finney, J. E., &amp; Callan, P. M. (2014). The Attainment Agenda: State Policy Leadership in Higher Education. Baltimore, Md: Johns Hopkins University Press.</w:t>
      </w:r>
    </w:p>
    <w:p w14:paraId="53BF18E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Pierson, P. (1993, July). When Effect Becomes Cause: Policy Feedback and Political Change. https://doi.org/10.2307/2950710</w:t>
      </w:r>
    </w:p>
    <w:p w14:paraId="652B8A4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Pluhta, E. A., &amp; Penny, G. R. (2013). The Effect of a Community College Promise Scholarship on Access and Success. Community College Journal of Research and Practice, 37(10), 723–734. https://doi.org/10.1080/10668926.2011.592412</w:t>
      </w:r>
    </w:p>
    <w:p w14:paraId="52645AE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Pounds, S. (2016). Is College Worth It? 89% Believe College Is a Good Investment. Retrieved May 29, 2018, from https://www.bankrate.com/finance/consumer-index/money-pulse-0816.aspx</w:t>
      </w:r>
    </w:p>
    <w:p w14:paraId="6F00F21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Pressman, J. L., &amp; Wildavsky, A. B. (1973). Implementation: how great expectations in Washington are dashed in Oakland : or, Why it’s amazing that Federal programs work at all, this being a saga of the Economic Development Administration as told by two sympathetic observers who seek to build morals on a foundation of ruined hopes. University of California Press.</w:t>
      </w:r>
    </w:p>
    <w:p w14:paraId="12552F5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Public Agenda. (2011). Slip-Sliding Away. Retrieved February 25, 2018, from https://www.publicagenda.org/pages/slipsliding-away</w:t>
      </w:r>
    </w:p>
    <w:p w14:paraId="69059FD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Radwin, D. (2018). 2015–16 National Postsecondary Student Aid Study (NPSAS:16) Student Financial Aid Estimates for 2015–16: First Look. National Center for Education Statistics, 81.</w:t>
      </w:r>
    </w:p>
    <w:p w14:paraId="17D15A9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Reich, G., &amp; Barth, J. (2010). Educating Citizens or Defying Federal Authority? A Comparative Study of In-State Tuition for Undocumented Students. Policy Studies Journal, 38(3), 419–445. https://doi.org/10.1111/j.1541-0072.2010.00368.x</w:t>
      </w:r>
    </w:p>
    <w:p w14:paraId="558D0CC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Reich, G., &amp; Barth, J. (2010). Educating Citizens or Defying Federal Authority? A Comparative Study of In-State Tuition for Undocumented Students. Policy Studies Journal, 38(3), 419–445. https://doi.org/10.1111/j.1541-0072.2010.00368.x</w:t>
      </w:r>
    </w:p>
    <w:p w14:paraId="1F2FF16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Riccucci, N. M. (2005). Street-Level Bureaucrats and Intrastate Variation in the Implementation of Temporary Assistance for Needy Families Policies. Journal of Public Administration Research and Theory: J-PART, 15(1), 89–111.</w:t>
      </w:r>
    </w:p>
    <w:p w14:paraId="0D4DD93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Riccucci, N. M., Meyers, M. K., Lurie, I., &amp; Han, J. S. (2004). The Implementation of Welfare Reform Policy: The Role of Public Managers in Front-Line Practices. Public Administration Review, 64(4), 438–448. https://doi.org/10.1111/j.1540-6210.2004.00390.x</w:t>
      </w:r>
    </w:p>
    <w:p w14:paraId="7E92B4B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Riccucci, Norma 2005. “Street-Level Bureaucrats and Intrastate Variation in the Implementation of Temporary Assistance for Needy Families Policies.”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15 (1): 89–111.</w:t>
      </w:r>
    </w:p>
    <w:p w14:paraId="5D2B06D3"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Riccucci, Norma, Marcia Meyers, Irene Lurie, and Jun Seop Han. 2004. “The Implementation of Welfare Reform Policy: The Role of Public Managers in Front-Line Practices.” </w:t>
      </w:r>
      <w:r w:rsidRPr="001257D9">
        <w:rPr>
          <w:rFonts w:ascii="Times New Roman" w:hAnsi="Times New Roman" w:cs="Times New Roman"/>
          <w:i/>
          <w:iCs/>
          <w:sz w:val="24"/>
          <w:szCs w:val="24"/>
        </w:rPr>
        <w:t>Public Administration Review</w:t>
      </w:r>
      <w:r w:rsidRPr="001257D9">
        <w:rPr>
          <w:rFonts w:ascii="Times New Roman" w:hAnsi="Times New Roman" w:cs="Times New Roman"/>
          <w:sz w:val="24"/>
          <w:szCs w:val="24"/>
        </w:rPr>
        <w:t xml:space="preserve"> 64 (4): 438–48. </w:t>
      </w:r>
    </w:p>
    <w:p w14:paraId="56B1B7B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Rothstein, B. (2001). THE UNIVERSAL WELFARE STATE AS A SOCIAL DILEMMA. Rationality and Society, 13(2), 213–233. https://doi.org/10.1177/104346301013002004</w:t>
      </w:r>
    </w:p>
    <w:p w14:paraId="7AE223B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Sabatier, P. A., &amp; Weible, C. M. (2014). Theories of the Policy Process. Avalon Publishing.</w:t>
      </w:r>
    </w:p>
    <w:p w14:paraId="50806EA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Sabatier, P., &amp; Mazmanian, D. (1980). The Implementation of Public Policy: A Framework of Analysis*. Policy Studies Journal, 8(4), 538–560. https://doi.org/10.1111/j.1541-0072.1980.tb01266.x</w:t>
      </w:r>
    </w:p>
    <w:p w14:paraId="6A21FAC5"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Sandfort, J. R. (2000). Moving Beyond Discretion and Outcomes: Examining Public Management from the Front Lines of the Welfare System. Journal of Public Administration Research and Theory, 10(4), 729–756. https://doi.org/10.1093/oxfordjournals.jpart.a024289</w:t>
      </w:r>
    </w:p>
    <w:p w14:paraId="349E4C4E"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lastRenderedPageBreak/>
        <w:t xml:space="preserve">Sandfort, Jodi. 2000. “Moving Beyond Discretion and Outcomes: Examining Public Management from the Front Lines of the Welfare System.”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10 (4): 729–56. </w:t>
      </w:r>
    </w:p>
    <w:p w14:paraId="37E2260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Schattschneider, E. E. (1960). The Semisovereign People. Holt, Rinehart and Winston.</w:t>
      </w:r>
    </w:p>
    <w:p w14:paraId="79D99E4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 L., &amp; Ingram, H. M. (2012). Deserving and Entitled: Social Constructions and Public Policy. SUNY Press.</w:t>
      </w:r>
    </w:p>
    <w:p w14:paraId="2C99EB6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 &amp; Ingram, H. (1993). Social Construction of Target Populations: Implications for Politics and Policy. American Political Science Review, 87(2), 334–347. https://doi.org/10.2307/2939044</w:t>
      </w:r>
    </w:p>
    <w:p w14:paraId="27E9822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 &amp; Ingram, H. (1993). Social Construction of Target Populations: Implications for Politics and Policy. American Political Science Review, 87(2), 334–347. https://doi.org/10.2307/2939044</w:t>
      </w:r>
    </w:p>
    <w:p w14:paraId="4432C59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 &amp; Sidney, M. (2009). What Is Next for Policy Design and Social Construction Theory?1. Policy Studies Journal, 37(1), 103–119. https://doi.org/10.1111/j.1541-0072.2008.00298.x</w:t>
      </w:r>
    </w:p>
    <w:p w14:paraId="6AD23CB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Anne L., &amp; Ingram, H. M. (2012). Deserving and Entitled: Social Constructions and Public Policy. SUNY Press.</w:t>
      </w:r>
    </w:p>
    <w:p w14:paraId="1E71228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Schneider, Anne Larason. (2006). Patterns of Change in the Use of Imprisonment in the American States: An Integration of Path Dependence, Punctuated Equilibrium and Policy Design Approaches. Political Research Quarterly, 59(3), 457–470. https://doi.org/10.1177/106591290605900313</w:t>
      </w:r>
    </w:p>
    <w:p w14:paraId="7546AF9E"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Schroedel, J. R., &amp; Jordan, D. R. (1998). Senate Voting and Social Construction of Target Populations: A Study of AIDS Policy Making, 1987–1992. Journal of Health Politics, Policy and Law, 23(1), 107–132. https://doi.org/10.1215/03616878-23-1-107</w:t>
      </w:r>
    </w:p>
    <w:p w14:paraId="33CC360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Scott, P. G. (1997). Assessing Determinants of Bureaucratic Discretion: An Experiment in Street-Level Decision Making. Journal of Public Administration Research and Theory, 7(1), 35–58. https://doi.org/10.1093/oxfordjournals.jpart.a024341</w:t>
      </w:r>
    </w:p>
    <w:p w14:paraId="3C41D801"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Scott, Patrick. 1997. “Assessing Determinants of Bureaucratic Discretion: An Experiment in Street-Level Decision Making.”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7 (1): 35–58. </w:t>
      </w:r>
    </w:p>
    <w:p w14:paraId="450864F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Scott-Clayton, J. (2011). On Money and Motivation A Quasi-Experimental Analysis of Financial Incentives for College Achievement. Journal of Human Resources, 46(3), 614–646. https://doi.org/10.3368/jhr.46.3.614</w:t>
      </w:r>
    </w:p>
    <w:p w14:paraId="6E1575C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Shklar, J. N. (1998). American Citizenship: The Quest for Inclusion (Fourth Printing edition). Cambridge, Mass.: Harvard University Press.</w:t>
      </w:r>
    </w:p>
    <w:p w14:paraId="485503CD"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Shore-Sheppard, Lara. 2008. “Stemming the Tide? The Effect of Expanding Medicaid Eligibility On Health Insurance Coverage.” </w:t>
      </w:r>
      <w:r w:rsidRPr="001257D9">
        <w:rPr>
          <w:rFonts w:ascii="Times New Roman" w:hAnsi="Times New Roman" w:cs="Times New Roman"/>
          <w:i/>
          <w:iCs/>
          <w:sz w:val="24"/>
          <w:szCs w:val="24"/>
        </w:rPr>
        <w:t>The B.E. Journal of Economic Analysis &amp; Policy</w:t>
      </w:r>
      <w:r w:rsidRPr="001257D9">
        <w:rPr>
          <w:rFonts w:ascii="Times New Roman" w:hAnsi="Times New Roman" w:cs="Times New Roman"/>
          <w:sz w:val="24"/>
          <w:szCs w:val="24"/>
        </w:rPr>
        <w:t xml:space="preserve"> 8 (2). </w:t>
      </w:r>
    </w:p>
    <w:p w14:paraId="007FB08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Simon, H. A. (1985). Human Nature in Politics: The Dialogue of Psychology with Political Science. The American Political Science Review, 79(2), 293–304. https://doi.org/10.2307/1956650</w:t>
      </w:r>
    </w:p>
    <w:p w14:paraId="3DA3275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Skocpol, T. (1992). Protecting Soldiers and Mothers. Retrieved from https://books.google.com/books/about/Protecting_Soldiers_and_Mothers.html?id=BWZ0g8A7NBwC</w:t>
      </w:r>
    </w:p>
    <w:p w14:paraId="3728423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Sohn, H., Rubenstein, R., Murchie, J., &amp; Bifulco, R. (2017). Assessing the Effects of Place-Based Scholarships on Urban Revitalization: The Case of Say Yes to Education. Educational Evaluation and Policy Analysis, 39(2), 198–222. https://doi.org/10.3102/0162373716675727</w:t>
      </w:r>
    </w:p>
    <w:p w14:paraId="1E80291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Soss, J. (1999, June). Lessons of Welfare: Policy Design, Political Learning, and Political Action. https://doi.org/10.2307/2585401</w:t>
      </w:r>
    </w:p>
    <w:p w14:paraId="35B548A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Soss, J., Fording, R. C., &amp; Schram, S. F. (2011). Disciplining the Poor: Neoliberal Paternalism and the Persistent Power of Race (Chicago Studies in American Politics edition). Chicago ; London: University Of Chicago Press.</w:t>
      </w:r>
    </w:p>
    <w:p w14:paraId="06B0D45C"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Soss, Joe, Richard Fording, and Sanford Schram. 2011. </w:t>
      </w:r>
      <w:r w:rsidRPr="001257D9">
        <w:rPr>
          <w:rFonts w:ascii="Times New Roman" w:hAnsi="Times New Roman" w:cs="Times New Roman"/>
          <w:i/>
          <w:iCs/>
          <w:sz w:val="24"/>
          <w:szCs w:val="24"/>
        </w:rPr>
        <w:t>Disciplining the Poor: Neoliberal Paternalism and the Persistent Power of Race</w:t>
      </w:r>
      <w:r w:rsidRPr="001257D9">
        <w:rPr>
          <w:rFonts w:ascii="Times New Roman" w:hAnsi="Times New Roman" w:cs="Times New Roman"/>
          <w:sz w:val="24"/>
          <w:szCs w:val="24"/>
        </w:rPr>
        <w:t>. London: University Of Chicago Press.</w:t>
      </w:r>
    </w:p>
    <w:p w14:paraId="48CF8EE9"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Soss, Joe. 1999. “Lessons of Welfare: Policy Design, Political Learning, and Political Action.” </w:t>
      </w:r>
      <w:r w:rsidRPr="001257D9">
        <w:rPr>
          <w:rFonts w:ascii="Times New Roman" w:hAnsi="Times New Roman" w:cs="Times New Roman"/>
          <w:i/>
          <w:sz w:val="24"/>
          <w:szCs w:val="24"/>
        </w:rPr>
        <w:t>American Political Science Review</w:t>
      </w:r>
      <w:r w:rsidRPr="001257D9">
        <w:rPr>
          <w:rFonts w:ascii="Times New Roman" w:hAnsi="Times New Roman" w:cs="Times New Roman"/>
          <w:sz w:val="24"/>
          <w:szCs w:val="24"/>
        </w:rPr>
        <w:t xml:space="preserve">. </w:t>
      </w:r>
    </w:p>
    <w:p w14:paraId="5DAA510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Stein, S. J. (2001). ‘These are your Title I students’: Policy language in educational practice. Policy Sciences, 34(2), 135–156. https://doi.org/10.1023/A:1010323227348</w:t>
      </w:r>
    </w:p>
    <w:p w14:paraId="69F3E903"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Stone, D. (2001). Policy Paradox: The Art of Political Decision Making (Revised edition). New York: W. W. Norton &amp; Company.</w:t>
      </w:r>
    </w:p>
    <w:p w14:paraId="4D3F0602"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Strauss, Anselm, and Juliet Corbin. 1998. </w:t>
      </w:r>
      <w:r w:rsidRPr="001257D9">
        <w:rPr>
          <w:rFonts w:ascii="Times New Roman" w:hAnsi="Times New Roman" w:cs="Times New Roman"/>
          <w:i/>
          <w:iCs/>
          <w:sz w:val="24"/>
          <w:szCs w:val="24"/>
        </w:rPr>
        <w:t>Basics of Qualitative Research: Techniques and Procedures for Developing Grounded Theory</w:t>
      </w:r>
      <w:r w:rsidRPr="001257D9">
        <w:rPr>
          <w:rFonts w:ascii="Times New Roman" w:hAnsi="Times New Roman" w:cs="Times New Roman"/>
          <w:sz w:val="24"/>
          <w:szCs w:val="24"/>
        </w:rPr>
        <w:t>. SAGE Publications.</w:t>
      </w:r>
    </w:p>
    <w:p w14:paraId="05D6667A"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Swanson, E., &amp; Ritter, G. (2018). Start to Finish: Examining the Impact of the El Dorado Promise on Postsecondary Outcomes (SSRN Scholarly Paper No. ID 3153153). Rochester, NY: Social Science Research Network. Retrieved from https://papers.ssrn.com/abstract=3153153</w:t>
      </w:r>
    </w:p>
    <w:p w14:paraId="0D261171"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Swanson, E., Watson, A., Ritter, G., &amp; Nichols, M. (2017). Promises Fulfilled? A Systematic Review of the Impacts of Promise Programs (SSRN Scholarly Paper No. ID 2849194). Rochester, NY: Social Science Research Network. Retrieved from https://papers.ssrn.com/abstract=2849194</w:t>
      </w:r>
    </w:p>
    <w:p w14:paraId="0877DB98"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Tisch, M. (2018, May 29). Free-college programs are valuable, but must be done right [Text]. Retrieved July 26, 2018, from http://thehill.com/opinion/education/389399-free-college-programs-are-valuable-but-must-be-done-right</w:t>
      </w:r>
    </w:p>
    <w:p w14:paraId="79300AE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Toutkoushian, R. K., &amp; Shafiq, M. N. (2010). A Conceptual Analysis of State Support for Higher Education: Appropriations versus Need-Based Financial Aid. Research in Higher Education, 51(1), 40–64.</w:t>
      </w:r>
    </w:p>
    <w:p w14:paraId="431EC14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Tummers, L., &amp; Bekkers, V. (2014). Policy Implementation, Street-level Bureaucracy, and the Importance of Discretion. Public Management Review, 16(4), 527–547. https://doi.org/10.1080/14719037.2013.841978</w:t>
      </w:r>
    </w:p>
    <w:p w14:paraId="0DE93209"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Uggen, C., &amp; Manza, J. (2002). Democratic Contraction? Political Consequences of Felon Disenfranchisement in the United States. American Sociological Review, 67(6), 777–803. https://doi.org/10.2307/3088970</w:t>
      </w:r>
    </w:p>
    <w:p w14:paraId="46313F10"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Verba, S., Schlozman, K. L., &amp; Brady, H. E. (1995). Voice and Equality: Civic Voluntarism in American Politics. Harvard University Press.</w:t>
      </w:r>
    </w:p>
    <w:p w14:paraId="6A4D20B3"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Wallace, John. 2002. “Work Support Centers: A Framework.” Text. MDRC. https://www.mdrc.org/publication/work-support-centers-framework.</w:t>
      </w:r>
    </w:p>
    <w:p w14:paraId="2BEC75B4"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Weaver, V. M., &amp; Lerman, A. E. (2010, November). Political Consequences of the Carceral State. Retrieved September 10, 2017, from /core/journals/american-political-science-</w:t>
      </w:r>
      <w:r w:rsidRPr="001257D9">
        <w:rPr>
          <w:rFonts w:ascii="Times New Roman" w:hAnsi="Times New Roman" w:cs="Times New Roman"/>
          <w:sz w:val="24"/>
          <w:szCs w:val="24"/>
        </w:rPr>
        <w:lastRenderedPageBreak/>
        <w:t>review/article/political-consequences-of-the-carceral-state/4E39A3AFDAB682A1D4DE53C57E38C019</w:t>
      </w:r>
    </w:p>
    <w:p w14:paraId="296C4BD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Weible, C. M., Sabatier, P. A., &amp; McQueen, K. (2009). Themes and Variations: Taking Stock of the Advocacy Coalition Framework. Policy Studies Journal, 37(1), 121–140. https://doi.org/10.1111/j.1541-0072.2008.00299.x</w:t>
      </w:r>
    </w:p>
    <w:p w14:paraId="3AA63B97"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Weimer, D. L., &amp; Vining, A. R. (2017). Policy Analysis: Concepts and Practice. Taylor &amp; Francis.</w:t>
      </w:r>
    </w:p>
    <w:p w14:paraId="1648EA72"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Weimer, D. L., &amp; Vining, A. R. (2017). Policy Analysis: Concepts and Practice. Taylor &amp; Francis.</w:t>
      </w:r>
    </w:p>
    <w:p w14:paraId="0656E20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Weissert, C. S. (1994). Beyond the Organization: The Influence of Community and Personal Values on Street-Level Bureaucrats’ Responsiveness. Journal of Public Administration Research and Theory, 4(2), 225–254. https://doi.org/10.1093/oxfordjournals.jpart.a037205</w:t>
      </w:r>
    </w:p>
    <w:p w14:paraId="4E2A968A"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Weissert, Carol. 1994. “Beyond the Organization: The Influence of Community and Personal Values on Street-Level Bureaucrats’ Responsiveness.” </w:t>
      </w:r>
      <w:r w:rsidRPr="001257D9">
        <w:rPr>
          <w:rFonts w:ascii="Times New Roman" w:hAnsi="Times New Roman" w:cs="Times New Roman"/>
          <w:i/>
          <w:iCs/>
          <w:sz w:val="24"/>
          <w:szCs w:val="24"/>
        </w:rPr>
        <w:t>Journal of Public Administration Research and Theory</w:t>
      </w:r>
      <w:r w:rsidRPr="001257D9">
        <w:rPr>
          <w:rFonts w:ascii="Times New Roman" w:hAnsi="Times New Roman" w:cs="Times New Roman"/>
          <w:sz w:val="24"/>
          <w:szCs w:val="24"/>
        </w:rPr>
        <w:t xml:space="preserve"> 4 (2): 225–54. </w:t>
      </w:r>
    </w:p>
    <w:p w14:paraId="52DDFE1B" w14:textId="77777777" w:rsidR="009F595C" w:rsidRPr="001257D9" w:rsidRDefault="009F595C" w:rsidP="008878FA">
      <w:pPr>
        <w:pStyle w:val="Bibliography"/>
        <w:rPr>
          <w:rFonts w:ascii="Times New Roman" w:hAnsi="Times New Roman" w:cs="Times New Roman"/>
          <w:sz w:val="24"/>
          <w:szCs w:val="24"/>
        </w:rPr>
      </w:pPr>
      <w:r w:rsidRPr="001257D9">
        <w:rPr>
          <w:rFonts w:ascii="Times New Roman" w:hAnsi="Times New Roman" w:cs="Times New Roman"/>
          <w:sz w:val="24"/>
          <w:szCs w:val="24"/>
        </w:rPr>
        <w:t xml:space="preserve">Wiley, Kimberly, and Frances Berry. 2018. “Compassionate Bureaucracy: Assuming the Administrative Burden of Policy Implementation.” </w:t>
      </w:r>
      <w:r w:rsidRPr="001257D9">
        <w:rPr>
          <w:rFonts w:ascii="Times New Roman" w:hAnsi="Times New Roman" w:cs="Times New Roman"/>
          <w:i/>
          <w:iCs/>
          <w:sz w:val="24"/>
          <w:szCs w:val="24"/>
        </w:rPr>
        <w:t>Nonprofit and Voluntary Sector Quarterly</w:t>
      </w:r>
      <w:r w:rsidRPr="001257D9">
        <w:rPr>
          <w:rFonts w:ascii="Times New Roman" w:hAnsi="Times New Roman" w:cs="Times New Roman"/>
          <w:sz w:val="24"/>
          <w:szCs w:val="24"/>
        </w:rPr>
        <w:t xml:space="preserve"> 47 (4): 55S-75S. </w:t>
      </w:r>
    </w:p>
    <w:p w14:paraId="296A20B6"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Williamson, V., Skocpol, T., &amp; Coggin, J. (2011, March). The Tea Party and the Remaking of Republican Conservatism. Retrieved September 11, 2017, from /core/journals/perspectives-on-politics/article/tea-party-and-the-remaking-of-republican-conservatism/BDF68005B52758A48F7EC07086C3788C</w:t>
      </w:r>
    </w:p>
    <w:p w14:paraId="6775A3DB"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lastRenderedPageBreak/>
        <w:t>Wilson, W. (1887). The Study of Administration. Political Science Quarterly, 2(2), 197–222.</w:t>
      </w:r>
    </w:p>
    <w:p w14:paraId="271BFC2D"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Wilson, W. J. (2012). The Truly Disadvantaged: The Inner City, the Underclass, and Public Policy, Second Edition. University of Chicago Press.</w:t>
      </w:r>
    </w:p>
    <w:p w14:paraId="77A6083C" w14:textId="77777777" w:rsidR="009F595C" w:rsidRPr="001257D9" w:rsidRDefault="009F595C" w:rsidP="008878FA">
      <w:pPr>
        <w:spacing w:after="0" w:line="480" w:lineRule="auto"/>
        <w:ind w:left="720" w:hanging="720"/>
        <w:textAlignment w:val="center"/>
        <w:rPr>
          <w:rFonts w:ascii="Times New Roman" w:hAnsi="Times New Roman" w:cs="Times New Roman"/>
          <w:sz w:val="24"/>
          <w:szCs w:val="24"/>
        </w:rPr>
      </w:pPr>
      <w:r w:rsidRPr="001257D9">
        <w:rPr>
          <w:rFonts w:ascii="Times New Roman" w:hAnsi="Times New Roman" w:cs="Times New Roman"/>
          <w:sz w:val="24"/>
          <w:szCs w:val="24"/>
        </w:rPr>
        <w:t>Zolberg, A. R. (2008). A Nation by Design: Immigration Policy in the Fashioning of America. New York, NY: Harvard University Press.</w:t>
      </w:r>
    </w:p>
    <w:p w14:paraId="4D1F71A6" w14:textId="77777777" w:rsidR="009F595C" w:rsidRPr="005B2DFB" w:rsidRDefault="009F595C" w:rsidP="00967B87">
      <w:pPr>
        <w:spacing w:line="480" w:lineRule="auto"/>
        <w:rPr>
          <w:rFonts w:ascii="Times New Roman" w:hAnsi="Times New Roman" w:cs="Times New Roman"/>
          <w:sz w:val="24"/>
          <w:szCs w:val="24"/>
        </w:rPr>
      </w:pPr>
    </w:p>
    <w:sectPr w:rsidR="009F595C" w:rsidRPr="005B2DFB" w:rsidSect="00B976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F4ACA" w14:textId="77777777" w:rsidR="00212138" w:rsidRDefault="00212138" w:rsidP="00122471">
      <w:pPr>
        <w:spacing w:after="0" w:line="240" w:lineRule="auto"/>
      </w:pPr>
      <w:r>
        <w:separator/>
      </w:r>
    </w:p>
  </w:endnote>
  <w:endnote w:type="continuationSeparator" w:id="0">
    <w:p w14:paraId="328C9245" w14:textId="77777777" w:rsidR="00212138" w:rsidRDefault="00212138" w:rsidP="00122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charset w:val="00"/>
    <w:family w:val="auto"/>
    <w:pitch w:val="variable"/>
    <w:sig w:usb0="E0002AEF" w:usb1="C0007841"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NewAste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BCEEF" w14:textId="77777777" w:rsidR="00212138" w:rsidRDefault="00212138" w:rsidP="00122471">
      <w:pPr>
        <w:spacing w:after="0" w:line="240" w:lineRule="auto"/>
      </w:pPr>
      <w:r>
        <w:separator/>
      </w:r>
    </w:p>
  </w:footnote>
  <w:footnote w:type="continuationSeparator" w:id="0">
    <w:p w14:paraId="0224F6E3" w14:textId="77777777" w:rsidR="00212138" w:rsidRDefault="00212138" w:rsidP="00122471">
      <w:pPr>
        <w:spacing w:after="0" w:line="240" w:lineRule="auto"/>
      </w:pPr>
      <w:r>
        <w:continuationSeparator/>
      </w:r>
    </w:p>
  </w:footnote>
  <w:footnote w:id="1">
    <w:p w14:paraId="6F9DF042" w14:textId="77777777" w:rsidR="00212138" w:rsidRPr="009F0E86" w:rsidRDefault="00212138" w:rsidP="00DA69F5">
      <w:pPr>
        <w:pStyle w:val="FootnoteText"/>
        <w:rPr>
          <w:rFonts w:ascii="Palatino Linotype" w:hAnsi="Palatino Linotype"/>
        </w:rPr>
      </w:pPr>
      <w:r w:rsidRPr="00E3535F">
        <w:rPr>
          <w:rStyle w:val="FootnoteReference"/>
        </w:rPr>
        <w:footnoteRef/>
      </w:r>
      <w:r w:rsidRPr="009F0E86">
        <w:rPr>
          <w:rFonts w:ascii="Palatino Linotype" w:hAnsi="Palatino Linotype"/>
          <w:sz w:val="18"/>
        </w:rPr>
        <w:t xml:space="preserve"> It should be noted that contextual factors such as economic, social, political, and cultural context are undoubtedly influential in many of the processes of translating politics into statutory design and design into implementation and implementation into outcomes. This logic model is displaying the influence of policy design on outcomes when those contextual factors are held constant.  </w:t>
      </w:r>
    </w:p>
  </w:footnote>
  <w:footnote w:id="2">
    <w:p w14:paraId="68E40BE7" w14:textId="77777777" w:rsidR="00212138" w:rsidRPr="00EB206A" w:rsidRDefault="00212138" w:rsidP="00E45E88">
      <w:pPr>
        <w:pStyle w:val="FootnoteText"/>
      </w:pPr>
      <w:r w:rsidRPr="00E3535F">
        <w:rPr>
          <w:rStyle w:val="FootnoteReference"/>
        </w:rPr>
        <w:footnoteRef/>
      </w:r>
      <w:r w:rsidRPr="00EB206A">
        <w:t xml:space="preserve"> </w:t>
      </w:r>
      <w:r w:rsidRPr="00EB206A">
        <w:rPr>
          <w:rFonts w:ascii="Times New Roman" w:hAnsi="Times New Roman" w:cs="Times New Roman"/>
        </w:rPr>
        <w:t>For a comprehensive list of the variation in policy design see Perna and Leigh (2017).</w:t>
      </w:r>
    </w:p>
  </w:footnote>
  <w:footnote w:id="3">
    <w:p w14:paraId="0FA98A8B" w14:textId="77777777" w:rsidR="00212138" w:rsidRPr="00050446" w:rsidRDefault="00212138" w:rsidP="00E45E88">
      <w:pPr>
        <w:pStyle w:val="FootnoteText"/>
        <w:rPr>
          <w:rFonts w:ascii="Times New Roman" w:hAnsi="Times New Roman" w:cs="Times New Roman"/>
        </w:rPr>
      </w:pPr>
      <w:r w:rsidRPr="00E3535F">
        <w:rPr>
          <w:rStyle w:val="FootnoteReference"/>
        </w:rPr>
        <w:footnoteRef/>
      </w:r>
      <w:r w:rsidRPr="00050446">
        <w:rPr>
          <w:rFonts w:ascii="Times New Roman" w:hAnsi="Times New Roman" w:cs="Times New Roman"/>
        </w:rPr>
        <w:t xml:space="preserve"> I also conducted these models as ordinal logistic regressions and the results are consistent, although less easily interpretable. </w:t>
      </w:r>
    </w:p>
  </w:footnote>
  <w:footnote w:id="4">
    <w:p w14:paraId="7634A001" w14:textId="77777777" w:rsidR="00212138" w:rsidRPr="00864E68" w:rsidRDefault="00212138" w:rsidP="00E45E88">
      <w:pPr>
        <w:pStyle w:val="FootnoteText"/>
      </w:pPr>
      <w:r w:rsidRPr="00E3535F">
        <w:rPr>
          <w:rStyle w:val="FootnoteReference"/>
        </w:rPr>
        <w:footnoteRef/>
      </w:r>
      <w:r w:rsidRPr="00864E68">
        <w:t xml:space="preserve"> </w:t>
      </w:r>
      <w:r w:rsidRPr="00864E68">
        <w:rPr>
          <w:rFonts w:ascii="Times New Roman" w:eastAsia="Times New Roman" w:hAnsi="Times New Roman" w:cs="Times New Roman"/>
        </w:rPr>
        <w:t>I have also conducted the analysis separately for each treatment combination and find, again, the findings are consistent across specifications, but this approach has much less statistical power. These results are available upon request.</w:t>
      </w:r>
    </w:p>
  </w:footnote>
  <w:footnote w:id="5">
    <w:p w14:paraId="5BEB3854" w14:textId="77777777" w:rsidR="00212138" w:rsidRDefault="00212138" w:rsidP="00E45E88">
      <w:pPr>
        <w:pStyle w:val="FootnoteText"/>
      </w:pPr>
      <w:r w:rsidRPr="00E3535F">
        <w:rPr>
          <w:rStyle w:val="FootnoteReference"/>
        </w:rPr>
        <w:footnoteRef/>
      </w:r>
      <w:r>
        <w:t xml:space="preserve"> </w:t>
      </w:r>
      <w:r w:rsidRPr="002C2C86">
        <w:rPr>
          <w:rFonts w:ascii="Times New Roman" w:hAnsi="Times New Roman" w:cs="Times New Roman"/>
        </w:rPr>
        <w:t>It should be noted, however, that in this study the minimum high school GPA requirement is substantially lower than merit-based aid programs like the Georgia HOPE, which require a 3.0 GPA.</w:t>
      </w:r>
    </w:p>
  </w:footnote>
  <w:footnote w:id="6">
    <w:p w14:paraId="357C8FBE" w14:textId="77777777" w:rsidR="00212138" w:rsidRDefault="00212138" w:rsidP="0046518A">
      <w:pPr>
        <w:pStyle w:val="FootnoteText"/>
      </w:pPr>
      <w:r w:rsidRPr="00E3535F">
        <w:rPr>
          <w:rStyle w:val="FootnoteReference"/>
        </w:rPr>
        <w:footnoteRef/>
      </w:r>
      <w:r>
        <w:t xml:space="preserve"> </w:t>
      </w:r>
      <w:r w:rsidRPr="00525ECC">
        <w:rPr>
          <w:rFonts w:ascii="Garamond" w:hAnsi="Garamond"/>
          <w:szCs w:val="24"/>
        </w:rPr>
        <w:t>As Moynihan et al. (2015) note, “high-achieving low-income students face learning costs that their better-advised high-income peers do not” (45).</w:t>
      </w:r>
    </w:p>
  </w:footnote>
  <w:footnote w:id="7">
    <w:p w14:paraId="06A34B69" w14:textId="77777777" w:rsidR="00212138" w:rsidRDefault="00212138" w:rsidP="0046518A">
      <w:pPr>
        <w:pStyle w:val="FootnoteText"/>
      </w:pPr>
      <w:r w:rsidRPr="00E3535F">
        <w:rPr>
          <w:rStyle w:val="FootnoteReference"/>
        </w:rPr>
        <w:footnoteRef/>
      </w:r>
      <w:r>
        <w:t xml:space="preserve"> </w:t>
      </w:r>
      <w:r w:rsidRPr="0001288E">
        <w:rPr>
          <w:rFonts w:ascii="Garamond" w:hAnsi="Garamond"/>
        </w:rPr>
        <w:t>These changes are summarized in detail in the Appendix.</w:t>
      </w:r>
    </w:p>
  </w:footnote>
  <w:footnote w:id="8">
    <w:p w14:paraId="4190B763" w14:textId="77777777" w:rsidR="00212138" w:rsidRPr="00173386" w:rsidRDefault="00212138" w:rsidP="0046518A">
      <w:pPr>
        <w:spacing w:after="0"/>
        <w:rPr>
          <w:rFonts w:ascii="Garamond" w:hAnsi="Garamond"/>
          <w:sz w:val="24"/>
          <w:szCs w:val="24"/>
        </w:rPr>
      </w:pPr>
      <w:r w:rsidRPr="00E3535F">
        <w:rPr>
          <w:rStyle w:val="FootnoteReference"/>
        </w:rPr>
        <w:footnoteRef/>
      </w:r>
      <w:r w:rsidRPr="00173386">
        <w:rPr>
          <w:sz w:val="18"/>
        </w:rPr>
        <w:t xml:space="preserve"> </w:t>
      </w:r>
      <w:r w:rsidRPr="00173386">
        <w:rPr>
          <w:rFonts w:ascii="Garamond" w:hAnsi="Garamond"/>
          <w:sz w:val="20"/>
          <w:szCs w:val="24"/>
        </w:rPr>
        <w:t>These SLBs include a variety of actors, including counselors, teachers, school administrators, and grant-funded staff for federal programs such as TRIO, Upward Bound and GEAR UP in high schools, higher education institutions, nonprofit organizations, tribal organizations, and career technology schools (CareerTechs)</w:t>
      </w:r>
    </w:p>
  </w:footnote>
  <w:footnote w:id="9">
    <w:p w14:paraId="67D82C4D" w14:textId="77777777" w:rsidR="00212138" w:rsidRPr="00CB4E09" w:rsidRDefault="00212138" w:rsidP="0046518A">
      <w:pPr>
        <w:spacing w:after="0"/>
        <w:rPr>
          <w:rFonts w:ascii="Garamond" w:hAnsi="Garamond" w:cs="Calibri"/>
          <w:sz w:val="18"/>
          <w:szCs w:val="18"/>
        </w:rPr>
      </w:pPr>
      <w:r w:rsidRPr="00E3535F">
        <w:rPr>
          <w:rStyle w:val="FootnoteReference"/>
        </w:rPr>
        <w:footnoteRef/>
      </w:r>
      <w:r w:rsidRPr="00D038C6">
        <w:rPr>
          <w:sz w:val="18"/>
        </w:rPr>
        <w:t xml:space="preserve"> </w:t>
      </w:r>
      <w:r w:rsidRPr="00FF1CD1">
        <w:rPr>
          <w:rFonts w:ascii="Garamond" w:hAnsi="Garamond" w:cs="Calibri"/>
          <w:sz w:val="18"/>
          <w:szCs w:val="18"/>
        </w:rPr>
        <w:t xml:space="preserve">Moreover, it should be </w:t>
      </w:r>
      <w:r w:rsidRPr="00CB4E09">
        <w:rPr>
          <w:rFonts w:ascii="Garamond" w:hAnsi="Garamond" w:cs="Calibri"/>
          <w:sz w:val="18"/>
          <w:szCs w:val="18"/>
        </w:rPr>
        <w:t xml:space="preserve">noted that the use of discretionary authority in program implementation has the potential to result in erroneous decisions that deny program access. For example, in a high profile 2017 case, Bailey White, valedictorian for Pond Creek-Hunter High School, sued the school district for certifying her as a juvenile delinquent, which resulted in denial of the Oklahoma’s Promise scholarship (Felder, 2017). Although the student had been involved in a non-adjudicated shoplifting incident three years prior to high school graduation, she had never been disciplined by the school and was even allowed to continue playing sports for the school. The OSRHE, based on advice from the Oklahoma Attorney General, reversed the decision to deny the scholarship for Ms. White (Felder, 2017). Subsequently, to limit the likelihood of discretion resulting in erroneous eligibility decisions in the future, the OSRHE posted proposed permanent administrative rule revisions at their September 2018 meeting to provide clear definitions of student conduct requirements as related to attendance, substance abuse, and criminal/delinquent activity. This exemplifies how delegation to local agencies in the implementation of programs with administrative burden can result in bureaucratic disentitlement. </w:t>
      </w:r>
    </w:p>
  </w:footnote>
  <w:footnote w:id="10">
    <w:p w14:paraId="6B286FEB" w14:textId="77777777" w:rsidR="00212138" w:rsidRDefault="00212138" w:rsidP="0046518A">
      <w:pPr>
        <w:pStyle w:val="FootnoteText"/>
      </w:pPr>
      <w:r w:rsidRPr="00E3535F">
        <w:rPr>
          <w:rStyle w:val="FootnoteReference"/>
        </w:rPr>
        <w:footnoteRef/>
      </w:r>
      <w:r w:rsidRPr="001A5CE2">
        <w:rPr>
          <w:sz w:val="16"/>
        </w:rPr>
        <w:t xml:space="preserve"> </w:t>
      </w:r>
      <w:r w:rsidRPr="001A5CE2">
        <w:rPr>
          <w:rFonts w:ascii="Garamond" w:hAnsi="Garamond"/>
          <w:szCs w:val="24"/>
        </w:rPr>
        <w:t>For an extended exploration of the representativeness of the sample see the Appendix.</w:t>
      </w:r>
    </w:p>
  </w:footnote>
  <w:footnote w:id="11">
    <w:p w14:paraId="095A846F" w14:textId="77777777" w:rsidR="00212138" w:rsidRPr="005000A1" w:rsidRDefault="00212138" w:rsidP="0046518A">
      <w:pPr>
        <w:pStyle w:val="FootnoteText"/>
        <w:rPr>
          <w:rFonts w:ascii="Garamond" w:hAnsi="Garamond"/>
          <w:sz w:val="22"/>
        </w:rPr>
      </w:pPr>
      <w:r w:rsidRPr="00E3535F">
        <w:rPr>
          <w:rStyle w:val="FootnoteReference"/>
        </w:rPr>
        <w:footnoteRef/>
      </w:r>
      <w:r w:rsidRPr="005000A1">
        <w:rPr>
          <w:rFonts w:ascii="Garamond" w:hAnsi="Garamond"/>
          <w:szCs w:val="18"/>
        </w:rPr>
        <w:t xml:space="preserve"> Thanks to our partnership with the Oklahoma State Regents for Higher Education, and their shared interest in this study, we worked closely with them to obtain the list serves of high school counselors to survey and interview. These results will be shared with them to facilitate potential policy changes that could increase access for eligible students across Oklahoma.</w:t>
      </w:r>
      <w:r w:rsidRPr="005000A1">
        <w:rPr>
          <w:rFonts w:ascii="Garamond" w:hAnsi="Garamond"/>
        </w:rPr>
        <w:t xml:space="preserve"> </w:t>
      </w:r>
    </w:p>
  </w:footnote>
  <w:footnote w:id="12">
    <w:p w14:paraId="709745C0" w14:textId="77777777" w:rsidR="00212138" w:rsidRPr="005919E7" w:rsidRDefault="00212138" w:rsidP="0046518A">
      <w:pPr>
        <w:pStyle w:val="FootnoteText"/>
        <w:rPr>
          <w:rFonts w:ascii="Garamond" w:hAnsi="Garamond"/>
          <w:sz w:val="22"/>
        </w:rPr>
      </w:pPr>
      <w:r w:rsidRPr="00E3535F">
        <w:rPr>
          <w:rStyle w:val="FootnoteReference"/>
        </w:rPr>
        <w:footnoteRef/>
      </w:r>
      <w:r w:rsidRPr="005000A1">
        <w:rPr>
          <w:rFonts w:ascii="Garamond" w:hAnsi="Garamond"/>
        </w:rPr>
        <w:t xml:space="preserve"> </w:t>
      </w:r>
      <w:r w:rsidRPr="005000A1">
        <w:rPr>
          <w:rFonts w:ascii="Garamond" w:hAnsi="Garamond" w:cs="Times New Roman"/>
        </w:rPr>
        <w:t xml:space="preserve">Specifically, we partnered with </w:t>
      </w:r>
      <w:r w:rsidRPr="00BE2105">
        <w:rPr>
          <w:rFonts w:ascii="Garamond" w:hAnsi="Garamond" w:cs="Times New Roman"/>
        </w:rPr>
        <w:t xml:space="preserve">staff at the Oklahoma State Regents for Higher Education (OSRHE), who sent out the recruitment email to the listserv </w:t>
      </w:r>
      <w:r w:rsidRPr="005919E7">
        <w:rPr>
          <w:rFonts w:ascii="Garamond" w:hAnsi="Garamond" w:cs="Times New Roman"/>
        </w:rPr>
        <w:t>of counselors and administrators at schools across the state to implement Oklahoma’s Promise program.</w:t>
      </w:r>
    </w:p>
  </w:footnote>
  <w:footnote w:id="13">
    <w:p w14:paraId="765BD620" w14:textId="77777777" w:rsidR="00212138" w:rsidRDefault="00212138" w:rsidP="0046518A">
      <w:pPr>
        <w:pStyle w:val="FootnoteText"/>
      </w:pPr>
      <w:r w:rsidRPr="00E3535F">
        <w:rPr>
          <w:rStyle w:val="FootnoteReference"/>
        </w:rPr>
        <w:footnoteRef/>
      </w:r>
      <w:r w:rsidRPr="005919E7">
        <w:rPr>
          <w:rFonts w:ascii="Garamond" w:hAnsi="Garamond"/>
        </w:rPr>
        <w:t xml:space="preserve"> </w:t>
      </w:r>
      <w:r w:rsidRPr="001D1E44">
        <w:rPr>
          <w:rFonts w:ascii="Garamond" w:hAnsi="Garamond"/>
        </w:rPr>
        <w:t xml:space="preserve">We account for the instances in which we have multiple respondents from the same school in the analytical approach section in the clustering of the standard errors. </w:t>
      </w:r>
      <w:r w:rsidRPr="005919E7">
        <w:rPr>
          <w:rFonts w:ascii="Garamond" w:hAnsi="Garamond"/>
        </w:rPr>
        <w:t>Moreover, we also run the analysis on the sample that does not include multiple respondents from the same school and find the results are remarkably similar. These results are available upon request.</w:t>
      </w:r>
      <w:r>
        <w:t xml:space="preserve"> </w:t>
      </w:r>
    </w:p>
  </w:footnote>
  <w:footnote w:id="14">
    <w:p w14:paraId="3C3281BC" w14:textId="77777777" w:rsidR="00212138" w:rsidRDefault="00212138" w:rsidP="0046518A">
      <w:pPr>
        <w:pStyle w:val="FootnoteText"/>
      </w:pPr>
      <w:r w:rsidRPr="00E3535F">
        <w:rPr>
          <w:rStyle w:val="FootnoteReference"/>
        </w:rPr>
        <w:footnoteRef/>
      </w:r>
      <w:r>
        <w:t xml:space="preserve"> </w:t>
      </w:r>
      <w:r w:rsidRPr="00923E53">
        <w:rPr>
          <w:rFonts w:ascii="Garamond" w:hAnsi="Garamond" w:cs="Times New Roman"/>
          <w:szCs w:val="24"/>
        </w:rPr>
        <w:t xml:space="preserve">Utilizing the free and reduced-price lunch enrollment as a proxy for the potentially eligible population for the Oklahoma Promise is an ideal approach given that in the 2015-16, families with 5 or less family members had to make less than $55,000 in order to receive free or reduced-price lunches </w:t>
      </w:r>
      <w:r w:rsidRPr="00923E53">
        <w:rPr>
          <w:rFonts w:ascii="Garamond" w:hAnsi="Garamond" w:cs="Times New Roman"/>
          <w:szCs w:val="24"/>
        </w:rPr>
        <w:fldChar w:fldCharType="begin"/>
      </w:r>
      <w:r>
        <w:rPr>
          <w:rFonts w:ascii="Garamond" w:hAnsi="Garamond" w:cs="Times New Roman"/>
          <w:szCs w:val="24"/>
        </w:rPr>
        <w:instrText xml:space="preserve"> ADDIN ZOTERO_ITEM CSL_CITATION {"citationID":"2CDY3YLJ","properties":{"formattedCitation":"(Federal Register 2015)","plainCitation":"(Federal Register 2015)","noteIndex":7},"citationItems":[{"id":6656,"uris":["http://zotero.org/users/2595715/items/SLVD8T5Z"],"uri":["http://zotero.org/users/2595715/items/SLVD8T5Z"],"itemData":{"id":6656,"type":"report","title":"Child Nutrition Programs-Income Eligibility Guidelines","publisher":"Food and Nutrition Service","abstract":"This notice announces the Department's annual adjustments to the Income Eligibility Guidelines to be used in determining eligibility for free and reduced price meals and free milk for the period from July 1, 2015 through June 30, 2016. These guidelines are used by schools, institutions, and...","URL":"https://www.federalregister.gov/documents/2015/03/31/2015-07358/child-nutrition-programs-income-eligibility-guidelines","author":[{"family":"Federal Register","given":""}],"issued":{"date-parts":[["2015",3,31]]},"accessed":{"date-parts":[["2018",7,31]]}}}],"schema":"https://github.com/citation-style-language/schema/raw/master/csl-citation.json"} </w:instrText>
      </w:r>
      <w:r w:rsidRPr="00923E53">
        <w:rPr>
          <w:rFonts w:ascii="Garamond" w:hAnsi="Garamond" w:cs="Times New Roman"/>
          <w:szCs w:val="24"/>
        </w:rPr>
        <w:fldChar w:fldCharType="separate"/>
      </w:r>
      <w:r w:rsidRPr="00B676CD">
        <w:rPr>
          <w:rFonts w:ascii="Garamond" w:hAnsi="Garamond"/>
        </w:rPr>
        <w:t>(Federal Register 2015)</w:t>
      </w:r>
      <w:r w:rsidRPr="00923E53">
        <w:rPr>
          <w:rFonts w:ascii="Garamond" w:hAnsi="Garamond" w:cs="Times New Roman"/>
          <w:szCs w:val="24"/>
        </w:rPr>
        <w:fldChar w:fldCharType="end"/>
      </w:r>
      <w:r w:rsidRPr="00923E53">
        <w:rPr>
          <w:rFonts w:ascii="Garamond" w:hAnsi="Garamond" w:cs="Times New Roman"/>
          <w:szCs w:val="24"/>
        </w:rPr>
        <w:t>. Therefore, this group of kids would meet the income eligibility requirement, which serves as one of the main mechanisms for determining eligibility for the Oklahoma Promise Scholarship.</w:t>
      </w:r>
    </w:p>
  </w:footnote>
  <w:footnote w:id="15">
    <w:p w14:paraId="78A7E9BA" w14:textId="77777777" w:rsidR="00212138" w:rsidRDefault="00212138" w:rsidP="0046518A">
      <w:pPr>
        <w:pStyle w:val="FootnoteText"/>
      </w:pPr>
      <w:r w:rsidRPr="00E3535F">
        <w:rPr>
          <w:rStyle w:val="FootnoteReference"/>
        </w:rPr>
        <w:footnoteRef/>
      </w:r>
      <w:r>
        <w:t xml:space="preserve"> </w:t>
      </w:r>
      <w:r w:rsidRPr="00194433">
        <w:rPr>
          <w:rFonts w:ascii="Garamond" w:hAnsi="Garamond" w:cs="Times New Roman"/>
          <w:szCs w:val="24"/>
        </w:rPr>
        <w:t>The schools represented by interviewees varied in size and program access. See the Ap</w:t>
      </w:r>
      <w:r w:rsidRPr="00194433">
        <w:rPr>
          <w:rFonts w:ascii="Garamond" w:hAnsi="Garamond" w:cs="Times New Roman"/>
        </w:rPr>
        <w:t>pendix. Four interviewees were high school counselors, one served as the assistant director of an Upward Bound program, and one served as an assistant superintendent</w:t>
      </w:r>
      <w:r>
        <w:rPr>
          <w:rFonts w:ascii="Garamond" w:hAnsi="Garamond" w:cs="Times New Roman"/>
        </w:rPr>
        <w:t xml:space="preserve"> in addition to being the counselor for the school</w:t>
      </w:r>
      <w:r w:rsidRPr="00194433">
        <w:rPr>
          <w:rFonts w:ascii="Garamond" w:hAnsi="Garamond" w:cs="Times New Roman"/>
        </w:rPr>
        <w:t>.</w:t>
      </w:r>
      <w:r>
        <w:rPr>
          <w:rFonts w:ascii="Garamond" w:hAnsi="Garamond" w:cs="Times New Roman"/>
          <w:sz w:val="24"/>
          <w:szCs w:val="24"/>
        </w:rPr>
        <w:t xml:space="preserve"> </w:t>
      </w:r>
    </w:p>
  </w:footnote>
  <w:footnote w:id="16">
    <w:p w14:paraId="5CBE7C01" w14:textId="77777777" w:rsidR="00212138" w:rsidRDefault="00212138" w:rsidP="0046518A">
      <w:pPr>
        <w:pStyle w:val="FootnoteText"/>
      </w:pPr>
      <w:r w:rsidRPr="00E3535F">
        <w:rPr>
          <w:rStyle w:val="FootnoteReference"/>
        </w:rPr>
        <w:footnoteRef/>
      </w:r>
      <w:r w:rsidRPr="009F4E4D">
        <w:rPr>
          <w:sz w:val="16"/>
        </w:rPr>
        <w:t xml:space="preserve"> </w:t>
      </w:r>
      <w:r w:rsidRPr="009F4E4D">
        <w:rPr>
          <w:rFonts w:ascii="Garamond" w:hAnsi="Garamond" w:cs="Times New Roman"/>
          <w:szCs w:val="24"/>
        </w:rPr>
        <w:t xml:space="preserve">In addition to follow-up interviews, we also engaged in multiple informal conversations with OSRHE staff that informed our understanding regarding how authority and tasks are delegated to local K-12 schools in the implementation of the program. </w:t>
      </w:r>
    </w:p>
  </w:footnote>
  <w:footnote w:id="17">
    <w:p w14:paraId="12A820E3" w14:textId="77777777" w:rsidR="00212138" w:rsidRPr="00B10EBA" w:rsidRDefault="00212138" w:rsidP="0046518A">
      <w:pPr>
        <w:spacing w:after="0"/>
        <w:rPr>
          <w:rFonts w:ascii="Garamond" w:hAnsi="Garamond" w:cs="Times New Roman"/>
          <w:sz w:val="24"/>
          <w:szCs w:val="24"/>
        </w:rPr>
      </w:pPr>
      <w:r w:rsidRPr="00E3535F">
        <w:rPr>
          <w:rStyle w:val="FootnoteReference"/>
        </w:rPr>
        <w:footnoteRef/>
      </w:r>
      <w:r>
        <w:t xml:space="preserve"> </w:t>
      </w:r>
      <w:r w:rsidRPr="00B10EBA">
        <w:rPr>
          <w:rFonts w:ascii="Garamond" w:hAnsi="Garamond" w:cs="Times New Roman"/>
          <w:sz w:val="20"/>
          <w:szCs w:val="24"/>
        </w:rPr>
        <w:t xml:space="preserve">In fact, this was a theme that emerged from the interviews. </w:t>
      </w:r>
      <w:r>
        <w:rPr>
          <w:rFonts w:ascii="Garamond" w:hAnsi="Garamond" w:cs="Times New Roman"/>
          <w:sz w:val="20"/>
          <w:szCs w:val="24"/>
        </w:rPr>
        <w:t>I</w:t>
      </w:r>
      <w:r w:rsidRPr="00B10EBA">
        <w:rPr>
          <w:rFonts w:ascii="Garamond" w:hAnsi="Garamond" w:cs="Times New Roman"/>
          <w:sz w:val="20"/>
          <w:szCs w:val="24"/>
        </w:rPr>
        <w:t xml:space="preserve">nterviews revealed that counselors themselves maintain responsibility for multiple functions, which often vary by school. These duties include but are not limited to course scheduling, credit checks, IEP and 504 plans, responding to parent and student questions, addressing teacher concerns, administering standardized tests such as the ACT and Pre-ACT, attendance checks, providing letters of recommendation, disseminating college preparation and financial information, crisis intervention, and lunch duty.  </w:t>
      </w:r>
    </w:p>
  </w:footnote>
  <w:footnote w:id="18">
    <w:p w14:paraId="570254DE" w14:textId="77777777" w:rsidR="00212138" w:rsidRPr="00B9434D" w:rsidRDefault="00212138" w:rsidP="0046518A">
      <w:pPr>
        <w:pStyle w:val="FootnoteText"/>
        <w:rPr>
          <w:rFonts w:ascii="Garamond" w:hAnsi="Garamond"/>
        </w:rPr>
      </w:pPr>
      <w:r w:rsidRPr="00E3535F">
        <w:rPr>
          <w:rStyle w:val="FootnoteReference"/>
        </w:rPr>
        <w:footnoteRef/>
      </w:r>
      <w:r w:rsidRPr="00B9434D">
        <w:rPr>
          <w:rFonts w:ascii="Garamond" w:hAnsi="Garamond"/>
        </w:rPr>
        <w:t xml:space="preserve"> See the appendix for a breakdown of how many SLBs were in each combination of categories. </w:t>
      </w:r>
    </w:p>
  </w:footnote>
  <w:footnote w:id="19">
    <w:p w14:paraId="0F7EAF87" w14:textId="77777777" w:rsidR="00212138" w:rsidRPr="00C72EF0" w:rsidRDefault="00212138" w:rsidP="0046518A">
      <w:pPr>
        <w:pStyle w:val="FootnoteText"/>
        <w:rPr>
          <w:rFonts w:ascii="Garamond" w:hAnsi="Garamond"/>
        </w:rPr>
      </w:pPr>
      <w:r w:rsidRPr="00E3535F">
        <w:rPr>
          <w:rStyle w:val="FootnoteReference"/>
        </w:rPr>
        <w:footnoteRef/>
      </w:r>
      <w:r w:rsidRPr="00C72EF0">
        <w:rPr>
          <w:rFonts w:ascii="Garamond" w:hAnsi="Garamond"/>
        </w:rPr>
        <w:t xml:space="preserve"> </w:t>
      </w:r>
      <w:r w:rsidRPr="0098315B">
        <w:rPr>
          <w:rFonts w:ascii="Garamond" w:hAnsi="Garamond"/>
        </w:rPr>
        <w:t xml:space="preserve">We cluster standard errors at the school level to account for the instances in which there are multiple respondents from the same school. </w:t>
      </w:r>
      <w:r w:rsidRPr="00C72EF0">
        <w:rPr>
          <w:rFonts w:ascii="Garamond" w:hAnsi="Garamond"/>
        </w:rPr>
        <w:t xml:space="preserve">The within-school variation captured by the survey is not rich enough to run a hierarchical linear model.  </w:t>
      </w:r>
    </w:p>
  </w:footnote>
  <w:footnote w:id="20">
    <w:p w14:paraId="0A209095" w14:textId="77777777" w:rsidR="00212138" w:rsidRPr="007614B3" w:rsidRDefault="00212138" w:rsidP="0046518A">
      <w:pPr>
        <w:pStyle w:val="FootnoteText"/>
        <w:rPr>
          <w:rFonts w:ascii="Garamond" w:hAnsi="Garamond"/>
        </w:rPr>
      </w:pPr>
      <w:r w:rsidRPr="00E3535F">
        <w:rPr>
          <w:rStyle w:val="FootnoteReference"/>
        </w:rPr>
        <w:footnoteRef/>
      </w:r>
      <w:r w:rsidRPr="007614B3">
        <w:rPr>
          <w:rFonts w:ascii="Garamond" w:hAnsi="Garamond"/>
        </w:rPr>
        <w:t xml:space="preserve"> This is in line with previous research </w:t>
      </w:r>
      <w:r w:rsidRPr="00E7284C">
        <w:rPr>
          <w:rFonts w:ascii="Garamond" w:hAnsi="Garamond"/>
        </w:rPr>
        <w:t xml:space="preserve">finding that </w:t>
      </w:r>
      <w:r>
        <w:rPr>
          <w:rFonts w:ascii="Garamond" w:hAnsi="Garamond"/>
        </w:rPr>
        <w:t>w</w:t>
      </w:r>
      <w:r w:rsidRPr="00E7284C">
        <w:rPr>
          <w:rFonts w:ascii="Garamond" w:hAnsi="Garamond"/>
        </w:rPr>
        <w:t>hile most students utilize counselors and other school staff as sources of college information, “in most schools, these encounters are haphazard and due to individual rather than systematic efforts by students, teachers or counselors” (Bell, Rowan-Kenyon &amp; Perna, 2009, p. 268).</w:t>
      </w:r>
    </w:p>
  </w:footnote>
  <w:footnote w:id="21">
    <w:p w14:paraId="0C475FEF" w14:textId="0F8312DE" w:rsidR="00212138" w:rsidRDefault="00212138">
      <w:pPr>
        <w:pStyle w:val="FootnoteText"/>
      </w:pPr>
      <w:r w:rsidRPr="00E3535F">
        <w:rPr>
          <w:rStyle w:val="FootnoteReference"/>
        </w:rPr>
        <w:footnoteRef/>
      </w:r>
      <w:r>
        <w:t xml:space="preserve"> </w:t>
      </w:r>
      <w:r w:rsidRPr="00B362A3">
        <w:rPr>
          <w:rFonts w:ascii="Times New Roman" w:hAnsi="Times New Roman" w:cs="Times New Roman"/>
          <w:sz w:val="16"/>
          <w:szCs w:val="24"/>
        </w:rPr>
        <w:t xml:space="preserve">Students who spent Sophomore, junior &amp; senior years as a Tulsa County resident receive 75% of balance; Students who spent Junior &amp; senior years as a Tulsa County resident receive 50% of balance; Students who spent only Senior year as a Tulsa County resident receive 25% of balance                                                              </w:t>
      </w:r>
    </w:p>
  </w:footnote>
  <w:footnote w:id="22">
    <w:p w14:paraId="7FA9B28B" w14:textId="44F44188" w:rsidR="00212138" w:rsidRDefault="00212138">
      <w:pPr>
        <w:pStyle w:val="FootnoteText"/>
      </w:pPr>
      <w:r w:rsidRPr="00E3535F">
        <w:rPr>
          <w:rStyle w:val="FootnoteReference"/>
        </w:rPr>
        <w:footnoteRef/>
      </w:r>
      <w:r>
        <w:t xml:space="preserve"> </w:t>
      </w:r>
      <w:r w:rsidRPr="00B362A3">
        <w:rPr>
          <w:rFonts w:ascii="Times New Roman" w:hAnsi="Times New Roman" w:cs="Times New Roman"/>
          <w:sz w:val="16"/>
          <w:szCs w:val="24"/>
        </w:rPr>
        <w:t>Earn a 1.7 GPA with 30 attempted credit hours or less OR Earn a 2.0 GPA with 31 attempted credit hours or more</w:t>
      </w:r>
    </w:p>
  </w:footnote>
  <w:footnote w:id="23">
    <w:p w14:paraId="09668326" w14:textId="77777777" w:rsidR="00212138" w:rsidRDefault="00212138" w:rsidP="00063F17">
      <w:pPr>
        <w:pStyle w:val="FootnoteText"/>
      </w:pPr>
      <w:r w:rsidRPr="00E3535F">
        <w:rPr>
          <w:rStyle w:val="FootnoteReference"/>
        </w:rPr>
        <w:footnoteRef/>
      </w:r>
      <w:r>
        <w:t xml:space="preserve"> </w:t>
      </w:r>
      <w:r w:rsidRPr="00B018AE">
        <w:rPr>
          <w:rFonts w:ascii="Times New Roman" w:eastAsia="Times New Roman" w:hAnsi="Times New Roman" w:cs="Times New Roman"/>
        </w:rPr>
        <w:t>For some promise programs the first-dollar or last-dollar aid only covers tuition and fees, while other programs allow the funds to be used for the full cost of attendance—including expenses such as room and board, books, and transportation.</w:t>
      </w:r>
    </w:p>
  </w:footnote>
  <w:footnote w:id="24">
    <w:p w14:paraId="3CC1F696" w14:textId="77777777" w:rsidR="00212138" w:rsidRPr="00B20D86" w:rsidRDefault="00212138" w:rsidP="00063F17">
      <w:pPr>
        <w:pStyle w:val="FootnoteText"/>
        <w:rPr>
          <w:rFonts w:ascii="Times New Roman" w:hAnsi="Times New Roman" w:cs="Times New Roman"/>
        </w:rPr>
      </w:pPr>
      <w:r w:rsidRPr="00E3535F">
        <w:rPr>
          <w:rStyle w:val="FootnoteReference"/>
        </w:rPr>
        <w:footnoteRef/>
      </w:r>
      <w:r w:rsidRPr="00B20D86">
        <w:rPr>
          <w:rFonts w:ascii="Times New Roman" w:hAnsi="Times New Roman" w:cs="Times New Roman"/>
        </w:rPr>
        <w:t xml:space="preserve"> Students dual enrolled in high school and in Tulsa Community College—which reflect only one percent of the sample—are dropped from the dataset.</w:t>
      </w:r>
    </w:p>
  </w:footnote>
  <w:footnote w:id="25">
    <w:p w14:paraId="781DB1A7" w14:textId="77777777" w:rsidR="00212138" w:rsidRPr="0023681B" w:rsidRDefault="00212138" w:rsidP="00063F17">
      <w:pPr>
        <w:pStyle w:val="FootnoteText"/>
        <w:rPr>
          <w:rFonts w:ascii="Times New Roman" w:hAnsi="Times New Roman" w:cs="Times New Roman"/>
        </w:rPr>
      </w:pPr>
      <w:r w:rsidRPr="00E3535F">
        <w:rPr>
          <w:rStyle w:val="FootnoteReference"/>
        </w:rPr>
        <w:footnoteRef/>
      </w:r>
      <w:r>
        <w:t xml:space="preserve"> </w:t>
      </w:r>
      <w:r w:rsidRPr="0023681B">
        <w:rPr>
          <w:rFonts w:ascii="Times New Roman" w:hAnsi="Times New Roman" w:cs="Times New Roman"/>
        </w:rPr>
        <w:t>Unfortunately, I was not able to get an indicator of whether the student completed the FAFSA.</w:t>
      </w:r>
    </w:p>
  </w:footnote>
  <w:footnote w:id="26">
    <w:p w14:paraId="263559B7" w14:textId="77777777" w:rsidR="00212138" w:rsidRPr="008606CE" w:rsidRDefault="00212138" w:rsidP="00063F17">
      <w:pPr>
        <w:pStyle w:val="FootnoteText"/>
      </w:pPr>
      <w:r w:rsidRPr="00E3535F">
        <w:rPr>
          <w:rStyle w:val="FootnoteReference"/>
        </w:rPr>
        <w:footnoteRef/>
      </w:r>
      <w:r w:rsidRPr="0023681B">
        <w:rPr>
          <w:rFonts w:ascii="Times New Roman" w:hAnsi="Times New Roman" w:cs="Times New Roman"/>
        </w:rPr>
        <w:t xml:space="preserve"> For the cases in which the student drops out, I impute the outcome measure based on the credits or GPA when they last enrolled.</w:t>
      </w:r>
    </w:p>
  </w:footnote>
  <w:footnote w:id="27">
    <w:p w14:paraId="67BF99AB" w14:textId="77777777" w:rsidR="00212138" w:rsidRPr="00530C68" w:rsidRDefault="00212138" w:rsidP="00063F17">
      <w:pPr>
        <w:spacing w:after="0" w:line="240" w:lineRule="auto"/>
        <w:rPr>
          <w:rFonts w:ascii="Times New Roman" w:hAnsi="Times New Roman" w:cs="Times New Roman"/>
          <w:sz w:val="24"/>
          <w:szCs w:val="24"/>
        </w:rPr>
      </w:pPr>
      <w:r w:rsidRPr="00E3535F">
        <w:rPr>
          <w:rStyle w:val="FootnoteReference"/>
        </w:rPr>
        <w:footnoteRef/>
      </w:r>
      <w:r w:rsidRPr="00530C68">
        <w:t xml:space="preserve"> </w:t>
      </w:r>
      <w:r w:rsidRPr="00530C68">
        <w:rPr>
          <w:rFonts w:ascii="Times New Roman" w:hAnsi="Times New Roman" w:cs="Times New Roman"/>
          <w:sz w:val="20"/>
          <w:szCs w:val="20"/>
        </w:rPr>
        <w:t xml:space="preserve">The average time to graduation at two-year colleges is 3.3 years and 5.1 years for a bachelor’s degree </w:t>
      </w:r>
      <w:r w:rsidRPr="00530C68">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{"citationID":"EdexIIfs","properties":{"formattedCitation":"(Shapiro, Wakhungu, Yuan, Nathan, &amp; Hwang, 2016)","plainCitation":"(Shapiro, Wakhungu, Yuan, Nathan, &amp; Hwang, 2016)","noteIndex":5},"citationItems":[{"id":7169,"uris":["http://zotero.org/users/2595715/items/PFC3IGHX"],"uri":["http://zotero.org/users/2595715/items/PFC3IGHX"],"itemData":{"id":7169,"type":"report","title":"Time to Degree: A National View of the Time Enrolled and Elapsed for Associate and Bachelor’s Degree Earners","publisher":"National Student Clearinghouse","publisher-place":"Herndon, VA","event-place":"Herndon, VA","abstract":"This report examines time to degree completion for a cohort of students who earned an associate degree as their first and only postsecondary degree or a bachelor’s degree as their first four-year degree between July 1, 2014, and June 30, 2015. Overall, the average time enrolled for associate and bachelor’s degree earners was 3.3 years and 5.1 years, respectively. However, as the report shows, the time required for successful degree attainment could be influenced by the pathway the student followed as well as by factors, such as stop outs and less than full-time enrollment status.","URL":"https://nscresearchcenter.org/signaturereport11/","number":"Signature Report No. 11","language":"en-US","author":[{"family":"Shapiro","given":"Dundar"},{"family":"Wakhungu","given":"P.K"},{"family":"Yuan","given":"X"},{"family":"Nathan","given":"A."},{"family":"Hwang","given":"Y."}],"issued":{"date-parts":[["2016",9,18]]},"accessed":{"date-parts":[["2019",2,25]]}}}],"schema":"https://github.com/citation-style-language/schema/raw/master/csl-citation.json"} </w:instrText>
      </w:r>
      <w:r w:rsidRPr="00530C68">
        <w:rPr>
          <w:rFonts w:ascii="Times New Roman" w:hAnsi="Times New Roman" w:cs="Times New Roman"/>
          <w:sz w:val="20"/>
          <w:szCs w:val="20"/>
        </w:rPr>
        <w:fldChar w:fldCharType="separate"/>
      </w:r>
      <w:r w:rsidRPr="003414CB">
        <w:rPr>
          <w:rFonts w:ascii="Times New Roman" w:hAnsi="Times New Roman" w:cs="Times New Roman"/>
          <w:sz w:val="20"/>
        </w:rPr>
        <w:t>(Shapiro, Wakhungu, Yuan, Nathan, &amp; Hwang, 2016)</w:t>
      </w:r>
      <w:r w:rsidRPr="00530C68">
        <w:rPr>
          <w:rFonts w:ascii="Times New Roman" w:hAnsi="Times New Roman" w:cs="Times New Roman"/>
          <w:sz w:val="20"/>
          <w:szCs w:val="20"/>
        </w:rPr>
        <w:fldChar w:fldCharType="end"/>
      </w:r>
      <w:r w:rsidRPr="00530C68">
        <w:rPr>
          <w:rFonts w:ascii="Times New Roman" w:hAnsi="Times New Roman" w:cs="Times New Roman"/>
          <w:sz w:val="20"/>
          <w:szCs w:val="20"/>
        </w:rPr>
        <w:t>.</w:t>
      </w:r>
      <w:r>
        <w:rPr>
          <w:rFonts w:ascii="Times New Roman" w:hAnsi="Times New Roman" w:cs="Times New Roman"/>
          <w:sz w:val="24"/>
          <w:szCs w:val="24"/>
        </w:rPr>
        <w:t xml:space="preserve"> </w:t>
      </w:r>
    </w:p>
  </w:footnote>
  <w:footnote w:id="28">
    <w:p w14:paraId="3C772D4E" w14:textId="77777777" w:rsidR="00212138" w:rsidRPr="007C3AF9" w:rsidRDefault="00212138" w:rsidP="00063F17">
      <w:pPr>
        <w:pStyle w:val="FootnoteText"/>
        <w:rPr>
          <w:rFonts w:ascii="Times New Roman" w:hAnsi="Times New Roman" w:cs="Times New Roman"/>
        </w:rPr>
      </w:pPr>
      <w:r w:rsidRPr="00E3535F">
        <w:rPr>
          <w:rStyle w:val="FootnoteReference"/>
        </w:rPr>
        <w:footnoteRef/>
      </w:r>
      <w:r w:rsidRPr="007C3AF9">
        <w:rPr>
          <w:rFonts w:ascii="Times New Roman" w:hAnsi="Times New Roman" w:cs="Times New Roman"/>
        </w:rPr>
        <w:t xml:space="preserve"> </w:t>
      </w:r>
      <w:r>
        <w:rPr>
          <w:rFonts w:ascii="Times New Roman" w:hAnsi="Times New Roman" w:cs="Times New Roman"/>
        </w:rPr>
        <w:t>T</w:t>
      </w:r>
      <w:r w:rsidRPr="007C3AF9">
        <w:rPr>
          <w:rFonts w:ascii="Times New Roman" w:hAnsi="Times New Roman" w:cs="Times New Roman"/>
        </w:rPr>
        <w:t>he set of students that receive Tulsa Achieves but are deemed ineligible in Column 5</w:t>
      </w:r>
      <w:r>
        <w:rPr>
          <w:rFonts w:ascii="Times New Roman" w:hAnsi="Times New Roman" w:cs="Times New Roman"/>
        </w:rPr>
        <w:t xml:space="preserve"> are likely the students that resided in Tulsa County for at </w:t>
      </w:r>
      <w:r w:rsidRPr="007C3AF9">
        <w:rPr>
          <w:rFonts w:ascii="Times New Roman" w:hAnsi="Times New Roman" w:cs="Times New Roman"/>
        </w:rPr>
        <w:t xml:space="preserve">least one year of high school but did not reside in Tulsa County upon high school graduation. </w:t>
      </w:r>
      <w:r>
        <w:rPr>
          <w:rFonts w:ascii="Times New Roman" w:hAnsi="Times New Roman" w:cs="Times New Roman"/>
        </w:rPr>
        <w:t xml:space="preserve">Despite current enforcement of the eligibility rule that students must be Tulsa County residents upon high school graduation, it appears this rule was not strictly enforced for the first two cohorts. </w:t>
      </w:r>
    </w:p>
  </w:footnote>
  <w:footnote w:id="29">
    <w:p w14:paraId="4311F0AA" w14:textId="77777777" w:rsidR="00212138" w:rsidRPr="008664E2" w:rsidRDefault="00212138" w:rsidP="00063F17">
      <w:pPr>
        <w:pStyle w:val="FootnoteText"/>
        <w:rPr>
          <w:rFonts w:ascii="Times New Roman" w:hAnsi="Times New Roman" w:cs="Times New Roman"/>
        </w:rPr>
      </w:pPr>
      <w:r w:rsidRPr="00E3535F">
        <w:rPr>
          <w:rStyle w:val="FootnoteReference"/>
        </w:rPr>
        <w:footnoteRef/>
      </w:r>
      <w:r w:rsidRPr="008664E2">
        <w:rPr>
          <w:rFonts w:ascii="Times New Roman" w:hAnsi="Times New Roman" w:cs="Times New Roman"/>
        </w:rPr>
        <w:t xml:space="preserve"> This age restriction greatly increases the first-stage by dropping </w:t>
      </w:r>
      <w:r>
        <w:rPr>
          <w:rFonts w:ascii="Times New Roman" w:hAnsi="Times New Roman" w:cs="Times New Roman"/>
        </w:rPr>
        <w:t xml:space="preserve">adult </w:t>
      </w:r>
      <w:r w:rsidRPr="008664E2">
        <w:rPr>
          <w:rFonts w:ascii="Times New Roman" w:hAnsi="Times New Roman" w:cs="Times New Roman"/>
        </w:rPr>
        <w:t>students</w:t>
      </w:r>
      <w:r>
        <w:rPr>
          <w:rFonts w:ascii="Times New Roman" w:hAnsi="Times New Roman" w:cs="Times New Roman"/>
        </w:rPr>
        <w:t xml:space="preserve"> from</w:t>
      </w:r>
      <w:r w:rsidRPr="008664E2">
        <w:rPr>
          <w:rFonts w:ascii="Times New Roman" w:hAnsi="Times New Roman" w:cs="Times New Roman"/>
        </w:rPr>
        <w:t xml:space="preserve"> the sample</w:t>
      </w:r>
      <w:r>
        <w:rPr>
          <w:rFonts w:ascii="Times New Roman" w:hAnsi="Times New Roman" w:cs="Times New Roman"/>
        </w:rPr>
        <w:t xml:space="preserve"> who would not be eligible for Tulsa Achieves</w:t>
      </w:r>
      <w:r w:rsidRPr="008664E2">
        <w:rPr>
          <w:rFonts w:ascii="Times New Roman" w:hAnsi="Times New Roman" w:cs="Times New Roman"/>
        </w:rPr>
        <w:t>.</w:t>
      </w:r>
    </w:p>
  </w:footnote>
  <w:footnote w:id="30">
    <w:p w14:paraId="35B074AB" w14:textId="77777777" w:rsidR="00212138" w:rsidRPr="0048086A" w:rsidRDefault="00212138" w:rsidP="00556CCF">
      <w:pPr>
        <w:rPr>
          <w:rFonts w:ascii="Cambria" w:hAnsi="Cambria"/>
        </w:rPr>
      </w:pPr>
      <w:r w:rsidRPr="00E3535F">
        <w:rPr>
          <w:rStyle w:val="FootnoteReference"/>
        </w:rPr>
        <w:footnoteRef/>
      </w:r>
      <w:r>
        <w:t xml:space="preserve"> </w:t>
      </w:r>
      <w:r w:rsidRPr="0048086A">
        <w:rPr>
          <w:rFonts w:ascii="Cambria" w:hAnsi="Cambria"/>
          <w:sz w:val="20"/>
          <w:szCs w:val="20"/>
        </w:rPr>
        <w:t>The graph was created based on uniform kernel-weighted mean calculation</w:t>
      </w:r>
      <w:r>
        <w:rPr>
          <w:rFonts w:ascii="Cambria" w:hAnsi="Cambria"/>
          <w:sz w:val="20"/>
          <w:szCs w:val="20"/>
        </w:rPr>
        <w:t xml:space="preserve">s </w:t>
      </w:r>
      <w:r w:rsidRPr="0048086A">
        <w:rPr>
          <w:rFonts w:ascii="Cambria" w:hAnsi="Cambria"/>
          <w:sz w:val="20"/>
          <w:szCs w:val="20"/>
        </w:rPr>
        <w:t>and rule of thumb bandwidth.</w:t>
      </w:r>
      <w:r>
        <w:rPr>
          <w:rFonts w:ascii="Cambria" w:hAnsi="Cambria"/>
        </w:rPr>
        <w:t xml:space="preserve"> </w:t>
      </w:r>
    </w:p>
  </w:footnote>
  <w:footnote w:id="31">
    <w:p w14:paraId="224A6FBE" w14:textId="77777777" w:rsidR="00212138" w:rsidRDefault="00212138" w:rsidP="00063F17">
      <w:pPr>
        <w:pStyle w:val="FootnoteText"/>
      </w:pPr>
      <w:r w:rsidRPr="00E3535F">
        <w:rPr>
          <w:rStyle w:val="FootnoteReference"/>
        </w:rPr>
        <w:footnoteRef/>
      </w:r>
      <w:r>
        <w:t xml:space="preserve"> </w:t>
      </w:r>
      <w:r w:rsidRPr="00FA223F">
        <w:rPr>
          <w:rFonts w:ascii="Times New Roman" w:hAnsi="Times New Roman" w:cs="Times New Roman"/>
        </w:rPr>
        <w:t xml:space="preserve">The coefficient estimate from this test is -0.115 with a standard error of 0.908. </w:t>
      </w:r>
      <w:r w:rsidRPr="00FA223F">
        <w:rPr>
          <w:rFonts w:ascii="Times New Roman" w:eastAsia="Times New Roman" w:hAnsi="Times New Roman" w:cs="Times New Roman"/>
          <w:color w:val="000000"/>
        </w:rPr>
        <w:t>Results based on data-driven bandwidth selectors calculated using local polynomial density estimation. The bandwidth method was comb with triangular kernels and jackknife standard errors</w:t>
      </w:r>
      <w:r>
        <w:rPr>
          <w:rFonts w:ascii="Times New Roman" w:eastAsia="Times New Roman" w:hAnsi="Times New Roman" w:cs="Times New Roman"/>
          <w:color w:val="000000"/>
        </w:rPr>
        <w:t xml:space="preserve">. I also have run the McCrary test which returns similar null results. </w:t>
      </w:r>
    </w:p>
  </w:footnote>
  <w:footnote w:id="32">
    <w:p w14:paraId="1CAD9887" w14:textId="77777777" w:rsidR="00212138" w:rsidRPr="00C355BA" w:rsidRDefault="00212138" w:rsidP="00063F17">
      <w:pPr>
        <w:pStyle w:val="FootnoteText"/>
        <w:rPr>
          <w:rFonts w:ascii="Times New Roman" w:hAnsi="Times New Roman" w:cs="Times New Roman"/>
        </w:rPr>
      </w:pPr>
      <w:r w:rsidRPr="00E3535F">
        <w:rPr>
          <w:rStyle w:val="FootnoteReference"/>
        </w:rPr>
        <w:footnoteRef/>
      </w:r>
      <w:r w:rsidRPr="00C355BA">
        <w:rPr>
          <w:rFonts w:ascii="Times New Roman" w:hAnsi="Times New Roman" w:cs="Times New Roman"/>
        </w:rPr>
        <w:t xml:space="preserve"> The baseline specification does not include the high school fixed effects for multiple reasons: 1) high school is missing from </w:t>
      </w:r>
      <w:r>
        <w:rPr>
          <w:rFonts w:ascii="Times New Roman" w:hAnsi="Times New Roman" w:cs="Times New Roman"/>
        </w:rPr>
        <w:t>8.7</w:t>
      </w:r>
      <w:r w:rsidRPr="00C355BA">
        <w:rPr>
          <w:rFonts w:ascii="Times New Roman" w:hAnsi="Times New Roman" w:cs="Times New Roman"/>
        </w:rPr>
        <w:t xml:space="preserve"> percent of the sample and 2) controlling for high school may also control for some of the effects of the program if students move into eligible high schools prior to entering college.  </w:t>
      </w:r>
    </w:p>
  </w:footnote>
  <w:footnote w:id="33">
    <w:p w14:paraId="4AC137FA" w14:textId="77777777" w:rsidR="00212138" w:rsidRPr="006373CC" w:rsidRDefault="00212138" w:rsidP="00063F17">
      <w:pPr>
        <w:pStyle w:val="FootnoteText"/>
        <w:rPr>
          <w:rFonts w:ascii="Times New Roman" w:hAnsi="Times New Roman" w:cs="Times New Roman"/>
        </w:rPr>
      </w:pPr>
      <w:r w:rsidRPr="00E3535F">
        <w:rPr>
          <w:rStyle w:val="FootnoteReference"/>
        </w:rPr>
        <w:footnoteRef/>
      </w:r>
      <w:r w:rsidRPr="006373CC">
        <w:rPr>
          <w:rFonts w:ascii="Times New Roman" w:hAnsi="Times New Roman" w:cs="Times New Roman"/>
        </w:rPr>
        <w:t xml:space="preserve"> I also add high school fixed effects to equation 4 in the analysis below as a robustness check and present the results in the appendix.</w:t>
      </w:r>
    </w:p>
  </w:footnote>
  <w:footnote w:id="34">
    <w:p w14:paraId="718D4FDA" w14:textId="77777777" w:rsidR="00212138" w:rsidRPr="00B910C8" w:rsidRDefault="00212138" w:rsidP="00063F17">
      <w:pPr>
        <w:pStyle w:val="FootnoteText"/>
        <w:rPr>
          <w:rFonts w:ascii="Times New Roman" w:hAnsi="Times New Roman" w:cs="Times New Roman"/>
        </w:rPr>
      </w:pPr>
      <w:r w:rsidRPr="00E3535F">
        <w:rPr>
          <w:rStyle w:val="FootnoteReference"/>
        </w:rPr>
        <w:footnoteRef/>
      </w:r>
      <w:r w:rsidRPr="00B910C8">
        <w:rPr>
          <w:rFonts w:ascii="Times New Roman" w:hAnsi="Times New Roman" w:cs="Times New Roman"/>
        </w:rPr>
        <w:t xml:space="preserve"> I exclude cohorts 2013-2015 because I do not include cohort fixed effects in the IV models do not observe the full 5-year enrollment time period for these three cohorts.  </w:t>
      </w:r>
    </w:p>
  </w:footnote>
  <w:footnote w:id="35">
    <w:p w14:paraId="553D5CD3" w14:textId="77777777" w:rsidR="00212138" w:rsidRPr="00DE01E4" w:rsidRDefault="00212138" w:rsidP="00063F17">
      <w:pPr>
        <w:pStyle w:val="FootnoteText"/>
        <w:rPr>
          <w:rFonts w:ascii="Times New Roman" w:hAnsi="Times New Roman" w:cs="Times New Roman"/>
        </w:rPr>
      </w:pPr>
      <w:r w:rsidRPr="00E3535F">
        <w:rPr>
          <w:rStyle w:val="FootnoteReference"/>
        </w:rPr>
        <w:footnoteRef/>
      </w:r>
      <w:r w:rsidRPr="00DE01E4">
        <w:rPr>
          <w:rFonts w:ascii="Times New Roman" w:hAnsi="Times New Roman" w:cs="Times New Roman"/>
        </w:rPr>
        <w:t xml:space="preserve"> The 2006 cohort is utilized as the reference category because it represents the first year prior to implementation.</w:t>
      </w:r>
    </w:p>
  </w:footnote>
  <w:footnote w:id="36">
    <w:p w14:paraId="2E1EE398" w14:textId="77777777" w:rsidR="00212138" w:rsidRPr="006F6CF2" w:rsidRDefault="00212138" w:rsidP="00063F17">
      <w:pPr>
        <w:pStyle w:val="FootnoteText"/>
        <w:rPr>
          <w:rFonts w:ascii="Times New Roman" w:hAnsi="Times New Roman" w:cs="Times New Roman"/>
        </w:rPr>
      </w:pPr>
      <w:r w:rsidRPr="00E3535F">
        <w:rPr>
          <w:rStyle w:val="FootnoteReference"/>
        </w:rPr>
        <w:footnoteRef/>
      </w:r>
      <w:r w:rsidRPr="006F6CF2">
        <w:rPr>
          <w:rFonts w:ascii="Times New Roman" w:hAnsi="Times New Roman" w:cs="Times New Roman"/>
        </w:rPr>
        <w:t xml:space="preserve"> I have also run the same specification omitting the 2005 cohort instead of the 2006 cohort and the results are consistently insignificant in the pre-treatment years. </w:t>
      </w:r>
    </w:p>
  </w:footnote>
  <w:footnote w:id="37">
    <w:p w14:paraId="720E08FF" w14:textId="77777777" w:rsidR="00212138" w:rsidRPr="000967B6" w:rsidRDefault="00212138" w:rsidP="00063F17">
      <w:pPr>
        <w:spacing w:line="240" w:lineRule="auto"/>
        <w:rPr>
          <w:rFonts w:ascii="Times New Roman" w:hAnsi="Times New Roman" w:cs="Times New Roman"/>
          <w:sz w:val="24"/>
          <w:szCs w:val="24"/>
        </w:rPr>
      </w:pPr>
      <w:r w:rsidRPr="00E3535F">
        <w:rPr>
          <w:rStyle w:val="FootnoteReference"/>
        </w:rPr>
        <w:footnoteRef/>
      </w:r>
      <w:r>
        <w:t xml:space="preserve"> </w:t>
      </w:r>
      <w:r w:rsidRPr="000967B6">
        <w:rPr>
          <w:rFonts w:ascii="Times New Roman" w:hAnsi="Times New Roman" w:cs="Times New Roman"/>
          <w:sz w:val="20"/>
          <w:szCs w:val="20"/>
        </w:rPr>
        <w:t>The models are also robust to the inclusion of high school fixed effects and linear time trends. These results are available upon request</w:t>
      </w:r>
      <w:r>
        <w:rPr>
          <w:rFonts w:ascii="Times New Roman" w:hAnsi="Times New Roman" w:cs="Times New Roman"/>
          <w:sz w:val="20"/>
          <w:szCs w:val="20"/>
        </w:rPr>
        <w:t xml:space="preserve"> and are only excluded due to the length of the manuscript.</w:t>
      </w:r>
    </w:p>
  </w:footnote>
  <w:footnote w:id="38">
    <w:p w14:paraId="1F7C031E" w14:textId="77777777" w:rsidR="00212138" w:rsidRPr="007C78D5" w:rsidRDefault="00212138" w:rsidP="00063F17">
      <w:pPr>
        <w:pStyle w:val="FootnoteText"/>
      </w:pPr>
      <w:r w:rsidRPr="00E3535F">
        <w:rPr>
          <w:rStyle w:val="FootnoteReference"/>
        </w:rPr>
        <w:footnoteRef/>
      </w:r>
      <w:r w:rsidRPr="007C78D5">
        <w:t xml:space="preserve"> </w:t>
      </w:r>
      <w:r w:rsidRPr="007C78D5">
        <w:rPr>
          <w:rFonts w:ascii="Times New Roman" w:hAnsi="Times New Roman" w:cs="Times New Roman"/>
        </w:rPr>
        <w:t>This variable is missing for one third of the non-recipients and 20 percent of the recipients, which is why it is not included in the main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2B121" w14:textId="2DB91ACB" w:rsidR="00212138" w:rsidRPr="004A260C" w:rsidRDefault="00212138">
    <w:pPr>
      <w:pStyle w:val="Header"/>
      <w:jc w:val="right"/>
      <w:rPr>
        <w:rFonts w:ascii="Times New Roman" w:hAnsi="Times New Roman" w:cs="Times New Roman"/>
      </w:rPr>
    </w:pPr>
  </w:p>
  <w:p w14:paraId="1B5EA948" w14:textId="77777777" w:rsidR="00212138" w:rsidRPr="008720F8" w:rsidRDefault="00212138">
    <w:pPr>
      <w:pStyle w:val="Header"/>
      <w:rPr>
        <w:rFonts w:ascii="Palatino Linotype" w:hAnsi="Palatino Linotyp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13163862"/>
      <w:docPartObj>
        <w:docPartGallery w:val="Page Numbers (Top of Page)"/>
        <w:docPartUnique/>
      </w:docPartObj>
    </w:sdtPr>
    <w:sdtEndPr>
      <w:rPr>
        <w:noProof/>
      </w:rPr>
    </w:sdtEndPr>
    <w:sdtContent>
      <w:p w14:paraId="4B6DE835" w14:textId="77777777" w:rsidR="00212138" w:rsidRPr="004A260C" w:rsidRDefault="00212138">
        <w:pPr>
          <w:pStyle w:val="Header"/>
          <w:jc w:val="right"/>
          <w:rPr>
            <w:rFonts w:ascii="Times New Roman" w:hAnsi="Times New Roman" w:cs="Times New Roman"/>
          </w:rPr>
        </w:pPr>
        <w:r w:rsidRPr="004A260C">
          <w:rPr>
            <w:rFonts w:ascii="Times New Roman" w:hAnsi="Times New Roman" w:cs="Times New Roman"/>
          </w:rPr>
          <w:fldChar w:fldCharType="begin"/>
        </w:r>
        <w:r w:rsidRPr="004A260C">
          <w:rPr>
            <w:rFonts w:ascii="Times New Roman" w:hAnsi="Times New Roman" w:cs="Times New Roman"/>
          </w:rPr>
          <w:instrText xml:space="preserve"> PAGE   \* MERGEFORMAT </w:instrText>
        </w:r>
        <w:r w:rsidRPr="004A260C">
          <w:rPr>
            <w:rFonts w:ascii="Times New Roman" w:hAnsi="Times New Roman" w:cs="Times New Roman"/>
          </w:rPr>
          <w:fldChar w:fldCharType="separate"/>
        </w:r>
        <w:r w:rsidRPr="004A260C">
          <w:rPr>
            <w:rFonts w:ascii="Times New Roman" w:hAnsi="Times New Roman" w:cs="Times New Roman"/>
            <w:noProof/>
          </w:rPr>
          <w:t>2</w:t>
        </w:r>
        <w:r w:rsidRPr="004A260C">
          <w:rPr>
            <w:rFonts w:ascii="Times New Roman" w:hAnsi="Times New Roman" w:cs="Times New Roman"/>
            <w:noProof/>
          </w:rPr>
          <w:fldChar w:fldCharType="end"/>
        </w:r>
      </w:p>
    </w:sdtContent>
  </w:sdt>
  <w:p w14:paraId="527222D4" w14:textId="77777777" w:rsidR="00212138" w:rsidRPr="008720F8" w:rsidRDefault="00212138">
    <w:pPr>
      <w:pStyle w:val="Header"/>
      <w:rPr>
        <w:rFonts w:ascii="Palatino Linotype" w:hAnsi="Palatino Linotyp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8818787"/>
      <w:docPartObj>
        <w:docPartGallery w:val="Page Numbers (Top of Page)"/>
        <w:docPartUnique/>
      </w:docPartObj>
    </w:sdtPr>
    <w:sdtEndPr>
      <w:rPr>
        <w:rFonts w:ascii="Times New Roman" w:hAnsi="Times New Roman" w:cs="Times New Roman"/>
        <w:noProof/>
      </w:rPr>
    </w:sdtEndPr>
    <w:sdtContent>
      <w:p w14:paraId="372A9DA0" w14:textId="58DB1A8C" w:rsidR="00212138" w:rsidRPr="004A260C" w:rsidRDefault="00212138">
        <w:pPr>
          <w:pStyle w:val="Header"/>
          <w:jc w:val="right"/>
          <w:rPr>
            <w:rFonts w:ascii="Times New Roman" w:hAnsi="Times New Roman" w:cs="Times New Roman"/>
          </w:rPr>
        </w:pPr>
        <w:r w:rsidRPr="004A260C">
          <w:rPr>
            <w:rFonts w:ascii="Times New Roman" w:hAnsi="Times New Roman" w:cs="Times New Roman"/>
          </w:rPr>
          <w:fldChar w:fldCharType="begin"/>
        </w:r>
        <w:r w:rsidRPr="004A260C">
          <w:rPr>
            <w:rFonts w:ascii="Times New Roman" w:hAnsi="Times New Roman" w:cs="Times New Roman"/>
          </w:rPr>
          <w:instrText xml:space="preserve"> PAGE   \* MERGEFORMAT </w:instrText>
        </w:r>
        <w:r w:rsidRPr="004A260C">
          <w:rPr>
            <w:rFonts w:ascii="Times New Roman" w:hAnsi="Times New Roman" w:cs="Times New Roman"/>
          </w:rPr>
          <w:fldChar w:fldCharType="separate"/>
        </w:r>
        <w:r w:rsidRPr="004A260C">
          <w:rPr>
            <w:rFonts w:ascii="Times New Roman" w:hAnsi="Times New Roman" w:cs="Times New Roman"/>
            <w:noProof/>
          </w:rPr>
          <w:t>2</w:t>
        </w:r>
        <w:r w:rsidRPr="004A260C">
          <w:rPr>
            <w:rFonts w:ascii="Times New Roman" w:hAnsi="Times New Roman" w:cs="Times New Roman"/>
            <w:noProof/>
          </w:rPr>
          <w:fldChar w:fldCharType="end"/>
        </w:r>
      </w:p>
    </w:sdtContent>
  </w:sdt>
  <w:p w14:paraId="602BAA09" w14:textId="77777777" w:rsidR="00212138" w:rsidRDefault="002121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091682"/>
      <w:docPartObj>
        <w:docPartGallery w:val="Page Numbers (Top of Page)"/>
        <w:docPartUnique/>
      </w:docPartObj>
    </w:sdtPr>
    <w:sdtEndPr>
      <w:rPr>
        <w:rFonts w:ascii="Times New Roman" w:hAnsi="Times New Roman" w:cs="Times New Roman"/>
        <w:noProof/>
      </w:rPr>
    </w:sdtEndPr>
    <w:sdtContent>
      <w:p w14:paraId="039C00F6" w14:textId="77777777" w:rsidR="00212138" w:rsidRPr="004A260C" w:rsidRDefault="00212138">
        <w:pPr>
          <w:pStyle w:val="Header"/>
          <w:jc w:val="right"/>
          <w:rPr>
            <w:rFonts w:ascii="Times New Roman" w:hAnsi="Times New Roman" w:cs="Times New Roman"/>
          </w:rPr>
        </w:pPr>
        <w:r w:rsidRPr="004A260C">
          <w:rPr>
            <w:rFonts w:ascii="Times New Roman" w:hAnsi="Times New Roman" w:cs="Times New Roman"/>
          </w:rPr>
          <w:fldChar w:fldCharType="begin"/>
        </w:r>
        <w:r w:rsidRPr="004A260C">
          <w:rPr>
            <w:rFonts w:ascii="Times New Roman" w:hAnsi="Times New Roman" w:cs="Times New Roman"/>
          </w:rPr>
          <w:instrText xml:space="preserve"> PAGE   \* MERGEFORMAT </w:instrText>
        </w:r>
        <w:r w:rsidRPr="004A260C">
          <w:rPr>
            <w:rFonts w:ascii="Times New Roman" w:hAnsi="Times New Roman" w:cs="Times New Roman"/>
          </w:rPr>
          <w:fldChar w:fldCharType="separate"/>
        </w:r>
        <w:r w:rsidRPr="004A260C">
          <w:rPr>
            <w:rFonts w:ascii="Times New Roman" w:hAnsi="Times New Roman" w:cs="Times New Roman"/>
            <w:noProof/>
          </w:rPr>
          <w:t>2</w:t>
        </w:r>
        <w:r w:rsidRPr="004A260C">
          <w:rPr>
            <w:rFonts w:ascii="Times New Roman" w:hAnsi="Times New Roman" w:cs="Times New Roman"/>
            <w:noProof/>
          </w:rPr>
          <w:fldChar w:fldCharType="end"/>
        </w:r>
      </w:p>
    </w:sdtContent>
  </w:sdt>
  <w:p w14:paraId="12DD9D49" w14:textId="77777777" w:rsidR="00212138" w:rsidRPr="008720F8" w:rsidRDefault="00212138">
    <w:pPr>
      <w:pStyle w:val="Header"/>
      <w:rPr>
        <w:rFonts w:ascii="Palatino Linotype" w:hAnsi="Palatino Linotyp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08A09" w14:textId="15358A3D" w:rsidR="00212138" w:rsidRDefault="002121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FE0A7" w14:textId="42051429" w:rsidR="00212138" w:rsidRPr="008576E4" w:rsidRDefault="003C3EBF">
    <w:pPr>
      <w:pStyle w:val="Header"/>
      <w:jc w:val="right"/>
      <w:rPr>
        <w:rFonts w:ascii="Times New Roman" w:hAnsi="Times New Roman" w:cs="Times New Roman"/>
      </w:rPr>
    </w:pPr>
    <w:sdt>
      <w:sdtPr>
        <w:id w:val="-2038188181"/>
        <w:docPartObj>
          <w:docPartGallery w:val="Page Numbers (Top of Page)"/>
          <w:docPartUnique/>
        </w:docPartObj>
      </w:sdtPr>
      <w:sdtEndPr>
        <w:rPr>
          <w:rFonts w:ascii="Times New Roman" w:hAnsi="Times New Roman" w:cs="Times New Roman"/>
          <w:noProof/>
        </w:rPr>
      </w:sdtEndPr>
      <w:sdtContent>
        <w:r w:rsidR="00212138" w:rsidRPr="008576E4">
          <w:rPr>
            <w:rFonts w:ascii="Times New Roman" w:hAnsi="Times New Roman" w:cs="Times New Roman"/>
          </w:rPr>
          <w:fldChar w:fldCharType="begin"/>
        </w:r>
        <w:r w:rsidR="00212138" w:rsidRPr="008576E4">
          <w:rPr>
            <w:rFonts w:ascii="Times New Roman" w:hAnsi="Times New Roman" w:cs="Times New Roman"/>
          </w:rPr>
          <w:instrText xml:space="preserve"> PAGE   \* MERGEFORMAT </w:instrText>
        </w:r>
        <w:r w:rsidR="00212138" w:rsidRPr="008576E4">
          <w:rPr>
            <w:rFonts w:ascii="Times New Roman" w:hAnsi="Times New Roman" w:cs="Times New Roman"/>
          </w:rPr>
          <w:fldChar w:fldCharType="separate"/>
        </w:r>
        <w:r w:rsidR="00212138" w:rsidRPr="008576E4">
          <w:rPr>
            <w:rFonts w:ascii="Times New Roman" w:hAnsi="Times New Roman" w:cs="Times New Roman"/>
            <w:noProof/>
          </w:rPr>
          <w:t>2</w:t>
        </w:r>
        <w:r w:rsidR="00212138" w:rsidRPr="008576E4">
          <w:rPr>
            <w:rFonts w:ascii="Times New Roman" w:hAnsi="Times New Roman" w:cs="Times New Roman"/>
            <w:noProof/>
          </w:rPr>
          <w:fldChar w:fldCharType="end"/>
        </w:r>
      </w:sdtContent>
    </w:sdt>
  </w:p>
  <w:p w14:paraId="4BAA1D5E" w14:textId="77777777" w:rsidR="00212138" w:rsidRDefault="002121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F2E3A" w14:textId="69D7C1DF" w:rsidR="00212138" w:rsidRDefault="00212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B44B3"/>
    <w:multiLevelType w:val="hybridMultilevel"/>
    <w:tmpl w:val="A9269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B3EB0"/>
    <w:multiLevelType w:val="multilevel"/>
    <w:tmpl w:val="56381B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233A4"/>
    <w:multiLevelType w:val="multilevel"/>
    <w:tmpl w:val="AAD07A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3A26BCE"/>
    <w:multiLevelType w:val="multilevel"/>
    <w:tmpl w:val="47FE5B1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9F347DB"/>
    <w:multiLevelType w:val="hybridMultilevel"/>
    <w:tmpl w:val="3E28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152D4"/>
    <w:multiLevelType w:val="hybridMultilevel"/>
    <w:tmpl w:val="4C0E37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290CB1"/>
    <w:multiLevelType w:val="multilevel"/>
    <w:tmpl w:val="235CDA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047A23"/>
    <w:multiLevelType w:val="hybridMultilevel"/>
    <w:tmpl w:val="C9961C7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1C339B"/>
    <w:multiLevelType w:val="hybridMultilevel"/>
    <w:tmpl w:val="74B27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D35A69"/>
    <w:multiLevelType w:val="multilevel"/>
    <w:tmpl w:val="4CCE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683E5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7BB6EDE"/>
    <w:multiLevelType w:val="multilevel"/>
    <w:tmpl w:val="2CDE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002CE"/>
    <w:multiLevelType w:val="multilevel"/>
    <w:tmpl w:val="8C2AB40A"/>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0B434DB"/>
    <w:multiLevelType w:val="hybridMultilevel"/>
    <w:tmpl w:val="F86E3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C33722"/>
    <w:multiLevelType w:val="multilevel"/>
    <w:tmpl w:val="8004988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37C5366"/>
    <w:multiLevelType w:val="multilevel"/>
    <w:tmpl w:val="840A1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744ADF"/>
    <w:multiLevelType w:val="hybridMultilevel"/>
    <w:tmpl w:val="0AC6B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D44CE0"/>
    <w:multiLevelType w:val="multilevel"/>
    <w:tmpl w:val="DB84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373E3A"/>
    <w:multiLevelType w:val="hybridMultilevel"/>
    <w:tmpl w:val="E730A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6"/>
  </w:num>
  <w:num w:numId="14">
    <w:abstractNumId w:val="7"/>
  </w:num>
  <w:num w:numId="15">
    <w:abstractNumId w:val="5"/>
  </w:num>
  <w:num w:numId="16">
    <w:abstractNumId w:val="13"/>
  </w:num>
  <w:num w:numId="17">
    <w:abstractNumId w:val="8"/>
  </w:num>
  <w:num w:numId="18">
    <w:abstractNumId w:val="15"/>
  </w:num>
  <w:num w:numId="19">
    <w:abstractNumId w:val="0"/>
  </w:num>
  <w:num w:numId="20">
    <w:abstractNumId w:val="1"/>
  </w:num>
  <w:num w:numId="21">
    <w:abstractNumId w:val="1"/>
    <w:lvlOverride w:ilvl="1">
      <w:startOverride w:val="1"/>
    </w:lvlOverride>
  </w:num>
  <w:num w:numId="22">
    <w:abstractNumId w:val="14"/>
  </w:num>
  <w:num w:numId="23">
    <w:abstractNumId w:val="17"/>
  </w:num>
  <w:num w:numId="24">
    <w:abstractNumId w:val="12"/>
  </w:num>
  <w:num w:numId="25">
    <w:abstractNumId w:val="11"/>
  </w:num>
  <w:num w:numId="26">
    <w:abstractNumId w:val="9"/>
  </w:num>
  <w:num w:numId="27">
    <w:abstractNumId w:val="16"/>
  </w:num>
  <w:num w:numId="2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mailMerge>
    <w:mainDocumentType w:val="email"/>
    <w:dataType w:val="textFile"/>
    <w:activeRecord w:val="-1"/>
  </w:mailMerge>
  <w:defaultTabStop w:val="720"/>
  <w:characterSpacingControl w:val="doNotCompress"/>
  <w:hdrShapeDefaults>
    <o:shapedefaults v:ext="edit" spidmax="43009">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71"/>
    <w:rsid w:val="00004BED"/>
    <w:rsid w:val="00005C6E"/>
    <w:rsid w:val="000062E8"/>
    <w:rsid w:val="00010420"/>
    <w:rsid w:val="000128A8"/>
    <w:rsid w:val="00014D2E"/>
    <w:rsid w:val="000153A8"/>
    <w:rsid w:val="00016B13"/>
    <w:rsid w:val="00016DD5"/>
    <w:rsid w:val="00020657"/>
    <w:rsid w:val="0002310B"/>
    <w:rsid w:val="00023BFF"/>
    <w:rsid w:val="0002494C"/>
    <w:rsid w:val="000258BC"/>
    <w:rsid w:val="00026199"/>
    <w:rsid w:val="00026480"/>
    <w:rsid w:val="00027568"/>
    <w:rsid w:val="00027C58"/>
    <w:rsid w:val="000323A3"/>
    <w:rsid w:val="00035286"/>
    <w:rsid w:val="00036C35"/>
    <w:rsid w:val="00036E15"/>
    <w:rsid w:val="000378E2"/>
    <w:rsid w:val="0003798C"/>
    <w:rsid w:val="00040755"/>
    <w:rsid w:val="00040F22"/>
    <w:rsid w:val="000411A0"/>
    <w:rsid w:val="00041968"/>
    <w:rsid w:val="000419AA"/>
    <w:rsid w:val="00044D4A"/>
    <w:rsid w:val="0005128C"/>
    <w:rsid w:val="00061AAE"/>
    <w:rsid w:val="00063F17"/>
    <w:rsid w:val="00067702"/>
    <w:rsid w:val="000755F7"/>
    <w:rsid w:val="00076BD2"/>
    <w:rsid w:val="000803A4"/>
    <w:rsid w:val="000804AE"/>
    <w:rsid w:val="00081BE2"/>
    <w:rsid w:val="00085569"/>
    <w:rsid w:val="000861F7"/>
    <w:rsid w:val="00086BED"/>
    <w:rsid w:val="00091D08"/>
    <w:rsid w:val="00092E0C"/>
    <w:rsid w:val="00093A65"/>
    <w:rsid w:val="0009596B"/>
    <w:rsid w:val="00096D81"/>
    <w:rsid w:val="00097B9A"/>
    <w:rsid w:val="000A0C04"/>
    <w:rsid w:val="000A153F"/>
    <w:rsid w:val="000A2F17"/>
    <w:rsid w:val="000A3DE2"/>
    <w:rsid w:val="000A4762"/>
    <w:rsid w:val="000A509F"/>
    <w:rsid w:val="000A6971"/>
    <w:rsid w:val="000A6BC6"/>
    <w:rsid w:val="000A6DC9"/>
    <w:rsid w:val="000A7795"/>
    <w:rsid w:val="000A77A3"/>
    <w:rsid w:val="000B07B1"/>
    <w:rsid w:val="000B4FD6"/>
    <w:rsid w:val="000C09E6"/>
    <w:rsid w:val="000C1D67"/>
    <w:rsid w:val="000C34C6"/>
    <w:rsid w:val="000C4471"/>
    <w:rsid w:val="000C71D8"/>
    <w:rsid w:val="000C7ADE"/>
    <w:rsid w:val="000D1DE9"/>
    <w:rsid w:val="000D1E5F"/>
    <w:rsid w:val="000D476D"/>
    <w:rsid w:val="000D7A9F"/>
    <w:rsid w:val="000D7C47"/>
    <w:rsid w:val="000E0244"/>
    <w:rsid w:val="000E0604"/>
    <w:rsid w:val="000E381A"/>
    <w:rsid w:val="000E463C"/>
    <w:rsid w:val="000E6700"/>
    <w:rsid w:val="000E68A5"/>
    <w:rsid w:val="000F357D"/>
    <w:rsid w:val="000F47AC"/>
    <w:rsid w:val="000F5D4A"/>
    <w:rsid w:val="000F6539"/>
    <w:rsid w:val="000F71DB"/>
    <w:rsid w:val="00100F63"/>
    <w:rsid w:val="0010154C"/>
    <w:rsid w:val="00101749"/>
    <w:rsid w:val="00103513"/>
    <w:rsid w:val="00104412"/>
    <w:rsid w:val="00106CB3"/>
    <w:rsid w:val="00110A04"/>
    <w:rsid w:val="001114EE"/>
    <w:rsid w:val="00111500"/>
    <w:rsid w:val="00111685"/>
    <w:rsid w:val="00112F98"/>
    <w:rsid w:val="00120005"/>
    <w:rsid w:val="00122140"/>
    <w:rsid w:val="00122471"/>
    <w:rsid w:val="00122643"/>
    <w:rsid w:val="001242BF"/>
    <w:rsid w:val="00125406"/>
    <w:rsid w:val="001255EA"/>
    <w:rsid w:val="001256C5"/>
    <w:rsid w:val="00125C21"/>
    <w:rsid w:val="00126982"/>
    <w:rsid w:val="00127B02"/>
    <w:rsid w:val="00127D8F"/>
    <w:rsid w:val="00130CAC"/>
    <w:rsid w:val="00131461"/>
    <w:rsid w:val="00132EEC"/>
    <w:rsid w:val="001330D9"/>
    <w:rsid w:val="00134281"/>
    <w:rsid w:val="0013704C"/>
    <w:rsid w:val="001411C7"/>
    <w:rsid w:val="0014193C"/>
    <w:rsid w:val="00141BFA"/>
    <w:rsid w:val="00141F1F"/>
    <w:rsid w:val="00146DE5"/>
    <w:rsid w:val="00150763"/>
    <w:rsid w:val="001531C2"/>
    <w:rsid w:val="00153825"/>
    <w:rsid w:val="00153F15"/>
    <w:rsid w:val="001571A5"/>
    <w:rsid w:val="00160CAC"/>
    <w:rsid w:val="001610EA"/>
    <w:rsid w:val="001616B4"/>
    <w:rsid w:val="00161D17"/>
    <w:rsid w:val="00166140"/>
    <w:rsid w:val="0017193D"/>
    <w:rsid w:val="00172318"/>
    <w:rsid w:val="00177F40"/>
    <w:rsid w:val="00183FC0"/>
    <w:rsid w:val="00190B73"/>
    <w:rsid w:val="001912D9"/>
    <w:rsid w:val="00193499"/>
    <w:rsid w:val="00193E59"/>
    <w:rsid w:val="001A0CC1"/>
    <w:rsid w:val="001A1421"/>
    <w:rsid w:val="001A15B6"/>
    <w:rsid w:val="001A3360"/>
    <w:rsid w:val="001A3AC1"/>
    <w:rsid w:val="001A4B16"/>
    <w:rsid w:val="001A4DBC"/>
    <w:rsid w:val="001A690A"/>
    <w:rsid w:val="001A6B3E"/>
    <w:rsid w:val="001A72CC"/>
    <w:rsid w:val="001B0ADD"/>
    <w:rsid w:val="001B2021"/>
    <w:rsid w:val="001B23DF"/>
    <w:rsid w:val="001B28AB"/>
    <w:rsid w:val="001B290B"/>
    <w:rsid w:val="001B6A3C"/>
    <w:rsid w:val="001B6F76"/>
    <w:rsid w:val="001B7710"/>
    <w:rsid w:val="001B7F66"/>
    <w:rsid w:val="001C0FFA"/>
    <w:rsid w:val="001C204E"/>
    <w:rsid w:val="001C4091"/>
    <w:rsid w:val="001C461D"/>
    <w:rsid w:val="001C6DBB"/>
    <w:rsid w:val="001D114D"/>
    <w:rsid w:val="001D195B"/>
    <w:rsid w:val="001D2672"/>
    <w:rsid w:val="001D6A71"/>
    <w:rsid w:val="001E0D60"/>
    <w:rsid w:val="001E3D58"/>
    <w:rsid w:val="001E443D"/>
    <w:rsid w:val="001E4F19"/>
    <w:rsid w:val="001E60D3"/>
    <w:rsid w:val="001F197E"/>
    <w:rsid w:val="001F19D3"/>
    <w:rsid w:val="001F2534"/>
    <w:rsid w:val="001F2F50"/>
    <w:rsid w:val="001F4037"/>
    <w:rsid w:val="001F7DA2"/>
    <w:rsid w:val="00200980"/>
    <w:rsid w:val="00210F52"/>
    <w:rsid w:val="00211457"/>
    <w:rsid w:val="00212138"/>
    <w:rsid w:val="00214378"/>
    <w:rsid w:val="00215BDC"/>
    <w:rsid w:val="00223013"/>
    <w:rsid w:val="00224655"/>
    <w:rsid w:val="00225E7B"/>
    <w:rsid w:val="0022716F"/>
    <w:rsid w:val="00230132"/>
    <w:rsid w:val="00232D27"/>
    <w:rsid w:val="00234BC6"/>
    <w:rsid w:val="00235593"/>
    <w:rsid w:val="0023686B"/>
    <w:rsid w:val="00240699"/>
    <w:rsid w:val="002410C9"/>
    <w:rsid w:val="00242FC0"/>
    <w:rsid w:val="00245D3A"/>
    <w:rsid w:val="00246D00"/>
    <w:rsid w:val="00247761"/>
    <w:rsid w:val="00247BF5"/>
    <w:rsid w:val="00247D43"/>
    <w:rsid w:val="00252969"/>
    <w:rsid w:val="00254027"/>
    <w:rsid w:val="0025408E"/>
    <w:rsid w:val="002603D8"/>
    <w:rsid w:val="00260EDC"/>
    <w:rsid w:val="00261BB0"/>
    <w:rsid w:val="00263F45"/>
    <w:rsid w:val="00265654"/>
    <w:rsid w:val="00265E37"/>
    <w:rsid w:val="00266E50"/>
    <w:rsid w:val="00267839"/>
    <w:rsid w:val="0027002D"/>
    <w:rsid w:val="002707B7"/>
    <w:rsid w:val="00273C3E"/>
    <w:rsid w:val="002743D1"/>
    <w:rsid w:val="002743FC"/>
    <w:rsid w:val="00274921"/>
    <w:rsid w:val="00274DED"/>
    <w:rsid w:val="00277665"/>
    <w:rsid w:val="0028082C"/>
    <w:rsid w:val="0028405A"/>
    <w:rsid w:val="00284C07"/>
    <w:rsid w:val="00285B89"/>
    <w:rsid w:val="00285E77"/>
    <w:rsid w:val="00290299"/>
    <w:rsid w:val="00290303"/>
    <w:rsid w:val="00294A84"/>
    <w:rsid w:val="00297469"/>
    <w:rsid w:val="002A1F7D"/>
    <w:rsid w:val="002A26BE"/>
    <w:rsid w:val="002A3347"/>
    <w:rsid w:val="002A33BC"/>
    <w:rsid w:val="002A3AAC"/>
    <w:rsid w:val="002A4255"/>
    <w:rsid w:val="002B7E97"/>
    <w:rsid w:val="002C662F"/>
    <w:rsid w:val="002D03C8"/>
    <w:rsid w:val="002D0A89"/>
    <w:rsid w:val="002D440B"/>
    <w:rsid w:val="002D47CF"/>
    <w:rsid w:val="002D496C"/>
    <w:rsid w:val="002D7A97"/>
    <w:rsid w:val="002E0502"/>
    <w:rsid w:val="002E11AE"/>
    <w:rsid w:val="002E147A"/>
    <w:rsid w:val="002E154A"/>
    <w:rsid w:val="002E1A1E"/>
    <w:rsid w:val="002E36F3"/>
    <w:rsid w:val="002E63FB"/>
    <w:rsid w:val="002E6E37"/>
    <w:rsid w:val="002F202A"/>
    <w:rsid w:val="002F5B0C"/>
    <w:rsid w:val="002F5D94"/>
    <w:rsid w:val="002F70FA"/>
    <w:rsid w:val="002F7CEF"/>
    <w:rsid w:val="003003C8"/>
    <w:rsid w:val="00301660"/>
    <w:rsid w:val="00303722"/>
    <w:rsid w:val="00303D4A"/>
    <w:rsid w:val="00304D3C"/>
    <w:rsid w:val="0030629F"/>
    <w:rsid w:val="00306EDF"/>
    <w:rsid w:val="0031559F"/>
    <w:rsid w:val="00316503"/>
    <w:rsid w:val="00316C5F"/>
    <w:rsid w:val="00316E7D"/>
    <w:rsid w:val="0031708D"/>
    <w:rsid w:val="003379BD"/>
    <w:rsid w:val="003413EC"/>
    <w:rsid w:val="00343346"/>
    <w:rsid w:val="00343840"/>
    <w:rsid w:val="003448CB"/>
    <w:rsid w:val="00345116"/>
    <w:rsid w:val="00346EF4"/>
    <w:rsid w:val="00347224"/>
    <w:rsid w:val="003539AA"/>
    <w:rsid w:val="00353F9E"/>
    <w:rsid w:val="003548DE"/>
    <w:rsid w:val="00356F41"/>
    <w:rsid w:val="00361EB6"/>
    <w:rsid w:val="00366409"/>
    <w:rsid w:val="00370823"/>
    <w:rsid w:val="00370F0C"/>
    <w:rsid w:val="003714EF"/>
    <w:rsid w:val="0037798F"/>
    <w:rsid w:val="0038016C"/>
    <w:rsid w:val="00380C28"/>
    <w:rsid w:val="00380D5F"/>
    <w:rsid w:val="0038119F"/>
    <w:rsid w:val="00382BC1"/>
    <w:rsid w:val="00383984"/>
    <w:rsid w:val="00383FD3"/>
    <w:rsid w:val="00387881"/>
    <w:rsid w:val="00387F55"/>
    <w:rsid w:val="003909FA"/>
    <w:rsid w:val="00394F16"/>
    <w:rsid w:val="00395FA6"/>
    <w:rsid w:val="00396191"/>
    <w:rsid w:val="003A343D"/>
    <w:rsid w:val="003A37B7"/>
    <w:rsid w:val="003A7C21"/>
    <w:rsid w:val="003B0B4F"/>
    <w:rsid w:val="003B19EF"/>
    <w:rsid w:val="003B1A76"/>
    <w:rsid w:val="003B2204"/>
    <w:rsid w:val="003B2FE8"/>
    <w:rsid w:val="003B3680"/>
    <w:rsid w:val="003B371B"/>
    <w:rsid w:val="003B3CC2"/>
    <w:rsid w:val="003C0427"/>
    <w:rsid w:val="003C0F00"/>
    <w:rsid w:val="003C2D81"/>
    <w:rsid w:val="003C2F99"/>
    <w:rsid w:val="003C3EBF"/>
    <w:rsid w:val="003D2336"/>
    <w:rsid w:val="003E0006"/>
    <w:rsid w:val="003E389F"/>
    <w:rsid w:val="003E3B6F"/>
    <w:rsid w:val="003E5F42"/>
    <w:rsid w:val="003F12D3"/>
    <w:rsid w:val="003F1F83"/>
    <w:rsid w:val="003F3D17"/>
    <w:rsid w:val="003F4DE8"/>
    <w:rsid w:val="003F5F90"/>
    <w:rsid w:val="003F684F"/>
    <w:rsid w:val="004001BF"/>
    <w:rsid w:val="00400550"/>
    <w:rsid w:val="00403004"/>
    <w:rsid w:val="004034F5"/>
    <w:rsid w:val="00411D1E"/>
    <w:rsid w:val="00412A7B"/>
    <w:rsid w:val="00414E5C"/>
    <w:rsid w:val="00415E18"/>
    <w:rsid w:val="00420AFE"/>
    <w:rsid w:val="00420E17"/>
    <w:rsid w:val="00420F42"/>
    <w:rsid w:val="00421DD4"/>
    <w:rsid w:val="00422716"/>
    <w:rsid w:val="004248B9"/>
    <w:rsid w:val="004268A2"/>
    <w:rsid w:val="00426C63"/>
    <w:rsid w:val="004304D9"/>
    <w:rsid w:val="00431D66"/>
    <w:rsid w:val="00433519"/>
    <w:rsid w:val="00435574"/>
    <w:rsid w:val="00435F2E"/>
    <w:rsid w:val="00436777"/>
    <w:rsid w:val="00436AEA"/>
    <w:rsid w:val="0044098E"/>
    <w:rsid w:val="0044119B"/>
    <w:rsid w:val="004423B7"/>
    <w:rsid w:val="00443367"/>
    <w:rsid w:val="00446765"/>
    <w:rsid w:val="00453331"/>
    <w:rsid w:val="00453B4C"/>
    <w:rsid w:val="00453CE4"/>
    <w:rsid w:val="00453EB5"/>
    <w:rsid w:val="004552C4"/>
    <w:rsid w:val="00457952"/>
    <w:rsid w:val="00460880"/>
    <w:rsid w:val="00463079"/>
    <w:rsid w:val="0046458A"/>
    <w:rsid w:val="0046518A"/>
    <w:rsid w:val="00466626"/>
    <w:rsid w:val="00467896"/>
    <w:rsid w:val="00470E73"/>
    <w:rsid w:val="00470FC4"/>
    <w:rsid w:val="004719B5"/>
    <w:rsid w:val="00475A20"/>
    <w:rsid w:val="004766E1"/>
    <w:rsid w:val="00476A98"/>
    <w:rsid w:val="004776FF"/>
    <w:rsid w:val="00477AE1"/>
    <w:rsid w:val="00477D05"/>
    <w:rsid w:val="00482642"/>
    <w:rsid w:val="0048539E"/>
    <w:rsid w:val="004904DD"/>
    <w:rsid w:val="00490D2F"/>
    <w:rsid w:val="004A053E"/>
    <w:rsid w:val="004A260C"/>
    <w:rsid w:val="004A27D6"/>
    <w:rsid w:val="004A3C7C"/>
    <w:rsid w:val="004A6FEE"/>
    <w:rsid w:val="004A7AFE"/>
    <w:rsid w:val="004B15C0"/>
    <w:rsid w:val="004B2D08"/>
    <w:rsid w:val="004B4353"/>
    <w:rsid w:val="004B5ED4"/>
    <w:rsid w:val="004B720A"/>
    <w:rsid w:val="004C20B1"/>
    <w:rsid w:val="004C44EF"/>
    <w:rsid w:val="004C4AC4"/>
    <w:rsid w:val="004C5534"/>
    <w:rsid w:val="004D0BA9"/>
    <w:rsid w:val="004D2AE5"/>
    <w:rsid w:val="004D3885"/>
    <w:rsid w:val="004D59C5"/>
    <w:rsid w:val="004D64D5"/>
    <w:rsid w:val="004E0760"/>
    <w:rsid w:val="004E13CD"/>
    <w:rsid w:val="004E2614"/>
    <w:rsid w:val="004E3087"/>
    <w:rsid w:val="004E352A"/>
    <w:rsid w:val="004E3EDC"/>
    <w:rsid w:val="004E7397"/>
    <w:rsid w:val="004E7743"/>
    <w:rsid w:val="004F2B39"/>
    <w:rsid w:val="004F2B7E"/>
    <w:rsid w:val="004F4EEB"/>
    <w:rsid w:val="004F6953"/>
    <w:rsid w:val="004F6BD0"/>
    <w:rsid w:val="00501597"/>
    <w:rsid w:val="00501F2E"/>
    <w:rsid w:val="005022F7"/>
    <w:rsid w:val="00504716"/>
    <w:rsid w:val="00506839"/>
    <w:rsid w:val="00507752"/>
    <w:rsid w:val="00510BE5"/>
    <w:rsid w:val="00510E18"/>
    <w:rsid w:val="0051620E"/>
    <w:rsid w:val="00520013"/>
    <w:rsid w:val="00520736"/>
    <w:rsid w:val="0052298A"/>
    <w:rsid w:val="00522C45"/>
    <w:rsid w:val="005234B7"/>
    <w:rsid w:val="00524FB5"/>
    <w:rsid w:val="005259A5"/>
    <w:rsid w:val="00526C66"/>
    <w:rsid w:val="00530ED8"/>
    <w:rsid w:val="005315F9"/>
    <w:rsid w:val="00531B64"/>
    <w:rsid w:val="005333BA"/>
    <w:rsid w:val="00533DEE"/>
    <w:rsid w:val="005346CF"/>
    <w:rsid w:val="00535553"/>
    <w:rsid w:val="00535B52"/>
    <w:rsid w:val="00540F36"/>
    <w:rsid w:val="00541F5F"/>
    <w:rsid w:val="005429D0"/>
    <w:rsid w:val="0054379F"/>
    <w:rsid w:val="00545491"/>
    <w:rsid w:val="00545962"/>
    <w:rsid w:val="0054630F"/>
    <w:rsid w:val="00550218"/>
    <w:rsid w:val="005508B3"/>
    <w:rsid w:val="00551ACD"/>
    <w:rsid w:val="00556CCF"/>
    <w:rsid w:val="00557A70"/>
    <w:rsid w:val="005623F8"/>
    <w:rsid w:val="00563463"/>
    <w:rsid w:val="0056734A"/>
    <w:rsid w:val="00570C15"/>
    <w:rsid w:val="0057445F"/>
    <w:rsid w:val="00576743"/>
    <w:rsid w:val="00576A23"/>
    <w:rsid w:val="00576D87"/>
    <w:rsid w:val="0058077C"/>
    <w:rsid w:val="005807E4"/>
    <w:rsid w:val="005813E1"/>
    <w:rsid w:val="00582374"/>
    <w:rsid w:val="00583D1E"/>
    <w:rsid w:val="00584037"/>
    <w:rsid w:val="005858B9"/>
    <w:rsid w:val="00585AF4"/>
    <w:rsid w:val="00587451"/>
    <w:rsid w:val="0059702C"/>
    <w:rsid w:val="00597D15"/>
    <w:rsid w:val="005A0D90"/>
    <w:rsid w:val="005A1648"/>
    <w:rsid w:val="005A2337"/>
    <w:rsid w:val="005B0583"/>
    <w:rsid w:val="005B2DFB"/>
    <w:rsid w:val="005B3ACB"/>
    <w:rsid w:val="005B5795"/>
    <w:rsid w:val="005B5FB2"/>
    <w:rsid w:val="005B6160"/>
    <w:rsid w:val="005B6BBF"/>
    <w:rsid w:val="005C180C"/>
    <w:rsid w:val="005C47EA"/>
    <w:rsid w:val="005C528A"/>
    <w:rsid w:val="005C5A80"/>
    <w:rsid w:val="005D61DE"/>
    <w:rsid w:val="005E29DB"/>
    <w:rsid w:val="005E753D"/>
    <w:rsid w:val="005F073F"/>
    <w:rsid w:val="005F1BE1"/>
    <w:rsid w:val="005F2635"/>
    <w:rsid w:val="005F4AEC"/>
    <w:rsid w:val="005F59A1"/>
    <w:rsid w:val="005F5EED"/>
    <w:rsid w:val="00600C45"/>
    <w:rsid w:val="006025D8"/>
    <w:rsid w:val="0060332C"/>
    <w:rsid w:val="00603923"/>
    <w:rsid w:val="00605533"/>
    <w:rsid w:val="00610C12"/>
    <w:rsid w:val="00612848"/>
    <w:rsid w:val="00612A5D"/>
    <w:rsid w:val="00612D55"/>
    <w:rsid w:val="00613BAC"/>
    <w:rsid w:val="006149E5"/>
    <w:rsid w:val="006170FF"/>
    <w:rsid w:val="006232CC"/>
    <w:rsid w:val="006235D7"/>
    <w:rsid w:val="00624FC5"/>
    <w:rsid w:val="00626290"/>
    <w:rsid w:val="00630991"/>
    <w:rsid w:val="00630FC9"/>
    <w:rsid w:val="006316FD"/>
    <w:rsid w:val="006372C4"/>
    <w:rsid w:val="00637853"/>
    <w:rsid w:val="0063798A"/>
    <w:rsid w:val="00642D8A"/>
    <w:rsid w:val="00643E59"/>
    <w:rsid w:val="006442E6"/>
    <w:rsid w:val="00644C54"/>
    <w:rsid w:val="00645115"/>
    <w:rsid w:val="00645F66"/>
    <w:rsid w:val="006476CC"/>
    <w:rsid w:val="0065202B"/>
    <w:rsid w:val="0065261C"/>
    <w:rsid w:val="006561D4"/>
    <w:rsid w:val="00656994"/>
    <w:rsid w:val="00661226"/>
    <w:rsid w:val="0066133E"/>
    <w:rsid w:val="00662187"/>
    <w:rsid w:val="00666EF2"/>
    <w:rsid w:val="0067057D"/>
    <w:rsid w:val="00671E2A"/>
    <w:rsid w:val="0067240A"/>
    <w:rsid w:val="00672644"/>
    <w:rsid w:val="00677B94"/>
    <w:rsid w:val="0068193B"/>
    <w:rsid w:val="00683113"/>
    <w:rsid w:val="006847DB"/>
    <w:rsid w:val="00685E9F"/>
    <w:rsid w:val="0068677F"/>
    <w:rsid w:val="00686DC2"/>
    <w:rsid w:val="00690847"/>
    <w:rsid w:val="00691992"/>
    <w:rsid w:val="00692D27"/>
    <w:rsid w:val="00693F79"/>
    <w:rsid w:val="00696050"/>
    <w:rsid w:val="006977DD"/>
    <w:rsid w:val="006A4346"/>
    <w:rsid w:val="006A4673"/>
    <w:rsid w:val="006A5A36"/>
    <w:rsid w:val="006A5DDE"/>
    <w:rsid w:val="006B268F"/>
    <w:rsid w:val="006B5055"/>
    <w:rsid w:val="006B7F0B"/>
    <w:rsid w:val="006C1D9B"/>
    <w:rsid w:val="006C2C6F"/>
    <w:rsid w:val="006C30C6"/>
    <w:rsid w:val="006C5B03"/>
    <w:rsid w:val="006C7ABE"/>
    <w:rsid w:val="006D023B"/>
    <w:rsid w:val="006D1009"/>
    <w:rsid w:val="006D124B"/>
    <w:rsid w:val="006D1967"/>
    <w:rsid w:val="006D1EB8"/>
    <w:rsid w:val="006D2F8C"/>
    <w:rsid w:val="006D391E"/>
    <w:rsid w:val="006D3B51"/>
    <w:rsid w:val="006D6A79"/>
    <w:rsid w:val="006E0882"/>
    <w:rsid w:val="006E2C4A"/>
    <w:rsid w:val="006E38F0"/>
    <w:rsid w:val="006E4175"/>
    <w:rsid w:val="006E5B2C"/>
    <w:rsid w:val="006E614C"/>
    <w:rsid w:val="006E7723"/>
    <w:rsid w:val="006F0869"/>
    <w:rsid w:val="006F0B2A"/>
    <w:rsid w:val="006F161F"/>
    <w:rsid w:val="006F61B4"/>
    <w:rsid w:val="006F62CB"/>
    <w:rsid w:val="00704BE1"/>
    <w:rsid w:val="0070637D"/>
    <w:rsid w:val="007071AD"/>
    <w:rsid w:val="00711564"/>
    <w:rsid w:val="007121B0"/>
    <w:rsid w:val="00713C4E"/>
    <w:rsid w:val="007145B7"/>
    <w:rsid w:val="00714746"/>
    <w:rsid w:val="007166D1"/>
    <w:rsid w:val="00717529"/>
    <w:rsid w:val="00717D14"/>
    <w:rsid w:val="007245F4"/>
    <w:rsid w:val="0072630B"/>
    <w:rsid w:val="00727AA6"/>
    <w:rsid w:val="0073030E"/>
    <w:rsid w:val="0073035F"/>
    <w:rsid w:val="00731DB8"/>
    <w:rsid w:val="00733809"/>
    <w:rsid w:val="00736552"/>
    <w:rsid w:val="00742587"/>
    <w:rsid w:val="00743DAB"/>
    <w:rsid w:val="00746AA8"/>
    <w:rsid w:val="00746D6C"/>
    <w:rsid w:val="00747633"/>
    <w:rsid w:val="00747C4F"/>
    <w:rsid w:val="007518E9"/>
    <w:rsid w:val="007527F0"/>
    <w:rsid w:val="00752803"/>
    <w:rsid w:val="00760596"/>
    <w:rsid w:val="00760B0D"/>
    <w:rsid w:val="00761B0B"/>
    <w:rsid w:val="00761C02"/>
    <w:rsid w:val="00765AB4"/>
    <w:rsid w:val="007670F7"/>
    <w:rsid w:val="007673AB"/>
    <w:rsid w:val="00771D13"/>
    <w:rsid w:val="00773FD5"/>
    <w:rsid w:val="007777C5"/>
    <w:rsid w:val="00780C42"/>
    <w:rsid w:val="0078194B"/>
    <w:rsid w:val="00781D4A"/>
    <w:rsid w:val="00785794"/>
    <w:rsid w:val="00786752"/>
    <w:rsid w:val="00787BDE"/>
    <w:rsid w:val="00791042"/>
    <w:rsid w:val="00794048"/>
    <w:rsid w:val="00794178"/>
    <w:rsid w:val="007945A2"/>
    <w:rsid w:val="00795DE6"/>
    <w:rsid w:val="007962BC"/>
    <w:rsid w:val="00796C22"/>
    <w:rsid w:val="007A0FDD"/>
    <w:rsid w:val="007A130C"/>
    <w:rsid w:val="007A1DDE"/>
    <w:rsid w:val="007A3D26"/>
    <w:rsid w:val="007A51B8"/>
    <w:rsid w:val="007A760E"/>
    <w:rsid w:val="007B0AF5"/>
    <w:rsid w:val="007B490F"/>
    <w:rsid w:val="007C0D39"/>
    <w:rsid w:val="007C1CE7"/>
    <w:rsid w:val="007C20F1"/>
    <w:rsid w:val="007C2597"/>
    <w:rsid w:val="007C32F0"/>
    <w:rsid w:val="007C3D3F"/>
    <w:rsid w:val="007C54B2"/>
    <w:rsid w:val="007C5D05"/>
    <w:rsid w:val="007C6182"/>
    <w:rsid w:val="007C7CD2"/>
    <w:rsid w:val="007D1D57"/>
    <w:rsid w:val="007D22D7"/>
    <w:rsid w:val="007D3819"/>
    <w:rsid w:val="007D5D29"/>
    <w:rsid w:val="007E1A91"/>
    <w:rsid w:val="007E4B9C"/>
    <w:rsid w:val="007E6B5E"/>
    <w:rsid w:val="007E7F01"/>
    <w:rsid w:val="007F3561"/>
    <w:rsid w:val="007F65BC"/>
    <w:rsid w:val="007F6FC8"/>
    <w:rsid w:val="00801908"/>
    <w:rsid w:val="00801A56"/>
    <w:rsid w:val="008025AD"/>
    <w:rsid w:val="008040DF"/>
    <w:rsid w:val="00805F89"/>
    <w:rsid w:val="008078FF"/>
    <w:rsid w:val="00815D63"/>
    <w:rsid w:val="00820C75"/>
    <w:rsid w:val="0082139B"/>
    <w:rsid w:val="00821C99"/>
    <w:rsid w:val="008223DE"/>
    <w:rsid w:val="008225C4"/>
    <w:rsid w:val="00822B51"/>
    <w:rsid w:val="00822B91"/>
    <w:rsid w:val="0082687F"/>
    <w:rsid w:val="00831606"/>
    <w:rsid w:val="00834245"/>
    <w:rsid w:val="00835DC6"/>
    <w:rsid w:val="00835E68"/>
    <w:rsid w:val="0083626A"/>
    <w:rsid w:val="00842947"/>
    <w:rsid w:val="00844FBE"/>
    <w:rsid w:val="00846C58"/>
    <w:rsid w:val="0084735F"/>
    <w:rsid w:val="00850043"/>
    <w:rsid w:val="008500FD"/>
    <w:rsid w:val="008506F2"/>
    <w:rsid w:val="00852BF1"/>
    <w:rsid w:val="00861FA8"/>
    <w:rsid w:val="008629A0"/>
    <w:rsid w:val="00864BE7"/>
    <w:rsid w:val="00870ADF"/>
    <w:rsid w:val="00871194"/>
    <w:rsid w:val="008718A8"/>
    <w:rsid w:val="008720F8"/>
    <w:rsid w:val="00873F13"/>
    <w:rsid w:val="008767F7"/>
    <w:rsid w:val="00877863"/>
    <w:rsid w:val="008779D7"/>
    <w:rsid w:val="00880F8E"/>
    <w:rsid w:val="00882A7C"/>
    <w:rsid w:val="00885636"/>
    <w:rsid w:val="00885973"/>
    <w:rsid w:val="008878FA"/>
    <w:rsid w:val="00890D73"/>
    <w:rsid w:val="00890E1E"/>
    <w:rsid w:val="00892D05"/>
    <w:rsid w:val="00892D6C"/>
    <w:rsid w:val="00893111"/>
    <w:rsid w:val="0089331D"/>
    <w:rsid w:val="008A036F"/>
    <w:rsid w:val="008A3268"/>
    <w:rsid w:val="008A55F3"/>
    <w:rsid w:val="008A6135"/>
    <w:rsid w:val="008A7FAE"/>
    <w:rsid w:val="008B04BA"/>
    <w:rsid w:val="008B1A24"/>
    <w:rsid w:val="008B25E6"/>
    <w:rsid w:val="008B2931"/>
    <w:rsid w:val="008B2D76"/>
    <w:rsid w:val="008B6DCB"/>
    <w:rsid w:val="008B6F7E"/>
    <w:rsid w:val="008B76BA"/>
    <w:rsid w:val="008C3A74"/>
    <w:rsid w:val="008C6F87"/>
    <w:rsid w:val="008C757E"/>
    <w:rsid w:val="008D0530"/>
    <w:rsid w:val="008D14E7"/>
    <w:rsid w:val="008D4B38"/>
    <w:rsid w:val="008D4E93"/>
    <w:rsid w:val="008D6267"/>
    <w:rsid w:val="008D665B"/>
    <w:rsid w:val="008D7B6C"/>
    <w:rsid w:val="008E00FA"/>
    <w:rsid w:val="008E1F88"/>
    <w:rsid w:val="008E28AB"/>
    <w:rsid w:val="008E3E13"/>
    <w:rsid w:val="008E50C5"/>
    <w:rsid w:val="008E5694"/>
    <w:rsid w:val="008E6525"/>
    <w:rsid w:val="008E796F"/>
    <w:rsid w:val="008F0B95"/>
    <w:rsid w:val="008F2E49"/>
    <w:rsid w:val="008F37AE"/>
    <w:rsid w:val="008F3FEB"/>
    <w:rsid w:val="008F6C92"/>
    <w:rsid w:val="00901D2A"/>
    <w:rsid w:val="00902E62"/>
    <w:rsid w:val="0090394D"/>
    <w:rsid w:val="0090716C"/>
    <w:rsid w:val="00911969"/>
    <w:rsid w:val="00912625"/>
    <w:rsid w:val="009144E4"/>
    <w:rsid w:val="00915321"/>
    <w:rsid w:val="009154CA"/>
    <w:rsid w:val="009208C3"/>
    <w:rsid w:val="00920B56"/>
    <w:rsid w:val="00922FD0"/>
    <w:rsid w:val="00923141"/>
    <w:rsid w:val="00923E6C"/>
    <w:rsid w:val="00925468"/>
    <w:rsid w:val="00926398"/>
    <w:rsid w:val="00927DF2"/>
    <w:rsid w:val="00930BE4"/>
    <w:rsid w:val="009337F5"/>
    <w:rsid w:val="00934043"/>
    <w:rsid w:val="0093773D"/>
    <w:rsid w:val="00953618"/>
    <w:rsid w:val="00955464"/>
    <w:rsid w:val="00955BE0"/>
    <w:rsid w:val="009569A5"/>
    <w:rsid w:val="00957F9B"/>
    <w:rsid w:val="00963405"/>
    <w:rsid w:val="00966E76"/>
    <w:rsid w:val="00967B87"/>
    <w:rsid w:val="00967B89"/>
    <w:rsid w:val="00973D7A"/>
    <w:rsid w:val="0098014E"/>
    <w:rsid w:val="00981976"/>
    <w:rsid w:val="00981C07"/>
    <w:rsid w:val="00981D18"/>
    <w:rsid w:val="00987635"/>
    <w:rsid w:val="00991704"/>
    <w:rsid w:val="00991CB2"/>
    <w:rsid w:val="00993AC0"/>
    <w:rsid w:val="009957FC"/>
    <w:rsid w:val="00996554"/>
    <w:rsid w:val="00996974"/>
    <w:rsid w:val="009A1E47"/>
    <w:rsid w:val="009A2D16"/>
    <w:rsid w:val="009A556B"/>
    <w:rsid w:val="009A744F"/>
    <w:rsid w:val="009B0108"/>
    <w:rsid w:val="009B22BB"/>
    <w:rsid w:val="009B47B9"/>
    <w:rsid w:val="009B7860"/>
    <w:rsid w:val="009C2AC9"/>
    <w:rsid w:val="009C4B7F"/>
    <w:rsid w:val="009C4ED3"/>
    <w:rsid w:val="009C5D07"/>
    <w:rsid w:val="009C6773"/>
    <w:rsid w:val="009C6913"/>
    <w:rsid w:val="009C6EE3"/>
    <w:rsid w:val="009D0280"/>
    <w:rsid w:val="009D11CA"/>
    <w:rsid w:val="009D2F8F"/>
    <w:rsid w:val="009D3548"/>
    <w:rsid w:val="009D3ED7"/>
    <w:rsid w:val="009D5924"/>
    <w:rsid w:val="009D7578"/>
    <w:rsid w:val="009E01B1"/>
    <w:rsid w:val="009E0C2A"/>
    <w:rsid w:val="009E1990"/>
    <w:rsid w:val="009E2DA9"/>
    <w:rsid w:val="009E7415"/>
    <w:rsid w:val="009F140F"/>
    <w:rsid w:val="009F2F84"/>
    <w:rsid w:val="009F3A9D"/>
    <w:rsid w:val="009F3BF0"/>
    <w:rsid w:val="009F595C"/>
    <w:rsid w:val="009F70C3"/>
    <w:rsid w:val="00A00172"/>
    <w:rsid w:val="00A0080A"/>
    <w:rsid w:val="00A04E7F"/>
    <w:rsid w:val="00A05580"/>
    <w:rsid w:val="00A1038B"/>
    <w:rsid w:val="00A13767"/>
    <w:rsid w:val="00A1390D"/>
    <w:rsid w:val="00A157D5"/>
    <w:rsid w:val="00A15D7A"/>
    <w:rsid w:val="00A20663"/>
    <w:rsid w:val="00A218D8"/>
    <w:rsid w:val="00A22B09"/>
    <w:rsid w:val="00A2523D"/>
    <w:rsid w:val="00A257D4"/>
    <w:rsid w:val="00A27CEE"/>
    <w:rsid w:val="00A31760"/>
    <w:rsid w:val="00A31935"/>
    <w:rsid w:val="00A32E66"/>
    <w:rsid w:val="00A3417C"/>
    <w:rsid w:val="00A4092D"/>
    <w:rsid w:val="00A427AD"/>
    <w:rsid w:val="00A437D1"/>
    <w:rsid w:val="00A43B3A"/>
    <w:rsid w:val="00A455CF"/>
    <w:rsid w:val="00A46C48"/>
    <w:rsid w:val="00A51CDE"/>
    <w:rsid w:val="00A52292"/>
    <w:rsid w:val="00A531A5"/>
    <w:rsid w:val="00A54DA3"/>
    <w:rsid w:val="00A5566F"/>
    <w:rsid w:val="00A61EB1"/>
    <w:rsid w:val="00A671FC"/>
    <w:rsid w:val="00A706CE"/>
    <w:rsid w:val="00A70FE4"/>
    <w:rsid w:val="00A71BA7"/>
    <w:rsid w:val="00A752C7"/>
    <w:rsid w:val="00A76B98"/>
    <w:rsid w:val="00A802AB"/>
    <w:rsid w:val="00A81B19"/>
    <w:rsid w:val="00A8481D"/>
    <w:rsid w:val="00A8702B"/>
    <w:rsid w:val="00A870AB"/>
    <w:rsid w:val="00A922CE"/>
    <w:rsid w:val="00A9231A"/>
    <w:rsid w:val="00A9363C"/>
    <w:rsid w:val="00A93F54"/>
    <w:rsid w:val="00A97F38"/>
    <w:rsid w:val="00AA1F1D"/>
    <w:rsid w:val="00AA3D16"/>
    <w:rsid w:val="00AA458A"/>
    <w:rsid w:val="00AA4D9B"/>
    <w:rsid w:val="00AA5038"/>
    <w:rsid w:val="00AA5441"/>
    <w:rsid w:val="00AA56A7"/>
    <w:rsid w:val="00AA607F"/>
    <w:rsid w:val="00AB01C8"/>
    <w:rsid w:val="00AB0F40"/>
    <w:rsid w:val="00AB63E2"/>
    <w:rsid w:val="00AC134E"/>
    <w:rsid w:val="00AC362E"/>
    <w:rsid w:val="00AC4E37"/>
    <w:rsid w:val="00AC5332"/>
    <w:rsid w:val="00AC656B"/>
    <w:rsid w:val="00AC6DFA"/>
    <w:rsid w:val="00AC6F0D"/>
    <w:rsid w:val="00AD02B1"/>
    <w:rsid w:val="00AD04EF"/>
    <w:rsid w:val="00AD1E6D"/>
    <w:rsid w:val="00AD7DEA"/>
    <w:rsid w:val="00AE08B9"/>
    <w:rsid w:val="00AE12BB"/>
    <w:rsid w:val="00AE27D4"/>
    <w:rsid w:val="00AE3A43"/>
    <w:rsid w:val="00AE70A5"/>
    <w:rsid w:val="00AF220B"/>
    <w:rsid w:val="00AF5C68"/>
    <w:rsid w:val="00AF7202"/>
    <w:rsid w:val="00AF79C0"/>
    <w:rsid w:val="00B016C1"/>
    <w:rsid w:val="00B01BB5"/>
    <w:rsid w:val="00B03B2D"/>
    <w:rsid w:val="00B04CFB"/>
    <w:rsid w:val="00B06335"/>
    <w:rsid w:val="00B069F0"/>
    <w:rsid w:val="00B1072A"/>
    <w:rsid w:val="00B10AA4"/>
    <w:rsid w:val="00B13CDF"/>
    <w:rsid w:val="00B150D0"/>
    <w:rsid w:val="00B155C4"/>
    <w:rsid w:val="00B1663D"/>
    <w:rsid w:val="00B167C2"/>
    <w:rsid w:val="00B2434A"/>
    <w:rsid w:val="00B24437"/>
    <w:rsid w:val="00B30AE9"/>
    <w:rsid w:val="00B31FD4"/>
    <w:rsid w:val="00B3210C"/>
    <w:rsid w:val="00B35567"/>
    <w:rsid w:val="00B362A3"/>
    <w:rsid w:val="00B372DC"/>
    <w:rsid w:val="00B418F9"/>
    <w:rsid w:val="00B4268D"/>
    <w:rsid w:val="00B43287"/>
    <w:rsid w:val="00B5460B"/>
    <w:rsid w:val="00B606BD"/>
    <w:rsid w:val="00B61434"/>
    <w:rsid w:val="00B62EDE"/>
    <w:rsid w:val="00B635D3"/>
    <w:rsid w:val="00B639AD"/>
    <w:rsid w:val="00B66160"/>
    <w:rsid w:val="00B72460"/>
    <w:rsid w:val="00B73A1C"/>
    <w:rsid w:val="00B74208"/>
    <w:rsid w:val="00B75D0F"/>
    <w:rsid w:val="00B826D6"/>
    <w:rsid w:val="00B827E0"/>
    <w:rsid w:val="00B84128"/>
    <w:rsid w:val="00B84562"/>
    <w:rsid w:val="00B92188"/>
    <w:rsid w:val="00B9260E"/>
    <w:rsid w:val="00B94FDA"/>
    <w:rsid w:val="00B951D3"/>
    <w:rsid w:val="00B95689"/>
    <w:rsid w:val="00B96A8D"/>
    <w:rsid w:val="00B96F6C"/>
    <w:rsid w:val="00B97625"/>
    <w:rsid w:val="00BA2435"/>
    <w:rsid w:val="00BA24BA"/>
    <w:rsid w:val="00BA31BB"/>
    <w:rsid w:val="00BB0AA0"/>
    <w:rsid w:val="00BB18A6"/>
    <w:rsid w:val="00BB63E4"/>
    <w:rsid w:val="00BB724A"/>
    <w:rsid w:val="00BC2E42"/>
    <w:rsid w:val="00BC2EA1"/>
    <w:rsid w:val="00BC3350"/>
    <w:rsid w:val="00BC380E"/>
    <w:rsid w:val="00BC4BCD"/>
    <w:rsid w:val="00BC7563"/>
    <w:rsid w:val="00BD08CC"/>
    <w:rsid w:val="00BD0BC9"/>
    <w:rsid w:val="00BD1F4D"/>
    <w:rsid w:val="00BD2688"/>
    <w:rsid w:val="00BD2CE8"/>
    <w:rsid w:val="00BD38CB"/>
    <w:rsid w:val="00BD3EB8"/>
    <w:rsid w:val="00BD721C"/>
    <w:rsid w:val="00BD7A3E"/>
    <w:rsid w:val="00BD7F6C"/>
    <w:rsid w:val="00BE057A"/>
    <w:rsid w:val="00BE2A15"/>
    <w:rsid w:val="00BE5175"/>
    <w:rsid w:val="00BE77EE"/>
    <w:rsid w:val="00BF00E2"/>
    <w:rsid w:val="00C009C3"/>
    <w:rsid w:val="00C01D52"/>
    <w:rsid w:val="00C06C7C"/>
    <w:rsid w:val="00C072D7"/>
    <w:rsid w:val="00C107D1"/>
    <w:rsid w:val="00C120AE"/>
    <w:rsid w:val="00C127AA"/>
    <w:rsid w:val="00C13EB2"/>
    <w:rsid w:val="00C14AB6"/>
    <w:rsid w:val="00C15A84"/>
    <w:rsid w:val="00C174A0"/>
    <w:rsid w:val="00C21646"/>
    <w:rsid w:val="00C21864"/>
    <w:rsid w:val="00C2283C"/>
    <w:rsid w:val="00C237A5"/>
    <w:rsid w:val="00C23EE2"/>
    <w:rsid w:val="00C2511C"/>
    <w:rsid w:val="00C256A8"/>
    <w:rsid w:val="00C274B1"/>
    <w:rsid w:val="00C27BAC"/>
    <w:rsid w:val="00C30782"/>
    <w:rsid w:val="00C329E3"/>
    <w:rsid w:val="00C35246"/>
    <w:rsid w:val="00C35A83"/>
    <w:rsid w:val="00C4286E"/>
    <w:rsid w:val="00C4370E"/>
    <w:rsid w:val="00C44AC2"/>
    <w:rsid w:val="00C47A20"/>
    <w:rsid w:val="00C51263"/>
    <w:rsid w:val="00C53908"/>
    <w:rsid w:val="00C542FF"/>
    <w:rsid w:val="00C55EE1"/>
    <w:rsid w:val="00C56525"/>
    <w:rsid w:val="00C630A3"/>
    <w:rsid w:val="00C64602"/>
    <w:rsid w:val="00C669C5"/>
    <w:rsid w:val="00C70298"/>
    <w:rsid w:val="00C71DEA"/>
    <w:rsid w:val="00C72937"/>
    <w:rsid w:val="00C7399B"/>
    <w:rsid w:val="00C73F48"/>
    <w:rsid w:val="00C75728"/>
    <w:rsid w:val="00C8044A"/>
    <w:rsid w:val="00C81F7C"/>
    <w:rsid w:val="00C82111"/>
    <w:rsid w:val="00C8259F"/>
    <w:rsid w:val="00C836DA"/>
    <w:rsid w:val="00C86DD1"/>
    <w:rsid w:val="00C9180E"/>
    <w:rsid w:val="00C93A5A"/>
    <w:rsid w:val="00C94250"/>
    <w:rsid w:val="00C94862"/>
    <w:rsid w:val="00C9644A"/>
    <w:rsid w:val="00CA279C"/>
    <w:rsid w:val="00CA4F1F"/>
    <w:rsid w:val="00CA6A29"/>
    <w:rsid w:val="00CB248F"/>
    <w:rsid w:val="00CB5099"/>
    <w:rsid w:val="00CC1281"/>
    <w:rsid w:val="00CC79AE"/>
    <w:rsid w:val="00CD0555"/>
    <w:rsid w:val="00CD2CD1"/>
    <w:rsid w:val="00CD306B"/>
    <w:rsid w:val="00CD47A4"/>
    <w:rsid w:val="00CE172E"/>
    <w:rsid w:val="00CE4024"/>
    <w:rsid w:val="00CE425F"/>
    <w:rsid w:val="00CE4996"/>
    <w:rsid w:val="00CF149F"/>
    <w:rsid w:val="00CF21DF"/>
    <w:rsid w:val="00CF2E2D"/>
    <w:rsid w:val="00CF5861"/>
    <w:rsid w:val="00CF6C2B"/>
    <w:rsid w:val="00CF7DF6"/>
    <w:rsid w:val="00D06578"/>
    <w:rsid w:val="00D069D0"/>
    <w:rsid w:val="00D06EC3"/>
    <w:rsid w:val="00D10096"/>
    <w:rsid w:val="00D107A6"/>
    <w:rsid w:val="00D10D6B"/>
    <w:rsid w:val="00D11977"/>
    <w:rsid w:val="00D120F6"/>
    <w:rsid w:val="00D1557E"/>
    <w:rsid w:val="00D20715"/>
    <w:rsid w:val="00D2480F"/>
    <w:rsid w:val="00D249F1"/>
    <w:rsid w:val="00D26144"/>
    <w:rsid w:val="00D26DB5"/>
    <w:rsid w:val="00D27EED"/>
    <w:rsid w:val="00D27EEE"/>
    <w:rsid w:val="00D30891"/>
    <w:rsid w:val="00D32E8E"/>
    <w:rsid w:val="00D33EF5"/>
    <w:rsid w:val="00D35E36"/>
    <w:rsid w:val="00D35EEB"/>
    <w:rsid w:val="00D36500"/>
    <w:rsid w:val="00D37C4B"/>
    <w:rsid w:val="00D403E5"/>
    <w:rsid w:val="00D44D2B"/>
    <w:rsid w:val="00D467F9"/>
    <w:rsid w:val="00D50DE2"/>
    <w:rsid w:val="00D515DA"/>
    <w:rsid w:val="00D54842"/>
    <w:rsid w:val="00D563CC"/>
    <w:rsid w:val="00D5664F"/>
    <w:rsid w:val="00D601A3"/>
    <w:rsid w:val="00D61585"/>
    <w:rsid w:val="00D623DF"/>
    <w:rsid w:val="00D6257F"/>
    <w:rsid w:val="00D6362B"/>
    <w:rsid w:val="00D645A0"/>
    <w:rsid w:val="00D6506A"/>
    <w:rsid w:val="00D67CF8"/>
    <w:rsid w:val="00D71A19"/>
    <w:rsid w:val="00D742F1"/>
    <w:rsid w:val="00D762F7"/>
    <w:rsid w:val="00D770AB"/>
    <w:rsid w:val="00D836EA"/>
    <w:rsid w:val="00D84374"/>
    <w:rsid w:val="00D90596"/>
    <w:rsid w:val="00D90773"/>
    <w:rsid w:val="00D9115F"/>
    <w:rsid w:val="00D91515"/>
    <w:rsid w:val="00D91AE1"/>
    <w:rsid w:val="00D92BCD"/>
    <w:rsid w:val="00D93D24"/>
    <w:rsid w:val="00D9624D"/>
    <w:rsid w:val="00D9676C"/>
    <w:rsid w:val="00DA03D5"/>
    <w:rsid w:val="00DA04B1"/>
    <w:rsid w:val="00DA19F4"/>
    <w:rsid w:val="00DA3F6D"/>
    <w:rsid w:val="00DA41C7"/>
    <w:rsid w:val="00DA69F5"/>
    <w:rsid w:val="00DA71FA"/>
    <w:rsid w:val="00DA7DF0"/>
    <w:rsid w:val="00DB1287"/>
    <w:rsid w:val="00DB443A"/>
    <w:rsid w:val="00DB49B3"/>
    <w:rsid w:val="00DB50FF"/>
    <w:rsid w:val="00DB60C4"/>
    <w:rsid w:val="00DB7EE4"/>
    <w:rsid w:val="00DC2EE2"/>
    <w:rsid w:val="00DC4EBE"/>
    <w:rsid w:val="00DC5C0C"/>
    <w:rsid w:val="00DD176B"/>
    <w:rsid w:val="00DD2E51"/>
    <w:rsid w:val="00DD30E8"/>
    <w:rsid w:val="00DD372B"/>
    <w:rsid w:val="00DD5379"/>
    <w:rsid w:val="00DD795A"/>
    <w:rsid w:val="00DE45DF"/>
    <w:rsid w:val="00DE5594"/>
    <w:rsid w:val="00DE7F32"/>
    <w:rsid w:val="00E029C6"/>
    <w:rsid w:val="00E04157"/>
    <w:rsid w:val="00E04768"/>
    <w:rsid w:val="00E05851"/>
    <w:rsid w:val="00E058E2"/>
    <w:rsid w:val="00E063C2"/>
    <w:rsid w:val="00E10849"/>
    <w:rsid w:val="00E11052"/>
    <w:rsid w:val="00E116B6"/>
    <w:rsid w:val="00E14037"/>
    <w:rsid w:val="00E1614E"/>
    <w:rsid w:val="00E179BE"/>
    <w:rsid w:val="00E17DBC"/>
    <w:rsid w:val="00E21F86"/>
    <w:rsid w:val="00E22366"/>
    <w:rsid w:val="00E22571"/>
    <w:rsid w:val="00E230FA"/>
    <w:rsid w:val="00E23C55"/>
    <w:rsid w:val="00E2514C"/>
    <w:rsid w:val="00E26AB3"/>
    <w:rsid w:val="00E30789"/>
    <w:rsid w:val="00E30882"/>
    <w:rsid w:val="00E31263"/>
    <w:rsid w:val="00E327EA"/>
    <w:rsid w:val="00E3396D"/>
    <w:rsid w:val="00E35038"/>
    <w:rsid w:val="00E3535F"/>
    <w:rsid w:val="00E36AE2"/>
    <w:rsid w:val="00E406E5"/>
    <w:rsid w:val="00E42D90"/>
    <w:rsid w:val="00E44F13"/>
    <w:rsid w:val="00E45E88"/>
    <w:rsid w:val="00E5000C"/>
    <w:rsid w:val="00E5053E"/>
    <w:rsid w:val="00E53343"/>
    <w:rsid w:val="00E53BD5"/>
    <w:rsid w:val="00E5525E"/>
    <w:rsid w:val="00E555D6"/>
    <w:rsid w:val="00E560F0"/>
    <w:rsid w:val="00E56E12"/>
    <w:rsid w:val="00E57230"/>
    <w:rsid w:val="00E576CC"/>
    <w:rsid w:val="00E57A82"/>
    <w:rsid w:val="00E57F61"/>
    <w:rsid w:val="00E61076"/>
    <w:rsid w:val="00E62283"/>
    <w:rsid w:val="00E633D8"/>
    <w:rsid w:val="00E657A1"/>
    <w:rsid w:val="00E7045F"/>
    <w:rsid w:val="00E7046C"/>
    <w:rsid w:val="00E71EBB"/>
    <w:rsid w:val="00E7424D"/>
    <w:rsid w:val="00E74F52"/>
    <w:rsid w:val="00E75719"/>
    <w:rsid w:val="00E7794C"/>
    <w:rsid w:val="00E80283"/>
    <w:rsid w:val="00E807AA"/>
    <w:rsid w:val="00E82753"/>
    <w:rsid w:val="00E82E8B"/>
    <w:rsid w:val="00E84761"/>
    <w:rsid w:val="00E84A44"/>
    <w:rsid w:val="00E87628"/>
    <w:rsid w:val="00E90A74"/>
    <w:rsid w:val="00E918D4"/>
    <w:rsid w:val="00E9337B"/>
    <w:rsid w:val="00E93D74"/>
    <w:rsid w:val="00E95037"/>
    <w:rsid w:val="00EA07FD"/>
    <w:rsid w:val="00EA2C3A"/>
    <w:rsid w:val="00EA3A20"/>
    <w:rsid w:val="00EA3D25"/>
    <w:rsid w:val="00EA3FD6"/>
    <w:rsid w:val="00EA41C7"/>
    <w:rsid w:val="00EA70D0"/>
    <w:rsid w:val="00EB07BC"/>
    <w:rsid w:val="00EB1538"/>
    <w:rsid w:val="00EB1770"/>
    <w:rsid w:val="00EB6AA0"/>
    <w:rsid w:val="00EC025D"/>
    <w:rsid w:val="00EC04D3"/>
    <w:rsid w:val="00EC5598"/>
    <w:rsid w:val="00ED1229"/>
    <w:rsid w:val="00ED13F9"/>
    <w:rsid w:val="00ED4E02"/>
    <w:rsid w:val="00ED5349"/>
    <w:rsid w:val="00ED78C8"/>
    <w:rsid w:val="00ED7DE1"/>
    <w:rsid w:val="00EE099B"/>
    <w:rsid w:val="00EE1F56"/>
    <w:rsid w:val="00EE2429"/>
    <w:rsid w:val="00EE5BAA"/>
    <w:rsid w:val="00EE6569"/>
    <w:rsid w:val="00EF1960"/>
    <w:rsid w:val="00EF2009"/>
    <w:rsid w:val="00EF2728"/>
    <w:rsid w:val="00EF4ABF"/>
    <w:rsid w:val="00EF5A04"/>
    <w:rsid w:val="00EF6473"/>
    <w:rsid w:val="00F01318"/>
    <w:rsid w:val="00F04274"/>
    <w:rsid w:val="00F0479E"/>
    <w:rsid w:val="00F05A69"/>
    <w:rsid w:val="00F0608A"/>
    <w:rsid w:val="00F069FE"/>
    <w:rsid w:val="00F06B98"/>
    <w:rsid w:val="00F10E58"/>
    <w:rsid w:val="00F141B3"/>
    <w:rsid w:val="00F14784"/>
    <w:rsid w:val="00F14CE9"/>
    <w:rsid w:val="00F165A3"/>
    <w:rsid w:val="00F166C3"/>
    <w:rsid w:val="00F1692E"/>
    <w:rsid w:val="00F22050"/>
    <w:rsid w:val="00F25682"/>
    <w:rsid w:val="00F25FAC"/>
    <w:rsid w:val="00F2687C"/>
    <w:rsid w:val="00F335D7"/>
    <w:rsid w:val="00F340E0"/>
    <w:rsid w:val="00F34808"/>
    <w:rsid w:val="00F41010"/>
    <w:rsid w:val="00F414A3"/>
    <w:rsid w:val="00F426D9"/>
    <w:rsid w:val="00F4306F"/>
    <w:rsid w:val="00F43D46"/>
    <w:rsid w:val="00F440F0"/>
    <w:rsid w:val="00F52B5A"/>
    <w:rsid w:val="00F53369"/>
    <w:rsid w:val="00F544BF"/>
    <w:rsid w:val="00F55EF3"/>
    <w:rsid w:val="00F56BD3"/>
    <w:rsid w:val="00F57810"/>
    <w:rsid w:val="00F71A81"/>
    <w:rsid w:val="00F71CDB"/>
    <w:rsid w:val="00F71D07"/>
    <w:rsid w:val="00F71F5C"/>
    <w:rsid w:val="00F74040"/>
    <w:rsid w:val="00F763D5"/>
    <w:rsid w:val="00F76403"/>
    <w:rsid w:val="00F77533"/>
    <w:rsid w:val="00F811A3"/>
    <w:rsid w:val="00F8183D"/>
    <w:rsid w:val="00F81BC8"/>
    <w:rsid w:val="00F8434E"/>
    <w:rsid w:val="00F8573C"/>
    <w:rsid w:val="00F86CFD"/>
    <w:rsid w:val="00F90254"/>
    <w:rsid w:val="00F929EC"/>
    <w:rsid w:val="00FA2A8A"/>
    <w:rsid w:val="00FA320B"/>
    <w:rsid w:val="00FA4C88"/>
    <w:rsid w:val="00FA58E8"/>
    <w:rsid w:val="00FA6379"/>
    <w:rsid w:val="00FB0457"/>
    <w:rsid w:val="00FB1CF4"/>
    <w:rsid w:val="00FB3121"/>
    <w:rsid w:val="00FB461F"/>
    <w:rsid w:val="00FC0C0B"/>
    <w:rsid w:val="00FC0CE5"/>
    <w:rsid w:val="00FC2F6D"/>
    <w:rsid w:val="00FC31E8"/>
    <w:rsid w:val="00FC3FD5"/>
    <w:rsid w:val="00FC4767"/>
    <w:rsid w:val="00FC4E12"/>
    <w:rsid w:val="00FD2B34"/>
    <w:rsid w:val="00FD5EB6"/>
    <w:rsid w:val="00FD6B22"/>
    <w:rsid w:val="00FD6D60"/>
    <w:rsid w:val="00FE039D"/>
    <w:rsid w:val="00FE2110"/>
    <w:rsid w:val="00FE4EAF"/>
    <w:rsid w:val="00FE5F89"/>
    <w:rsid w:val="00FF0394"/>
    <w:rsid w:val="00FF31CF"/>
    <w:rsid w:val="00FF3620"/>
    <w:rsid w:val="00FF466C"/>
    <w:rsid w:val="00FF6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colormenu v:ext="edit" fillcolor="none [3212]"/>
    </o:shapedefaults>
    <o:shapelayout v:ext="edit">
      <o:idmap v:ext="edit" data="1"/>
    </o:shapelayout>
  </w:shapeDefaults>
  <w:decimalSymbol w:val="."/>
  <w:listSeparator w:val=","/>
  <w14:docId w14:val="0CD5B2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22471"/>
    <w:pPr>
      <w:spacing w:after="0" w:line="240" w:lineRule="auto"/>
    </w:pPr>
    <w:rPr>
      <w:sz w:val="20"/>
      <w:szCs w:val="20"/>
    </w:rPr>
  </w:style>
  <w:style w:type="character" w:customStyle="1" w:styleId="FootnoteTextChar">
    <w:name w:val="Footnote Text Char"/>
    <w:basedOn w:val="DefaultParagraphFont"/>
    <w:link w:val="FootnoteText"/>
    <w:uiPriority w:val="99"/>
    <w:rsid w:val="00122471"/>
    <w:rPr>
      <w:sz w:val="20"/>
      <w:szCs w:val="20"/>
    </w:rPr>
  </w:style>
  <w:style w:type="character" w:styleId="FootnoteReference">
    <w:name w:val="footnote reference"/>
    <w:basedOn w:val="DefaultParagraphFont"/>
    <w:uiPriority w:val="99"/>
    <w:semiHidden/>
    <w:unhideWhenUsed/>
    <w:rsid w:val="00122471"/>
    <w:rPr>
      <w:vertAlign w:val="superscript"/>
    </w:rPr>
  </w:style>
  <w:style w:type="paragraph" w:styleId="ListParagraph">
    <w:name w:val="List Paragraph"/>
    <w:basedOn w:val="Normal"/>
    <w:uiPriority w:val="34"/>
    <w:qFormat/>
    <w:rsid w:val="00172318"/>
    <w:pPr>
      <w:ind w:left="720"/>
      <w:contextualSpacing/>
    </w:pPr>
  </w:style>
  <w:style w:type="paragraph" w:styleId="List2">
    <w:name w:val="List 2"/>
    <w:basedOn w:val="Normal"/>
    <w:uiPriority w:val="99"/>
    <w:unhideWhenUsed/>
    <w:rsid w:val="00172318"/>
    <w:pPr>
      <w:spacing w:after="0" w:line="240" w:lineRule="auto"/>
      <w:ind w:left="720" w:hanging="360"/>
      <w:contextualSpacing/>
    </w:pPr>
    <w:rPr>
      <w:rFonts w:ascii="Times New Roman" w:eastAsia="Cambria" w:hAnsi="Times New Roman" w:cs="Times New Roman"/>
      <w:sz w:val="24"/>
      <w:szCs w:val="24"/>
    </w:rPr>
  </w:style>
  <w:style w:type="paragraph" w:styleId="PlainText">
    <w:name w:val="Plain Text"/>
    <w:basedOn w:val="Normal"/>
    <w:link w:val="PlainTextChar"/>
    <w:rsid w:val="0017231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172318"/>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5429D0"/>
    <w:rPr>
      <w:sz w:val="16"/>
      <w:szCs w:val="16"/>
    </w:rPr>
  </w:style>
  <w:style w:type="paragraph" w:styleId="CommentText">
    <w:name w:val="annotation text"/>
    <w:basedOn w:val="Normal"/>
    <w:link w:val="CommentTextChar"/>
    <w:uiPriority w:val="99"/>
    <w:unhideWhenUsed/>
    <w:rsid w:val="005429D0"/>
    <w:pPr>
      <w:spacing w:line="240" w:lineRule="auto"/>
    </w:pPr>
    <w:rPr>
      <w:sz w:val="20"/>
      <w:szCs w:val="20"/>
    </w:rPr>
  </w:style>
  <w:style w:type="character" w:customStyle="1" w:styleId="CommentTextChar">
    <w:name w:val="Comment Text Char"/>
    <w:basedOn w:val="DefaultParagraphFont"/>
    <w:link w:val="CommentText"/>
    <w:uiPriority w:val="99"/>
    <w:rsid w:val="005429D0"/>
    <w:rPr>
      <w:sz w:val="20"/>
      <w:szCs w:val="20"/>
    </w:rPr>
  </w:style>
  <w:style w:type="paragraph" w:styleId="CommentSubject">
    <w:name w:val="annotation subject"/>
    <w:basedOn w:val="CommentText"/>
    <w:next w:val="CommentText"/>
    <w:link w:val="CommentSubjectChar"/>
    <w:uiPriority w:val="99"/>
    <w:semiHidden/>
    <w:unhideWhenUsed/>
    <w:rsid w:val="005429D0"/>
    <w:rPr>
      <w:b/>
      <w:bCs/>
    </w:rPr>
  </w:style>
  <w:style w:type="character" w:customStyle="1" w:styleId="CommentSubjectChar">
    <w:name w:val="Comment Subject Char"/>
    <w:basedOn w:val="CommentTextChar"/>
    <w:link w:val="CommentSubject"/>
    <w:uiPriority w:val="99"/>
    <w:semiHidden/>
    <w:rsid w:val="005429D0"/>
    <w:rPr>
      <w:b/>
      <w:bCs/>
      <w:sz w:val="20"/>
      <w:szCs w:val="20"/>
    </w:rPr>
  </w:style>
  <w:style w:type="paragraph" w:styleId="BalloonText">
    <w:name w:val="Balloon Text"/>
    <w:basedOn w:val="Normal"/>
    <w:link w:val="BalloonTextChar"/>
    <w:uiPriority w:val="99"/>
    <w:semiHidden/>
    <w:unhideWhenUsed/>
    <w:rsid w:val="005429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9D0"/>
    <w:rPr>
      <w:rFonts w:ascii="Segoe UI" w:hAnsi="Segoe UI" w:cs="Segoe UI"/>
      <w:sz w:val="18"/>
      <w:szCs w:val="18"/>
    </w:rPr>
  </w:style>
  <w:style w:type="character" w:styleId="Hyperlink">
    <w:name w:val="Hyperlink"/>
    <w:basedOn w:val="DefaultParagraphFont"/>
    <w:uiPriority w:val="99"/>
    <w:unhideWhenUsed/>
    <w:rsid w:val="00D71A19"/>
    <w:rPr>
      <w:color w:val="0563C1" w:themeColor="hyperlink"/>
      <w:u w:val="single"/>
    </w:rPr>
  </w:style>
  <w:style w:type="character" w:styleId="UnresolvedMention">
    <w:name w:val="Unresolved Mention"/>
    <w:basedOn w:val="DefaultParagraphFont"/>
    <w:uiPriority w:val="99"/>
    <w:semiHidden/>
    <w:unhideWhenUsed/>
    <w:rsid w:val="00D71A19"/>
    <w:rPr>
      <w:color w:val="808080"/>
      <w:shd w:val="clear" w:color="auto" w:fill="E6E6E6"/>
    </w:rPr>
  </w:style>
  <w:style w:type="paragraph" w:styleId="NormalWeb">
    <w:name w:val="Normal (Web)"/>
    <w:basedOn w:val="Normal"/>
    <w:uiPriority w:val="99"/>
    <w:unhideWhenUsed/>
    <w:rsid w:val="009D3ED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0BA9"/>
    <w:rPr>
      <w:i/>
      <w:iCs/>
    </w:rPr>
  </w:style>
  <w:style w:type="character" w:styleId="PlaceholderText">
    <w:name w:val="Placeholder Text"/>
    <w:basedOn w:val="DefaultParagraphFont"/>
    <w:uiPriority w:val="99"/>
    <w:semiHidden/>
    <w:rsid w:val="00C630A3"/>
    <w:rPr>
      <w:color w:val="808080"/>
    </w:rPr>
  </w:style>
  <w:style w:type="paragraph" w:styleId="Header">
    <w:name w:val="header"/>
    <w:basedOn w:val="Normal"/>
    <w:link w:val="HeaderChar"/>
    <w:uiPriority w:val="99"/>
    <w:unhideWhenUsed/>
    <w:rsid w:val="00DE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594"/>
  </w:style>
  <w:style w:type="paragraph" w:styleId="Footer">
    <w:name w:val="footer"/>
    <w:basedOn w:val="Normal"/>
    <w:link w:val="FooterChar"/>
    <w:uiPriority w:val="99"/>
    <w:unhideWhenUsed/>
    <w:rsid w:val="00DE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594"/>
  </w:style>
  <w:style w:type="paragraph" w:styleId="NoSpacing">
    <w:name w:val="No Spacing"/>
    <w:uiPriority w:val="1"/>
    <w:qFormat/>
    <w:rsid w:val="00E058E2"/>
    <w:pPr>
      <w:spacing w:after="0" w:line="240" w:lineRule="auto"/>
    </w:pPr>
  </w:style>
  <w:style w:type="character" w:styleId="FollowedHyperlink">
    <w:name w:val="FollowedHyperlink"/>
    <w:basedOn w:val="DefaultParagraphFont"/>
    <w:uiPriority w:val="99"/>
    <w:semiHidden/>
    <w:unhideWhenUsed/>
    <w:rsid w:val="006C30C6"/>
    <w:rPr>
      <w:color w:val="954F72" w:themeColor="followedHyperlink"/>
      <w:u w:val="single"/>
    </w:rPr>
  </w:style>
  <w:style w:type="paragraph" w:styleId="Bibliography">
    <w:name w:val="Bibliography"/>
    <w:basedOn w:val="Normal"/>
    <w:next w:val="Normal"/>
    <w:uiPriority w:val="37"/>
    <w:unhideWhenUsed/>
    <w:rsid w:val="00C86DD1"/>
    <w:pPr>
      <w:spacing w:after="0" w:line="480" w:lineRule="auto"/>
      <w:ind w:left="720" w:hanging="720"/>
    </w:pPr>
  </w:style>
  <w:style w:type="character" w:customStyle="1" w:styleId="st">
    <w:name w:val="st"/>
    <w:basedOn w:val="DefaultParagraphFont"/>
    <w:rsid w:val="0046518A"/>
  </w:style>
  <w:style w:type="character" w:customStyle="1" w:styleId="UnresolvedMention1">
    <w:name w:val="Unresolved Mention1"/>
    <w:basedOn w:val="DefaultParagraphFont"/>
    <w:uiPriority w:val="99"/>
    <w:semiHidden/>
    <w:unhideWhenUsed/>
    <w:rsid w:val="0046518A"/>
    <w:rPr>
      <w:color w:val="808080"/>
      <w:shd w:val="clear" w:color="auto" w:fill="E6E6E6"/>
    </w:rPr>
  </w:style>
  <w:style w:type="character" w:styleId="EndnoteReference">
    <w:name w:val="endnote reference"/>
    <w:basedOn w:val="DefaultParagraphFont"/>
    <w:uiPriority w:val="99"/>
    <w:semiHidden/>
    <w:unhideWhenUsed/>
    <w:rsid w:val="0046518A"/>
    <w:rPr>
      <w:vertAlign w:val="superscript"/>
    </w:rPr>
  </w:style>
  <w:style w:type="paragraph" w:styleId="Revision">
    <w:name w:val="Revision"/>
    <w:hidden/>
    <w:uiPriority w:val="99"/>
    <w:semiHidden/>
    <w:rsid w:val="0046518A"/>
    <w:pPr>
      <w:spacing w:after="0" w:line="240" w:lineRule="auto"/>
    </w:pPr>
  </w:style>
  <w:style w:type="character" w:customStyle="1" w:styleId="slug-doi">
    <w:name w:val="slug-doi"/>
    <w:basedOn w:val="DefaultParagraphFont"/>
    <w:rsid w:val="00683113"/>
  </w:style>
  <w:style w:type="character" w:customStyle="1" w:styleId="doi">
    <w:name w:val="doi"/>
    <w:basedOn w:val="DefaultParagraphFont"/>
    <w:rsid w:val="00683113"/>
  </w:style>
  <w:style w:type="character" w:customStyle="1" w:styleId="Heading1Char">
    <w:name w:val="Heading 1 Char"/>
    <w:basedOn w:val="DefaultParagraphFont"/>
    <w:link w:val="Heading1"/>
    <w:uiPriority w:val="9"/>
    <w:rsid w:val="00873F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3F13"/>
    <w:pPr>
      <w:outlineLvl w:val="9"/>
    </w:pPr>
  </w:style>
  <w:style w:type="paragraph" w:styleId="TOC2">
    <w:name w:val="toc 2"/>
    <w:basedOn w:val="Normal"/>
    <w:next w:val="Normal"/>
    <w:autoRedefine/>
    <w:uiPriority w:val="39"/>
    <w:unhideWhenUsed/>
    <w:rsid w:val="00873F13"/>
    <w:pPr>
      <w:spacing w:after="100"/>
      <w:ind w:left="220"/>
    </w:pPr>
    <w:rPr>
      <w:rFonts w:eastAsiaTheme="minorEastAsia" w:cs="Times New Roman"/>
    </w:rPr>
  </w:style>
  <w:style w:type="paragraph" w:styleId="TOC1">
    <w:name w:val="toc 1"/>
    <w:basedOn w:val="Normal"/>
    <w:next w:val="Normal"/>
    <w:autoRedefine/>
    <w:uiPriority w:val="39"/>
    <w:unhideWhenUsed/>
    <w:rsid w:val="00873F13"/>
    <w:pPr>
      <w:spacing w:after="100"/>
    </w:pPr>
    <w:rPr>
      <w:rFonts w:eastAsiaTheme="minorEastAsia" w:cs="Times New Roman"/>
    </w:rPr>
  </w:style>
  <w:style w:type="paragraph" w:styleId="TOC3">
    <w:name w:val="toc 3"/>
    <w:basedOn w:val="Normal"/>
    <w:next w:val="Normal"/>
    <w:autoRedefine/>
    <w:uiPriority w:val="39"/>
    <w:unhideWhenUsed/>
    <w:rsid w:val="00873F13"/>
    <w:pPr>
      <w:spacing w:after="100"/>
      <w:ind w:left="440"/>
    </w:pPr>
    <w:rPr>
      <w:rFonts w:eastAsiaTheme="minorEastAsia" w:cs="Times New Roman"/>
    </w:rPr>
  </w:style>
  <w:style w:type="table" w:styleId="TableGrid">
    <w:name w:val="Table Grid"/>
    <w:basedOn w:val="TableNormal"/>
    <w:uiPriority w:val="39"/>
    <w:rsid w:val="00B36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A2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39618">
      <w:bodyDiv w:val="1"/>
      <w:marLeft w:val="0"/>
      <w:marRight w:val="0"/>
      <w:marTop w:val="0"/>
      <w:marBottom w:val="0"/>
      <w:divBdr>
        <w:top w:val="none" w:sz="0" w:space="0" w:color="auto"/>
        <w:left w:val="none" w:sz="0" w:space="0" w:color="auto"/>
        <w:bottom w:val="none" w:sz="0" w:space="0" w:color="auto"/>
        <w:right w:val="none" w:sz="0" w:space="0" w:color="auto"/>
      </w:divBdr>
    </w:div>
    <w:div w:id="120543068">
      <w:bodyDiv w:val="1"/>
      <w:marLeft w:val="0"/>
      <w:marRight w:val="0"/>
      <w:marTop w:val="0"/>
      <w:marBottom w:val="0"/>
      <w:divBdr>
        <w:top w:val="none" w:sz="0" w:space="0" w:color="auto"/>
        <w:left w:val="none" w:sz="0" w:space="0" w:color="auto"/>
        <w:bottom w:val="none" w:sz="0" w:space="0" w:color="auto"/>
        <w:right w:val="none" w:sz="0" w:space="0" w:color="auto"/>
      </w:divBdr>
    </w:div>
    <w:div w:id="135683065">
      <w:bodyDiv w:val="1"/>
      <w:marLeft w:val="0"/>
      <w:marRight w:val="0"/>
      <w:marTop w:val="0"/>
      <w:marBottom w:val="0"/>
      <w:divBdr>
        <w:top w:val="none" w:sz="0" w:space="0" w:color="auto"/>
        <w:left w:val="none" w:sz="0" w:space="0" w:color="auto"/>
        <w:bottom w:val="none" w:sz="0" w:space="0" w:color="auto"/>
        <w:right w:val="none" w:sz="0" w:space="0" w:color="auto"/>
      </w:divBdr>
    </w:div>
    <w:div w:id="227885610">
      <w:bodyDiv w:val="1"/>
      <w:marLeft w:val="0"/>
      <w:marRight w:val="0"/>
      <w:marTop w:val="0"/>
      <w:marBottom w:val="0"/>
      <w:divBdr>
        <w:top w:val="none" w:sz="0" w:space="0" w:color="auto"/>
        <w:left w:val="none" w:sz="0" w:space="0" w:color="auto"/>
        <w:bottom w:val="none" w:sz="0" w:space="0" w:color="auto"/>
        <w:right w:val="none" w:sz="0" w:space="0" w:color="auto"/>
      </w:divBdr>
    </w:div>
    <w:div w:id="292714049">
      <w:bodyDiv w:val="1"/>
      <w:marLeft w:val="0"/>
      <w:marRight w:val="0"/>
      <w:marTop w:val="0"/>
      <w:marBottom w:val="0"/>
      <w:divBdr>
        <w:top w:val="none" w:sz="0" w:space="0" w:color="auto"/>
        <w:left w:val="none" w:sz="0" w:space="0" w:color="auto"/>
        <w:bottom w:val="none" w:sz="0" w:space="0" w:color="auto"/>
        <w:right w:val="none" w:sz="0" w:space="0" w:color="auto"/>
      </w:divBdr>
    </w:div>
    <w:div w:id="331105739">
      <w:bodyDiv w:val="1"/>
      <w:marLeft w:val="0"/>
      <w:marRight w:val="0"/>
      <w:marTop w:val="0"/>
      <w:marBottom w:val="0"/>
      <w:divBdr>
        <w:top w:val="none" w:sz="0" w:space="0" w:color="auto"/>
        <w:left w:val="none" w:sz="0" w:space="0" w:color="auto"/>
        <w:bottom w:val="none" w:sz="0" w:space="0" w:color="auto"/>
        <w:right w:val="none" w:sz="0" w:space="0" w:color="auto"/>
      </w:divBdr>
    </w:div>
    <w:div w:id="333848885">
      <w:bodyDiv w:val="1"/>
      <w:marLeft w:val="0"/>
      <w:marRight w:val="0"/>
      <w:marTop w:val="0"/>
      <w:marBottom w:val="0"/>
      <w:divBdr>
        <w:top w:val="none" w:sz="0" w:space="0" w:color="auto"/>
        <w:left w:val="none" w:sz="0" w:space="0" w:color="auto"/>
        <w:bottom w:val="none" w:sz="0" w:space="0" w:color="auto"/>
        <w:right w:val="none" w:sz="0" w:space="0" w:color="auto"/>
      </w:divBdr>
    </w:div>
    <w:div w:id="647437428">
      <w:bodyDiv w:val="1"/>
      <w:marLeft w:val="0"/>
      <w:marRight w:val="0"/>
      <w:marTop w:val="0"/>
      <w:marBottom w:val="0"/>
      <w:divBdr>
        <w:top w:val="none" w:sz="0" w:space="0" w:color="auto"/>
        <w:left w:val="none" w:sz="0" w:space="0" w:color="auto"/>
        <w:bottom w:val="none" w:sz="0" w:space="0" w:color="auto"/>
        <w:right w:val="none" w:sz="0" w:space="0" w:color="auto"/>
      </w:divBdr>
    </w:div>
    <w:div w:id="700324646">
      <w:bodyDiv w:val="1"/>
      <w:marLeft w:val="0"/>
      <w:marRight w:val="0"/>
      <w:marTop w:val="0"/>
      <w:marBottom w:val="0"/>
      <w:divBdr>
        <w:top w:val="none" w:sz="0" w:space="0" w:color="auto"/>
        <w:left w:val="none" w:sz="0" w:space="0" w:color="auto"/>
        <w:bottom w:val="none" w:sz="0" w:space="0" w:color="auto"/>
        <w:right w:val="none" w:sz="0" w:space="0" w:color="auto"/>
      </w:divBdr>
    </w:div>
    <w:div w:id="721178147">
      <w:bodyDiv w:val="1"/>
      <w:marLeft w:val="0"/>
      <w:marRight w:val="0"/>
      <w:marTop w:val="0"/>
      <w:marBottom w:val="0"/>
      <w:divBdr>
        <w:top w:val="none" w:sz="0" w:space="0" w:color="auto"/>
        <w:left w:val="none" w:sz="0" w:space="0" w:color="auto"/>
        <w:bottom w:val="none" w:sz="0" w:space="0" w:color="auto"/>
        <w:right w:val="none" w:sz="0" w:space="0" w:color="auto"/>
      </w:divBdr>
    </w:div>
    <w:div w:id="749621617">
      <w:bodyDiv w:val="1"/>
      <w:marLeft w:val="0"/>
      <w:marRight w:val="0"/>
      <w:marTop w:val="0"/>
      <w:marBottom w:val="0"/>
      <w:divBdr>
        <w:top w:val="none" w:sz="0" w:space="0" w:color="auto"/>
        <w:left w:val="none" w:sz="0" w:space="0" w:color="auto"/>
        <w:bottom w:val="none" w:sz="0" w:space="0" w:color="auto"/>
        <w:right w:val="none" w:sz="0" w:space="0" w:color="auto"/>
      </w:divBdr>
    </w:div>
    <w:div w:id="886725889">
      <w:bodyDiv w:val="1"/>
      <w:marLeft w:val="0"/>
      <w:marRight w:val="0"/>
      <w:marTop w:val="0"/>
      <w:marBottom w:val="0"/>
      <w:divBdr>
        <w:top w:val="none" w:sz="0" w:space="0" w:color="auto"/>
        <w:left w:val="none" w:sz="0" w:space="0" w:color="auto"/>
        <w:bottom w:val="none" w:sz="0" w:space="0" w:color="auto"/>
        <w:right w:val="none" w:sz="0" w:space="0" w:color="auto"/>
      </w:divBdr>
    </w:div>
    <w:div w:id="895436489">
      <w:bodyDiv w:val="1"/>
      <w:marLeft w:val="0"/>
      <w:marRight w:val="0"/>
      <w:marTop w:val="0"/>
      <w:marBottom w:val="0"/>
      <w:divBdr>
        <w:top w:val="none" w:sz="0" w:space="0" w:color="auto"/>
        <w:left w:val="none" w:sz="0" w:space="0" w:color="auto"/>
        <w:bottom w:val="none" w:sz="0" w:space="0" w:color="auto"/>
        <w:right w:val="none" w:sz="0" w:space="0" w:color="auto"/>
      </w:divBdr>
    </w:div>
    <w:div w:id="1012494034">
      <w:bodyDiv w:val="1"/>
      <w:marLeft w:val="0"/>
      <w:marRight w:val="0"/>
      <w:marTop w:val="0"/>
      <w:marBottom w:val="0"/>
      <w:divBdr>
        <w:top w:val="none" w:sz="0" w:space="0" w:color="auto"/>
        <w:left w:val="none" w:sz="0" w:space="0" w:color="auto"/>
        <w:bottom w:val="none" w:sz="0" w:space="0" w:color="auto"/>
        <w:right w:val="none" w:sz="0" w:space="0" w:color="auto"/>
      </w:divBdr>
    </w:div>
    <w:div w:id="1030303647">
      <w:bodyDiv w:val="1"/>
      <w:marLeft w:val="0"/>
      <w:marRight w:val="0"/>
      <w:marTop w:val="0"/>
      <w:marBottom w:val="0"/>
      <w:divBdr>
        <w:top w:val="none" w:sz="0" w:space="0" w:color="auto"/>
        <w:left w:val="none" w:sz="0" w:space="0" w:color="auto"/>
        <w:bottom w:val="none" w:sz="0" w:space="0" w:color="auto"/>
        <w:right w:val="none" w:sz="0" w:space="0" w:color="auto"/>
      </w:divBdr>
    </w:div>
    <w:div w:id="1145899171">
      <w:bodyDiv w:val="1"/>
      <w:marLeft w:val="0"/>
      <w:marRight w:val="0"/>
      <w:marTop w:val="0"/>
      <w:marBottom w:val="0"/>
      <w:divBdr>
        <w:top w:val="none" w:sz="0" w:space="0" w:color="auto"/>
        <w:left w:val="none" w:sz="0" w:space="0" w:color="auto"/>
        <w:bottom w:val="none" w:sz="0" w:space="0" w:color="auto"/>
        <w:right w:val="none" w:sz="0" w:space="0" w:color="auto"/>
      </w:divBdr>
    </w:div>
    <w:div w:id="1189486651">
      <w:bodyDiv w:val="1"/>
      <w:marLeft w:val="0"/>
      <w:marRight w:val="0"/>
      <w:marTop w:val="0"/>
      <w:marBottom w:val="0"/>
      <w:divBdr>
        <w:top w:val="none" w:sz="0" w:space="0" w:color="auto"/>
        <w:left w:val="none" w:sz="0" w:space="0" w:color="auto"/>
        <w:bottom w:val="none" w:sz="0" w:space="0" w:color="auto"/>
        <w:right w:val="none" w:sz="0" w:space="0" w:color="auto"/>
      </w:divBdr>
    </w:div>
    <w:div w:id="1316257479">
      <w:bodyDiv w:val="1"/>
      <w:marLeft w:val="0"/>
      <w:marRight w:val="0"/>
      <w:marTop w:val="0"/>
      <w:marBottom w:val="0"/>
      <w:divBdr>
        <w:top w:val="none" w:sz="0" w:space="0" w:color="auto"/>
        <w:left w:val="none" w:sz="0" w:space="0" w:color="auto"/>
        <w:bottom w:val="none" w:sz="0" w:space="0" w:color="auto"/>
        <w:right w:val="none" w:sz="0" w:space="0" w:color="auto"/>
      </w:divBdr>
    </w:div>
    <w:div w:id="1459372464">
      <w:bodyDiv w:val="1"/>
      <w:marLeft w:val="0"/>
      <w:marRight w:val="0"/>
      <w:marTop w:val="0"/>
      <w:marBottom w:val="0"/>
      <w:divBdr>
        <w:top w:val="none" w:sz="0" w:space="0" w:color="auto"/>
        <w:left w:val="none" w:sz="0" w:space="0" w:color="auto"/>
        <w:bottom w:val="none" w:sz="0" w:space="0" w:color="auto"/>
        <w:right w:val="none" w:sz="0" w:space="0" w:color="auto"/>
      </w:divBdr>
    </w:div>
    <w:div w:id="1649434410">
      <w:bodyDiv w:val="1"/>
      <w:marLeft w:val="0"/>
      <w:marRight w:val="0"/>
      <w:marTop w:val="0"/>
      <w:marBottom w:val="0"/>
      <w:divBdr>
        <w:top w:val="none" w:sz="0" w:space="0" w:color="auto"/>
        <w:left w:val="none" w:sz="0" w:space="0" w:color="auto"/>
        <w:bottom w:val="none" w:sz="0" w:space="0" w:color="auto"/>
        <w:right w:val="none" w:sz="0" w:space="0" w:color="auto"/>
      </w:divBdr>
    </w:div>
    <w:div w:id="1651401479">
      <w:bodyDiv w:val="1"/>
      <w:marLeft w:val="0"/>
      <w:marRight w:val="0"/>
      <w:marTop w:val="0"/>
      <w:marBottom w:val="0"/>
      <w:divBdr>
        <w:top w:val="none" w:sz="0" w:space="0" w:color="auto"/>
        <w:left w:val="none" w:sz="0" w:space="0" w:color="auto"/>
        <w:bottom w:val="none" w:sz="0" w:space="0" w:color="auto"/>
        <w:right w:val="none" w:sz="0" w:space="0" w:color="auto"/>
      </w:divBdr>
    </w:div>
    <w:div w:id="1705054087">
      <w:bodyDiv w:val="1"/>
      <w:marLeft w:val="0"/>
      <w:marRight w:val="0"/>
      <w:marTop w:val="0"/>
      <w:marBottom w:val="0"/>
      <w:divBdr>
        <w:top w:val="none" w:sz="0" w:space="0" w:color="auto"/>
        <w:left w:val="none" w:sz="0" w:space="0" w:color="auto"/>
        <w:bottom w:val="none" w:sz="0" w:space="0" w:color="auto"/>
        <w:right w:val="none" w:sz="0" w:space="0" w:color="auto"/>
      </w:divBdr>
    </w:div>
    <w:div w:id="1726757164">
      <w:bodyDiv w:val="1"/>
      <w:marLeft w:val="0"/>
      <w:marRight w:val="0"/>
      <w:marTop w:val="0"/>
      <w:marBottom w:val="0"/>
      <w:divBdr>
        <w:top w:val="none" w:sz="0" w:space="0" w:color="auto"/>
        <w:left w:val="none" w:sz="0" w:space="0" w:color="auto"/>
        <w:bottom w:val="none" w:sz="0" w:space="0" w:color="auto"/>
        <w:right w:val="none" w:sz="0" w:space="0" w:color="auto"/>
      </w:divBdr>
    </w:div>
    <w:div w:id="1728992455">
      <w:bodyDiv w:val="1"/>
      <w:marLeft w:val="0"/>
      <w:marRight w:val="0"/>
      <w:marTop w:val="0"/>
      <w:marBottom w:val="0"/>
      <w:divBdr>
        <w:top w:val="none" w:sz="0" w:space="0" w:color="auto"/>
        <w:left w:val="none" w:sz="0" w:space="0" w:color="auto"/>
        <w:bottom w:val="none" w:sz="0" w:space="0" w:color="auto"/>
        <w:right w:val="none" w:sz="0" w:space="0" w:color="auto"/>
      </w:divBdr>
    </w:div>
    <w:div w:id="1758940105">
      <w:bodyDiv w:val="1"/>
      <w:marLeft w:val="0"/>
      <w:marRight w:val="0"/>
      <w:marTop w:val="0"/>
      <w:marBottom w:val="0"/>
      <w:divBdr>
        <w:top w:val="none" w:sz="0" w:space="0" w:color="auto"/>
        <w:left w:val="none" w:sz="0" w:space="0" w:color="auto"/>
        <w:bottom w:val="none" w:sz="0" w:space="0" w:color="auto"/>
        <w:right w:val="none" w:sz="0" w:space="0" w:color="auto"/>
      </w:divBdr>
    </w:div>
    <w:div w:id="1847594031">
      <w:bodyDiv w:val="1"/>
      <w:marLeft w:val="0"/>
      <w:marRight w:val="0"/>
      <w:marTop w:val="0"/>
      <w:marBottom w:val="0"/>
      <w:divBdr>
        <w:top w:val="none" w:sz="0" w:space="0" w:color="auto"/>
        <w:left w:val="none" w:sz="0" w:space="0" w:color="auto"/>
        <w:bottom w:val="none" w:sz="0" w:space="0" w:color="auto"/>
        <w:right w:val="none" w:sz="0" w:space="0" w:color="auto"/>
      </w:divBdr>
      <w:divsChild>
        <w:div w:id="1120151595">
          <w:marLeft w:val="1166"/>
          <w:marRight w:val="0"/>
          <w:marTop w:val="240"/>
          <w:marBottom w:val="0"/>
          <w:divBdr>
            <w:top w:val="none" w:sz="0" w:space="0" w:color="auto"/>
            <w:left w:val="none" w:sz="0" w:space="0" w:color="auto"/>
            <w:bottom w:val="none" w:sz="0" w:space="0" w:color="auto"/>
            <w:right w:val="none" w:sz="0" w:space="0" w:color="auto"/>
          </w:divBdr>
        </w:div>
        <w:div w:id="1713113148">
          <w:marLeft w:val="806"/>
          <w:marRight w:val="0"/>
          <w:marTop w:val="360"/>
          <w:marBottom w:val="240"/>
          <w:divBdr>
            <w:top w:val="none" w:sz="0" w:space="0" w:color="auto"/>
            <w:left w:val="none" w:sz="0" w:space="0" w:color="auto"/>
            <w:bottom w:val="none" w:sz="0" w:space="0" w:color="auto"/>
            <w:right w:val="none" w:sz="0" w:space="0" w:color="auto"/>
          </w:divBdr>
        </w:div>
        <w:div w:id="620960079">
          <w:marLeft w:val="1166"/>
          <w:marRight w:val="0"/>
          <w:marTop w:val="240"/>
          <w:marBottom w:val="0"/>
          <w:divBdr>
            <w:top w:val="none" w:sz="0" w:space="0" w:color="auto"/>
            <w:left w:val="none" w:sz="0" w:space="0" w:color="auto"/>
            <w:bottom w:val="none" w:sz="0" w:space="0" w:color="auto"/>
            <w:right w:val="none" w:sz="0" w:space="0" w:color="auto"/>
          </w:divBdr>
        </w:div>
        <w:div w:id="325518849">
          <w:marLeft w:val="547"/>
          <w:marRight w:val="0"/>
          <w:marTop w:val="360"/>
          <w:marBottom w:val="240"/>
          <w:divBdr>
            <w:top w:val="none" w:sz="0" w:space="0" w:color="auto"/>
            <w:left w:val="none" w:sz="0" w:space="0" w:color="auto"/>
            <w:bottom w:val="none" w:sz="0" w:space="0" w:color="auto"/>
            <w:right w:val="none" w:sz="0" w:space="0" w:color="auto"/>
          </w:divBdr>
        </w:div>
      </w:divsChild>
    </w:div>
    <w:div w:id="2004160013">
      <w:bodyDiv w:val="1"/>
      <w:marLeft w:val="0"/>
      <w:marRight w:val="0"/>
      <w:marTop w:val="0"/>
      <w:marBottom w:val="0"/>
      <w:divBdr>
        <w:top w:val="none" w:sz="0" w:space="0" w:color="auto"/>
        <w:left w:val="none" w:sz="0" w:space="0" w:color="auto"/>
        <w:bottom w:val="none" w:sz="0" w:space="0" w:color="auto"/>
        <w:right w:val="none" w:sz="0" w:space="0" w:color="auto"/>
      </w:divBdr>
    </w:div>
    <w:div w:id="2007631607">
      <w:bodyDiv w:val="1"/>
      <w:marLeft w:val="0"/>
      <w:marRight w:val="0"/>
      <w:marTop w:val="0"/>
      <w:marBottom w:val="0"/>
      <w:divBdr>
        <w:top w:val="none" w:sz="0" w:space="0" w:color="auto"/>
        <w:left w:val="none" w:sz="0" w:space="0" w:color="auto"/>
        <w:bottom w:val="none" w:sz="0" w:space="0" w:color="auto"/>
        <w:right w:val="none" w:sz="0" w:space="0" w:color="auto"/>
      </w:divBdr>
    </w:div>
    <w:div w:id="2059545667">
      <w:bodyDiv w:val="1"/>
      <w:marLeft w:val="0"/>
      <w:marRight w:val="0"/>
      <w:marTop w:val="0"/>
      <w:marBottom w:val="0"/>
      <w:divBdr>
        <w:top w:val="none" w:sz="0" w:space="0" w:color="auto"/>
        <w:left w:val="none" w:sz="0" w:space="0" w:color="auto"/>
        <w:bottom w:val="none" w:sz="0" w:space="0" w:color="auto"/>
        <w:right w:val="none" w:sz="0" w:space="0" w:color="auto"/>
      </w:divBdr>
    </w:div>
    <w:div w:id="2073891810">
      <w:bodyDiv w:val="1"/>
      <w:marLeft w:val="0"/>
      <w:marRight w:val="0"/>
      <w:marTop w:val="0"/>
      <w:marBottom w:val="0"/>
      <w:divBdr>
        <w:top w:val="none" w:sz="0" w:space="0" w:color="auto"/>
        <w:left w:val="none" w:sz="0" w:space="0" w:color="auto"/>
        <w:bottom w:val="none" w:sz="0" w:space="0" w:color="auto"/>
        <w:right w:val="none" w:sz="0" w:space="0" w:color="auto"/>
      </w:divBdr>
    </w:div>
    <w:div w:id="212607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4.xml"/><Relationship Id="rId21" Type="http://schemas.openxmlformats.org/officeDocument/2006/relationships/diagramData" Target="diagrams/data3.xml"/><Relationship Id="rId42" Type="http://schemas.openxmlformats.org/officeDocument/2006/relationships/image" Target="media/image4.emf"/><Relationship Id="rId47" Type="http://schemas.microsoft.com/office/2007/relationships/diagramDrawing" Target="diagrams/drawing7.xml"/><Relationship Id="rId63" Type="http://schemas.openxmlformats.org/officeDocument/2006/relationships/image" Target="media/image14.emf"/><Relationship Id="rId68" Type="http://schemas.openxmlformats.org/officeDocument/2006/relationships/image" Target="media/image19.emf"/><Relationship Id="rId84" Type="http://schemas.openxmlformats.org/officeDocument/2006/relationships/image" Target="media/image35.png"/><Relationship Id="rId89" Type="http://schemas.openxmlformats.org/officeDocument/2006/relationships/image" Target="media/image40.png"/><Relationship Id="rId16" Type="http://schemas.openxmlformats.org/officeDocument/2006/relationships/diagramData" Target="diagrams/data2.xml"/><Relationship Id="rId11" Type="http://schemas.openxmlformats.org/officeDocument/2006/relationships/diagramData" Target="diagrams/data1.xml"/><Relationship Id="rId32" Type="http://schemas.openxmlformats.org/officeDocument/2006/relationships/diagramLayout" Target="diagrams/layout5.xml"/><Relationship Id="rId37" Type="http://schemas.openxmlformats.org/officeDocument/2006/relationships/diagramLayout" Target="diagrams/layout6.xml"/><Relationship Id="rId53" Type="http://schemas.openxmlformats.org/officeDocument/2006/relationships/diagramColors" Target="diagrams/colors8.xml"/><Relationship Id="rId58" Type="http://schemas.openxmlformats.org/officeDocument/2006/relationships/image" Target="media/image9.emf"/><Relationship Id="rId74" Type="http://schemas.openxmlformats.org/officeDocument/2006/relationships/image" Target="media/image25.emf"/><Relationship Id="rId79" Type="http://schemas.openxmlformats.org/officeDocument/2006/relationships/image" Target="media/image30.png"/><Relationship Id="rId102" Type="http://schemas.openxmlformats.org/officeDocument/2006/relationships/diagramQuickStyle" Target="diagrams/quickStyle9.xml"/><Relationship Id="rId5" Type="http://schemas.openxmlformats.org/officeDocument/2006/relationships/webSettings" Target="webSettings.xml"/><Relationship Id="rId90" Type="http://schemas.openxmlformats.org/officeDocument/2006/relationships/image" Target="media/image41.png"/><Relationship Id="rId95" Type="http://schemas.openxmlformats.org/officeDocument/2006/relationships/header" Target="header7.xml"/><Relationship Id="rId22" Type="http://schemas.openxmlformats.org/officeDocument/2006/relationships/diagramLayout" Target="diagrams/layout3.xml"/><Relationship Id="rId27" Type="http://schemas.openxmlformats.org/officeDocument/2006/relationships/diagramLayout" Target="diagrams/layout4.xml"/><Relationship Id="rId43" Type="http://schemas.openxmlformats.org/officeDocument/2006/relationships/diagramData" Target="diagrams/data7.xml"/><Relationship Id="rId48" Type="http://schemas.openxmlformats.org/officeDocument/2006/relationships/image" Target="media/image5.png"/><Relationship Id="rId64" Type="http://schemas.openxmlformats.org/officeDocument/2006/relationships/image" Target="media/image15.emf"/><Relationship Id="rId69" Type="http://schemas.openxmlformats.org/officeDocument/2006/relationships/image" Target="media/image20.emf"/><Relationship Id="rId80" Type="http://schemas.openxmlformats.org/officeDocument/2006/relationships/image" Target="media/image31.png"/><Relationship Id="rId85" Type="http://schemas.openxmlformats.org/officeDocument/2006/relationships/image" Target="media/image36.png"/><Relationship Id="rId12" Type="http://schemas.openxmlformats.org/officeDocument/2006/relationships/diagramLayout" Target="diagrams/layout1.xml"/><Relationship Id="rId17" Type="http://schemas.openxmlformats.org/officeDocument/2006/relationships/diagramLayout" Target="diagrams/layout2.xml"/><Relationship Id="rId33" Type="http://schemas.openxmlformats.org/officeDocument/2006/relationships/diagramQuickStyle" Target="diagrams/quickStyle5.xml"/><Relationship Id="rId38" Type="http://schemas.openxmlformats.org/officeDocument/2006/relationships/diagramQuickStyle" Target="diagrams/quickStyle6.xml"/><Relationship Id="rId59" Type="http://schemas.openxmlformats.org/officeDocument/2006/relationships/image" Target="media/image10.emf"/><Relationship Id="rId103" Type="http://schemas.openxmlformats.org/officeDocument/2006/relationships/diagramColors" Target="diagrams/colors9.xml"/><Relationship Id="rId20" Type="http://schemas.microsoft.com/office/2007/relationships/diagramDrawing" Target="diagrams/drawing2.xml"/><Relationship Id="rId41" Type="http://schemas.openxmlformats.org/officeDocument/2006/relationships/image" Target="media/image3.png"/><Relationship Id="rId54" Type="http://schemas.microsoft.com/office/2007/relationships/diagramDrawing" Target="diagrams/drawing8.xml"/><Relationship Id="rId62" Type="http://schemas.openxmlformats.org/officeDocument/2006/relationships/image" Target="media/image13.emf"/><Relationship Id="rId70" Type="http://schemas.openxmlformats.org/officeDocument/2006/relationships/image" Target="media/image21.emf"/><Relationship Id="rId75" Type="http://schemas.openxmlformats.org/officeDocument/2006/relationships/image" Target="media/image26.emf"/><Relationship Id="rId83" Type="http://schemas.openxmlformats.org/officeDocument/2006/relationships/image" Target="media/image34.emf"/><Relationship Id="rId88" Type="http://schemas.openxmlformats.org/officeDocument/2006/relationships/image" Target="media/image39.png"/><Relationship Id="rId91" Type="http://schemas.openxmlformats.org/officeDocument/2006/relationships/image" Target="media/image42.png"/><Relationship Id="rId96"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diagramData" Target="diagrams/data6.xml"/><Relationship Id="rId49" Type="http://schemas.openxmlformats.org/officeDocument/2006/relationships/image" Target="media/image6.png"/><Relationship Id="rId57" Type="http://schemas.openxmlformats.org/officeDocument/2006/relationships/image" Target="media/image8.emf"/><Relationship Id="rId106"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diagramData" Target="diagrams/data5.xml"/><Relationship Id="rId44" Type="http://schemas.openxmlformats.org/officeDocument/2006/relationships/diagramLayout" Target="diagrams/layout7.xml"/><Relationship Id="rId52" Type="http://schemas.openxmlformats.org/officeDocument/2006/relationships/diagramQuickStyle" Target="diagrams/quickStyle8.xml"/><Relationship Id="rId60" Type="http://schemas.openxmlformats.org/officeDocument/2006/relationships/image" Target="media/image11.emf"/><Relationship Id="rId65" Type="http://schemas.openxmlformats.org/officeDocument/2006/relationships/image" Target="media/image16.emf"/><Relationship Id="rId73" Type="http://schemas.openxmlformats.org/officeDocument/2006/relationships/image" Target="media/image24.emf"/><Relationship Id="rId78" Type="http://schemas.openxmlformats.org/officeDocument/2006/relationships/image" Target="media/image29.emf"/><Relationship Id="rId81" Type="http://schemas.openxmlformats.org/officeDocument/2006/relationships/image" Target="media/image32.png"/><Relationship Id="rId86" Type="http://schemas.openxmlformats.org/officeDocument/2006/relationships/image" Target="media/image37.png"/><Relationship Id="rId94" Type="http://schemas.openxmlformats.org/officeDocument/2006/relationships/header" Target="header6.xml"/><Relationship Id="rId99" Type="http://schemas.openxmlformats.org/officeDocument/2006/relationships/image" Target="media/image47.png"/><Relationship Id="rId101" Type="http://schemas.openxmlformats.org/officeDocument/2006/relationships/diagramLayout" Target="diagrams/layout9.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diagramColors" Target="diagrams/colors6.xml"/><Relationship Id="rId34" Type="http://schemas.openxmlformats.org/officeDocument/2006/relationships/diagramColors" Target="diagrams/colors5.xml"/><Relationship Id="rId50" Type="http://schemas.openxmlformats.org/officeDocument/2006/relationships/diagramData" Target="diagrams/data8.xml"/><Relationship Id="rId55" Type="http://schemas.openxmlformats.org/officeDocument/2006/relationships/header" Target="header4.xml"/><Relationship Id="rId76" Type="http://schemas.openxmlformats.org/officeDocument/2006/relationships/image" Target="media/image27.emf"/><Relationship Id="rId97" Type="http://schemas.openxmlformats.org/officeDocument/2006/relationships/image" Target="media/image45.png"/><Relationship Id="rId104" Type="http://schemas.microsoft.com/office/2007/relationships/diagramDrawing" Target="diagrams/drawing9.xml"/><Relationship Id="rId7" Type="http://schemas.openxmlformats.org/officeDocument/2006/relationships/endnotes" Target="endnotes.xml"/><Relationship Id="rId71" Type="http://schemas.openxmlformats.org/officeDocument/2006/relationships/image" Target="media/image22.png"/><Relationship Id="rId92" Type="http://schemas.openxmlformats.org/officeDocument/2006/relationships/image" Target="media/image43.png"/><Relationship Id="rId2" Type="http://schemas.openxmlformats.org/officeDocument/2006/relationships/numbering" Target="numbering.xml"/><Relationship Id="rId29" Type="http://schemas.openxmlformats.org/officeDocument/2006/relationships/diagramColors" Target="diagrams/colors4.xml"/><Relationship Id="rId24" Type="http://schemas.openxmlformats.org/officeDocument/2006/relationships/diagramColors" Target="diagrams/colors3.xml"/><Relationship Id="rId40" Type="http://schemas.microsoft.com/office/2007/relationships/diagramDrawing" Target="diagrams/drawing6.xml"/><Relationship Id="rId45" Type="http://schemas.openxmlformats.org/officeDocument/2006/relationships/diagramQuickStyle" Target="diagrams/quickStyle7.xml"/><Relationship Id="rId66" Type="http://schemas.openxmlformats.org/officeDocument/2006/relationships/image" Target="media/image17.emf"/><Relationship Id="rId87" Type="http://schemas.openxmlformats.org/officeDocument/2006/relationships/image" Target="media/image38.png"/><Relationship Id="rId61" Type="http://schemas.openxmlformats.org/officeDocument/2006/relationships/image" Target="media/image12.emf"/><Relationship Id="rId82" Type="http://schemas.openxmlformats.org/officeDocument/2006/relationships/image" Target="media/image33.png"/><Relationship Id="rId19" Type="http://schemas.openxmlformats.org/officeDocument/2006/relationships/diagramColors" Target="diagrams/colors2.xml"/><Relationship Id="rId14" Type="http://schemas.openxmlformats.org/officeDocument/2006/relationships/diagramColors" Target="diagrams/colors1.xml"/><Relationship Id="rId30" Type="http://schemas.microsoft.com/office/2007/relationships/diagramDrawing" Target="diagrams/drawing4.xml"/><Relationship Id="rId35" Type="http://schemas.microsoft.com/office/2007/relationships/diagramDrawing" Target="diagrams/drawing5.xml"/><Relationship Id="rId56" Type="http://schemas.openxmlformats.org/officeDocument/2006/relationships/image" Target="media/image7.emf"/><Relationship Id="rId77" Type="http://schemas.openxmlformats.org/officeDocument/2006/relationships/image" Target="media/image28.emf"/><Relationship Id="rId100" Type="http://schemas.openxmlformats.org/officeDocument/2006/relationships/diagramData" Target="diagrams/data9.xml"/><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diagramLayout" Target="diagrams/layout8.xml"/><Relationship Id="rId72" Type="http://schemas.openxmlformats.org/officeDocument/2006/relationships/image" Target="media/image23.emf"/><Relationship Id="rId93" Type="http://schemas.openxmlformats.org/officeDocument/2006/relationships/header" Target="header5.xml"/><Relationship Id="rId98" Type="http://schemas.openxmlformats.org/officeDocument/2006/relationships/image" Target="media/image46.png"/><Relationship Id="rId3" Type="http://schemas.openxmlformats.org/officeDocument/2006/relationships/styles" Target="styles.xml"/><Relationship Id="rId25" Type="http://schemas.microsoft.com/office/2007/relationships/diagramDrawing" Target="diagrams/drawing3.xml"/><Relationship Id="rId46" Type="http://schemas.openxmlformats.org/officeDocument/2006/relationships/diagramColors" Target="diagrams/colors7.xml"/><Relationship Id="rId67" Type="http://schemas.openxmlformats.org/officeDocument/2006/relationships/image" Target="media/image18.emf"/></Relationships>
</file>

<file path=word/diagrams/_rels/data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_rels/data4.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BA4B24C3-1064-427D-9821-CA551FAA804C}">
      <dgm:prSet phldrT="[Text]"/>
      <dgm:spPr/>
      <dgm:t>
        <a:bodyPr/>
        <a:lstStyle/>
        <a:p>
          <a:r>
            <a:rPr lang="en-US">
              <a:latin typeface="Palatino Linotype" panose="02040502050505030304" pitchFamily="18" charset="0"/>
            </a:rPr>
            <a:t>Politics</a:t>
          </a:r>
        </a:p>
      </dgm:t>
    </dgm:pt>
    <dgm:pt modelId="{A22C9BE0-4A16-4F9F-8016-B06FB70181A3}" type="parTrans" cxnId="{B6CCBF4B-C92C-4209-AF2D-0AB90724F0F2}">
      <dgm:prSet/>
      <dgm:spPr/>
      <dgm:t>
        <a:bodyPr/>
        <a:lstStyle/>
        <a:p>
          <a:endParaRPr lang="en-US">
            <a:latin typeface="Palatino Linotype" panose="02040502050505030304" pitchFamily="18" charset="0"/>
          </a:endParaRPr>
        </a:p>
      </dgm:t>
    </dgm:pt>
    <dgm:pt modelId="{3A091D31-4A10-4966-8E3F-1D989DC88B59}" type="sibTrans" cxnId="{B6CCBF4B-C92C-4209-AF2D-0AB90724F0F2}">
      <dgm:prSet/>
      <dgm:spPr/>
      <dgm:t>
        <a:bodyPr/>
        <a:lstStyle/>
        <a:p>
          <a:endParaRPr lang="en-US">
            <a:latin typeface="Palatino Linotype" panose="02040502050505030304" pitchFamily="18" charset="0"/>
          </a:endParaRPr>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5B5C571A-E95A-4B4B-9E2C-A1581F0F9D75}">
      <dgm:prSet phldrT="[Text]"/>
      <dgm:spPr/>
      <dgm:t>
        <a:bodyPr/>
        <a:lstStyle/>
        <a:p>
          <a:r>
            <a:rPr lang="en-US">
              <a:latin typeface="Palatino Linotype" panose="02040502050505030304" pitchFamily="18" charset="0"/>
            </a:rPr>
            <a:t>Implementation</a:t>
          </a:r>
        </a:p>
      </dgm:t>
    </dgm:pt>
    <dgm:pt modelId="{92101118-F08F-4153-B22F-4364C51F2A88}" type="parTrans" cxnId="{6D4035D8-5D63-4CFB-890F-A37FBC995C97}">
      <dgm:prSet/>
      <dgm:spPr/>
      <dgm:t>
        <a:bodyPr/>
        <a:lstStyle/>
        <a:p>
          <a:endParaRPr lang="en-US">
            <a:latin typeface="Palatino Linotype" panose="02040502050505030304" pitchFamily="18" charset="0"/>
          </a:endParaRPr>
        </a:p>
      </dgm:t>
    </dgm:pt>
    <dgm:pt modelId="{6BE21506-9EFF-41E3-A776-386F440ABBE7}" type="sibTrans" cxnId="{6D4035D8-5D63-4CFB-890F-A37FBC995C97}">
      <dgm:prSet/>
      <dgm:spPr/>
      <dgm:t>
        <a:bodyPr/>
        <a:lstStyle/>
        <a:p>
          <a:endParaRPr lang="en-US">
            <a:latin typeface="Palatino Linotype" panose="02040502050505030304" pitchFamily="18" charset="0"/>
          </a:endParaRPr>
        </a:p>
      </dgm:t>
    </dgm:pt>
    <dgm:pt modelId="{7E4EC7CB-65C5-4E2F-86A6-7CE79A7E598E}">
      <dgm:prSet custT="1"/>
      <dgm:spPr/>
      <dgm:t>
        <a:bodyPr/>
        <a:lstStyle/>
        <a:p>
          <a:r>
            <a:rPr lang="en-US" sz="900">
              <a:latin typeface="Palatino Linotype" panose="02040502050505030304" pitchFamily="18" charset="0"/>
            </a:rPr>
            <a:t>Policy Tools</a:t>
          </a:r>
        </a:p>
      </dgm:t>
    </dgm:pt>
    <dgm:pt modelId="{BC1350D0-F9CF-416F-801D-E73A8462690D}" type="parTrans" cxnId="{E70F4E2B-8BD8-40F5-AB84-FE69A59AAE6C}">
      <dgm:prSet/>
      <dgm:spPr/>
      <dgm:t>
        <a:bodyPr/>
        <a:lstStyle/>
        <a:p>
          <a:endParaRPr lang="en-US">
            <a:latin typeface="Palatino Linotype" panose="02040502050505030304" pitchFamily="18" charset="0"/>
          </a:endParaRPr>
        </a:p>
      </dgm:t>
    </dgm:pt>
    <dgm:pt modelId="{C959F7AD-80EB-41F5-AC04-1D9DA494B16F}" type="sibTrans" cxnId="{E70F4E2B-8BD8-40F5-AB84-FE69A59AAE6C}">
      <dgm:prSet/>
      <dgm:spPr/>
      <dgm:t>
        <a:bodyPr/>
        <a:lstStyle/>
        <a:p>
          <a:endParaRPr lang="en-US">
            <a:latin typeface="Palatino Linotype" panose="02040502050505030304" pitchFamily="18" charset="0"/>
          </a:endParaRPr>
        </a:p>
      </dgm:t>
    </dgm:pt>
    <dgm:pt modelId="{2A883902-FE9D-4349-94FA-0D03FF7A3648}">
      <dgm:prSet custT="1"/>
      <dgm:spPr/>
      <dgm:t>
        <a:bodyPr/>
        <a:lstStyle/>
        <a:p>
          <a:r>
            <a:rPr lang="en-US" sz="900">
              <a:latin typeface="Palatino Linotype" panose="02040502050505030304" pitchFamily="18" charset="0"/>
            </a:rPr>
            <a:t>Allocations of Benefits</a:t>
          </a:r>
        </a:p>
      </dgm:t>
    </dgm:pt>
    <dgm:pt modelId="{4D934622-BCD0-4A55-8EC9-998132295B1E}" type="parTrans" cxnId="{CE007B42-D454-46B6-9EE6-980DF678C65A}">
      <dgm:prSet/>
      <dgm:spPr/>
      <dgm:t>
        <a:bodyPr/>
        <a:lstStyle/>
        <a:p>
          <a:endParaRPr lang="en-US">
            <a:latin typeface="Palatino Linotype" panose="02040502050505030304" pitchFamily="18" charset="0"/>
          </a:endParaRPr>
        </a:p>
      </dgm:t>
    </dgm:pt>
    <dgm:pt modelId="{7F53BD23-5D8C-44B0-889E-8F4BD9556ECE}" type="sibTrans" cxnId="{CE007B42-D454-46B6-9EE6-980DF678C65A}">
      <dgm:prSet/>
      <dgm:spPr/>
      <dgm:t>
        <a:bodyPr/>
        <a:lstStyle/>
        <a:p>
          <a:endParaRPr lang="en-US">
            <a:latin typeface="Palatino Linotype" panose="02040502050505030304" pitchFamily="18" charset="0"/>
          </a:endParaRPr>
        </a:p>
      </dgm:t>
    </dgm:pt>
    <dgm:pt modelId="{86A5FC92-5A95-4A4A-A17B-05CDD5216009}">
      <dgm:prSet custT="1"/>
      <dgm:spPr/>
      <dgm:t>
        <a:bodyPr/>
        <a:lstStyle/>
        <a:p>
          <a:r>
            <a:rPr lang="en-US" sz="900">
              <a:latin typeface="Palatino Linotype" panose="02040502050505030304" pitchFamily="18" charset="0"/>
            </a:rPr>
            <a:t>Allocations of Burdens</a:t>
          </a:r>
        </a:p>
      </dgm:t>
    </dgm:pt>
    <dgm:pt modelId="{386469AE-C963-4EF9-ACED-AAAC23E9433A}" type="parTrans" cxnId="{05DE36FD-F61E-4DE5-AE2D-D052066BB7B9}">
      <dgm:prSet/>
      <dgm:spPr/>
      <dgm:t>
        <a:bodyPr/>
        <a:lstStyle/>
        <a:p>
          <a:endParaRPr lang="en-US">
            <a:latin typeface="Palatino Linotype" panose="02040502050505030304" pitchFamily="18" charset="0"/>
          </a:endParaRPr>
        </a:p>
      </dgm:t>
    </dgm:pt>
    <dgm:pt modelId="{BCF6CE22-49EC-4E28-BC95-465BE84A385B}" type="sibTrans" cxnId="{05DE36FD-F61E-4DE5-AE2D-D052066BB7B9}">
      <dgm:prSet/>
      <dgm:spPr/>
      <dgm:t>
        <a:bodyPr/>
        <a:lstStyle/>
        <a:p>
          <a:endParaRPr lang="en-US">
            <a:latin typeface="Palatino Linotype" panose="02040502050505030304" pitchFamily="18" charset="0"/>
          </a:endParaRPr>
        </a:p>
      </dgm:t>
    </dgm:pt>
    <dgm:pt modelId="{30DBD67A-65D4-481F-BC24-25961C456B7A}">
      <dgm:prSet custT="1"/>
      <dgm:spPr/>
      <dgm:t>
        <a:bodyPr/>
        <a:lstStyle/>
        <a:p>
          <a:r>
            <a:rPr lang="en-US" sz="900">
              <a:latin typeface="Palatino Linotype" panose="02040502050505030304" pitchFamily="18" charset="0"/>
            </a:rPr>
            <a:t>Eligibility Requirements</a:t>
          </a:r>
        </a:p>
      </dgm:t>
    </dgm:pt>
    <dgm:pt modelId="{6F3F3CA8-A10F-4DA0-9D44-06F79693DC9E}" type="sibTrans" cxnId="{8D443C47-6AFB-41C1-9751-817F85CFA668}">
      <dgm:prSet/>
      <dgm:spPr/>
      <dgm:t>
        <a:bodyPr/>
        <a:lstStyle/>
        <a:p>
          <a:endParaRPr lang="en-US">
            <a:latin typeface="Palatino Linotype" panose="02040502050505030304" pitchFamily="18" charset="0"/>
          </a:endParaRPr>
        </a:p>
      </dgm:t>
    </dgm:pt>
    <dgm:pt modelId="{95F0A796-F250-49D5-8598-9B30D35E95A1}" type="parTrans" cxnId="{8D443C47-6AFB-41C1-9751-817F85CFA668}">
      <dgm:prSet/>
      <dgm:spPr/>
      <dgm:t>
        <a:bodyPr/>
        <a:lstStyle/>
        <a:p>
          <a:endParaRPr lang="en-US">
            <a:latin typeface="Palatino Linotype" panose="02040502050505030304" pitchFamily="18" charset="0"/>
          </a:endParaRPr>
        </a:p>
      </dgm:t>
    </dgm:pt>
    <dgm:pt modelId="{B303D517-0101-4F2A-A41F-AA78F00A166B}">
      <dgm:prSet custT="1"/>
      <dgm:spPr/>
      <dgm:t>
        <a:bodyPr/>
        <a:lstStyle/>
        <a:p>
          <a:r>
            <a:rPr lang="en-US" sz="900">
              <a:latin typeface="Palatino Linotype" panose="02040502050505030304" pitchFamily="18" charset="0"/>
            </a:rPr>
            <a:t>Strategic use of discretion within constraints set by policy design, management and organizational factors</a:t>
          </a:r>
        </a:p>
      </dgm:t>
    </dgm:pt>
    <dgm:pt modelId="{6BA26ADB-4907-4188-9304-E008949C040C}" type="parTrans" cxnId="{137220A2-ACF1-4F48-9682-FCCF588911CD}">
      <dgm:prSet/>
      <dgm:spPr/>
      <dgm:t>
        <a:bodyPr/>
        <a:lstStyle/>
        <a:p>
          <a:endParaRPr lang="en-US">
            <a:latin typeface="Palatino Linotype" panose="02040502050505030304" pitchFamily="18" charset="0"/>
          </a:endParaRPr>
        </a:p>
      </dgm:t>
    </dgm:pt>
    <dgm:pt modelId="{8A01560D-7574-4274-81A9-F46BF2FF62F1}" type="sibTrans" cxnId="{137220A2-ACF1-4F48-9682-FCCF588911CD}">
      <dgm:prSet/>
      <dgm:spPr/>
      <dgm:t>
        <a:bodyPr/>
        <a:lstStyle/>
        <a:p>
          <a:endParaRPr lang="en-US">
            <a:latin typeface="Palatino Linotype" panose="02040502050505030304" pitchFamily="18" charset="0"/>
          </a:endParaRPr>
        </a:p>
      </dgm:t>
    </dgm:pt>
    <dgm:pt modelId="{8ACADC06-D3CE-42A6-89F4-0EC066B66B37}">
      <dgm:prSet custT="1"/>
      <dgm:spPr/>
      <dgm:t>
        <a:bodyPr/>
        <a:lstStyle/>
        <a:p>
          <a:r>
            <a:rPr lang="en-US" sz="900">
              <a:latin typeface="Palatino Linotype" panose="02040502050505030304" pitchFamily="18" charset="0"/>
            </a:rPr>
            <a:t>Funding Structure</a:t>
          </a:r>
        </a:p>
      </dgm:t>
    </dgm:pt>
    <dgm:pt modelId="{7331A786-CD33-44A0-99F5-8809A191B71C}" type="parTrans" cxnId="{C1FF0FEA-7EE9-4793-A468-CCB48929BA30}">
      <dgm:prSet/>
      <dgm:spPr/>
      <dgm:t>
        <a:bodyPr/>
        <a:lstStyle/>
        <a:p>
          <a:endParaRPr lang="en-US">
            <a:latin typeface="Palatino Linotype" panose="02040502050505030304" pitchFamily="18" charset="0"/>
          </a:endParaRPr>
        </a:p>
      </dgm:t>
    </dgm:pt>
    <dgm:pt modelId="{67F9E5D1-7772-4D7E-B755-C84866B4076D}" type="sibTrans" cxnId="{C1FF0FEA-7EE9-4793-A468-CCB48929BA30}">
      <dgm:prSet/>
      <dgm:spPr/>
      <dgm:t>
        <a:bodyPr/>
        <a:lstStyle/>
        <a:p>
          <a:endParaRPr lang="en-US">
            <a:latin typeface="Palatino Linotype" panose="02040502050505030304" pitchFamily="18" charset="0"/>
          </a:endParaRPr>
        </a:p>
      </dgm:t>
    </dgm:pt>
    <dgm:pt modelId="{D622C22B-66D3-4C3D-9CD9-E415746F0FBA}">
      <dgm:prSet custT="1"/>
      <dgm:spPr/>
      <dgm:t>
        <a:bodyPr/>
        <a:lstStyle/>
        <a:p>
          <a:r>
            <a:rPr lang="en-US" sz="900">
              <a:latin typeface="Palatino Linotype" panose="02040502050505030304" pitchFamily="18" charset="0"/>
            </a:rPr>
            <a:t>Political bargaining to build winning coalitions &amp; funding mechanisms</a:t>
          </a:r>
        </a:p>
      </dgm:t>
    </dgm:pt>
    <dgm:pt modelId="{AA118AAE-0A55-4E99-A04D-A7A7D0414B25}" type="sibTrans" cxnId="{67B25A43-78A8-48DF-A3B3-D7CF18126CB9}">
      <dgm:prSet/>
      <dgm:spPr/>
      <dgm:t>
        <a:bodyPr/>
        <a:lstStyle/>
        <a:p>
          <a:endParaRPr lang="en-US">
            <a:latin typeface="Palatino Linotype" panose="02040502050505030304" pitchFamily="18" charset="0"/>
          </a:endParaRPr>
        </a:p>
      </dgm:t>
    </dgm:pt>
    <dgm:pt modelId="{F43C9E45-67D2-4AA5-BCDB-CE6FDF48016B}" type="parTrans" cxnId="{67B25A43-78A8-48DF-A3B3-D7CF18126CB9}">
      <dgm:prSet/>
      <dgm:spPr/>
      <dgm:t>
        <a:bodyPr/>
        <a:lstStyle/>
        <a:p>
          <a:endParaRPr lang="en-US">
            <a:latin typeface="Palatino Linotype" panose="02040502050505030304" pitchFamily="18" charset="0"/>
          </a:endParaRPr>
        </a:p>
      </dgm:t>
    </dgm:pt>
    <dgm:pt modelId="{70F6C5AC-8011-4AE7-B712-FD5133A37762}">
      <dgm:prSet phldrT="[Text]"/>
      <dgm:spPr/>
      <dgm:t>
        <a:bodyPr/>
        <a:lstStyle/>
        <a:p>
          <a:r>
            <a:rPr lang="en-US">
              <a:latin typeface="Palatino Linotype" panose="02040502050505030304" pitchFamily="18" charset="0"/>
            </a:rPr>
            <a:t>Outcomes</a:t>
          </a:r>
        </a:p>
      </dgm:t>
    </dgm:pt>
    <dgm:pt modelId="{573FF062-1B83-42AF-A221-D7A4A00C3048}" type="parTrans" cxnId="{701F7DC3-4E8C-4062-82A5-C0E29785F536}">
      <dgm:prSet/>
      <dgm:spPr/>
      <dgm:t>
        <a:bodyPr/>
        <a:lstStyle/>
        <a:p>
          <a:endParaRPr lang="en-US">
            <a:latin typeface="Palatino Linotype" panose="02040502050505030304" pitchFamily="18" charset="0"/>
          </a:endParaRPr>
        </a:p>
      </dgm:t>
    </dgm:pt>
    <dgm:pt modelId="{094864DC-CA71-4BBE-B4D9-75CCB530916B}" type="sibTrans" cxnId="{701F7DC3-4E8C-4062-82A5-C0E29785F536}">
      <dgm:prSet/>
      <dgm:spPr/>
      <dgm:t>
        <a:bodyPr/>
        <a:lstStyle/>
        <a:p>
          <a:endParaRPr lang="en-US">
            <a:latin typeface="Palatino Linotype" panose="02040502050505030304" pitchFamily="18" charset="0"/>
          </a:endParaRPr>
        </a:p>
      </dgm:t>
    </dgm:pt>
    <dgm:pt modelId="{169D3296-3554-4FB8-832C-51BE2A82091E}">
      <dgm:prSet custT="1"/>
      <dgm:spPr/>
      <dgm:t>
        <a:bodyPr/>
        <a:lstStyle/>
        <a:p>
          <a:r>
            <a:rPr lang="en-US" sz="900">
              <a:latin typeface="Palatino Linotype" panose="02040502050505030304" pitchFamily="18" charset="0"/>
            </a:rPr>
            <a:t>Alleviation or exacerbation of public problems</a:t>
          </a:r>
        </a:p>
      </dgm:t>
    </dgm:pt>
    <dgm:pt modelId="{35916E22-37A7-469B-B6FE-17E55AC91C5C}" type="parTrans" cxnId="{1A1106FB-8E00-48B0-93B4-FBA640795B13}">
      <dgm:prSet/>
      <dgm:spPr/>
      <dgm:t>
        <a:bodyPr/>
        <a:lstStyle/>
        <a:p>
          <a:endParaRPr lang="en-US"/>
        </a:p>
      </dgm:t>
    </dgm:pt>
    <dgm:pt modelId="{06A98EE8-D5A7-4D77-A82E-8AF7360FFDD4}" type="sibTrans" cxnId="{1A1106FB-8E00-48B0-93B4-FBA640795B13}">
      <dgm:prSet/>
      <dgm:spPr/>
      <dgm:t>
        <a:bodyPr/>
        <a:lstStyle/>
        <a:p>
          <a:endParaRPr lang="en-US"/>
        </a:p>
      </dgm:t>
    </dgm:pt>
    <dgm:pt modelId="{26750BD6-229B-42A1-97F8-F98E14A6C8E2}">
      <dgm:prSet custT="1"/>
      <dgm:spPr/>
      <dgm:t>
        <a:bodyPr/>
        <a:lstStyle/>
        <a:p>
          <a:r>
            <a:rPr lang="en-US" sz="900">
              <a:latin typeface="Palatino Linotype" panose="02040502050505030304" pitchFamily="18" charset="0"/>
            </a:rPr>
            <a:t>Alignment or misalignment of politician and bureaucratic priorities</a:t>
          </a:r>
        </a:p>
      </dgm:t>
    </dgm:pt>
    <dgm:pt modelId="{010E62D6-94C8-4E88-834B-0B2A7DD96BC6}" type="parTrans" cxnId="{BEDDBEDB-9B03-4D03-B442-65E6AC44B684}">
      <dgm:prSet/>
      <dgm:spPr/>
      <dgm:t>
        <a:bodyPr/>
        <a:lstStyle/>
        <a:p>
          <a:endParaRPr lang="en-US"/>
        </a:p>
      </dgm:t>
    </dgm:pt>
    <dgm:pt modelId="{EACBA256-42B0-498B-86D8-7BD9FCE5516B}" type="sibTrans" cxnId="{BEDDBEDB-9B03-4D03-B442-65E6AC44B684}">
      <dgm:prSet/>
      <dgm:spPr/>
      <dgm:t>
        <a:bodyPr/>
        <a:lstStyle/>
        <a:p>
          <a:endParaRPr lang="en-US"/>
        </a:p>
      </dgm:t>
    </dgm:pt>
    <dgm:pt modelId="{A2B89AB6-BBC6-4166-9ABA-2535D0D2E1E2}">
      <dgm:prSet custT="1"/>
      <dgm:spPr/>
      <dgm:t>
        <a:bodyPr/>
        <a:lstStyle/>
        <a:p>
          <a:r>
            <a:rPr lang="en-US" sz="900">
              <a:latin typeface="Palatino Linotype" panose="02040502050505030304" pitchFamily="18" charset="0"/>
            </a:rPr>
            <a:t>Selection of winning narrative based on casual story &amp; socially constructed target population</a:t>
          </a:r>
        </a:p>
      </dgm:t>
    </dgm:pt>
    <dgm:pt modelId="{E48939E1-EDAA-413B-941E-5CBA616B5E8A}" type="parTrans" cxnId="{E9F28DF0-E6F5-47A5-B9B0-440EF4F44E21}">
      <dgm:prSet/>
      <dgm:spPr/>
      <dgm:t>
        <a:bodyPr/>
        <a:lstStyle/>
        <a:p>
          <a:endParaRPr lang="en-US"/>
        </a:p>
      </dgm:t>
    </dgm:pt>
    <dgm:pt modelId="{B9FB9EE8-8E35-4AAC-A527-22981045D523}" type="sibTrans" cxnId="{E9F28DF0-E6F5-47A5-B9B0-440EF4F44E21}">
      <dgm:prSet/>
      <dgm:spPr/>
      <dgm:t>
        <a:bodyPr/>
        <a:lstStyle/>
        <a:p>
          <a:endParaRPr lang="en-US"/>
        </a:p>
      </dgm:t>
    </dgm:pt>
    <dgm:pt modelId="{F31FF4AD-D919-4FDE-BAC1-86BD349B8CA3}">
      <dgm:prSet custT="1"/>
      <dgm:spPr/>
      <dgm:t>
        <a:bodyPr/>
        <a:lstStyle/>
        <a:p>
          <a:endParaRPr lang="en-US" sz="1050">
            <a:latin typeface="Palatino Linotype" panose="02040502050505030304" pitchFamily="18" charset="0"/>
          </a:endParaRPr>
        </a:p>
      </dgm:t>
    </dgm:pt>
    <dgm:pt modelId="{40874EBA-317F-4238-932C-8C589735E372}" type="sibTrans" cxnId="{2C513C04-BF8F-432B-A117-0EC22E0195CB}">
      <dgm:prSet/>
      <dgm:spPr/>
      <dgm:t>
        <a:bodyPr/>
        <a:lstStyle/>
        <a:p>
          <a:endParaRPr lang="en-US">
            <a:latin typeface="Palatino Linotype" panose="02040502050505030304" pitchFamily="18" charset="0"/>
          </a:endParaRPr>
        </a:p>
      </dgm:t>
    </dgm:pt>
    <dgm:pt modelId="{1C2F017C-01CD-42D5-A332-F5E127DCB85D}" type="parTrans" cxnId="{2C513C04-BF8F-432B-A117-0EC22E0195CB}">
      <dgm:prSet/>
      <dgm:spPr/>
      <dgm:t>
        <a:bodyPr/>
        <a:lstStyle/>
        <a:p>
          <a:endParaRPr lang="en-US">
            <a:latin typeface="Palatino Linotype" panose="02040502050505030304" pitchFamily="18" charset="0"/>
          </a:endParaRPr>
        </a:p>
      </dgm:t>
    </dgm:pt>
    <dgm:pt modelId="{DE21D51D-15E8-4167-B1B0-4AFF7F70CD19}">
      <dgm:prSet phldrT="[Text]" phldr="1" custT="1"/>
      <dgm:spPr/>
      <dgm:t>
        <a:bodyPr/>
        <a:lstStyle/>
        <a:p>
          <a:endParaRPr lang="en-US" sz="100">
            <a:latin typeface="Palatino Linotype" panose="02040502050505030304" pitchFamily="18" charset="0"/>
          </a:endParaRPr>
        </a:p>
      </dgm:t>
    </dgm:pt>
    <dgm:pt modelId="{D7970F42-C82D-466E-8EBA-D685AD8D0850}" type="sibTrans" cxnId="{31750605-0193-4325-B154-3628E0C133C4}">
      <dgm:prSet/>
      <dgm:spPr/>
      <dgm:t>
        <a:bodyPr/>
        <a:lstStyle/>
        <a:p>
          <a:endParaRPr lang="en-US">
            <a:latin typeface="Palatino Linotype" panose="02040502050505030304" pitchFamily="18" charset="0"/>
          </a:endParaRPr>
        </a:p>
      </dgm:t>
    </dgm:pt>
    <dgm:pt modelId="{D2279636-F29B-491E-9593-A6439B40FF03}" type="parTrans" cxnId="{31750605-0193-4325-B154-3628E0C133C4}">
      <dgm:prSet/>
      <dgm:spPr/>
      <dgm:t>
        <a:bodyPr/>
        <a:lstStyle/>
        <a:p>
          <a:endParaRPr lang="en-US">
            <a:latin typeface="Palatino Linotype" panose="02040502050505030304" pitchFamily="18" charset="0"/>
          </a:endParaRPr>
        </a:p>
      </dgm:t>
    </dgm:pt>
    <dgm:pt modelId="{97D15C80-7100-4C49-8B76-3CA69B210385}">
      <dgm:prSet phldrT="[Text]" phldr="1" custT="1"/>
      <dgm:spPr/>
      <dgm:t>
        <a:bodyPr/>
        <a:lstStyle/>
        <a:p>
          <a:endParaRPr lang="en-US" sz="100">
            <a:latin typeface="Palatino Linotype" panose="02040502050505030304" pitchFamily="18" charset="0"/>
          </a:endParaRPr>
        </a:p>
      </dgm:t>
    </dgm:pt>
    <dgm:pt modelId="{785C3AE6-F34D-4406-B1EB-7E88DF6BF006}" type="sibTrans" cxnId="{19EBF282-DFF7-4FF5-89ED-3B5EBA6667F9}">
      <dgm:prSet/>
      <dgm:spPr/>
      <dgm:t>
        <a:bodyPr/>
        <a:lstStyle/>
        <a:p>
          <a:endParaRPr lang="en-US">
            <a:latin typeface="Palatino Linotype" panose="02040502050505030304" pitchFamily="18" charset="0"/>
          </a:endParaRPr>
        </a:p>
      </dgm:t>
    </dgm:pt>
    <dgm:pt modelId="{AAF19B0D-8DCE-4B7B-9486-F0B7DA68ABF2}" type="parTrans" cxnId="{19EBF282-DFF7-4FF5-89ED-3B5EBA6667F9}">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9368DA6B-B34A-4491-B808-03FD6A953441}" type="pres">
      <dgm:prSet presAssocID="{4602505C-BE38-4F74-BC5D-8598A57C0521}" presName="theList" presStyleCnt="0">
        <dgm:presLayoutVars>
          <dgm:dir/>
          <dgm:animLvl val="lvl"/>
          <dgm:resizeHandles val="exact"/>
        </dgm:presLayoutVars>
      </dgm:prSet>
      <dgm:spPr/>
    </dgm:pt>
    <dgm:pt modelId="{7BEC33E5-A4C9-41CC-AF97-E156986B83AF}" type="pres">
      <dgm:prSet presAssocID="{BA4B24C3-1064-427D-9821-CA551FAA804C}" presName="compNode" presStyleCnt="0"/>
      <dgm:spPr/>
    </dgm:pt>
    <dgm:pt modelId="{F83ADDF7-9714-41E9-AAAF-3DD7BD3EAE1E}" type="pres">
      <dgm:prSet presAssocID="{BA4B24C3-1064-427D-9821-CA551FAA804C}" presName="aNode" presStyleLbl="bgShp" presStyleIdx="0" presStyleCnt="4"/>
      <dgm:spPr/>
    </dgm:pt>
    <dgm:pt modelId="{545E997B-D2D6-4FC0-9986-7E9D9D00A55C}" type="pres">
      <dgm:prSet presAssocID="{BA4B24C3-1064-427D-9821-CA551FAA804C}" presName="textNode" presStyleLbl="bgShp" presStyleIdx="0" presStyleCnt="4"/>
      <dgm:spPr/>
    </dgm:pt>
    <dgm:pt modelId="{84E769F8-939A-4D02-A87E-AA70CDB11402}" type="pres">
      <dgm:prSet presAssocID="{BA4B24C3-1064-427D-9821-CA551FAA804C}" presName="compChildNode" presStyleCnt="0"/>
      <dgm:spPr/>
    </dgm:pt>
    <dgm:pt modelId="{095F8B3F-4776-41FF-A4DE-52679CA11A92}" type="pres">
      <dgm:prSet presAssocID="{BA4B24C3-1064-427D-9821-CA551FAA804C}" presName="theInnerList" presStyleCnt="0"/>
      <dgm:spPr/>
    </dgm:pt>
    <dgm:pt modelId="{69382CC0-27D3-4281-87F9-EA41AF249B95}" type="pres">
      <dgm:prSet presAssocID="{97D15C80-7100-4C49-8B76-3CA69B210385}" presName="childNode" presStyleLbl="node1" presStyleIdx="0" presStyleCnt="4">
        <dgm:presLayoutVars>
          <dgm:bulletEnabled val="1"/>
        </dgm:presLayoutVars>
      </dgm:prSet>
      <dgm:spPr/>
    </dgm:pt>
    <dgm:pt modelId="{5E9629EB-812B-4050-91F1-0EE4FB4589FA}" type="pres">
      <dgm:prSet presAssocID="{BA4B24C3-1064-427D-9821-CA551FAA804C}" presName="aSpace" presStyleCnt="0"/>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1" presStyleCnt="4"/>
      <dgm:spPr/>
    </dgm:pt>
    <dgm:pt modelId="{47091938-74DB-4C31-841E-48F7BC3DBD93}" type="pres">
      <dgm:prSet presAssocID="{C15418C7-7CBA-4E3C-824A-AD997DC4D994}" presName="textNode" presStyleLbl="bgShp" presStyleIdx="1" presStyleCnt="4"/>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1" presStyleCnt="4">
        <dgm:presLayoutVars>
          <dgm:bulletEnabled val="1"/>
        </dgm:presLayoutVars>
      </dgm:prSet>
      <dgm:spPr/>
    </dgm:pt>
    <dgm:pt modelId="{1ADB1D72-7826-416F-8080-50CCD8A80E60}" type="pres">
      <dgm:prSet presAssocID="{C15418C7-7CBA-4E3C-824A-AD997DC4D994}" presName="aSpace" presStyleCnt="0"/>
      <dgm:spPr/>
    </dgm:pt>
    <dgm:pt modelId="{227BED0A-03A2-4491-A99C-896273B0FC51}" type="pres">
      <dgm:prSet presAssocID="{5B5C571A-E95A-4B4B-9E2C-A1581F0F9D75}" presName="compNode" presStyleCnt="0"/>
      <dgm:spPr/>
    </dgm:pt>
    <dgm:pt modelId="{F3097AA3-A434-4C9F-BF0F-91B78208E0C6}" type="pres">
      <dgm:prSet presAssocID="{5B5C571A-E95A-4B4B-9E2C-A1581F0F9D75}" presName="aNode" presStyleLbl="bgShp" presStyleIdx="2" presStyleCnt="4"/>
      <dgm:spPr/>
    </dgm:pt>
    <dgm:pt modelId="{874B1F11-06C6-47B7-A564-FAB0D22900D5}" type="pres">
      <dgm:prSet presAssocID="{5B5C571A-E95A-4B4B-9E2C-A1581F0F9D75}" presName="textNode" presStyleLbl="bgShp" presStyleIdx="2" presStyleCnt="4"/>
      <dgm:spPr/>
    </dgm:pt>
    <dgm:pt modelId="{16B7BF0C-EF44-460A-91EE-0F018C8D4291}" type="pres">
      <dgm:prSet presAssocID="{5B5C571A-E95A-4B4B-9E2C-A1581F0F9D75}" presName="compChildNode" presStyleCnt="0"/>
      <dgm:spPr/>
    </dgm:pt>
    <dgm:pt modelId="{3741552B-F599-4B21-8283-36E075031BA5}" type="pres">
      <dgm:prSet presAssocID="{5B5C571A-E95A-4B4B-9E2C-A1581F0F9D75}" presName="theInnerList" presStyleCnt="0"/>
      <dgm:spPr/>
    </dgm:pt>
    <dgm:pt modelId="{D261ACC1-5DBD-4BD6-8DF7-3B1C73E0CEA9}" type="pres">
      <dgm:prSet presAssocID="{DE21D51D-15E8-4167-B1B0-4AFF7F70CD19}" presName="childNode" presStyleLbl="node1" presStyleIdx="2" presStyleCnt="4">
        <dgm:presLayoutVars>
          <dgm:bulletEnabled val="1"/>
        </dgm:presLayoutVars>
      </dgm:prSet>
      <dgm:spPr/>
    </dgm:pt>
    <dgm:pt modelId="{88803F63-7244-4C25-879A-685B9A97E058}" type="pres">
      <dgm:prSet presAssocID="{5B5C571A-E95A-4B4B-9E2C-A1581F0F9D75}" presName="aSpace" presStyleCnt="0"/>
      <dgm:spPr/>
    </dgm:pt>
    <dgm:pt modelId="{B8368FFE-8B79-4BB4-A473-37DF9540AA3B}" type="pres">
      <dgm:prSet presAssocID="{70F6C5AC-8011-4AE7-B712-FD5133A37762}" presName="compNode" presStyleCnt="0"/>
      <dgm:spPr/>
    </dgm:pt>
    <dgm:pt modelId="{4BC53CC4-5D93-401E-BFDB-145C294F8DFD}" type="pres">
      <dgm:prSet presAssocID="{70F6C5AC-8011-4AE7-B712-FD5133A37762}" presName="aNode" presStyleLbl="bgShp" presStyleIdx="3" presStyleCnt="4" custLinFactNeighborX="33464" custLinFactNeighborY="-714"/>
      <dgm:spPr/>
    </dgm:pt>
    <dgm:pt modelId="{5B2C3ABF-7481-427E-B24F-4237D7D8716B}" type="pres">
      <dgm:prSet presAssocID="{70F6C5AC-8011-4AE7-B712-FD5133A37762}" presName="textNode" presStyleLbl="bgShp" presStyleIdx="3" presStyleCnt="4"/>
      <dgm:spPr/>
    </dgm:pt>
    <dgm:pt modelId="{D8E9EB3E-22E6-48D2-9978-994C439A2F56}" type="pres">
      <dgm:prSet presAssocID="{70F6C5AC-8011-4AE7-B712-FD5133A37762}" presName="compChildNode" presStyleCnt="0"/>
      <dgm:spPr/>
    </dgm:pt>
    <dgm:pt modelId="{0C435BA3-C2FB-4356-9445-3DB9B171B595}" type="pres">
      <dgm:prSet presAssocID="{70F6C5AC-8011-4AE7-B712-FD5133A37762}" presName="theInnerList" presStyleCnt="0"/>
      <dgm:spPr/>
    </dgm:pt>
    <dgm:pt modelId="{C16C9A3F-913F-4131-BCC8-0E99F70E54A7}" type="pres">
      <dgm:prSet presAssocID="{F31FF4AD-D919-4FDE-BAC1-86BD349B8CA3}" presName="childNode" presStyleLbl="node1" presStyleIdx="3" presStyleCnt="4">
        <dgm:presLayoutVars>
          <dgm:bulletEnabled val="1"/>
        </dgm:presLayoutVars>
      </dgm:prSet>
      <dgm:spPr/>
    </dgm:pt>
  </dgm:ptLst>
  <dgm:cxnLst>
    <dgm:cxn modelId="{30536D00-5216-452C-A0E1-D77E468DBF59}" type="presOf" srcId="{BA4B24C3-1064-427D-9821-CA551FAA804C}" destId="{545E997B-D2D6-4FC0-9986-7E9D9D00A55C}" srcOrd="1" destOrd="0" presId="urn:microsoft.com/office/officeart/2005/8/layout/lProcess2"/>
    <dgm:cxn modelId="{2C513C04-BF8F-432B-A117-0EC22E0195CB}" srcId="{70F6C5AC-8011-4AE7-B712-FD5133A37762}" destId="{F31FF4AD-D919-4FDE-BAC1-86BD349B8CA3}" srcOrd="0" destOrd="0" parTransId="{1C2F017C-01CD-42D5-A332-F5E127DCB85D}" sibTransId="{40874EBA-317F-4238-932C-8C589735E372}"/>
    <dgm:cxn modelId="{31750605-0193-4325-B154-3628E0C133C4}" srcId="{5B5C571A-E95A-4B4B-9E2C-A1581F0F9D75}" destId="{DE21D51D-15E8-4167-B1B0-4AFF7F70CD19}" srcOrd="0" destOrd="0" parTransId="{D2279636-F29B-491E-9593-A6439B40FF03}" sibTransId="{D7970F42-C82D-466E-8EBA-D685AD8D0850}"/>
    <dgm:cxn modelId="{53618F09-07C3-41B2-A317-3E5A2BC3E4D3}" type="presOf" srcId="{70F6C5AC-8011-4AE7-B712-FD5133A37762}" destId="{5B2C3ABF-7481-427E-B24F-4237D7D8716B}" srcOrd="1" destOrd="0" presId="urn:microsoft.com/office/officeart/2005/8/layout/lProcess2"/>
    <dgm:cxn modelId="{1DBFB426-CBB3-4B0C-8741-8B114384477C}" type="presOf" srcId="{169D3296-3554-4FB8-832C-51BE2A82091E}" destId="{C16C9A3F-913F-4131-BCC8-0E99F70E54A7}" srcOrd="0" destOrd="1" presId="urn:microsoft.com/office/officeart/2005/8/layout/lProcess2"/>
    <dgm:cxn modelId="{E70F4E2B-8BD8-40F5-AB84-FE69A59AAE6C}" srcId="{7311932E-72A6-4CA9-A0CE-70024AF43912}" destId="{7E4EC7CB-65C5-4E2F-86A6-7CE79A7E598E}" srcOrd="1" destOrd="0" parTransId="{BC1350D0-F9CF-416F-801D-E73A8462690D}" sibTransId="{C959F7AD-80EB-41F5-AC04-1D9DA494B16F}"/>
    <dgm:cxn modelId="{6D58432F-D434-4DBE-8CD4-791D81ABD538}" type="presOf" srcId="{C15418C7-7CBA-4E3C-824A-AD997DC4D994}" destId="{E8A73C91-A01D-4788-9E25-EB6622456EBA}" srcOrd="0" destOrd="0" presId="urn:microsoft.com/office/officeart/2005/8/layout/lProcess2"/>
    <dgm:cxn modelId="{82C50D30-9CB0-44F5-B64D-55333E08F687}" type="presOf" srcId="{30DBD67A-65D4-481F-BC24-25961C456B7A}" destId="{809B79D6-9593-4DBF-8AE7-E37F90C50ABB}" srcOrd="0" destOrd="1" presId="urn:microsoft.com/office/officeart/2005/8/layout/lProcess2"/>
    <dgm:cxn modelId="{88FC9A35-9CF6-4173-87BE-226E48A212FC}" type="presOf" srcId="{D622C22B-66D3-4C3D-9CD9-E415746F0FBA}" destId="{69382CC0-27D3-4281-87F9-EA41AF249B95}" srcOrd="0" destOrd="2" presId="urn:microsoft.com/office/officeart/2005/8/layout/lProcess2"/>
    <dgm:cxn modelId="{D707425E-5589-4C0B-B0C2-508D50293D70}" type="presOf" srcId="{5B5C571A-E95A-4B4B-9E2C-A1581F0F9D75}" destId="{874B1F11-06C6-47B7-A564-FAB0D22900D5}" srcOrd="1" destOrd="0" presId="urn:microsoft.com/office/officeart/2005/8/layout/lProcess2"/>
    <dgm:cxn modelId="{CE007B42-D454-46B6-9EE6-980DF678C65A}" srcId="{7311932E-72A6-4CA9-A0CE-70024AF43912}" destId="{2A883902-FE9D-4349-94FA-0D03FF7A3648}" srcOrd="2" destOrd="0" parTransId="{4D934622-BCD0-4A55-8EC9-998132295B1E}" sibTransId="{7F53BD23-5D8C-44B0-889E-8F4BD9556ECE}"/>
    <dgm:cxn modelId="{67B25A43-78A8-48DF-A3B3-D7CF18126CB9}" srcId="{97D15C80-7100-4C49-8B76-3CA69B210385}" destId="{D622C22B-66D3-4C3D-9CD9-E415746F0FBA}" srcOrd="1" destOrd="0" parTransId="{F43C9E45-67D2-4AA5-BCDB-CE6FDF48016B}" sibTransId="{AA118AAE-0A55-4E99-A04D-A7A7D0414B25}"/>
    <dgm:cxn modelId="{2C669C63-4E96-4421-9E32-898F8C8521FD}" type="presOf" srcId="{70F6C5AC-8011-4AE7-B712-FD5133A37762}" destId="{4BC53CC4-5D93-401E-BFDB-145C294F8DFD}" srcOrd="0" destOrd="0" presId="urn:microsoft.com/office/officeart/2005/8/layout/lProcess2"/>
    <dgm:cxn modelId="{1679E263-4718-4561-BC7F-0B55883416DB}" type="presOf" srcId="{DE21D51D-15E8-4167-B1B0-4AFF7F70CD19}" destId="{D261ACC1-5DBD-4BD6-8DF7-3B1C73E0CEA9}" srcOrd="0" destOrd="0" presId="urn:microsoft.com/office/officeart/2005/8/layout/lProcess2"/>
    <dgm:cxn modelId="{9FF35865-A62A-4458-B641-68DDABAF5731}" type="presOf" srcId="{2A883902-FE9D-4349-94FA-0D03FF7A3648}" destId="{809B79D6-9593-4DBF-8AE7-E37F90C50ABB}" srcOrd="0" destOrd="3" presId="urn:microsoft.com/office/officeart/2005/8/layout/lProcess2"/>
    <dgm:cxn modelId="{8D443C47-6AFB-41C1-9751-817F85CFA668}" srcId="{7311932E-72A6-4CA9-A0CE-70024AF43912}" destId="{30DBD67A-65D4-481F-BC24-25961C456B7A}" srcOrd="0" destOrd="0" parTransId="{95F0A796-F250-49D5-8598-9B30D35E95A1}" sibTransId="{6F3F3CA8-A10F-4DA0-9D44-06F79693DC9E}"/>
    <dgm:cxn modelId="{E4D5766B-0828-4F08-BDAA-C7C7795BCD9A}" type="presOf" srcId="{F31FF4AD-D919-4FDE-BAC1-86BD349B8CA3}" destId="{C16C9A3F-913F-4131-BCC8-0E99F70E54A7}" srcOrd="0" destOrd="0" presId="urn:microsoft.com/office/officeart/2005/8/layout/lProcess2"/>
    <dgm:cxn modelId="{B6CCBF4B-C92C-4209-AF2D-0AB90724F0F2}" srcId="{4602505C-BE38-4F74-BC5D-8598A57C0521}" destId="{BA4B24C3-1064-427D-9821-CA551FAA804C}" srcOrd="0" destOrd="0" parTransId="{A22C9BE0-4A16-4F9F-8016-B06FB70181A3}" sibTransId="{3A091D31-4A10-4966-8E3F-1D989DC88B59}"/>
    <dgm:cxn modelId="{673DF26D-579C-49D9-99AE-6C07D5424153}" type="presOf" srcId="{86A5FC92-5A95-4A4A-A17B-05CDD5216009}" destId="{809B79D6-9593-4DBF-8AE7-E37F90C50ABB}" srcOrd="0" destOrd="4" presId="urn:microsoft.com/office/officeart/2005/8/layout/lProcess2"/>
    <dgm:cxn modelId="{19EBF282-DFF7-4FF5-89ED-3B5EBA6667F9}" srcId="{BA4B24C3-1064-427D-9821-CA551FAA804C}" destId="{97D15C80-7100-4C49-8B76-3CA69B210385}" srcOrd="0" destOrd="0" parTransId="{AAF19B0D-8DCE-4B7B-9486-F0B7DA68ABF2}" sibTransId="{785C3AE6-F34D-4406-B1EB-7E88DF6BF006}"/>
    <dgm:cxn modelId="{E0484A9C-C897-4BD8-9C1E-07DFD5CF9715}" type="presOf" srcId="{26750BD6-229B-42A1-97F8-F98E14A6C8E2}" destId="{D261ACC1-5DBD-4BD6-8DF7-3B1C73E0CEA9}" srcOrd="0" destOrd="2" presId="urn:microsoft.com/office/officeart/2005/8/layout/lProcess2"/>
    <dgm:cxn modelId="{137220A2-ACF1-4F48-9682-FCCF588911CD}" srcId="{DE21D51D-15E8-4167-B1B0-4AFF7F70CD19}" destId="{B303D517-0101-4F2A-A41F-AA78F00A166B}" srcOrd="0" destOrd="0" parTransId="{6BA26ADB-4907-4188-9304-E008949C040C}" sibTransId="{8A01560D-7574-4274-81A9-F46BF2FF62F1}"/>
    <dgm:cxn modelId="{E958EEA4-7F35-41B8-B972-8A8AF3C63694}" type="presOf" srcId="{B303D517-0101-4F2A-A41F-AA78F00A166B}" destId="{D261ACC1-5DBD-4BD6-8DF7-3B1C73E0CEA9}" srcOrd="0" destOrd="1" presId="urn:microsoft.com/office/officeart/2005/8/layout/lProcess2"/>
    <dgm:cxn modelId="{88981EA5-1F39-414E-9932-C5E43ADDFFF1}" type="presOf" srcId="{7311932E-72A6-4CA9-A0CE-70024AF43912}" destId="{809B79D6-9593-4DBF-8AE7-E37F90C50ABB}" srcOrd="0" destOrd="0" presId="urn:microsoft.com/office/officeart/2005/8/layout/lProcess2"/>
    <dgm:cxn modelId="{FCC8FAAA-3D8C-46CE-BCD7-35C0116BDFB4}" srcId="{4602505C-BE38-4F74-BC5D-8598A57C0521}" destId="{C15418C7-7CBA-4E3C-824A-AD997DC4D994}" srcOrd="1" destOrd="0" parTransId="{9CC1438A-637B-49E5-A407-DB12E2AB85F9}" sibTransId="{AE126B5A-63B5-4420-8AF6-58E302008FAC}"/>
    <dgm:cxn modelId="{8E0B79B6-EA5A-4277-9B93-E3DFE7FA0531}" type="presOf" srcId="{97D15C80-7100-4C49-8B76-3CA69B210385}" destId="{69382CC0-27D3-4281-87F9-EA41AF249B95}" srcOrd="0" destOrd="0" presId="urn:microsoft.com/office/officeart/2005/8/layout/lProcess2"/>
    <dgm:cxn modelId="{D944C8B8-D7FF-4785-8524-B7B3C1815D69}" type="presOf" srcId="{5B5C571A-E95A-4B4B-9E2C-A1581F0F9D75}" destId="{F3097AA3-A434-4C9F-BF0F-91B78208E0C6}" srcOrd="0" destOrd="0" presId="urn:microsoft.com/office/officeart/2005/8/layout/lProcess2"/>
    <dgm:cxn modelId="{357ADCBD-5FED-4871-B1D3-355C46809D71}" type="presOf" srcId="{A2B89AB6-BBC6-4166-9ABA-2535D0D2E1E2}" destId="{69382CC0-27D3-4281-87F9-EA41AF249B95}" srcOrd="0" destOrd="1" presId="urn:microsoft.com/office/officeart/2005/8/layout/lProcess2"/>
    <dgm:cxn modelId="{701F7DC3-4E8C-4062-82A5-C0E29785F536}" srcId="{4602505C-BE38-4F74-BC5D-8598A57C0521}" destId="{70F6C5AC-8011-4AE7-B712-FD5133A37762}" srcOrd="3" destOrd="0" parTransId="{573FF062-1B83-42AF-A221-D7A4A00C3048}" sibTransId="{094864DC-CA71-4BBE-B4D9-75CCB530916B}"/>
    <dgm:cxn modelId="{CCC709C6-E8CA-4DA6-A8F0-858068C1D4FE}" type="presOf" srcId="{BA4B24C3-1064-427D-9821-CA551FAA804C}" destId="{F83ADDF7-9714-41E9-AAAF-3DD7BD3EAE1E}" srcOrd="0" destOrd="0" presId="urn:microsoft.com/office/officeart/2005/8/layout/lProcess2"/>
    <dgm:cxn modelId="{869869CB-0EE2-48D2-AA57-1BC3E1FE06F8}" type="presOf" srcId="{4602505C-BE38-4F74-BC5D-8598A57C0521}" destId="{9368DA6B-B34A-4491-B808-03FD6A953441}" srcOrd="0" destOrd="0" presId="urn:microsoft.com/office/officeart/2005/8/layout/lProcess2"/>
    <dgm:cxn modelId="{6D4035D8-5D63-4CFB-890F-A37FBC995C97}" srcId="{4602505C-BE38-4F74-BC5D-8598A57C0521}" destId="{5B5C571A-E95A-4B4B-9E2C-A1581F0F9D75}" srcOrd="2" destOrd="0" parTransId="{92101118-F08F-4153-B22F-4364C51F2A88}" sibTransId="{6BE21506-9EFF-41E3-A776-386F440ABBE7}"/>
    <dgm:cxn modelId="{BEDDBEDB-9B03-4D03-B442-65E6AC44B684}" srcId="{DE21D51D-15E8-4167-B1B0-4AFF7F70CD19}" destId="{26750BD6-229B-42A1-97F8-F98E14A6C8E2}" srcOrd="1" destOrd="0" parTransId="{010E62D6-94C8-4E88-834B-0B2A7DD96BC6}" sibTransId="{EACBA256-42B0-498B-86D8-7BD9FCE5516B}"/>
    <dgm:cxn modelId="{9C5A1EE6-5170-4445-8607-3937E51B48FF}" type="presOf" srcId="{C15418C7-7CBA-4E3C-824A-AD997DC4D994}" destId="{47091938-74DB-4C31-841E-48F7BC3DBD93}" srcOrd="1" destOrd="0" presId="urn:microsoft.com/office/officeart/2005/8/layout/lProcess2"/>
    <dgm:cxn modelId="{C1FF0FEA-7EE9-4793-A468-CCB48929BA30}" srcId="{7311932E-72A6-4CA9-A0CE-70024AF43912}" destId="{8ACADC06-D3CE-42A6-89F4-0EC066B66B37}" srcOrd="4" destOrd="0" parTransId="{7331A786-CD33-44A0-99F5-8809A191B71C}" sibTransId="{67F9E5D1-7772-4D7E-B755-C84866B4076D}"/>
    <dgm:cxn modelId="{EE5511EC-13F6-4564-B706-EB434E2E4CA7}" type="presOf" srcId="{7E4EC7CB-65C5-4E2F-86A6-7CE79A7E598E}" destId="{809B79D6-9593-4DBF-8AE7-E37F90C50ABB}" srcOrd="0" destOrd="2"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6C3EAEE-59E1-4B0C-B415-5B5C0573EE47}" type="presOf" srcId="{8ACADC06-D3CE-42A6-89F4-0EC066B66B37}" destId="{809B79D6-9593-4DBF-8AE7-E37F90C50ABB}" srcOrd="0" destOrd="5" presId="urn:microsoft.com/office/officeart/2005/8/layout/lProcess2"/>
    <dgm:cxn modelId="{E9F28DF0-E6F5-47A5-B9B0-440EF4F44E21}" srcId="{97D15C80-7100-4C49-8B76-3CA69B210385}" destId="{A2B89AB6-BBC6-4166-9ABA-2535D0D2E1E2}" srcOrd="0" destOrd="0" parTransId="{E48939E1-EDAA-413B-941E-5CBA616B5E8A}" sibTransId="{B9FB9EE8-8E35-4AAC-A527-22981045D523}"/>
    <dgm:cxn modelId="{1A1106FB-8E00-48B0-93B4-FBA640795B13}" srcId="{F31FF4AD-D919-4FDE-BAC1-86BD349B8CA3}" destId="{169D3296-3554-4FB8-832C-51BE2A82091E}" srcOrd="0" destOrd="0" parTransId="{35916E22-37A7-469B-B6FE-17E55AC91C5C}" sibTransId="{06A98EE8-D5A7-4D77-A82E-8AF7360FFDD4}"/>
    <dgm:cxn modelId="{05DE36FD-F61E-4DE5-AE2D-D052066BB7B9}" srcId="{7311932E-72A6-4CA9-A0CE-70024AF43912}" destId="{86A5FC92-5A95-4A4A-A17B-05CDD5216009}" srcOrd="3" destOrd="0" parTransId="{386469AE-C963-4EF9-ACED-AAAC23E9433A}" sibTransId="{BCF6CE22-49EC-4E28-BC95-465BE84A385B}"/>
    <dgm:cxn modelId="{8923107D-34A1-41C6-954A-9D01664ADCF3}" type="presParOf" srcId="{9368DA6B-B34A-4491-B808-03FD6A953441}" destId="{7BEC33E5-A4C9-41CC-AF97-E156986B83AF}" srcOrd="0" destOrd="0" presId="urn:microsoft.com/office/officeart/2005/8/layout/lProcess2"/>
    <dgm:cxn modelId="{DF11F007-6625-49B5-8875-BA911AA7164A}" type="presParOf" srcId="{7BEC33E5-A4C9-41CC-AF97-E156986B83AF}" destId="{F83ADDF7-9714-41E9-AAAF-3DD7BD3EAE1E}" srcOrd="0" destOrd="0" presId="urn:microsoft.com/office/officeart/2005/8/layout/lProcess2"/>
    <dgm:cxn modelId="{76368B10-B556-44F8-BF12-39CCACDA1FAC}" type="presParOf" srcId="{7BEC33E5-A4C9-41CC-AF97-E156986B83AF}" destId="{545E997B-D2D6-4FC0-9986-7E9D9D00A55C}" srcOrd="1" destOrd="0" presId="urn:microsoft.com/office/officeart/2005/8/layout/lProcess2"/>
    <dgm:cxn modelId="{6B4821C6-C132-4F34-8762-7719AB5A44D5}" type="presParOf" srcId="{7BEC33E5-A4C9-41CC-AF97-E156986B83AF}" destId="{84E769F8-939A-4D02-A87E-AA70CDB11402}" srcOrd="2" destOrd="0" presId="urn:microsoft.com/office/officeart/2005/8/layout/lProcess2"/>
    <dgm:cxn modelId="{BA413E06-7011-48AB-9177-ED70E0E42CD7}" type="presParOf" srcId="{84E769F8-939A-4D02-A87E-AA70CDB11402}" destId="{095F8B3F-4776-41FF-A4DE-52679CA11A92}" srcOrd="0" destOrd="0" presId="urn:microsoft.com/office/officeart/2005/8/layout/lProcess2"/>
    <dgm:cxn modelId="{C9F5430D-74DF-4414-9670-1CF6AC6D650A}" type="presParOf" srcId="{095F8B3F-4776-41FF-A4DE-52679CA11A92}" destId="{69382CC0-27D3-4281-87F9-EA41AF249B95}" srcOrd="0" destOrd="0" presId="urn:microsoft.com/office/officeart/2005/8/layout/lProcess2"/>
    <dgm:cxn modelId="{C5B5580F-014A-44EF-BB13-EF08C6DB8D98}" type="presParOf" srcId="{9368DA6B-B34A-4491-B808-03FD6A953441}" destId="{5E9629EB-812B-4050-91F1-0EE4FB4589FA}" srcOrd="1" destOrd="0" presId="urn:microsoft.com/office/officeart/2005/8/layout/lProcess2"/>
    <dgm:cxn modelId="{15651781-A087-420D-8C3A-AAF31C929364}" type="presParOf" srcId="{9368DA6B-B34A-4491-B808-03FD6A953441}" destId="{FDE55128-D302-4FA1-B93E-3C33EF5ED5AC}" srcOrd="2"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 modelId="{83ABB596-31D4-4988-9E3B-422C0651CD87}" type="presParOf" srcId="{9368DA6B-B34A-4491-B808-03FD6A953441}" destId="{1ADB1D72-7826-416F-8080-50CCD8A80E60}" srcOrd="3" destOrd="0" presId="urn:microsoft.com/office/officeart/2005/8/layout/lProcess2"/>
    <dgm:cxn modelId="{F1783ED1-381C-468E-AEBB-16570BF73F7B}" type="presParOf" srcId="{9368DA6B-B34A-4491-B808-03FD6A953441}" destId="{227BED0A-03A2-4491-A99C-896273B0FC51}" srcOrd="4" destOrd="0" presId="urn:microsoft.com/office/officeart/2005/8/layout/lProcess2"/>
    <dgm:cxn modelId="{47F30657-AE07-4E1E-8182-53B54F156D0E}" type="presParOf" srcId="{227BED0A-03A2-4491-A99C-896273B0FC51}" destId="{F3097AA3-A434-4C9F-BF0F-91B78208E0C6}" srcOrd="0" destOrd="0" presId="urn:microsoft.com/office/officeart/2005/8/layout/lProcess2"/>
    <dgm:cxn modelId="{BDDDE760-B930-4434-A655-2A948970873F}" type="presParOf" srcId="{227BED0A-03A2-4491-A99C-896273B0FC51}" destId="{874B1F11-06C6-47B7-A564-FAB0D22900D5}" srcOrd="1" destOrd="0" presId="urn:microsoft.com/office/officeart/2005/8/layout/lProcess2"/>
    <dgm:cxn modelId="{84B5C31F-9639-4B19-8BC2-096C4C0DD9FD}" type="presParOf" srcId="{227BED0A-03A2-4491-A99C-896273B0FC51}" destId="{16B7BF0C-EF44-460A-91EE-0F018C8D4291}" srcOrd="2" destOrd="0" presId="urn:microsoft.com/office/officeart/2005/8/layout/lProcess2"/>
    <dgm:cxn modelId="{23B27365-F02F-4CFD-A418-079B05D3767D}" type="presParOf" srcId="{16B7BF0C-EF44-460A-91EE-0F018C8D4291}" destId="{3741552B-F599-4B21-8283-36E075031BA5}" srcOrd="0" destOrd="0" presId="urn:microsoft.com/office/officeart/2005/8/layout/lProcess2"/>
    <dgm:cxn modelId="{B0CA3CBF-8CFD-414C-9CC2-28F628A947D8}" type="presParOf" srcId="{3741552B-F599-4B21-8283-36E075031BA5}" destId="{D261ACC1-5DBD-4BD6-8DF7-3B1C73E0CEA9}" srcOrd="0" destOrd="0" presId="urn:microsoft.com/office/officeart/2005/8/layout/lProcess2"/>
    <dgm:cxn modelId="{135F8F07-2A6D-46DE-8AF4-2DD0CBE427C3}" type="presParOf" srcId="{9368DA6B-B34A-4491-B808-03FD6A953441}" destId="{88803F63-7244-4C25-879A-685B9A97E058}" srcOrd="5" destOrd="0" presId="urn:microsoft.com/office/officeart/2005/8/layout/lProcess2"/>
    <dgm:cxn modelId="{FE6D31AD-302E-48E8-A939-5C64F78BE656}" type="presParOf" srcId="{9368DA6B-B34A-4491-B808-03FD6A953441}" destId="{B8368FFE-8B79-4BB4-A473-37DF9540AA3B}" srcOrd="6" destOrd="0" presId="urn:microsoft.com/office/officeart/2005/8/layout/lProcess2"/>
    <dgm:cxn modelId="{DC92CB84-D203-4C93-BCEA-EE056FAAA22E}" type="presParOf" srcId="{B8368FFE-8B79-4BB4-A473-37DF9540AA3B}" destId="{4BC53CC4-5D93-401E-BFDB-145C294F8DFD}" srcOrd="0" destOrd="0" presId="urn:microsoft.com/office/officeart/2005/8/layout/lProcess2"/>
    <dgm:cxn modelId="{AF135C50-7300-4BD5-AD07-AA54C0B191F1}" type="presParOf" srcId="{B8368FFE-8B79-4BB4-A473-37DF9540AA3B}" destId="{5B2C3ABF-7481-427E-B24F-4237D7D8716B}" srcOrd="1" destOrd="0" presId="urn:microsoft.com/office/officeart/2005/8/layout/lProcess2"/>
    <dgm:cxn modelId="{B06AFA02-F36A-484C-BC07-7DFD84ED4786}" type="presParOf" srcId="{B8368FFE-8B79-4BB4-A473-37DF9540AA3B}" destId="{D8E9EB3E-22E6-48D2-9978-994C439A2F56}" srcOrd="2" destOrd="0" presId="urn:microsoft.com/office/officeart/2005/8/layout/lProcess2"/>
    <dgm:cxn modelId="{E88D2172-483D-4470-9551-13C9E7A2DBEA}" type="presParOf" srcId="{D8E9EB3E-22E6-48D2-9978-994C439A2F56}" destId="{0C435BA3-C2FB-4356-9445-3DB9B171B595}" srcOrd="0" destOrd="0" presId="urn:microsoft.com/office/officeart/2005/8/layout/lProcess2"/>
    <dgm:cxn modelId="{28FBE9D9-F881-406E-AEAF-E96025484029}" type="presParOf" srcId="{0C435BA3-C2FB-4356-9445-3DB9B171B595}" destId="{C16C9A3F-913F-4131-BCC8-0E99F70E54A7}" srcOrd="0" destOrd="0" presId="urn:microsoft.com/office/officeart/2005/8/layout/lProcess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C6C30F5-B7BE-46A8-867E-33B8D220C33B}" type="doc">
      <dgm:prSet loTypeId="urn:microsoft.com/office/officeart/2005/8/layout/hierarchy5" loCatId="hierarchy" qsTypeId="urn:microsoft.com/office/officeart/2005/8/quickstyle/simple1" qsCatId="simple" csTypeId="urn:microsoft.com/office/officeart/2005/8/colors/accent0_1" csCatId="mainScheme" phldr="1"/>
      <dgm:spPr/>
      <dgm:t>
        <a:bodyPr/>
        <a:lstStyle/>
        <a:p>
          <a:endParaRPr lang="en-US"/>
        </a:p>
      </dgm:t>
    </dgm:pt>
    <dgm:pt modelId="{7105F1A1-E423-4A8C-A464-1CFF5FDC154C}">
      <dgm:prSet phldrT="[Text]"/>
      <dgm:spPr/>
      <dgm:t>
        <a:bodyPr/>
        <a:lstStyle/>
        <a:p>
          <a:pPr algn="ctr"/>
          <a:r>
            <a:rPr lang="en-US">
              <a:latin typeface="Palatino Linotype" panose="02040502050505030304" pitchFamily="18" charset="0"/>
            </a:rPr>
            <a:t>Statutory Design: Policy Tools &amp; Eligibility Requirements</a:t>
          </a:r>
        </a:p>
      </dgm:t>
    </dgm:pt>
    <dgm:pt modelId="{969FD4EE-9A0C-422D-BF77-73C986454423}" type="parTrans" cxnId="{D889719D-8D49-48EE-AB51-97BC77180DB9}">
      <dgm:prSet/>
      <dgm:spPr/>
      <dgm:t>
        <a:bodyPr/>
        <a:lstStyle/>
        <a:p>
          <a:pPr algn="ctr"/>
          <a:endParaRPr lang="en-US">
            <a:solidFill>
              <a:sysClr val="windowText" lastClr="000000"/>
            </a:solidFill>
            <a:latin typeface="Palatino Linotype" panose="02040502050505030304" pitchFamily="18" charset="0"/>
          </a:endParaRPr>
        </a:p>
      </dgm:t>
    </dgm:pt>
    <dgm:pt modelId="{920E5294-BFD7-412A-9996-197066DC2E9B}" type="sibTrans" cxnId="{D889719D-8D49-48EE-AB51-97BC77180DB9}">
      <dgm:prSet/>
      <dgm:spPr/>
      <dgm:t>
        <a:bodyPr/>
        <a:lstStyle/>
        <a:p>
          <a:pPr algn="ctr"/>
          <a:endParaRPr lang="en-US">
            <a:solidFill>
              <a:sysClr val="windowText" lastClr="000000"/>
            </a:solidFill>
            <a:latin typeface="Palatino Linotype" panose="02040502050505030304" pitchFamily="18" charset="0"/>
          </a:endParaRPr>
        </a:p>
      </dgm:t>
    </dgm:pt>
    <dgm:pt modelId="{ED6867AA-5CD0-48CE-8A73-DEDC1F0DDEAB}">
      <dgm:prSet phldrT="[Text]"/>
      <dgm:spPr/>
      <dgm:t>
        <a:bodyPr/>
        <a:lstStyle/>
        <a:p>
          <a:pPr algn="ctr"/>
          <a:r>
            <a:rPr lang="en-US">
              <a:latin typeface="Palatino Linotype" panose="02040502050505030304" pitchFamily="18" charset="0"/>
            </a:rPr>
            <a:t>Policy Outcomes</a:t>
          </a:r>
        </a:p>
      </dgm:t>
    </dgm:pt>
    <dgm:pt modelId="{F8EFF013-84F4-4181-BB14-447E4DC84B03}" type="parTrans" cxnId="{2786CB8F-AEF5-4FB8-BDC1-A09EAE625D98}">
      <dgm:prSet/>
      <dgm:spPr/>
      <dgm:t>
        <a:bodyPr/>
        <a:lstStyle/>
        <a:p>
          <a:pPr algn="ctr"/>
          <a:endParaRPr lang="en-US">
            <a:solidFill>
              <a:sysClr val="windowText" lastClr="000000"/>
            </a:solidFill>
            <a:latin typeface="Palatino Linotype" panose="02040502050505030304" pitchFamily="18" charset="0"/>
          </a:endParaRPr>
        </a:p>
      </dgm:t>
    </dgm:pt>
    <dgm:pt modelId="{8E2CB5F3-82B4-43A8-8C33-3EA41AB32936}" type="sibTrans" cxnId="{2786CB8F-AEF5-4FB8-BDC1-A09EAE625D98}">
      <dgm:prSet/>
      <dgm:spPr/>
      <dgm:t>
        <a:bodyPr/>
        <a:lstStyle/>
        <a:p>
          <a:pPr algn="ctr"/>
          <a:endParaRPr lang="en-US">
            <a:solidFill>
              <a:sysClr val="windowText" lastClr="000000"/>
            </a:solidFill>
            <a:latin typeface="Palatino Linotype" panose="02040502050505030304" pitchFamily="18" charset="0"/>
          </a:endParaRPr>
        </a:p>
      </dgm:t>
    </dgm:pt>
    <dgm:pt modelId="{0988A7CC-65A8-4F47-B20C-51600568E9E9}" type="pres">
      <dgm:prSet presAssocID="{AC6C30F5-B7BE-46A8-867E-33B8D220C33B}" presName="mainComposite" presStyleCnt="0">
        <dgm:presLayoutVars>
          <dgm:chPref val="1"/>
          <dgm:dir/>
          <dgm:animOne val="branch"/>
          <dgm:animLvl val="lvl"/>
          <dgm:resizeHandles val="exact"/>
        </dgm:presLayoutVars>
      </dgm:prSet>
      <dgm:spPr/>
    </dgm:pt>
    <dgm:pt modelId="{FC359C9E-40A3-4317-8835-DC61B876E29F}" type="pres">
      <dgm:prSet presAssocID="{AC6C30F5-B7BE-46A8-867E-33B8D220C33B}" presName="hierFlow" presStyleCnt="0"/>
      <dgm:spPr/>
    </dgm:pt>
    <dgm:pt modelId="{76561CB4-531D-4D57-B4BA-2517DB06E60E}" type="pres">
      <dgm:prSet presAssocID="{AC6C30F5-B7BE-46A8-867E-33B8D220C33B}" presName="hierChild1" presStyleCnt="0">
        <dgm:presLayoutVars>
          <dgm:chPref val="1"/>
          <dgm:animOne val="branch"/>
          <dgm:animLvl val="lvl"/>
        </dgm:presLayoutVars>
      </dgm:prSet>
      <dgm:spPr/>
    </dgm:pt>
    <dgm:pt modelId="{107EF1F2-D9C0-4D8D-A778-A9AC91F0BAF2}" type="pres">
      <dgm:prSet presAssocID="{7105F1A1-E423-4A8C-A464-1CFF5FDC154C}" presName="Name17" presStyleCnt="0"/>
      <dgm:spPr/>
    </dgm:pt>
    <dgm:pt modelId="{2920DE2E-E01A-464A-83C5-D57E7533CE1F}" type="pres">
      <dgm:prSet presAssocID="{7105F1A1-E423-4A8C-A464-1CFF5FDC154C}" presName="level1Shape" presStyleLbl="node0" presStyleIdx="0" presStyleCnt="1">
        <dgm:presLayoutVars>
          <dgm:chPref val="3"/>
        </dgm:presLayoutVars>
      </dgm:prSet>
      <dgm:spPr/>
    </dgm:pt>
    <dgm:pt modelId="{3E84FA38-9738-46FF-BB92-4A862D5EF1BE}" type="pres">
      <dgm:prSet presAssocID="{7105F1A1-E423-4A8C-A464-1CFF5FDC154C}" presName="hierChild2" presStyleCnt="0"/>
      <dgm:spPr/>
    </dgm:pt>
    <dgm:pt modelId="{A12466D4-927C-431C-80B6-A8B5D201488D}" type="pres">
      <dgm:prSet presAssocID="{F8EFF013-84F4-4181-BB14-447E4DC84B03}" presName="Name25" presStyleLbl="parChTrans1D2" presStyleIdx="0" presStyleCnt="1"/>
      <dgm:spPr/>
    </dgm:pt>
    <dgm:pt modelId="{3D06CE43-86E2-4E38-81A4-434679DCF222}" type="pres">
      <dgm:prSet presAssocID="{F8EFF013-84F4-4181-BB14-447E4DC84B03}" presName="connTx" presStyleLbl="parChTrans1D2" presStyleIdx="0" presStyleCnt="1"/>
      <dgm:spPr/>
    </dgm:pt>
    <dgm:pt modelId="{D66D7D8B-7929-4CB4-B997-54B228465232}" type="pres">
      <dgm:prSet presAssocID="{ED6867AA-5CD0-48CE-8A73-DEDC1F0DDEAB}" presName="Name30" presStyleCnt="0"/>
      <dgm:spPr/>
    </dgm:pt>
    <dgm:pt modelId="{F9C928B2-B9A6-41BE-A911-DA9FBF3E49F9}" type="pres">
      <dgm:prSet presAssocID="{ED6867AA-5CD0-48CE-8A73-DEDC1F0DDEAB}" presName="level2Shape" presStyleLbl="node2" presStyleIdx="0" presStyleCnt="1" custLinFactNeighborX="6276"/>
      <dgm:spPr/>
    </dgm:pt>
    <dgm:pt modelId="{A070AE98-61C7-441D-9E78-216D9DD35069}" type="pres">
      <dgm:prSet presAssocID="{ED6867AA-5CD0-48CE-8A73-DEDC1F0DDEAB}" presName="hierChild3" presStyleCnt="0"/>
      <dgm:spPr/>
    </dgm:pt>
    <dgm:pt modelId="{A0D84A91-8390-4DB2-9E8A-4BC1441889C5}" type="pres">
      <dgm:prSet presAssocID="{AC6C30F5-B7BE-46A8-867E-33B8D220C33B}" presName="bgShapesFlow" presStyleCnt="0"/>
      <dgm:spPr/>
    </dgm:pt>
  </dgm:ptLst>
  <dgm:cxnLst>
    <dgm:cxn modelId="{D0368410-AAB2-468E-B8E2-48C3FBC9CE37}" type="presOf" srcId="{F8EFF013-84F4-4181-BB14-447E4DC84B03}" destId="{A12466D4-927C-431C-80B6-A8B5D201488D}" srcOrd="0" destOrd="0" presId="urn:microsoft.com/office/officeart/2005/8/layout/hierarchy5"/>
    <dgm:cxn modelId="{C7973B2D-4747-4DED-A0DE-E9D42B836A47}" type="presOf" srcId="{AC6C30F5-B7BE-46A8-867E-33B8D220C33B}" destId="{0988A7CC-65A8-4F47-B20C-51600568E9E9}" srcOrd="0" destOrd="0" presId="urn:microsoft.com/office/officeart/2005/8/layout/hierarchy5"/>
    <dgm:cxn modelId="{34F1B965-6AEC-4F4E-8639-5D043787B46D}" type="presOf" srcId="{ED6867AA-5CD0-48CE-8A73-DEDC1F0DDEAB}" destId="{F9C928B2-B9A6-41BE-A911-DA9FBF3E49F9}" srcOrd="0" destOrd="0" presId="urn:microsoft.com/office/officeart/2005/8/layout/hierarchy5"/>
    <dgm:cxn modelId="{A89F454A-D379-47E2-B192-5ED38B4CB27A}" type="presOf" srcId="{7105F1A1-E423-4A8C-A464-1CFF5FDC154C}" destId="{2920DE2E-E01A-464A-83C5-D57E7533CE1F}" srcOrd="0" destOrd="0" presId="urn:microsoft.com/office/officeart/2005/8/layout/hierarchy5"/>
    <dgm:cxn modelId="{2786CB8F-AEF5-4FB8-BDC1-A09EAE625D98}" srcId="{7105F1A1-E423-4A8C-A464-1CFF5FDC154C}" destId="{ED6867AA-5CD0-48CE-8A73-DEDC1F0DDEAB}" srcOrd="0" destOrd="0" parTransId="{F8EFF013-84F4-4181-BB14-447E4DC84B03}" sibTransId="{8E2CB5F3-82B4-43A8-8C33-3EA41AB32936}"/>
    <dgm:cxn modelId="{D889719D-8D49-48EE-AB51-97BC77180DB9}" srcId="{AC6C30F5-B7BE-46A8-867E-33B8D220C33B}" destId="{7105F1A1-E423-4A8C-A464-1CFF5FDC154C}" srcOrd="0" destOrd="0" parTransId="{969FD4EE-9A0C-422D-BF77-73C986454423}" sibTransId="{920E5294-BFD7-412A-9996-197066DC2E9B}"/>
    <dgm:cxn modelId="{096C0AC9-8D6D-4DFB-B7C0-EB0FDF35E34D}" type="presOf" srcId="{F8EFF013-84F4-4181-BB14-447E4DC84B03}" destId="{3D06CE43-86E2-4E38-81A4-434679DCF222}" srcOrd="1" destOrd="0" presId="urn:microsoft.com/office/officeart/2005/8/layout/hierarchy5"/>
    <dgm:cxn modelId="{C2B00FE1-01D7-4417-A18E-EF74ECD5B4AA}" type="presParOf" srcId="{0988A7CC-65A8-4F47-B20C-51600568E9E9}" destId="{FC359C9E-40A3-4317-8835-DC61B876E29F}" srcOrd="0" destOrd="0" presId="urn:microsoft.com/office/officeart/2005/8/layout/hierarchy5"/>
    <dgm:cxn modelId="{6F3B0364-E90B-46B5-845B-6BB9069AF2C4}" type="presParOf" srcId="{FC359C9E-40A3-4317-8835-DC61B876E29F}" destId="{76561CB4-531D-4D57-B4BA-2517DB06E60E}" srcOrd="0" destOrd="0" presId="urn:microsoft.com/office/officeart/2005/8/layout/hierarchy5"/>
    <dgm:cxn modelId="{6F8A3754-7E7C-423C-B28D-5F631CF3C23C}" type="presParOf" srcId="{76561CB4-531D-4D57-B4BA-2517DB06E60E}" destId="{107EF1F2-D9C0-4D8D-A778-A9AC91F0BAF2}" srcOrd="0" destOrd="0" presId="urn:microsoft.com/office/officeart/2005/8/layout/hierarchy5"/>
    <dgm:cxn modelId="{836DEECD-FAA1-47CC-82B2-B543D45C77D1}" type="presParOf" srcId="{107EF1F2-D9C0-4D8D-A778-A9AC91F0BAF2}" destId="{2920DE2E-E01A-464A-83C5-D57E7533CE1F}" srcOrd="0" destOrd="0" presId="urn:microsoft.com/office/officeart/2005/8/layout/hierarchy5"/>
    <dgm:cxn modelId="{81E9A308-8037-4B7D-8CC0-60ACA7B5E779}" type="presParOf" srcId="{107EF1F2-D9C0-4D8D-A778-A9AC91F0BAF2}" destId="{3E84FA38-9738-46FF-BB92-4A862D5EF1BE}" srcOrd="1" destOrd="0" presId="urn:microsoft.com/office/officeart/2005/8/layout/hierarchy5"/>
    <dgm:cxn modelId="{A2C3E32B-6E3B-4A10-B903-DE45DA9B4F3C}" type="presParOf" srcId="{3E84FA38-9738-46FF-BB92-4A862D5EF1BE}" destId="{A12466D4-927C-431C-80B6-A8B5D201488D}" srcOrd="0" destOrd="0" presId="urn:microsoft.com/office/officeart/2005/8/layout/hierarchy5"/>
    <dgm:cxn modelId="{736CD38D-27EF-49EC-BBFE-FA4E65AE6C87}" type="presParOf" srcId="{A12466D4-927C-431C-80B6-A8B5D201488D}" destId="{3D06CE43-86E2-4E38-81A4-434679DCF222}" srcOrd="0" destOrd="0" presId="urn:microsoft.com/office/officeart/2005/8/layout/hierarchy5"/>
    <dgm:cxn modelId="{D1BB26BD-F557-434A-9711-793ECA7F30AF}" type="presParOf" srcId="{3E84FA38-9738-46FF-BB92-4A862D5EF1BE}" destId="{D66D7D8B-7929-4CB4-B997-54B228465232}" srcOrd="1" destOrd="0" presId="urn:microsoft.com/office/officeart/2005/8/layout/hierarchy5"/>
    <dgm:cxn modelId="{3F72A7B0-A18E-4C9B-87EA-F9D19CF81AEC}" type="presParOf" srcId="{D66D7D8B-7929-4CB4-B997-54B228465232}" destId="{F9C928B2-B9A6-41BE-A911-DA9FBF3E49F9}" srcOrd="0" destOrd="0" presId="urn:microsoft.com/office/officeart/2005/8/layout/hierarchy5"/>
    <dgm:cxn modelId="{254C60FE-910B-4912-896E-6E58663F34D6}" type="presParOf" srcId="{D66D7D8B-7929-4CB4-B997-54B228465232}" destId="{A070AE98-61C7-441D-9E78-216D9DD35069}" srcOrd="1" destOrd="0" presId="urn:microsoft.com/office/officeart/2005/8/layout/hierarchy5"/>
    <dgm:cxn modelId="{C8C444C5-CC19-4163-859F-9C639ACE14AF}" type="presParOf" srcId="{0988A7CC-65A8-4F47-B20C-51600568E9E9}" destId="{A0D84A91-8390-4DB2-9E8A-4BC1441889C5}" srcOrd="1" destOrd="0" presId="urn:microsoft.com/office/officeart/2005/8/layout/hierarchy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C6C30F5-B7BE-46A8-867E-33B8D220C33B}" type="doc">
      <dgm:prSet loTypeId="urn:microsoft.com/office/officeart/2005/8/layout/hierarchy5" loCatId="hierarchy" qsTypeId="urn:microsoft.com/office/officeart/2005/8/quickstyle/simple1" qsCatId="simple" csTypeId="urn:microsoft.com/office/officeart/2005/8/colors/accent0_1" csCatId="mainScheme" phldr="1"/>
      <dgm:spPr/>
      <dgm:t>
        <a:bodyPr/>
        <a:lstStyle/>
        <a:p>
          <a:endParaRPr lang="en-US"/>
        </a:p>
      </dgm:t>
    </dgm:pt>
    <dgm:pt modelId="{7105F1A1-E423-4A8C-A464-1CFF5FDC154C}">
      <dgm:prSet phldrT="[Text]" custT="1"/>
      <dgm:spPr/>
      <dgm:t>
        <a:bodyPr/>
        <a:lstStyle/>
        <a:p>
          <a:r>
            <a:rPr lang="en-US" sz="900">
              <a:latin typeface="Palatino Linotype" panose="02040502050505030304" pitchFamily="18" charset="0"/>
            </a:rPr>
            <a:t>Politics: Social Constructions, Bargaining,Coalition Building</a:t>
          </a:r>
        </a:p>
      </dgm:t>
    </dgm:pt>
    <dgm:pt modelId="{969FD4EE-9A0C-422D-BF77-73C986454423}" type="parTrans" cxnId="{D889719D-8D49-48EE-AB51-97BC77180DB9}">
      <dgm:prSet/>
      <dgm:spPr/>
      <dgm:t>
        <a:bodyPr/>
        <a:lstStyle/>
        <a:p>
          <a:endParaRPr lang="en-US" sz="2000">
            <a:solidFill>
              <a:sysClr val="windowText" lastClr="000000"/>
            </a:solidFill>
            <a:latin typeface="Palatino Linotype" panose="02040502050505030304" pitchFamily="18" charset="0"/>
          </a:endParaRPr>
        </a:p>
      </dgm:t>
    </dgm:pt>
    <dgm:pt modelId="{920E5294-BFD7-412A-9996-197066DC2E9B}" type="sibTrans" cxnId="{D889719D-8D49-48EE-AB51-97BC77180DB9}">
      <dgm:prSet/>
      <dgm:spPr/>
      <dgm:t>
        <a:bodyPr/>
        <a:lstStyle/>
        <a:p>
          <a:endParaRPr lang="en-US" sz="2000">
            <a:solidFill>
              <a:sysClr val="windowText" lastClr="000000"/>
            </a:solidFill>
            <a:latin typeface="Palatino Linotype" panose="02040502050505030304" pitchFamily="18" charset="0"/>
          </a:endParaRPr>
        </a:p>
      </dgm:t>
    </dgm:pt>
    <dgm:pt modelId="{ED6867AA-5CD0-48CE-8A73-DEDC1F0DDEAB}">
      <dgm:prSet phldrT="[Text]" custT="1"/>
      <dgm:spPr/>
      <dgm:t>
        <a:bodyPr/>
        <a:lstStyle/>
        <a:p>
          <a:r>
            <a:rPr lang="en-US" sz="900">
              <a:latin typeface="Palatino Linotype" panose="02040502050505030304" pitchFamily="18" charset="0"/>
            </a:rPr>
            <a:t>Political Outcomes</a:t>
          </a:r>
        </a:p>
      </dgm:t>
    </dgm:pt>
    <dgm:pt modelId="{F8EFF013-84F4-4181-BB14-447E4DC84B03}" type="parTrans" cxnId="{2786CB8F-AEF5-4FB8-BDC1-A09EAE625D98}">
      <dgm:prSet custT="1"/>
      <dgm:spPr>
        <a:blipFill rotWithShape="0">
          <a:blip xmlns:r="http://schemas.openxmlformats.org/officeDocument/2006/relationships" r:embed="rId1"/>
          <a:srcRect/>
          <a:stretch>
            <a:fillRect l="-204000" r="-204000"/>
          </a:stretch>
        </a:blipFill>
      </dgm:spPr>
      <dgm:t>
        <a:bodyPr/>
        <a:lstStyle/>
        <a:p>
          <a:endParaRPr lang="en-US" sz="600">
            <a:solidFill>
              <a:sysClr val="windowText" lastClr="000000"/>
            </a:solidFill>
            <a:latin typeface="Palatino Linotype" panose="02040502050505030304" pitchFamily="18" charset="0"/>
          </a:endParaRPr>
        </a:p>
      </dgm:t>
    </dgm:pt>
    <dgm:pt modelId="{8E2CB5F3-82B4-43A8-8C33-3EA41AB32936}" type="sibTrans" cxnId="{2786CB8F-AEF5-4FB8-BDC1-A09EAE625D98}">
      <dgm:prSet/>
      <dgm:spPr/>
      <dgm:t>
        <a:bodyPr/>
        <a:lstStyle/>
        <a:p>
          <a:endParaRPr lang="en-US" sz="2000">
            <a:solidFill>
              <a:sysClr val="windowText" lastClr="000000"/>
            </a:solidFill>
            <a:latin typeface="Palatino Linotype" panose="02040502050505030304" pitchFamily="18" charset="0"/>
          </a:endParaRPr>
        </a:p>
      </dgm:t>
    </dgm:pt>
    <dgm:pt modelId="{4E084812-C6EC-4D54-8230-35FF0FA2BDA3}">
      <dgm:prSet custT="1"/>
      <dgm:spPr/>
      <dgm:t>
        <a:bodyPr/>
        <a:lstStyle/>
        <a:p>
          <a:r>
            <a:rPr lang="en-US" sz="900">
              <a:latin typeface="Palatino Linotype" panose="02040502050505030304" pitchFamily="18" charset="0"/>
            </a:rPr>
            <a:t>Statutory Design: Eligibility Requirements &amp; Tools</a:t>
          </a:r>
          <a:endParaRPr lang="en-US" sz="900"/>
        </a:p>
      </dgm:t>
    </dgm:pt>
    <dgm:pt modelId="{E257F640-2D71-47B4-BD5D-652C6E65E04E}" type="parTrans" cxnId="{CD65CA93-4CCA-4B7A-9B0E-A8AA82BC8C0C}">
      <dgm:prSet custT="1"/>
      <dgm:spPr>
        <a:blipFill rotWithShape="0">
          <a:blip xmlns:r="http://schemas.openxmlformats.org/officeDocument/2006/relationships" r:embed="rId2"/>
          <a:srcRect/>
          <a:stretch>
            <a:fillRect l="-584000" r="-584000"/>
          </a:stretch>
        </a:blipFill>
      </dgm:spPr>
      <dgm:t>
        <a:bodyPr/>
        <a:lstStyle/>
        <a:p>
          <a:endParaRPr lang="en-US" sz="600"/>
        </a:p>
      </dgm:t>
    </dgm:pt>
    <dgm:pt modelId="{BBEB3A72-0B21-4656-9F39-D7A7A8B1296A}" type="sibTrans" cxnId="{CD65CA93-4CCA-4B7A-9B0E-A8AA82BC8C0C}">
      <dgm:prSet/>
      <dgm:spPr/>
      <dgm:t>
        <a:bodyPr/>
        <a:lstStyle/>
        <a:p>
          <a:endParaRPr lang="en-US" sz="2000"/>
        </a:p>
      </dgm:t>
    </dgm:pt>
    <dgm:pt modelId="{0988A7CC-65A8-4F47-B20C-51600568E9E9}" type="pres">
      <dgm:prSet presAssocID="{AC6C30F5-B7BE-46A8-867E-33B8D220C33B}" presName="mainComposite" presStyleCnt="0">
        <dgm:presLayoutVars>
          <dgm:chPref val="1"/>
          <dgm:dir/>
          <dgm:animOne val="branch"/>
          <dgm:animLvl val="lvl"/>
          <dgm:resizeHandles val="exact"/>
        </dgm:presLayoutVars>
      </dgm:prSet>
      <dgm:spPr/>
    </dgm:pt>
    <dgm:pt modelId="{FC359C9E-40A3-4317-8835-DC61B876E29F}" type="pres">
      <dgm:prSet presAssocID="{AC6C30F5-B7BE-46A8-867E-33B8D220C33B}" presName="hierFlow" presStyleCnt="0"/>
      <dgm:spPr/>
    </dgm:pt>
    <dgm:pt modelId="{76561CB4-531D-4D57-B4BA-2517DB06E60E}" type="pres">
      <dgm:prSet presAssocID="{AC6C30F5-B7BE-46A8-867E-33B8D220C33B}" presName="hierChild1" presStyleCnt="0">
        <dgm:presLayoutVars>
          <dgm:chPref val="1"/>
          <dgm:animOne val="branch"/>
          <dgm:animLvl val="lvl"/>
        </dgm:presLayoutVars>
      </dgm:prSet>
      <dgm:spPr/>
    </dgm:pt>
    <dgm:pt modelId="{107EF1F2-D9C0-4D8D-A778-A9AC91F0BAF2}" type="pres">
      <dgm:prSet presAssocID="{7105F1A1-E423-4A8C-A464-1CFF5FDC154C}" presName="Name17" presStyleCnt="0"/>
      <dgm:spPr/>
    </dgm:pt>
    <dgm:pt modelId="{2920DE2E-E01A-464A-83C5-D57E7533CE1F}" type="pres">
      <dgm:prSet presAssocID="{7105F1A1-E423-4A8C-A464-1CFF5FDC154C}" presName="level1Shape" presStyleLbl="node0" presStyleIdx="0" presStyleCnt="1">
        <dgm:presLayoutVars>
          <dgm:chPref val="3"/>
        </dgm:presLayoutVars>
      </dgm:prSet>
      <dgm:spPr/>
    </dgm:pt>
    <dgm:pt modelId="{3E84FA38-9738-46FF-BB92-4A862D5EF1BE}" type="pres">
      <dgm:prSet presAssocID="{7105F1A1-E423-4A8C-A464-1CFF5FDC154C}" presName="hierChild2" presStyleCnt="0"/>
      <dgm:spPr/>
    </dgm:pt>
    <dgm:pt modelId="{F9F61920-14A8-45CA-9175-1C66182AF476}" type="pres">
      <dgm:prSet presAssocID="{E257F640-2D71-47B4-BD5D-652C6E65E04E}" presName="Name25" presStyleLbl="parChTrans1D2" presStyleIdx="0" presStyleCnt="1"/>
      <dgm:spPr/>
    </dgm:pt>
    <dgm:pt modelId="{B5E5A538-4244-443F-8E06-4F5EED6BCDAB}" type="pres">
      <dgm:prSet presAssocID="{E257F640-2D71-47B4-BD5D-652C6E65E04E}" presName="connTx" presStyleLbl="parChTrans1D2" presStyleIdx="0" presStyleCnt="1"/>
      <dgm:spPr/>
    </dgm:pt>
    <dgm:pt modelId="{C188AA2D-7660-49B8-822F-BA9876EBB05C}" type="pres">
      <dgm:prSet presAssocID="{4E084812-C6EC-4D54-8230-35FF0FA2BDA3}" presName="Name30" presStyleCnt="0"/>
      <dgm:spPr/>
    </dgm:pt>
    <dgm:pt modelId="{9F161DE7-50CF-430D-ABF4-8626A2A5A91F}" type="pres">
      <dgm:prSet presAssocID="{4E084812-C6EC-4D54-8230-35FF0FA2BDA3}" presName="level2Shape" presStyleLbl="node2" presStyleIdx="0" presStyleCnt="1"/>
      <dgm:spPr/>
    </dgm:pt>
    <dgm:pt modelId="{11F1CFA4-FD57-4131-A26E-FF892D431856}" type="pres">
      <dgm:prSet presAssocID="{4E084812-C6EC-4D54-8230-35FF0FA2BDA3}" presName="hierChild3" presStyleCnt="0"/>
      <dgm:spPr/>
    </dgm:pt>
    <dgm:pt modelId="{A12466D4-927C-431C-80B6-A8B5D201488D}" type="pres">
      <dgm:prSet presAssocID="{F8EFF013-84F4-4181-BB14-447E4DC84B03}" presName="Name25" presStyleLbl="parChTrans1D3" presStyleIdx="0" presStyleCnt="1"/>
      <dgm:spPr/>
    </dgm:pt>
    <dgm:pt modelId="{3D06CE43-86E2-4E38-81A4-434679DCF222}" type="pres">
      <dgm:prSet presAssocID="{F8EFF013-84F4-4181-BB14-447E4DC84B03}" presName="connTx" presStyleLbl="parChTrans1D3" presStyleIdx="0" presStyleCnt="1"/>
      <dgm:spPr/>
    </dgm:pt>
    <dgm:pt modelId="{D66D7D8B-7929-4CB4-B997-54B228465232}" type="pres">
      <dgm:prSet presAssocID="{ED6867AA-5CD0-48CE-8A73-DEDC1F0DDEAB}" presName="Name30" presStyleCnt="0"/>
      <dgm:spPr/>
    </dgm:pt>
    <dgm:pt modelId="{F9C928B2-B9A6-41BE-A911-DA9FBF3E49F9}" type="pres">
      <dgm:prSet presAssocID="{ED6867AA-5CD0-48CE-8A73-DEDC1F0DDEAB}" presName="level2Shape" presStyleLbl="node3" presStyleIdx="0" presStyleCnt="1" custLinFactNeighborX="26"/>
      <dgm:spPr/>
    </dgm:pt>
    <dgm:pt modelId="{A070AE98-61C7-441D-9E78-216D9DD35069}" type="pres">
      <dgm:prSet presAssocID="{ED6867AA-5CD0-48CE-8A73-DEDC1F0DDEAB}" presName="hierChild3" presStyleCnt="0"/>
      <dgm:spPr/>
    </dgm:pt>
    <dgm:pt modelId="{A0D84A91-8390-4DB2-9E8A-4BC1441889C5}" type="pres">
      <dgm:prSet presAssocID="{AC6C30F5-B7BE-46A8-867E-33B8D220C33B}" presName="bgShapesFlow" presStyleCnt="0"/>
      <dgm:spPr/>
    </dgm:pt>
  </dgm:ptLst>
  <dgm:cxnLst>
    <dgm:cxn modelId="{C475B605-7D0C-4EBC-9C18-89707C210955}" type="presOf" srcId="{E257F640-2D71-47B4-BD5D-652C6E65E04E}" destId="{B5E5A538-4244-443F-8E06-4F5EED6BCDAB}" srcOrd="1" destOrd="0" presId="urn:microsoft.com/office/officeart/2005/8/layout/hierarchy5"/>
    <dgm:cxn modelId="{C7973B2D-4747-4DED-A0DE-E9D42B836A47}" type="presOf" srcId="{AC6C30F5-B7BE-46A8-867E-33B8D220C33B}" destId="{0988A7CC-65A8-4F47-B20C-51600568E9E9}" srcOrd="0" destOrd="0" presId="urn:microsoft.com/office/officeart/2005/8/layout/hierarchy5"/>
    <dgm:cxn modelId="{50DBCC39-CEDB-402C-A0BD-3C009720282A}" type="presOf" srcId="{ED6867AA-5CD0-48CE-8A73-DEDC1F0DDEAB}" destId="{F9C928B2-B9A6-41BE-A911-DA9FBF3E49F9}" srcOrd="0" destOrd="0" presId="urn:microsoft.com/office/officeart/2005/8/layout/hierarchy5"/>
    <dgm:cxn modelId="{DFCE413E-71BC-4EC4-B0BD-9D4DCD9F83A0}" type="presOf" srcId="{E257F640-2D71-47B4-BD5D-652C6E65E04E}" destId="{F9F61920-14A8-45CA-9175-1C66182AF476}" srcOrd="0" destOrd="0" presId="urn:microsoft.com/office/officeart/2005/8/layout/hierarchy5"/>
    <dgm:cxn modelId="{A89F454A-D379-47E2-B192-5ED38B4CB27A}" type="presOf" srcId="{7105F1A1-E423-4A8C-A464-1CFF5FDC154C}" destId="{2920DE2E-E01A-464A-83C5-D57E7533CE1F}" srcOrd="0" destOrd="0" presId="urn:microsoft.com/office/officeart/2005/8/layout/hierarchy5"/>
    <dgm:cxn modelId="{9B7D1888-71CF-459F-AE7C-14AC49351720}" type="presOf" srcId="{F8EFF013-84F4-4181-BB14-447E4DC84B03}" destId="{3D06CE43-86E2-4E38-81A4-434679DCF222}" srcOrd="1" destOrd="0" presId="urn:microsoft.com/office/officeart/2005/8/layout/hierarchy5"/>
    <dgm:cxn modelId="{2786CB8F-AEF5-4FB8-BDC1-A09EAE625D98}" srcId="{4E084812-C6EC-4D54-8230-35FF0FA2BDA3}" destId="{ED6867AA-5CD0-48CE-8A73-DEDC1F0DDEAB}" srcOrd="0" destOrd="0" parTransId="{F8EFF013-84F4-4181-BB14-447E4DC84B03}" sibTransId="{8E2CB5F3-82B4-43A8-8C33-3EA41AB32936}"/>
    <dgm:cxn modelId="{CD65CA93-4CCA-4B7A-9B0E-A8AA82BC8C0C}" srcId="{7105F1A1-E423-4A8C-A464-1CFF5FDC154C}" destId="{4E084812-C6EC-4D54-8230-35FF0FA2BDA3}" srcOrd="0" destOrd="0" parTransId="{E257F640-2D71-47B4-BD5D-652C6E65E04E}" sibTransId="{BBEB3A72-0B21-4656-9F39-D7A7A8B1296A}"/>
    <dgm:cxn modelId="{1FEF0E9B-7228-4B64-9C4B-F3D6B0F89B1C}" type="presOf" srcId="{F8EFF013-84F4-4181-BB14-447E4DC84B03}" destId="{A12466D4-927C-431C-80B6-A8B5D201488D}" srcOrd="0" destOrd="0" presId="urn:microsoft.com/office/officeart/2005/8/layout/hierarchy5"/>
    <dgm:cxn modelId="{D889719D-8D49-48EE-AB51-97BC77180DB9}" srcId="{AC6C30F5-B7BE-46A8-867E-33B8D220C33B}" destId="{7105F1A1-E423-4A8C-A464-1CFF5FDC154C}" srcOrd="0" destOrd="0" parTransId="{969FD4EE-9A0C-422D-BF77-73C986454423}" sibTransId="{920E5294-BFD7-412A-9996-197066DC2E9B}"/>
    <dgm:cxn modelId="{5B4FF8EE-AE39-496F-BA73-147B8F52E4B2}" type="presOf" srcId="{4E084812-C6EC-4D54-8230-35FF0FA2BDA3}" destId="{9F161DE7-50CF-430D-ABF4-8626A2A5A91F}" srcOrd="0" destOrd="0" presId="urn:microsoft.com/office/officeart/2005/8/layout/hierarchy5"/>
    <dgm:cxn modelId="{C2B00FE1-01D7-4417-A18E-EF74ECD5B4AA}" type="presParOf" srcId="{0988A7CC-65A8-4F47-B20C-51600568E9E9}" destId="{FC359C9E-40A3-4317-8835-DC61B876E29F}" srcOrd="0" destOrd="0" presId="urn:microsoft.com/office/officeart/2005/8/layout/hierarchy5"/>
    <dgm:cxn modelId="{6F3B0364-E90B-46B5-845B-6BB9069AF2C4}" type="presParOf" srcId="{FC359C9E-40A3-4317-8835-DC61B876E29F}" destId="{76561CB4-531D-4D57-B4BA-2517DB06E60E}" srcOrd="0" destOrd="0" presId="urn:microsoft.com/office/officeart/2005/8/layout/hierarchy5"/>
    <dgm:cxn modelId="{6F8A3754-7E7C-423C-B28D-5F631CF3C23C}" type="presParOf" srcId="{76561CB4-531D-4D57-B4BA-2517DB06E60E}" destId="{107EF1F2-D9C0-4D8D-A778-A9AC91F0BAF2}" srcOrd="0" destOrd="0" presId="urn:microsoft.com/office/officeart/2005/8/layout/hierarchy5"/>
    <dgm:cxn modelId="{836DEECD-FAA1-47CC-82B2-B543D45C77D1}" type="presParOf" srcId="{107EF1F2-D9C0-4D8D-A778-A9AC91F0BAF2}" destId="{2920DE2E-E01A-464A-83C5-D57E7533CE1F}" srcOrd="0" destOrd="0" presId="urn:microsoft.com/office/officeart/2005/8/layout/hierarchy5"/>
    <dgm:cxn modelId="{81E9A308-8037-4B7D-8CC0-60ACA7B5E779}" type="presParOf" srcId="{107EF1F2-D9C0-4D8D-A778-A9AC91F0BAF2}" destId="{3E84FA38-9738-46FF-BB92-4A862D5EF1BE}" srcOrd="1" destOrd="0" presId="urn:microsoft.com/office/officeart/2005/8/layout/hierarchy5"/>
    <dgm:cxn modelId="{BD2D678A-FD47-4590-AE24-A71D08FA8946}" type="presParOf" srcId="{3E84FA38-9738-46FF-BB92-4A862D5EF1BE}" destId="{F9F61920-14A8-45CA-9175-1C66182AF476}" srcOrd="0" destOrd="0" presId="urn:microsoft.com/office/officeart/2005/8/layout/hierarchy5"/>
    <dgm:cxn modelId="{D2DE6D4E-B4CD-42C3-B575-EF1446DFA5CE}" type="presParOf" srcId="{F9F61920-14A8-45CA-9175-1C66182AF476}" destId="{B5E5A538-4244-443F-8E06-4F5EED6BCDAB}" srcOrd="0" destOrd="0" presId="urn:microsoft.com/office/officeart/2005/8/layout/hierarchy5"/>
    <dgm:cxn modelId="{FCFE388B-CEBB-4D63-A12F-665F0841EF97}" type="presParOf" srcId="{3E84FA38-9738-46FF-BB92-4A862D5EF1BE}" destId="{C188AA2D-7660-49B8-822F-BA9876EBB05C}" srcOrd="1" destOrd="0" presId="urn:microsoft.com/office/officeart/2005/8/layout/hierarchy5"/>
    <dgm:cxn modelId="{E6325BE6-87EF-4D71-A8BC-142923C2F7F6}" type="presParOf" srcId="{C188AA2D-7660-49B8-822F-BA9876EBB05C}" destId="{9F161DE7-50CF-430D-ABF4-8626A2A5A91F}" srcOrd="0" destOrd="0" presId="urn:microsoft.com/office/officeart/2005/8/layout/hierarchy5"/>
    <dgm:cxn modelId="{476D4EFE-1F4B-4E94-8861-2A420698057C}" type="presParOf" srcId="{C188AA2D-7660-49B8-822F-BA9876EBB05C}" destId="{11F1CFA4-FD57-4131-A26E-FF892D431856}" srcOrd="1" destOrd="0" presId="urn:microsoft.com/office/officeart/2005/8/layout/hierarchy5"/>
    <dgm:cxn modelId="{0105E2F2-F319-4A67-BA44-2C07A529EE8D}" type="presParOf" srcId="{11F1CFA4-FD57-4131-A26E-FF892D431856}" destId="{A12466D4-927C-431C-80B6-A8B5D201488D}" srcOrd="0" destOrd="0" presId="urn:microsoft.com/office/officeart/2005/8/layout/hierarchy5"/>
    <dgm:cxn modelId="{381E9C1C-E6E2-4987-977D-C8A327B70CF4}" type="presParOf" srcId="{A12466D4-927C-431C-80B6-A8B5D201488D}" destId="{3D06CE43-86E2-4E38-81A4-434679DCF222}" srcOrd="0" destOrd="0" presId="urn:microsoft.com/office/officeart/2005/8/layout/hierarchy5"/>
    <dgm:cxn modelId="{E92AE1EC-8974-4407-B0CF-B79557E39D53}" type="presParOf" srcId="{11F1CFA4-FD57-4131-A26E-FF892D431856}" destId="{D66D7D8B-7929-4CB4-B997-54B228465232}" srcOrd="1" destOrd="0" presId="urn:microsoft.com/office/officeart/2005/8/layout/hierarchy5"/>
    <dgm:cxn modelId="{F551D3A2-D977-42F7-BBE8-A64CECBDE781}" type="presParOf" srcId="{D66D7D8B-7929-4CB4-B997-54B228465232}" destId="{F9C928B2-B9A6-41BE-A911-DA9FBF3E49F9}" srcOrd="0" destOrd="0" presId="urn:microsoft.com/office/officeart/2005/8/layout/hierarchy5"/>
    <dgm:cxn modelId="{4988C756-6B7F-491E-9F52-78F5A88C9200}" type="presParOf" srcId="{D66D7D8B-7929-4CB4-B997-54B228465232}" destId="{A070AE98-61C7-441D-9E78-216D9DD35069}" srcOrd="1" destOrd="0" presId="urn:microsoft.com/office/officeart/2005/8/layout/hierarchy5"/>
    <dgm:cxn modelId="{C8C444C5-CC19-4163-859F-9C639ACE14AF}" type="presParOf" srcId="{0988A7CC-65A8-4F47-B20C-51600568E9E9}" destId="{A0D84A91-8390-4DB2-9E8A-4BC1441889C5}" srcOrd="1" destOrd="0" presId="urn:microsoft.com/office/officeart/2005/8/layout/hierarchy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C6C30F5-B7BE-46A8-867E-33B8D220C33B}" type="doc">
      <dgm:prSet loTypeId="urn:microsoft.com/office/officeart/2005/8/layout/hierarchy5" loCatId="hierarchy" qsTypeId="urn:microsoft.com/office/officeart/2005/8/quickstyle/simple1" qsCatId="simple" csTypeId="urn:microsoft.com/office/officeart/2005/8/colors/accent0_1" csCatId="mainScheme" phldr="1"/>
      <dgm:spPr/>
      <dgm:t>
        <a:bodyPr/>
        <a:lstStyle/>
        <a:p>
          <a:endParaRPr lang="en-US"/>
        </a:p>
      </dgm:t>
    </dgm:pt>
    <dgm:pt modelId="{ED6867AA-5CD0-48CE-8A73-DEDC1F0DDEAB}">
      <dgm:prSet phldrT="[Text]" custT="1"/>
      <dgm:spPr/>
      <dgm:t>
        <a:bodyPr/>
        <a:lstStyle/>
        <a:p>
          <a:r>
            <a:rPr lang="en-US" sz="1000">
              <a:latin typeface="Palatino Linotype" panose="02040502050505030304" pitchFamily="18" charset="0"/>
            </a:rPr>
            <a:t>Access to Public Programs</a:t>
          </a:r>
        </a:p>
      </dgm:t>
    </dgm:pt>
    <dgm:pt modelId="{F8EFF013-84F4-4181-BB14-447E4DC84B03}" type="parTrans" cxnId="{2786CB8F-AEF5-4FB8-BDC1-A09EAE625D98}">
      <dgm:prSet custT="1"/>
      <dgm:spPr>
        <a:blipFill rotWithShape="0">
          <a:blip xmlns:r="http://schemas.openxmlformats.org/officeDocument/2006/relationships" r:embed="rId1"/>
          <a:srcRect/>
          <a:stretch>
            <a:fillRect l="-204000" r="-204000"/>
          </a:stretch>
        </a:blipFill>
      </dgm:spPr>
      <dgm:t>
        <a:bodyPr/>
        <a:lstStyle/>
        <a:p>
          <a:endParaRPr lang="en-US" sz="800">
            <a:solidFill>
              <a:sysClr val="windowText" lastClr="000000"/>
            </a:solidFill>
            <a:latin typeface="Palatino Linotype" panose="02040502050505030304" pitchFamily="18" charset="0"/>
          </a:endParaRPr>
        </a:p>
      </dgm:t>
    </dgm:pt>
    <dgm:pt modelId="{8E2CB5F3-82B4-43A8-8C33-3EA41AB32936}" type="sibTrans" cxnId="{2786CB8F-AEF5-4FB8-BDC1-A09EAE625D98}">
      <dgm:prSet/>
      <dgm:spPr/>
      <dgm:t>
        <a:bodyPr/>
        <a:lstStyle/>
        <a:p>
          <a:endParaRPr lang="en-US" sz="2800">
            <a:solidFill>
              <a:sysClr val="windowText" lastClr="000000"/>
            </a:solidFill>
            <a:latin typeface="Palatino Linotype" panose="02040502050505030304" pitchFamily="18" charset="0"/>
          </a:endParaRPr>
        </a:p>
      </dgm:t>
    </dgm:pt>
    <dgm:pt modelId="{4E084812-C6EC-4D54-8230-35FF0FA2BDA3}">
      <dgm:prSet custT="1"/>
      <dgm:spPr/>
      <dgm:t>
        <a:bodyPr/>
        <a:lstStyle/>
        <a:p>
          <a:r>
            <a:rPr lang="en-US" sz="1000">
              <a:latin typeface="Palatino Linotype" panose="02040502050505030304" pitchFamily="18" charset="0"/>
            </a:rPr>
            <a:t>Politics of Implementation: Strategic Use of Discretion</a:t>
          </a:r>
          <a:endParaRPr lang="en-US" sz="1000"/>
        </a:p>
      </dgm:t>
    </dgm:pt>
    <dgm:pt modelId="{E257F640-2D71-47B4-BD5D-652C6E65E04E}" type="parTrans" cxnId="{CD65CA93-4CCA-4B7A-9B0E-A8AA82BC8C0C}">
      <dgm:prSet custT="1"/>
      <dgm:spPr>
        <a:blipFill rotWithShape="0">
          <a:blip xmlns:r="http://schemas.openxmlformats.org/officeDocument/2006/relationships" r:embed="rId1"/>
          <a:srcRect/>
          <a:stretch>
            <a:fillRect l="-204000" r="-204000"/>
          </a:stretch>
        </a:blipFill>
      </dgm:spPr>
      <dgm:t>
        <a:bodyPr/>
        <a:lstStyle/>
        <a:p>
          <a:endParaRPr lang="en-US" sz="800"/>
        </a:p>
      </dgm:t>
    </dgm:pt>
    <dgm:pt modelId="{BBEB3A72-0B21-4656-9F39-D7A7A8B1296A}" type="sibTrans" cxnId="{CD65CA93-4CCA-4B7A-9B0E-A8AA82BC8C0C}">
      <dgm:prSet/>
      <dgm:spPr/>
      <dgm:t>
        <a:bodyPr/>
        <a:lstStyle/>
        <a:p>
          <a:endParaRPr lang="en-US" sz="2800"/>
        </a:p>
      </dgm:t>
    </dgm:pt>
    <dgm:pt modelId="{325D6F46-6167-4660-ABCE-5A09CE505351}">
      <dgm:prSet custT="1"/>
      <dgm:spPr/>
      <dgm:t>
        <a:bodyPr/>
        <a:lstStyle/>
        <a:p>
          <a:r>
            <a:rPr lang="en-US" sz="1000">
              <a:latin typeface="Palatino Linotype" panose="02040502050505030304" pitchFamily="18" charset="0"/>
            </a:rPr>
            <a:t>Statutory Design</a:t>
          </a:r>
          <a:endParaRPr lang="en-US" sz="1000">
            <a:highlight>
              <a:srgbClr val="FFFF00"/>
            </a:highlight>
          </a:endParaRPr>
        </a:p>
      </dgm:t>
    </dgm:pt>
    <dgm:pt modelId="{BF76A1F3-C583-4CBD-9467-BBB08C142302}" type="parTrans" cxnId="{BBFA2EC4-11F0-4BFC-A25B-A2C14961D834}">
      <dgm:prSet custT="1"/>
      <dgm:spPr/>
      <dgm:t>
        <a:bodyPr/>
        <a:lstStyle/>
        <a:p>
          <a:endParaRPr lang="en-US" sz="800"/>
        </a:p>
      </dgm:t>
    </dgm:pt>
    <dgm:pt modelId="{8B113DCD-BB8D-4008-8038-39D1D7609D38}" type="sibTrans" cxnId="{BBFA2EC4-11F0-4BFC-A25B-A2C14961D834}">
      <dgm:prSet/>
      <dgm:spPr/>
      <dgm:t>
        <a:bodyPr/>
        <a:lstStyle/>
        <a:p>
          <a:endParaRPr lang="en-US" sz="2800"/>
        </a:p>
      </dgm:t>
    </dgm:pt>
    <dgm:pt modelId="{0988A7CC-65A8-4F47-B20C-51600568E9E9}" type="pres">
      <dgm:prSet presAssocID="{AC6C30F5-B7BE-46A8-867E-33B8D220C33B}" presName="mainComposite" presStyleCnt="0">
        <dgm:presLayoutVars>
          <dgm:chPref val="1"/>
          <dgm:dir/>
          <dgm:animOne val="branch"/>
          <dgm:animLvl val="lvl"/>
          <dgm:resizeHandles val="exact"/>
        </dgm:presLayoutVars>
      </dgm:prSet>
      <dgm:spPr/>
    </dgm:pt>
    <dgm:pt modelId="{FC359C9E-40A3-4317-8835-DC61B876E29F}" type="pres">
      <dgm:prSet presAssocID="{AC6C30F5-B7BE-46A8-867E-33B8D220C33B}" presName="hierFlow" presStyleCnt="0"/>
      <dgm:spPr/>
    </dgm:pt>
    <dgm:pt modelId="{76561CB4-531D-4D57-B4BA-2517DB06E60E}" type="pres">
      <dgm:prSet presAssocID="{AC6C30F5-B7BE-46A8-867E-33B8D220C33B}" presName="hierChild1" presStyleCnt="0">
        <dgm:presLayoutVars>
          <dgm:chPref val="1"/>
          <dgm:animOne val="branch"/>
          <dgm:animLvl val="lvl"/>
        </dgm:presLayoutVars>
      </dgm:prSet>
      <dgm:spPr/>
    </dgm:pt>
    <dgm:pt modelId="{239A262E-4AD5-4ACA-B5A1-16614F79AAE8}" type="pres">
      <dgm:prSet presAssocID="{325D6F46-6167-4660-ABCE-5A09CE505351}" presName="Name17" presStyleCnt="0"/>
      <dgm:spPr/>
    </dgm:pt>
    <dgm:pt modelId="{C9DAA61D-07F5-4083-986F-5EDD434F177C}" type="pres">
      <dgm:prSet presAssocID="{325D6F46-6167-4660-ABCE-5A09CE505351}" presName="level1Shape" presStyleLbl="node0" presStyleIdx="0" presStyleCnt="1" custScaleX="86657" custScaleY="82434">
        <dgm:presLayoutVars>
          <dgm:chPref val="3"/>
        </dgm:presLayoutVars>
      </dgm:prSet>
      <dgm:spPr/>
    </dgm:pt>
    <dgm:pt modelId="{5295661C-0F04-42C5-9BFF-4FC196044846}" type="pres">
      <dgm:prSet presAssocID="{325D6F46-6167-4660-ABCE-5A09CE505351}" presName="hierChild2" presStyleCnt="0"/>
      <dgm:spPr/>
    </dgm:pt>
    <dgm:pt modelId="{F9F61920-14A8-45CA-9175-1C66182AF476}" type="pres">
      <dgm:prSet presAssocID="{E257F640-2D71-47B4-BD5D-652C6E65E04E}" presName="Name25" presStyleLbl="parChTrans1D2" presStyleIdx="0" presStyleCnt="1"/>
      <dgm:spPr/>
    </dgm:pt>
    <dgm:pt modelId="{B5E5A538-4244-443F-8E06-4F5EED6BCDAB}" type="pres">
      <dgm:prSet presAssocID="{E257F640-2D71-47B4-BD5D-652C6E65E04E}" presName="connTx" presStyleLbl="parChTrans1D2" presStyleIdx="0" presStyleCnt="1"/>
      <dgm:spPr/>
    </dgm:pt>
    <dgm:pt modelId="{C188AA2D-7660-49B8-822F-BA9876EBB05C}" type="pres">
      <dgm:prSet presAssocID="{4E084812-C6EC-4D54-8230-35FF0FA2BDA3}" presName="Name30" presStyleCnt="0"/>
      <dgm:spPr/>
    </dgm:pt>
    <dgm:pt modelId="{9F161DE7-50CF-430D-ABF4-8626A2A5A91F}" type="pres">
      <dgm:prSet presAssocID="{4E084812-C6EC-4D54-8230-35FF0FA2BDA3}" presName="level2Shape" presStyleLbl="node2" presStyleIdx="0" presStyleCnt="1" custScaleX="79233" custScaleY="96682" custLinFactNeighborX="-4568"/>
      <dgm:spPr/>
    </dgm:pt>
    <dgm:pt modelId="{11F1CFA4-FD57-4131-A26E-FF892D431856}" type="pres">
      <dgm:prSet presAssocID="{4E084812-C6EC-4D54-8230-35FF0FA2BDA3}" presName="hierChild3" presStyleCnt="0"/>
      <dgm:spPr/>
    </dgm:pt>
    <dgm:pt modelId="{A12466D4-927C-431C-80B6-A8B5D201488D}" type="pres">
      <dgm:prSet presAssocID="{F8EFF013-84F4-4181-BB14-447E4DC84B03}" presName="Name25" presStyleLbl="parChTrans1D3" presStyleIdx="0" presStyleCnt="1"/>
      <dgm:spPr/>
    </dgm:pt>
    <dgm:pt modelId="{3D06CE43-86E2-4E38-81A4-434679DCF222}" type="pres">
      <dgm:prSet presAssocID="{F8EFF013-84F4-4181-BB14-447E4DC84B03}" presName="connTx" presStyleLbl="parChTrans1D3" presStyleIdx="0" presStyleCnt="1"/>
      <dgm:spPr/>
    </dgm:pt>
    <dgm:pt modelId="{D66D7D8B-7929-4CB4-B997-54B228465232}" type="pres">
      <dgm:prSet presAssocID="{ED6867AA-5CD0-48CE-8A73-DEDC1F0DDEAB}" presName="Name30" presStyleCnt="0"/>
      <dgm:spPr/>
    </dgm:pt>
    <dgm:pt modelId="{F9C928B2-B9A6-41BE-A911-DA9FBF3E49F9}" type="pres">
      <dgm:prSet presAssocID="{ED6867AA-5CD0-48CE-8A73-DEDC1F0DDEAB}" presName="level2Shape" presStyleLbl="node3" presStyleIdx="0" presStyleCnt="1" custScaleX="78074" custScaleY="86505" custLinFactNeighborX="-6944"/>
      <dgm:spPr/>
    </dgm:pt>
    <dgm:pt modelId="{A070AE98-61C7-441D-9E78-216D9DD35069}" type="pres">
      <dgm:prSet presAssocID="{ED6867AA-5CD0-48CE-8A73-DEDC1F0DDEAB}" presName="hierChild3" presStyleCnt="0"/>
      <dgm:spPr/>
    </dgm:pt>
    <dgm:pt modelId="{A0D84A91-8390-4DB2-9E8A-4BC1441889C5}" type="pres">
      <dgm:prSet presAssocID="{AC6C30F5-B7BE-46A8-867E-33B8D220C33B}" presName="bgShapesFlow" presStyleCnt="0"/>
      <dgm:spPr/>
    </dgm:pt>
  </dgm:ptLst>
  <dgm:cxnLst>
    <dgm:cxn modelId="{C7973B2D-4747-4DED-A0DE-E9D42B836A47}" type="presOf" srcId="{AC6C30F5-B7BE-46A8-867E-33B8D220C33B}" destId="{0988A7CC-65A8-4F47-B20C-51600568E9E9}" srcOrd="0" destOrd="0" presId="urn:microsoft.com/office/officeart/2005/8/layout/hierarchy5"/>
    <dgm:cxn modelId="{97E22147-B1DF-4E67-A42D-07E0A16AE41D}" type="presOf" srcId="{F8EFF013-84F4-4181-BB14-447E4DC84B03}" destId="{3D06CE43-86E2-4E38-81A4-434679DCF222}" srcOrd="1" destOrd="0" presId="urn:microsoft.com/office/officeart/2005/8/layout/hierarchy5"/>
    <dgm:cxn modelId="{1BF19E50-43C5-426C-9696-69BA220612C7}" type="presOf" srcId="{F8EFF013-84F4-4181-BB14-447E4DC84B03}" destId="{A12466D4-927C-431C-80B6-A8B5D201488D}" srcOrd="0" destOrd="0" presId="urn:microsoft.com/office/officeart/2005/8/layout/hierarchy5"/>
    <dgm:cxn modelId="{5D9B1071-B272-4B9D-85B4-50DD85CF6599}" type="presOf" srcId="{325D6F46-6167-4660-ABCE-5A09CE505351}" destId="{C9DAA61D-07F5-4083-986F-5EDD434F177C}" srcOrd="0" destOrd="0" presId="urn:microsoft.com/office/officeart/2005/8/layout/hierarchy5"/>
    <dgm:cxn modelId="{BD33277A-D1C4-401B-BA98-497329976B46}" type="presOf" srcId="{4E084812-C6EC-4D54-8230-35FF0FA2BDA3}" destId="{9F161DE7-50CF-430D-ABF4-8626A2A5A91F}" srcOrd="0" destOrd="0" presId="urn:microsoft.com/office/officeart/2005/8/layout/hierarchy5"/>
    <dgm:cxn modelId="{2786CB8F-AEF5-4FB8-BDC1-A09EAE625D98}" srcId="{4E084812-C6EC-4D54-8230-35FF0FA2BDA3}" destId="{ED6867AA-5CD0-48CE-8A73-DEDC1F0DDEAB}" srcOrd="0" destOrd="0" parTransId="{F8EFF013-84F4-4181-BB14-447E4DC84B03}" sibTransId="{8E2CB5F3-82B4-43A8-8C33-3EA41AB32936}"/>
    <dgm:cxn modelId="{CD65CA93-4CCA-4B7A-9B0E-A8AA82BC8C0C}" srcId="{325D6F46-6167-4660-ABCE-5A09CE505351}" destId="{4E084812-C6EC-4D54-8230-35FF0FA2BDA3}" srcOrd="0" destOrd="0" parTransId="{E257F640-2D71-47B4-BD5D-652C6E65E04E}" sibTransId="{BBEB3A72-0B21-4656-9F39-D7A7A8B1296A}"/>
    <dgm:cxn modelId="{A064A8A4-89E2-41E2-9878-C2EDB74302C6}" type="presOf" srcId="{ED6867AA-5CD0-48CE-8A73-DEDC1F0DDEAB}" destId="{F9C928B2-B9A6-41BE-A911-DA9FBF3E49F9}" srcOrd="0" destOrd="0" presId="urn:microsoft.com/office/officeart/2005/8/layout/hierarchy5"/>
    <dgm:cxn modelId="{BBFA2EC4-11F0-4BFC-A25B-A2C14961D834}" srcId="{AC6C30F5-B7BE-46A8-867E-33B8D220C33B}" destId="{325D6F46-6167-4660-ABCE-5A09CE505351}" srcOrd="0" destOrd="0" parTransId="{BF76A1F3-C583-4CBD-9467-BBB08C142302}" sibTransId="{8B113DCD-BB8D-4008-8038-39D1D7609D38}"/>
    <dgm:cxn modelId="{BFD5DEE6-614F-46B2-B9EC-8A9C0FB11AEB}" type="presOf" srcId="{E257F640-2D71-47B4-BD5D-652C6E65E04E}" destId="{F9F61920-14A8-45CA-9175-1C66182AF476}" srcOrd="0" destOrd="0" presId="urn:microsoft.com/office/officeart/2005/8/layout/hierarchy5"/>
    <dgm:cxn modelId="{A2474AF9-6872-4429-BB99-2AA56FF90A60}" type="presOf" srcId="{E257F640-2D71-47B4-BD5D-652C6E65E04E}" destId="{B5E5A538-4244-443F-8E06-4F5EED6BCDAB}" srcOrd="1" destOrd="0" presId="urn:microsoft.com/office/officeart/2005/8/layout/hierarchy5"/>
    <dgm:cxn modelId="{C2B00FE1-01D7-4417-A18E-EF74ECD5B4AA}" type="presParOf" srcId="{0988A7CC-65A8-4F47-B20C-51600568E9E9}" destId="{FC359C9E-40A3-4317-8835-DC61B876E29F}" srcOrd="0" destOrd="0" presId="urn:microsoft.com/office/officeart/2005/8/layout/hierarchy5"/>
    <dgm:cxn modelId="{6F3B0364-E90B-46B5-845B-6BB9069AF2C4}" type="presParOf" srcId="{FC359C9E-40A3-4317-8835-DC61B876E29F}" destId="{76561CB4-531D-4D57-B4BA-2517DB06E60E}" srcOrd="0" destOrd="0" presId="urn:microsoft.com/office/officeart/2005/8/layout/hierarchy5"/>
    <dgm:cxn modelId="{9D017C83-856F-4496-A547-057A06885842}" type="presParOf" srcId="{76561CB4-531D-4D57-B4BA-2517DB06E60E}" destId="{239A262E-4AD5-4ACA-B5A1-16614F79AAE8}" srcOrd="0" destOrd="0" presId="urn:microsoft.com/office/officeart/2005/8/layout/hierarchy5"/>
    <dgm:cxn modelId="{BE30D0F6-7C19-4AF9-89B2-9D3B5BD0A9AB}" type="presParOf" srcId="{239A262E-4AD5-4ACA-B5A1-16614F79AAE8}" destId="{C9DAA61D-07F5-4083-986F-5EDD434F177C}" srcOrd="0" destOrd="0" presId="urn:microsoft.com/office/officeart/2005/8/layout/hierarchy5"/>
    <dgm:cxn modelId="{FCF394DD-108C-4A3E-9BB6-5293F30F58F7}" type="presParOf" srcId="{239A262E-4AD5-4ACA-B5A1-16614F79AAE8}" destId="{5295661C-0F04-42C5-9BFF-4FC196044846}" srcOrd="1" destOrd="0" presId="urn:microsoft.com/office/officeart/2005/8/layout/hierarchy5"/>
    <dgm:cxn modelId="{AF01CD64-D38B-4303-B81A-F957F3BC9EA6}" type="presParOf" srcId="{5295661C-0F04-42C5-9BFF-4FC196044846}" destId="{F9F61920-14A8-45CA-9175-1C66182AF476}" srcOrd="0" destOrd="0" presId="urn:microsoft.com/office/officeart/2005/8/layout/hierarchy5"/>
    <dgm:cxn modelId="{DD67B717-3B5F-437F-B7F5-F736B34754AF}" type="presParOf" srcId="{F9F61920-14A8-45CA-9175-1C66182AF476}" destId="{B5E5A538-4244-443F-8E06-4F5EED6BCDAB}" srcOrd="0" destOrd="0" presId="urn:microsoft.com/office/officeart/2005/8/layout/hierarchy5"/>
    <dgm:cxn modelId="{F1C157E4-C25C-4E26-A01C-B0C55E574B9F}" type="presParOf" srcId="{5295661C-0F04-42C5-9BFF-4FC196044846}" destId="{C188AA2D-7660-49B8-822F-BA9876EBB05C}" srcOrd="1" destOrd="0" presId="urn:microsoft.com/office/officeart/2005/8/layout/hierarchy5"/>
    <dgm:cxn modelId="{4A4B105F-6627-41F5-8051-CACA0309067D}" type="presParOf" srcId="{C188AA2D-7660-49B8-822F-BA9876EBB05C}" destId="{9F161DE7-50CF-430D-ABF4-8626A2A5A91F}" srcOrd="0" destOrd="0" presId="urn:microsoft.com/office/officeart/2005/8/layout/hierarchy5"/>
    <dgm:cxn modelId="{7A7DF08F-F3E1-420C-8D96-F1CAB2BA3129}" type="presParOf" srcId="{C188AA2D-7660-49B8-822F-BA9876EBB05C}" destId="{11F1CFA4-FD57-4131-A26E-FF892D431856}" srcOrd="1" destOrd="0" presId="urn:microsoft.com/office/officeart/2005/8/layout/hierarchy5"/>
    <dgm:cxn modelId="{17E00DA9-F951-4449-B6C0-9B79EA2DD5B6}" type="presParOf" srcId="{11F1CFA4-FD57-4131-A26E-FF892D431856}" destId="{A12466D4-927C-431C-80B6-A8B5D201488D}" srcOrd="0" destOrd="0" presId="urn:microsoft.com/office/officeart/2005/8/layout/hierarchy5"/>
    <dgm:cxn modelId="{F11856D8-15B2-419F-B62F-318E4F744F77}" type="presParOf" srcId="{A12466D4-927C-431C-80B6-A8B5D201488D}" destId="{3D06CE43-86E2-4E38-81A4-434679DCF222}" srcOrd="0" destOrd="0" presId="urn:microsoft.com/office/officeart/2005/8/layout/hierarchy5"/>
    <dgm:cxn modelId="{45319BBA-EA4B-43EE-9DE8-DDD6A5F447B6}" type="presParOf" srcId="{11F1CFA4-FD57-4131-A26E-FF892D431856}" destId="{D66D7D8B-7929-4CB4-B997-54B228465232}" srcOrd="1" destOrd="0" presId="urn:microsoft.com/office/officeart/2005/8/layout/hierarchy5"/>
    <dgm:cxn modelId="{520EE1FC-CDFE-4CDF-A8A8-471BCCC709B7}" type="presParOf" srcId="{D66D7D8B-7929-4CB4-B997-54B228465232}" destId="{F9C928B2-B9A6-41BE-A911-DA9FBF3E49F9}" srcOrd="0" destOrd="0" presId="urn:microsoft.com/office/officeart/2005/8/layout/hierarchy5"/>
    <dgm:cxn modelId="{F8E56FC1-FCF7-4361-B523-A661D55A0AE6}" type="presParOf" srcId="{D66D7D8B-7929-4CB4-B997-54B228465232}" destId="{A070AE98-61C7-441D-9E78-216D9DD35069}" srcOrd="1" destOrd="0" presId="urn:microsoft.com/office/officeart/2005/8/layout/hierarchy5"/>
    <dgm:cxn modelId="{C8C444C5-CC19-4163-859F-9C639ACE14AF}" type="presParOf" srcId="{0988A7CC-65A8-4F47-B20C-51600568E9E9}" destId="{A0D84A91-8390-4DB2-9E8A-4BC1441889C5}" srcOrd="1" destOrd="0" presId="urn:microsoft.com/office/officeart/2005/8/layout/hierarchy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BA4B24C3-1064-427D-9821-CA551FAA804C}">
      <dgm:prSet phldrT="[Text]"/>
      <dgm:spPr/>
      <dgm:t>
        <a:bodyPr/>
        <a:lstStyle/>
        <a:p>
          <a:r>
            <a:rPr lang="en-US">
              <a:latin typeface="Palatino Linotype" panose="02040502050505030304" pitchFamily="18" charset="0"/>
            </a:rPr>
            <a:t>Politics</a:t>
          </a:r>
        </a:p>
      </dgm:t>
    </dgm:pt>
    <dgm:pt modelId="{A22C9BE0-4A16-4F9F-8016-B06FB70181A3}" type="parTrans" cxnId="{B6CCBF4B-C92C-4209-AF2D-0AB90724F0F2}">
      <dgm:prSet/>
      <dgm:spPr/>
      <dgm:t>
        <a:bodyPr/>
        <a:lstStyle/>
        <a:p>
          <a:endParaRPr lang="en-US">
            <a:latin typeface="Palatino Linotype" panose="02040502050505030304" pitchFamily="18" charset="0"/>
          </a:endParaRPr>
        </a:p>
      </dgm:t>
    </dgm:pt>
    <dgm:pt modelId="{3A091D31-4A10-4966-8E3F-1D989DC88B59}" type="sibTrans" cxnId="{B6CCBF4B-C92C-4209-AF2D-0AB90724F0F2}">
      <dgm:prSet/>
      <dgm:spPr/>
      <dgm:t>
        <a:bodyPr/>
        <a:lstStyle/>
        <a:p>
          <a:endParaRPr lang="en-US">
            <a:latin typeface="Palatino Linotype" panose="02040502050505030304" pitchFamily="18" charset="0"/>
          </a:endParaRPr>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5B5C571A-E95A-4B4B-9E2C-A1581F0F9D75}">
      <dgm:prSet phldrT="[Text]"/>
      <dgm:spPr/>
      <dgm:t>
        <a:bodyPr/>
        <a:lstStyle/>
        <a:p>
          <a:r>
            <a:rPr lang="en-US">
              <a:latin typeface="Palatino Linotype" panose="02040502050505030304" pitchFamily="18" charset="0"/>
            </a:rPr>
            <a:t>Implementation</a:t>
          </a:r>
        </a:p>
      </dgm:t>
    </dgm:pt>
    <dgm:pt modelId="{92101118-F08F-4153-B22F-4364C51F2A88}" type="parTrans" cxnId="{6D4035D8-5D63-4CFB-890F-A37FBC995C97}">
      <dgm:prSet/>
      <dgm:spPr/>
      <dgm:t>
        <a:bodyPr/>
        <a:lstStyle/>
        <a:p>
          <a:endParaRPr lang="en-US">
            <a:latin typeface="Palatino Linotype" panose="02040502050505030304" pitchFamily="18" charset="0"/>
          </a:endParaRPr>
        </a:p>
      </dgm:t>
    </dgm:pt>
    <dgm:pt modelId="{6BE21506-9EFF-41E3-A776-386F440ABBE7}" type="sibTrans" cxnId="{6D4035D8-5D63-4CFB-890F-A37FBC995C97}">
      <dgm:prSet/>
      <dgm:spPr/>
      <dgm:t>
        <a:bodyPr/>
        <a:lstStyle/>
        <a:p>
          <a:endParaRPr lang="en-US">
            <a:latin typeface="Palatino Linotype" panose="02040502050505030304" pitchFamily="18" charset="0"/>
          </a:endParaRPr>
        </a:p>
      </dgm:t>
    </dgm:pt>
    <dgm:pt modelId="{B303D517-0101-4F2A-A41F-AA78F00A166B}">
      <dgm:prSet custT="1"/>
      <dgm:spPr/>
      <dgm:t>
        <a:bodyPr/>
        <a:lstStyle/>
        <a:p>
          <a:r>
            <a:rPr lang="en-US" sz="900">
              <a:latin typeface="Palatino Linotype" panose="02040502050505030304" pitchFamily="18" charset="0"/>
            </a:rPr>
            <a:t>Use of discretion by SLBs to advertise &amp; assist students in overcoming information, psychological, and compliance barriers (administrative burden)</a:t>
          </a:r>
        </a:p>
      </dgm:t>
    </dgm:pt>
    <dgm:pt modelId="{6BA26ADB-4907-4188-9304-E008949C040C}" type="parTrans" cxnId="{137220A2-ACF1-4F48-9682-FCCF588911CD}">
      <dgm:prSet/>
      <dgm:spPr/>
      <dgm:t>
        <a:bodyPr/>
        <a:lstStyle/>
        <a:p>
          <a:endParaRPr lang="en-US">
            <a:latin typeface="Palatino Linotype" panose="02040502050505030304" pitchFamily="18" charset="0"/>
          </a:endParaRPr>
        </a:p>
      </dgm:t>
    </dgm:pt>
    <dgm:pt modelId="{8A01560D-7574-4274-81A9-F46BF2FF62F1}" type="sibTrans" cxnId="{137220A2-ACF1-4F48-9682-FCCF588911CD}">
      <dgm:prSet/>
      <dgm:spPr/>
      <dgm:t>
        <a:bodyPr/>
        <a:lstStyle/>
        <a:p>
          <a:endParaRPr lang="en-US">
            <a:latin typeface="Palatino Linotype" panose="02040502050505030304" pitchFamily="18" charset="0"/>
          </a:endParaRPr>
        </a:p>
      </dgm:t>
    </dgm:pt>
    <dgm:pt modelId="{70F6C5AC-8011-4AE7-B712-FD5133A37762}">
      <dgm:prSet phldrT="[Text]"/>
      <dgm:spPr/>
      <dgm:t>
        <a:bodyPr/>
        <a:lstStyle/>
        <a:p>
          <a:r>
            <a:rPr lang="en-US">
              <a:latin typeface="Palatino Linotype" panose="02040502050505030304" pitchFamily="18" charset="0"/>
            </a:rPr>
            <a:t>Outcomes</a:t>
          </a:r>
        </a:p>
      </dgm:t>
    </dgm:pt>
    <dgm:pt modelId="{573FF062-1B83-42AF-A221-D7A4A00C3048}" type="parTrans" cxnId="{701F7DC3-4E8C-4062-82A5-C0E29785F536}">
      <dgm:prSet/>
      <dgm:spPr/>
      <dgm:t>
        <a:bodyPr/>
        <a:lstStyle/>
        <a:p>
          <a:endParaRPr lang="en-US">
            <a:latin typeface="Palatino Linotype" panose="02040502050505030304" pitchFamily="18" charset="0"/>
          </a:endParaRPr>
        </a:p>
      </dgm:t>
    </dgm:pt>
    <dgm:pt modelId="{094864DC-CA71-4BBE-B4D9-75CCB530916B}" type="sibTrans" cxnId="{701F7DC3-4E8C-4062-82A5-C0E29785F536}">
      <dgm:prSet/>
      <dgm:spPr/>
      <dgm:t>
        <a:bodyPr/>
        <a:lstStyle/>
        <a:p>
          <a:endParaRPr lang="en-US">
            <a:latin typeface="Palatino Linotype" panose="02040502050505030304" pitchFamily="18" charset="0"/>
          </a:endParaRPr>
        </a:p>
      </dgm:t>
    </dgm:pt>
    <dgm:pt modelId="{169D3296-3554-4FB8-832C-51BE2A82091E}">
      <dgm:prSet custT="1"/>
      <dgm:spPr/>
      <dgm:t>
        <a:bodyPr/>
        <a:lstStyle/>
        <a:p>
          <a:r>
            <a:rPr lang="en-US" sz="900">
              <a:latin typeface="Palatino Linotype" panose="02040502050505030304" pitchFamily="18" charset="0"/>
            </a:rPr>
            <a:t>Shifting college access and choice</a:t>
          </a:r>
        </a:p>
      </dgm:t>
    </dgm:pt>
    <dgm:pt modelId="{35916E22-37A7-469B-B6FE-17E55AC91C5C}" type="parTrans" cxnId="{1A1106FB-8E00-48B0-93B4-FBA640795B13}">
      <dgm:prSet/>
      <dgm:spPr/>
      <dgm:t>
        <a:bodyPr/>
        <a:lstStyle/>
        <a:p>
          <a:endParaRPr lang="en-US"/>
        </a:p>
      </dgm:t>
    </dgm:pt>
    <dgm:pt modelId="{06A98EE8-D5A7-4D77-A82E-8AF7360FFDD4}" type="sibTrans" cxnId="{1A1106FB-8E00-48B0-93B4-FBA640795B13}">
      <dgm:prSet/>
      <dgm:spPr/>
      <dgm:t>
        <a:bodyPr/>
        <a:lstStyle/>
        <a:p>
          <a:endParaRPr lang="en-US"/>
        </a:p>
      </dgm:t>
    </dgm:pt>
    <dgm:pt modelId="{F31FF4AD-D919-4FDE-BAC1-86BD349B8CA3}">
      <dgm:prSet custT="1"/>
      <dgm:spPr/>
      <dgm:t>
        <a:bodyPr/>
        <a:lstStyle/>
        <a:p>
          <a:endParaRPr lang="en-US" sz="1050">
            <a:latin typeface="Palatino Linotype" panose="02040502050505030304" pitchFamily="18" charset="0"/>
          </a:endParaRPr>
        </a:p>
      </dgm:t>
    </dgm:pt>
    <dgm:pt modelId="{40874EBA-317F-4238-932C-8C589735E372}" type="sibTrans" cxnId="{2C513C04-BF8F-432B-A117-0EC22E0195CB}">
      <dgm:prSet/>
      <dgm:spPr/>
      <dgm:t>
        <a:bodyPr/>
        <a:lstStyle/>
        <a:p>
          <a:endParaRPr lang="en-US">
            <a:latin typeface="Palatino Linotype" panose="02040502050505030304" pitchFamily="18" charset="0"/>
          </a:endParaRPr>
        </a:p>
      </dgm:t>
    </dgm:pt>
    <dgm:pt modelId="{1C2F017C-01CD-42D5-A332-F5E127DCB85D}" type="parTrans" cxnId="{2C513C04-BF8F-432B-A117-0EC22E0195CB}">
      <dgm:prSet/>
      <dgm:spPr/>
      <dgm:t>
        <a:bodyPr/>
        <a:lstStyle/>
        <a:p>
          <a:endParaRPr lang="en-US">
            <a:latin typeface="Palatino Linotype" panose="02040502050505030304" pitchFamily="18" charset="0"/>
          </a:endParaRPr>
        </a:p>
      </dgm:t>
    </dgm:pt>
    <dgm:pt modelId="{DE21D51D-15E8-4167-B1B0-4AFF7F70CD19}">
      <dgm:prSet phldrT="[Text]" phldr="1" custT="1"/>
      <dgm:spPr/>
      <dgm:t>
        <a:bodyPr/>
        <a:lstStyle/>
        <a:p>
          <a:endParaRPr lang="en-US" sz="100">
            <a:latin typeface="Palatino Linotype" panose="02040502050505030304" pitchFamily="18" charset="0"/>
          </a:endParaRPr>
        </a:p>
      </dgm:t>
    </dgm:pt>
    <dgm:pt modelId="{D7970F42-C82D-466E-8EBA-D685AD8D0850}" type="sibTrans" cxnId="{31750605-0193-4325-B154-3628E0C133C4}">
      <dgm:prSet/>
      <dgm:spPr/>
      <dgm:t>
        <a:bodyPr/>
        <a:lstStyle/>
        <a:p>
          <a:endParaRPr lang="en-US">
            <a:latin typeface="Palatino Linotype" panose="02040502050505030304" pitchFamily="18" charset="0"/>
          </a:endParaRPr>
        </a:p>
      </dgm:t>
    </dgm:pt>
    <dgm:pt modelId="{D2279636-F29B-491E-9593-A6439B40FF03}" type="parTrans" cxnId="{31750605-0193-4325-B154-3628E0C133C4}">
      <dgm:prSet/>
      <dgm:spPr/>
      <dgm:t>
        <a:bodyPr/>
        <a:lstStyle/>
        <a:p>
          <a:endParaRPr lang="en-US">
            <a:latin typeface="Palatino Linotype" panose="02040502050505030304" pitchFamily="18" charset="0"/>
          </a:endParaRPr>
        </a:p>
      </dgm:t>
    </dgm:pt>
    <dgm:pt modelId="{97D15C80-7100-4C49-8B76-3CA69B210385}">
      <dgm:prSet phldrT="[Text]" phldr="1" custT="1"/>
      <dgm:spPr/>
      <dgm:t>
        <a:bodyPr/>
        <a:lstStyle/>
        <a:p>
          <a:endParaRPr lang="en-US" sz="100">
            <a:latin typeface="Palatino Linotype" panose="02040502050505030304" pitchFamily="18" charset="0"/>
          </a:endParaRPr>
        </a:p>
      </dgm:t>
    </dgm:pt>
    <dgm:pt modelId="{785C3AE6-F34D-4406-B1EB-7E88DF6BF006}" type="sibTrans" cxnId="{19EBF282-DFF7-4FF5-89ED-3B5EBA6667F9}">
      <dgm:prSet/>
      <dgm:spPr/>
      <dgm:t>
        <a:bodyPr/>
        <a:lstStyle/>
        <a:p>
          <a:endParaRPr lang="en-US">
            <a:latin typeface="Palatino Linotype" panose="02040502050505030304" pitchFamily="18" charset="0"/>
          </a:endParaRPr>
        </a:p>
      </dgm:t>
    </dgm:pt>
    <dgm:pt modelId="{AAF19B0D-8DCE-4B7B-9486-F0B7DA68ABF2}" type="parTrans" cxnId="{19EBF282-DFF7-4FF5-89ED-3B5EBA6667F9}">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11611BF1-2540-419D-A6C3-91E2E03B9217}">
      <dgm:prSet custT="1"/>
      <dgm:spPr/>
      <dgm:t>
        <a:bodyPr/>
        <a:lstStyle/>
        <a:p>
          <a:r>
            <a:rPr lang="en-US" sz="900">
              <a:latin typeface="Palatino Linotype" panose="02040502050505030304" pitchFamily="18" charset="0"/>
            </a:rPr>
            <a:t>What is the causal story? Where does funding come from?</a:t>
          </a:r>
        </a:p>
      </dgm:t>
    </dgm:pt>
    <dgm:pt modelId="{515323F9-28F4-49EC-B511-E11D8307B8D0}" type="parTrans" cxnId="{FA9F8212-05C6-4F61-B713-7A4E9C58707D}">
      <dgm:prSet/>
      <dgm:spPr/>
      <dgm:t>
        <a:bodyPr/>
        <a:lstStyle/>
        <a:p>
          <a:endParaRPr lang="en-US"/>
        </a:p>
      </dgm:t>
    </dgm:pt>
    <dgm:pt modelId="{FDFC8DE2-40F2-4F80-A3E4-13465F6F0752}" type="sibTrans" cxnId="{FA9F8212-05C6-4F61-B713-7A4E9C58707D}">
      <dgm:prSet/>
      <dgm:spPr/>
      <dgm:t>
        <a:bodyPr/>
        <a:lstStyle/>
        <a:p>
          <a:endParaRPr lang="en-US"/>
        </a:p>
      </dgm:t>
    </dgm:pt>
    <dgm:pt modelId="{F1C88759-C7F7-44BD-85C1-C4B9490BD2EA}">
      <dgm:prSet custT="1"/>
      <dgm:spPr/>
      <dgm:t>
        <a:bodyPr/>
        <a:lstStyle/>
        <a:p>
          <a:r>
            <a:rPr lang="en-US" sz="900">
              <a:latin typeface="Palatino Linotype" panose="02040502050505030304" pitchFamily="18" charset="0"/>
            </a:rPr>
            <a:t>Last-dollar or First-dollar</a:t>
          </a:r>
        </a:p>
      </dgm:t>
    </dgm:pt>
    <dgm:pt modelId="{79A1C74A-4A90-4B48-AF7D-9D4446D40676}" type="parTrans" cxnId="{B5E30C4B-3CAA-4225-8308-1FA60B6A0CD5}">
      <dgm:prSet/>
      <dgm:spPr/>
      <dgm:t>
        <a:bodyPr/>
        <a:lstStyle/>
        <a:p>
          <a:endParaRPr lang="en-US"/>
        </a:p>
      </dgm:t>
    </dgm:pt>
    <dgm:pt modelId="{3C1F50F2-D915-48B4-A141-5AE6E999CCD1}" type="sibTrans" cxnId="{B5E30C4B-3CAA-4225-8308-1FA60B6A0CD5}">
      <dgm:prSet/>
      <dgm:spPr/>
      <dgm:t>
        <a:bodyPr/>
        <a:lstStyle/>
        <a:p>
          <a:endParaRPr lang="en-US"/>
        </a:p>
      </dgm:t>
    </dgm:pt>
    <dgm:pt modelId="{7DB43EF3-0F0E-4BBA-A72B-289AA0A166FC}">
      <dgm:prSet custT="1"/>
      <dgm:spPr/>
      <dgm:t>
        <a:bodyPr/>
        <a:lstStyle/>
        <a:p>
          <a:r>
            <a:rPr lang="en-US" sz="900">
              <a:latin typeface="Palatino Linotype" panose="02040502050505030304" pitchFamily="18" charset="0"/>
            </a:rPr>
            <a:t>Inclusion of student supports</a:t>
          </a:r>
        </a:p>
      </dgm:t>
    </dgm:pt>
    <dgm:pt modelId="{EE2C9544-9FE4-425C-8519-6004B063A9C6}" type="parTrans" cxnId="{32E007BA-443F-4176-8E3C-D9380DA3B9E2}">
      <dgm:prSet/>
      <dgm:spPr/>
      <dgm:t>
        <a:bodyPr/>
        <a:lstStyle/>
        <a:p>
          <a:endParaRPr lang="en-US"/>
        </a:p>
      </dgm:t>
    </dgm:pt>
    <dgm:pt modelId="{0923831A-F542-420C-801C-9DBCF5A390AC}" type="sibTrans" cxnId="{32E007BA-443F-4176-8E3C-D9380DA3B9E2}">
      <dgm:prSet/>
      <dgm:spPr/>
      <dgm:t>
        <a:bodyPr/>
        <a:lstStyle/>
        <a:p>
          <a:endParaRPr lang="en-US"/>
        </a:p>
      </dgm:t>
    </dgm:pt>
    <dgm:pt modelId="{0515BD6C-81AE-49E5-B313-A012C85B2B54}">
      <dgm:prSet custT="1"/>
      <dgm:spPr/>
      <dgm:t>
        <a:bodyPr/>
        <a:lstStyle/>
        <a:p>
          <a:r>
            <a:rPr lang="en-US" sz="900">
              <a:latin typeface="Palatino Linotype" panose="02040502050505030304" pitchFamily="18" charset="0"/>
            </a:rPr>
            <a:t>Merit-based or need-based?</a:t>
          </a:r>
        </a:p>
      </dgm:t>
    </dgm:pt>
    <dgm:pt modelId="{9273B381-E0CD-45DB-9B1E-4D928A72E8A9}" type="parTrans" cxnId="{780AAA4A-3BD8-4F03-967D-02EB0A593002}">
      <dgm:prSet/>
      <dgm:spPr/>
      <dgm:t>
        <a:bodyPr/>
        <a:lstStyle/>
        <a:p>
          <a:endParaRPr lang="en-US"/>
        </a:p>
      </dgm:t>
    </dgm:pt>
    <dgm:pt modelId="{E4491D7B-E13D-40B4-8C7F-8DA41D80C60F}" type="sibTrans" cxnId="{780AAA4A-3BD8-4F03-967D-02EB0A593002}">
      <dgm:prSet/>
      <dgm:spPr/>
      <dgm:t>
        <a:bodyPr/>
        <a:lstStyle/>
        <a:p>
          <a:endParaRPr lang="en-US"/>
        </a:p>
      </dgm:t>
    </dgm:pt>
    <dgm:pt modelId="{6100ACAB-00C3-4927-BB5E-BA3B34DAFD06}">
      <dgm:prSet custT="1"/>
      <dgm:spPr/>
      <dgm:t>
        <a:bodyPr/>
        <a:lstStyle/>
        <a:p>
          <a:r>
            <a:rPr lang="en-US" sz="900">
              <a:latin typeface="Palatino Linotype" panose="02040502050505030304" pitchFamily="18" charset="0"/>
            </a:rPr>
            <a:t>Public or mixed funding?</a:t>
          </a:r>
        </a:p>
      </dgm:t>
    </dgm:pt>
    <dgm:pt modelId="{C8A88A99-6D71-47AA-9409-338FA0E680EE}" type="parTrans" cxnId="{0A927D19-1785-4019-8619-AAAE23050DE6}">
      <dgm:prSet/>
      <dgm:spPr/>
      <dgm:t>
        <a:bodyPr/>
        <a:lstStyle/>
        <a:p>
          <a:endParaRPr lang="en-US"/>
        </a:p>
      </dgm:t>
    </dgm:pt>
    <dgm:pt modelId="{45F8DCD1-FE74-47E5-82F6-83BE46A08C61}" type="sibTrans" cxnId="{0A927D19-1785-4019-8619-AAAE23050DE6}">
      <dgm:prSet/>
      <dgm:spPr/>
      <dgm:t>
        <a:bodyPr/>
        <a:lstStyle/>
        <a:p>
          <a:endParaRPr lang="en-US"/>
        </a:p>
      </dgm:t>
    </dgm:pt>
    <dgm:pt modelId="{3C267526-0EB5-4224-ACBC-95976D7094CC}">
      <dgm:prSet custT="1"/>
      <dgm:spPr/>
      <dgm:t>
        <a:bodyPr/>
        <a:lstStyle/>
        <a:p>
          <a:r>
            <a:rPr lang="en-US" sz="900">
              <a:latin typeface="Palatino Linotype" panose="02040502050505030304" pitchFamily="18" charset="0"/>
            </a:rPr>
            <a:t>Stipulations to stay in-state/city? </a:t>
          </a:r>
        </a:p>
      </dgm:t>
    </dgm:pt>
    <dgm:pt modelId="{264AD1D3-4F6A-4B90-B824-15C83A3C453C}" type="parTrans" cxnId="{94605055-A014-42FB-9CBE-94F1D5D71FDF}">
      <dgm:prSet/>
      <dgm:spPr/>
      <dgm:t>
        <a:bodyPr/>
        <a:lstStyle/>
        <a:p>
          <a:endParaRPr lang="en-US"/>
        </a:p>
      </dgm:t>
    </dgm:pt>
    <dgm:pt modelId="{AB7E2EBE-1F09-452B-BBB1-B65BAFCA6DC3}" type="sibTrans" cxnId="{94605055-A014-42FB-9CBE-94F1D5D71FDF}">
      <dgm:prSet/>
      <dgm:spPr/>
      <dgm:t>
        <a:bodyPr/>
        <a:lstStyle/>
        <a:p>
          <a:endParaRPr lang="en-US"/>
        </a:p>
      </dgm:t>
    </dgm:pt>
    <dgm:pt modelId="{EFBA0178-CD75-49F9-B10E-778F55801778}">
      <dgm:prSet custT="1"/>
      <dgm:spPr/>
      <dgm:t>
        <a:bodyPr/>
        <a:lstStyle/>
        <a:p>
          <a:endParaRPr lang="en-US" sz="900">
            <a:latin typeface="Palatino Linotype" panose="02040502050505030304" pitchFamily="18" charset="0"/>
          </a:endParaRPr>
        </a:p>
      </dgm:t>
    </dgm:pt>
    <dgm:pt modelId="{1864847D-35B6-4909-8EEF-624C072A336B}" type="parTrans" cxnId="{3FD7ABC8-0F35-4828-950C-4008DD0C02CD}">
      <dgm:prSet/>
      <dgm:spPr/>
      <dgm:t>
        <a:bodyPr/>
        <a:lstStyle/>
        <a:p>
          <a:endParaRPr lang="en-US"/>
        </a:p>
      </dgm:t>
    </dgm:pt>
    <dgm:pt modelId="{C166F47E-BA16-47E8-9F5B-28552D313EF4}" type="sibTrans" cxnId="{3FD7ABC8-0F35-4828-950C-4008DD0C02CD}">
      <dgm:prSet/>
      <dgm:spPr/>
      <dgm:t>
        <a:bodyPr/>
        <a:lstStyle/>
        <a:p>
          <a:endParaRPr lang="en-US"/>
        </a:p>
      </dgm:t>
    </dgm:pt>
    <dgm:pt modelId="{71112598-4EB1-4A9A-A7F5-848BB6018845}">
      <dgm:prSet custT="1"/>
      <dgm:spPr/>
      <dgm:t>
        <a:bodyPr/>
        <a:lstStyle/>
        <a:p>
          <a:r>
            <a:rPr lang="en-US" sz="900">
              <a:latin typeface="Palatino Linotype" panose="02040502050505030304" pitchFamily="18" charset="0"/>
            </a:rPr>
            <a:t>Balance between political feasibility and efficiency          1) Whether it will be targeted or universal 2) Decision to make merit-based and increase the perceptions of deservingness</a:t>
          </a:r>
        </a:p>
      </dgm:t>
    </dgm:pt>
    <dgm:pt modelId="{4F6B1652-E28B-4F0F-AD63-214A5AC958ED}" type="parTrans" cxnId="{4E5C3990-62BC-44D5-AF41-C4BCBF76A66C}">
      <dgm:prSet/>
      <dgm:spPr/>
      <dgm:t>
        <a:bodyPr/>
        <a:lstStyle/>
        <a:p>
          <a:endParaRPr lang="en-US"/>
        </a:p>
      </dgm:t>
    </dgm:pt>
    <dgm:pt modelId="{2701F506-8123-4EBD-9EC8-26C7D608EC04}" type="sibTrans" cxnId="{4E5C3990-62BC-44D5-AF41-C4BCBF76A66C}">
      <dgm:prSet/>
      <dgm:spPr/>
      <dgm:t>
        <a:bodyPr/>
        <a:lstStyle/>
        <a:p>
          <a:endParaRPr lang="en-US"/>
        </a:p>
      </dgm:t>
    </dgm:pt>
    <dgm:pt modelId="{1C367485-C735-426C-9AA6-01AB9CC42045}">
      <dgm:prSet custT="1"/>
      <dgm:spPr/>
      <dgm:t>
        <a:bodyPr/>
        <a:lstStyle/>
        <a:p>
          <a:r>
            <a:rPr lang="en-US" sz="900">
              <a:latin typeface="Palatino Linotype" panose="02040502050505030304" pitchFamily="18" charset="0"/>
            </a:rPr>
            <a:t>Just tuition &amp; fees or tuition+?</a:t>
          </a:r>
        </a:p>
      </dgm:t>
    </dgm:pt>
    <dgm:pt modelId="{85336292-2674-4C90-83DB-8352E5677B26}" type="parTrans" cxnId="{2CCECFC1-AAF9-404A-A96C-9FB13DCD62EE}">
      <dgm:prSet/>
      <dgm:spPr/>
      <dgm:t>
        <a:bodyPr/>
        <a:lstStyle/>
        <a:p>
          <a:endParaRPr lang="en-US"/>
        </a:p>
      </dgm:t>
    </dgm:pt>
    <dgm:pt modelId="{E27E1098-06FE-4AE1-9F81-4AAD602B61D8}" type="sibTrans" cxnId="{2CCECFC1-AAF9-404A-A96C-9FB13DCD62EE}">
      <dgm:prSet/>
      <dgm:spPr/>
      <dgm:t>
        <a:bodyPr/>
        <a:lstStyle/>
        <a:p>
          <a:endParaRPr lang="en-US"/>
        </a:p>
      </dgm:t>
    </dgm:pt>
    <dgm:pt modelId="{0E0DCB6D-291A-421D-A0AA-9F2248B53672}">
      <dgm:prSet custT="1"/>
      <dgm:spPr/>
      <dgm:t>
        <a:bodyPr/>
        <a:lstStyle/>
        <a:p>
          <a:r>
            <a:rPr lang="en-US" sz="900">
              <a:latin typeface="Palatino Linotype" panose="02040502050505030304" pitchFamily="18" charset="0"/>
            </a:rPr>
            <a:t>Communication by public officials to street-level bureaucrats (SLBs) of priorities &amp; goals</a:t>
          </a:r>
        </a:p>
      </dgm:t>
    </dgm:pt>
    <dgm:pt modelId="{BE1B01A3-6839-4D5B-9A87-E6E639B610DF}" type="parTrans" cxnId="{245FBFD8-DB7F-4020-939B-59E140EB41BA}">
      <dgm:prSet/>
      <dgm:spPr/>
      <dgm:t>
        <a:bodyPr/>
        <a:lstStyle/>
        <a:p>
          <a:endParaRPr lang="en-US"/>
        </a:p>
      </dgm:t>
    </dgm:pt>
    <dgm:pt modelId="{B7262D9A-C169-48CD-B3C6-9A13D0B73ADA}" type="sibTrans" cxnId="{245FBFD8-DB7F-4020-939B-59E140EB41BA}">
      <dgm:prSet/>
      <dgm:spPr/>
      <dgm:t>
        <a:bodyPr/>
        <a:lstStyle/>
        <a:p>
          <a:endParaRPr lang="en-US"/>
        </a:p>
      </dgm:t>
    </dgm:pt>
    <dgm:pt modelId="{B1AA730B-78B0-4022-9AAD-0B22C99A1320}">
      <dgm:prSet custT="1"/>
      <dgm:spPr/>
      <dgm:t>
        <a:bodyPr/>
        <a:lstStyle/>
        <a:p>
          <a:r>
            <a:rPr lang="en-US" sz="900">
              <a:latin typeface="Palatino Linotype" panose="02040502050505030304" pitchFamily="18" charset="0"/>
            </a:rPr>
            <a:t>Changes in credits accumulated and retention</a:t>
          </a:r>
        </a:p>
      </dgm:t>
    </dgm:pt>
    <dgm:pt modelId="{3EE92F18-56D3-4CDB-ABCF-40DC438E6EDB}" type="parTrans" cxnId="{174CAC8D-72DC-45E4-97F8-0807A5DFDFF3}">
      <dgm:prSet/>
      <dgm:spPr/>
      <dgm:t>
        <a:bodyPr/>
        <a:lstStyle/>
        <a:p>
          <a:endParaRPr lang="en-US"/>
        </a:p>
      </dgm:t>
    </dgm:pt>
    <dgm:pt modelId="{CDE42AD2-F158-4437-80B0-8E4F84DEDD9A}" type="sibTrans" cxnId="{174CAC8D-72DC-45E4-97F8-0807A5DFDFF3}">
      <dgm:prSet/>
      <dgm:spPr/>
      <dgm:t>
        <a:bodyPr/>
        <a:lstStyle/>
        <a:p>
          <a:endParaRPr lang="en-US"/>
        </a:p>
      </dgm:t>
    </dgm:pt>
    <dgm:pt modelId="{7E5766EF-076A-4BB6-878A-81E57B11A815}">
      <dgm:prSet custT="1"/>
      <dgm:spPr/>
      <dgm:t>
        <a:bodyPr/>
        <a:lstStyle/>
        <a:p>
          <a:r>
            <a:rPr lang="en-US" sz="900">
              <a:latin typeface="Palatino Linotype" panose="02040502050505030304" pitchFamily="18" charset="0"/>
            </a:rPr>
            <a:t>Increase in degree attainment?</a:t>
          </a:r>
        </a:p>
      </dgm:t>
    </dgm:pt>
    <dgm:pt modelId="{44EF1AD2-BC14-4BF1-9C56-5747A2CF2F4F}" type="parTrans" cxnId="{0B9169D7-F291-4AAA-A4A1-7FD04D19FE71}">
      <dgm:prSet/>
      <dgm:spPr/>
      <dgm:t>
        <a:bodyPr/>
        <a:lstStyle/>
        <a:p>
          <a:endParaRPr lang="en-US"/>
        </a:p>
      </dgm:t>
    </dgm:pt>
    <dgm:pt modelId="{9C5EDD2C-BC1F-4061-8415-8FCD2BD572C6}" type="sibTrans" cxnId="{0B9169D7-F291-4AAA-A4A1-7FD04D19FE71}">
      <dgm:prSet/>
      <dgm:spPr/>
      <dgm:t>
        <a:bodyPr/>
        <a:lstStyle/>
        <a:p>
          <a:endParaRPr lang="en-US"/>
        </a:p>
      </dgm:t>
    </dgm:pt>
    <dgm:pt modelId="{9368DA6B-B34A-4491-B808-03FD6A953441}" type="pres">
      <dgm:prSet presAssocID="{4602505C-BE38-4F74-BC5D-8598A57C0521}" presName="theList" presStyleCnt="0">
        <dgm:presLayoutVars>
          <dgm:dir/>
          <dgm:animLvl val="lvl"/>
          <dgm:resizeHandles val="exact"/>
        </dgm:presLayoutVars>
      </dgm:prSet>
      <dgm:spPr/>
    </dgm:pt>
    <dgm:pt modelId="{7BEC33E5-A4C9-41CC-AF97-E156986B83AF}" type="pres">
      <dgm:prSet presAssocID="{BA4B24C3-1064-427D-9821-CA551FAA804C}" presName="compNode" presStyleCnt="0"/>
      <dgm:spPr/>
    </dgm:pt>
    <dgm:pt modelId="{F83ADDF7-9714-41E9-AAAF-3DD7BD3EAE1E}" type="pres">
      <dgm:prSet presAssocID="{BA4B24C3-1064-427D-9821-CA551FAA804C}" presName="aNode" presStyleLbl="bgShp" presStyleIdx="0" presStyleCnt="4"/>
      <dgm:spPr/>
    </dgm:pt>
    <dgm:pt modelId="{545E997B-D2D6-4FC0-9986-7E9D9D00A55C}" type="pres">
      <dgm:prSet presAssocID="{BA4B24C3-1064-427D-9821-CA551FAA804C}" presName="textNode" presStyleLbl="bgShp" presStyleIdx="0" presStyleCnt="4"/>
      <dgm:spPr/>
    </dgm:pt>
    <dgm:pt modelId="{84E769F8-939A-4D02-A87E-AA70CDB11402}" type="pres">
      <dgm:prSet presAssocID="{BA4B24C3-1064-427D-9821-CA551FAA804C}" presName="compChildNode" presStyleCnt="0"/>
      <dgm:spPr/>
    </dgm:pt>
    <dgm:pt modelId="{095F8B3F-4776-41FF-A4DE-52679CA11A92}" type="pres">
      <dgm:prSet presAssocID="{BA4B24C3-1064-427D-9821-CA551FAA804C}" presName="theInnerList" presStyleCnt="0"/>
      <dgm:spPr/>
    </dgm:pt>
    <dgm:pt modelId="{69382CC0-27D3-4281-87F9-EA41AF249B95}" type="pres">
      <dgm:prSet presAssocID="{97D15C80-7100-4C49-8B76-3CA69B210385}" presName="childNode" presStyleLbl="node1" presStyleIdx="0" presStyleCnt="4">
        <dgm:presLayoutVars>
          <dgm:bulletEnabled val="1"/>
        </dgm:presLayoutVars>
      </dgm:prSet>
      <dgm:spPr/>
    </dgm:pt>
    <dgm:pt modelId="{5E9629EB-812B-4050-91F1-0EE4FB4589FA}" type="pres">
      <dgm:prSet presAssocID="{BA4B24C3-1064-427D-9821-CA551FAA804C}" presName="aSpace" presStyleCnt="0"/>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1" presStyleCnt="4"/>
      <dgm:spPr/>
    </dgm:pt>
    <dgm:pt modelId="{47091938-74DB-4C31-841E-48F7BC3DBD93}" type="pres">
      <dgm:prSet presAssocID="{C15418C7-7CBA-4E3C-824A-AD997DC4D994}" presName="textNode" presStyleLbl="bgShp" presStyleIdx="1" presStyleCnt="4"/>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1" presStyleCnt="4">
        <dgm:presLayoutVars>
          <dgm:bulletEnabled val="1"/>
        </dgm:presLayoutVars>
      </dgm:prSet>
      <dgm:spPr/>
    </dgm:pt>
    <dgm:pt modelId="{1ADB1D72-7826-416F-8080-50CCD8A80E60}" type="pres">
      <dgm:prSet presAssocID="{C15418C7-7CBA-4E3C-824A-AD997DC4D994}" presName="aSpace" presStyleCnt="0"/>
      <dgm:spPr/>
    </dgm:pt>
    <dgm:pt modelId="{227BED0A-03A2-4491-A99C-896273B0FC51}" type="pres">
      <dgm:prSet presAssocID="{5B5C571A-E95A-4B4B-9E2C-A1581F0F9D75}" presName="compNode" presStyleCnt="0"/>
      <dgm:spPr/>
    </dgm:pt>
    <dgm:pt modelId="{F3097AA3-A434-4C9F-BF0F-91B78208E0C6}" type="pres">
      <dgm:prSet presAssocID="{5B5C571A-E95A-4B4B-9E2C-A1581F0F9D75}" presName="aNode" presStyleLbl="bgShp" presStyleIdx="2" presStyleCnt="4"/>
      <dgm:spPr/>
    </dgm:pt>
    <dgm:pt modelId="{874B1F11-06C6-47B7-A564-FAB0D22900D5}" type="pres">
      <dgm:prSet presAssocID="{5B5C571A-E95A-4B4B-9E2C-A1581F0F9D75}" presName="textNode" presStyleLbl="bgShp" presStyleIdx="2" presStyleCnt="4"/>
      <dgm:spPr/>
    </dgm:pt>
    <dgm:pt modelId="{16B7BF0C-EF44-460A-91EE-0F018C8D4291}" type="pres">
      <dgm:prSet presAssocID="{5B5C571A-E95A-4B4B-9E2C-A1581F0F9D75}" presName="compChildNode" presStyleCnt="0"/>
      <dgm:spPr/>
    </dgm:pt>
    <dgm:pt modelId="{3741552B-F599-4B21-8283-36E075031BA5}" type="pres">
      <dgm:prSet presAssocID="{5B5C571A-E95A-4B4B-9E2C-A1581F0F9D75}" presName="theInnerList" presStyleCnt="0"/>
      <dgm:spPr/>
    </dgm:pt>
    <dgm:pt modelId="{D261ACC1-5DBD-4BD6-8DF7-3B1C73E0CEA9}" type="pres">
      <dgm:prSet presAssocID="{DE21D51D-15E8-4167-B1B0-4AFF7F70CD19}" presName="childNode" presStyleLbl="node1" presStyleIdx="2" presStyleCnt="4">
        <dgm:presLayoutVars>
          <dgm:bulletEnabled val="1"/>
        </dgm:presLayoutVars>
      </dgm:prSet>
      <dgm:spPr/>
    </dgm:pt>
    <dgm:pt modelId="{88803F63-7244-4C25-879A-685B9A97E058}" type="pres">
      <dgm:prSet presAssocID="{5B5C571A-E95A-4B4B-9E2C-A1581F0F9D75}" presName="aSpace" presStyleCnt="0"/>
      <dgm:spPr/>
    </dgm:pt>
    <dgm:pt modelId="{B8368FFE-8B79-4BB4-A473-37DF9540AA3B}" type="pres">
      <dgm:prSet presAssocID="{70F6C5AC-8011-4AE7-B712-FD5133A37762}" presName="compNode" presStyleCnt="0"/>
      <dgm:spPr/>
    </dgm:pt>
    <dgm:pt modelId="{4BC53CC4-5D93-401E-BFDB-145C294F8DFD}" type="pres">
      <dgm:prSet presAssocID="{70F6C5AC-8011-4AE7-B712-FD5133A37762}" presName="aNode" presStyleLbl="bgShp" presStyleIdx="3" presStyleCnt="4" custLinFactNeighborX="33464" custLinFactNeighborY="-714"/>
      <dgm:spPr/>
    </dgm:pt>
    <dgm:pt modelId="{5B2C3ABF-7481-427E-B24F-4237D7D8716B}" type="pres">
      <dgm:prSet presAssocID="{70F6C5AC-8011-4AE7-B712-FD5133A37762}" presName="textNode" presStyleLbl="bgShp" presStyleIdx="3" presStyleCnt="4"/>
      <dgm:spPr/>
    </dgm:pt>
    <dgm:pt modelId="{D8E9EB3E-22E6-48D2-9978-994C439A2F56}" type="pres">
      <dgm:prSet presAssocID="{70F6C5AC-8011-4AE7-B712-FD5133A37762}" presName="compChildNode" presStyleCnt="0"/>
      <dgm:spPr/>
    </dgm:pt>
    <dgm:pt modelId="{0C435BA3-C2FB-4356-9445-3DB9B171B595}" type="pres">
      <dgm:prSet presAssocID="{70F6C5AC-8011-4AE7-B712-FD5133A37762}" presName="theInnerList" presStyleCnt="0"/>
      <dgm:spPr/>
    </dgm:pt>
    <dgm:pt modelId="{C16C9A3F-913F-4131-BCC8-0E99F70E54A7}" type="pres">
      <dgm:prSet presAssocID="{F31FF4AD-D919-4FDE-BAC1-86BD349B8CA3}" presName="childNode" presStyleLbl="node1" presStyleIdx="3" presStyleCnt="4">
        <dgm:presLayoutVars>
          <dgm:bulletEnabled val="1"/>
        </dgm:presLayoutVars>
      </dgm:prSet>
      <dgm:spPr/>
    </dgm:pt>
  </dgm:ptLst>
  <dgm:cxnLst>
    <dgm:cxn modelId="{30536D00-5216-452C-A0E1-D77E468DBF59}" type="presOf" srcId="{BA4B24C3-1064-427D-9821-CA551FAA804C}" destId="{545E997B-D2D6-4FC0-9986-7E9D9D00A55C}" srcOrd="1" destOrd="0" presId="urn:microsoft.com/office/officeart/2005/8/layout/lProcess2"/>
    <dgm:cxn modelId="{2C513C04-BF8F-432B-A117-0EC22E0195CB}" srcId="{70F6C5AC-8011-4AE7-B712-FD5133A37762}" destId="{F31FF4AD-D919-4FDE-BAC1-86BD349B8CA3}" srcOrd="0" destOrd="0" parTransId="{1C2F017C-01CD-42D5-A332-F5E127DCB85D}" sibTransId="{40874EBA-317F-4238-932C-8C589735E372}"/>
    <dgm:cxn modelId="{31750605-0193-4325-B154-3628E0C133C4}" srcId="{5B5C571A-E95A-4B4B-9E2C-A1581F0F9D75}" destId="{DE21D51D-15E8-4167-B1B0-4AFF7F70CD19}" srcOrd="0" destOrd="0" parTransId="{D2279636-F29B-491E-9593-A6439B40FF03}" sibTransId="{D7970F42-C82D-466E-8EBA-D685AD8D0850}"/>
    <dgm:cxn modelId="{53618F09-07C3-41B2-A317-3E5A2BC3E4D3}" type="presOf" srcId="{70F6C5AC-8011-4AE7-B712-FD5133A37762}" destId="{5B2C3ABF-7481-427E-B24F-4237D7D8716B}" srcOrd="1" destOrd="0" presId="urn:microsoft.com/office/officeart/2005/8/layout/lProcess2"/>
    <dgm:cxn modelId="{8F680710-4E4B-4D78-A585-D1CA029C04EC}" type="presOf" srcId="{6100ACAB-00C3-4927-BB5E-BA3B34DAFD06}" destId="{809B79D6-9593-4DBF-8AE7-E37F90C50ABB}" srcOrd="0" destOrd="5" presId="urn:microsoft.com/office/officeart/2005/8/layout/lProcess2"/>
    <dgm:cxn modelId="{FA9F8212-05C6-4F61-B713-7A4E9C58707D}" srcId="{97D15C80-7100-4C49-8B76-3CA69B210385}" destId="{11611BF1-2540-419D-A6C3-91E2E03B9217}" srcOrd="1" destOrd="0" parTransId="{515323F9-28F4-49EC-B511-E11D8307B8D0}" sibTransId="{FDFC8DE2-40F2-4F80-A3E4-13465F6F0752}"/>
    <dgm:cxn modelId="{0A927D19-1785-4019-8619-AAAE23050DE6}" srcId="{7311932E-72A6-4CA9-A0CE-70024AF43912}" destId="{6100ACAB-00C3-4927-BB5E-BA3B34DAFD06}" srcOrd="4" destOrd="0" parTransId="{C8A88A99-6D71-47AA-9409-338FA0E680EE}" sibTransId="{45F8DCD1-FE74-47E5-82F6-83BE46A08C61}"/>
    <dgm:cxn modelId="{1DBFB426-CBB3-4B0C-8741-8B114384477C}" type="presOf" srcId="{169D3296-3554-4FB8-832C-51BE2A82091E}" destId="{C16C9A3F-913F-4131-BCC8-0E99F70E54A7}" srcOrd="0" destOrd="1" presId="urn:microsoft.com/office/officeart/2005/8/layout/lProcess2"/>
    <dgm:cxn modelId="{384BA62D-0AE6-4D47-A200-66A5AF04921E}" type="presOf" srcId="{7E5766EF-076A-4BB6-878A-81E57B11A815}" destId="{C16C9A3F-913F-4131-BCC8-0E99F70E54A7}" srcOrd="0" destOrd="3" presId="urn:microsoft.com/office/officeart/2005/8/layout/lProcess2"/>
    <dgm:cxn modelId="{6D58432F-D434-4DBE-8CD4-791D81ABD538}" type="presOf" srcId="{C15418C7-7CBA-4E3C-824A-AD997DC4D994}" destId="{E8A73C91-A01D-4788-9E25-EB6622456EBA}" srcOrd="0" destOrd="0" presId="urn:microsoft.com/office/officeart/2005/8/layout/lProcess2"/>
    <dgm:cxn modelId="{D707425E-5589-4C0B-B0C2-508D50293D70}" type="presOf" srcId="{5B5C571A-E95A-4B4B-9E2C-A1581F0F9D75}" destId="{874B1F11-06C6-47B7-A564-FAB0D22900D5}" srcOrd="1" destOrd="0" presId="urn:microsoft.com/office/officeart/2005/8/layout/lProcess2"/>
    <dgm:cxn modelId="{2C669C63-4E96-4421-9E32-898F8C8521FD}" type="presOf" srcId="{70F6C5AC-8011-4AE7-B712-FD5133A37762}" destId="{4BC53CC4-5D93-401E-BFDB-145C294F8DFD}" srcOrd="0" destOrd="0" presId="urn:microsoft.com/office/officeart/2005/8/layout/lProcess2"/>
    <dgm:cxn modelId="{1679E263-4718-4561-BC7F-0B55883416DB}" type="presOf" srcId="{DE21D51D-15E8-4167-B1B0-4AFF7F70CD19}" destId="{D261ACC1-5DBD-4BD6-8DF7-3B1C73E0CEA9}" srcOrd="0" destOrd="0" presId="urn:microsoft.com/office/officeart/2005/8/layout/lProcess2"/>
    <dgm:cxn modelId="{D72D4269-A266-4046-8B0C-FF4D8A42C282}" type="presOf" srcId="{F1C88759-C7F7-44BD-85C1-C4B9490BD2EA}" destId="{809B79D6-9593-4DBF-8AE7-E37F90C50ABB}" srcOrd="0" destOrd="1" presId="urn:microsoft.com/office/officeart/2005/8/layout/lProcess2"/>
    <dgm:cxn modelId="{780AAA4A-3BD8-4F03-967D-02EB0A593002}" srcId="{7311932E-72A6-4CA9-A0CE-70024AF43912}" destId="{0515BD6C-81AE-49E5-B313-A012C85B2B54}" srcOrd="3" destOrd="0" parTransId="{9273B381-E0CD-45DB-9B1E-4D928A72E8A9}" sibTransId="{E4491D7B-E13D-40B4-8C7F-8DA41D80C60F}"/>
    <dgm:cxn modelId="{B5E30C4B-3CAA-4225-8308-1FA60B6A0CD5}" srcId="{7311932E-72A6-4CA9-A0CE-70024AF43912}" destId="{F1C88759-C7F7-44BD-85C1-C4B9490BD2EA}" srcOrd="0" destOrd="0" parTransId="{79A1C74A-4A90-4B48-AF7D-9D4446D40676}" sibTransId="{3C1F50F2-D915-48B4-A141-5AE6E999CCD1}"/>
    <dgm:cxn modelId="{E4D5766B-0828-4F08-BDAA-C7C7795BCD9A}" type="presOf" srcId="{F31FF4AD-D919-4FDE-BAC1-86BD349B8CA3}" destId="{C16C9A3F-913F-4131-BCC8-0E99F70E54A7}" srcOrd="0" destOrd="0" presId="urn:microsoft.com/office/officeart/2005/8/layout/lProcess2"/>
    <dgm:cxn modelId="{99CCA34B-7568-462F-850D-05091CD7A970}" type="presOf" srcId="{0515BD6C-81AE-49E5-B313-A012C85B2B54}" destId="{809B79D6-9593-4DBF-8AE7-E37F90C50ABB}" srcOrd="0" destOrd="4" presId="urn:microsoft.com/office/officeart/2005/8/layout/lProcess2"/>
    <dgm:cxn modelId="{B6CCBF4B-C92C-4209-AF2D-0AB90724F0F2}" srcId="{4602505C-BE38-4F74-BC5D-8598A57C0521}" destId="{BA4B24C3-1064-427D-9821-CA551FAA804C}" srcOrd="0" destOrd="0" parTransId="{A22C9BE0-4A16-4F9F-8016-B06FB70181A3}" sibTransId="{3A091D31-4A10-4966-8E3F-1D989DC88B59}"/>
    <dgm:cxn modelId="{94605055-A014-42FB-9CBE-94F1D5D71FDF}" srcId="{7311932E-72A6-4CA9-A0CE-70024AF43912}" destId="{3C267526-0EB5-4224-ACBC-95976D7094CC}" srcOrd="5" destOrd="0" parTransId="{264AD1D3-4F6A-4B90-B824-15C83A3C453C}" sibTransId="{AB7E2EBE-1F09-452B-BBB1-B65BAFCA6DC3}"/>
    <dgm:cxn modelId="{32952C7D-E28A-4082-A2F8-266002F4E88F}" type="presOf" srcId="{EFBA0178-CD75-49F9-B10E-778F55801778}" destId="{809B79D6-9593-4DBF-8AE7-E37F90C50ABB}" srcOrd="0" destOrd="7" presId="urn:microsoft.com/office/officeart/2005/8/layout/lProcess2"/>
    <dgm:cxn modelId="{19EBF282-DFF7-4FF5-89ED-3B5EBA6667F9}" srcId="{BA4B24C3-1064-427D-9821-CA551FAA804C}" destId="{97D15C80-7100-4C49-8B76-3CA69B210385}" srcOrd="0" destOrd="0" parTransId="{AAF19B0D-8DCE-4B7B-9486-F0B7DA68ABF2}" sibTransId="{785C3AE6-F34D-4406-B1EB-7E88DF6BF006}"/>
    <dgm:cxn modelId="{174CAC8D-72DC-45E4-97F8-0807A5DFDFF3}" srcId="{F31FF4AD-D919-4FDE-BAC1-86BD349B8CA3}" destId="{B1AA730B-78B0-4022-9AAD-0B22C99A1320}" srcOrd="1" destOrd="0" parTransId="{3EE92F18-56D3-4CDB-ABCF-40DC438E6EDB}" sibTransId="{CDE42AD2-F158-4437-80B0-8E4F84DEDD9A}"/>
    <dgm:cxn modelId="{4E5C3990-62BC-44D5-AF41-C4BCBF76A66C}" srcId="{97D15C80-7100-4C49-8B76-3CA69B210385}" destId="{71112598-4EB1-4A9A-A7F5-848BB6018845}" srcOrd="0" destOrd="0" parTransId="{4F6B1652-E28B-4F0F-AD63-214A5AC958ED}" sibTransId="{2701F506-8123-4EBD-9EC8-26C7D608EC04}"/>
    <dgm:cxn modelId="{78C72B9A-B617-4084-989D-5F85D3BD0349}" type="presOf" srcId="{11611BF1-2540-419D-A6C3-91E2E03B9217}" destId="{69382CC0-27D3-4281-87F9-EA41AF249B95}" srcOrd="0" destOrd="2" presId="urn:microsoft.com/office/officeart/2005/8/layout/lProcess2"/>
    <dgm:cxn modelId="{4BA6449F-A5C6-44A5-B005-8DC9AEE4409E}" type="presOf" srcId="{1C367485-C735-426C-9AA6-01AB9CC42045}" destId="{809B79D6-9593-4DBF-8AE7-E37F90C50ABB}" srcOrd="0" destOrd="2" presId="urn:microsoft.com/office/officeart/2005/8/layout/lProcess2"/>
    <dgm:cxn modelId="{137220A2-ACF1-4F48-9682-FCCF588911CD}" srcId="{DE21D51D-15E8-4167-B1B0-4AFF7F70CD19}" destId="{B303D517-0101-4F2A-A41F-AA78F00A166B}" srcOrd="1" destOrd="0" parTransId="{6BA26ADB-4907-4188-9304-E008949C040C}" sibTransId="{8A01560D-7574-4274-81A9-F46BF2FF62F1}"/>
    <dgm:cxn modelId="{E958EEA4-7F35-41B8-B972-8A8AF3C63694}" type="presOf" srcId="{B303D517-0101-4F2A-A41F-AA78F00A166B}" destId="{D261ACC1-5DBD-4BD6-8DF7-3B1C73E0CEA9}" srcOrd="0" destOrd="2" presId="urn:microsoft.com/office/officeart/2005/8/layout/lProcess2"/>
    <dgm:cxn modelId="{88981EA5-1F39-414E-9932-C5E43ADDFFF1}" type="presOf" srcId="{7311932E-72A6-4CA9-A0CE-70024AF43912}" destId="{809B79D6-9593-4DBF-8AE7-E37F90C50ABB}" srcOrd="0" destOrd="0" presId="urn:microsoft.com/office/officeart/2005/8/layout/lProcess2"/>
    <dgm:cxn modelId="{52E20FA6-34B4-4607-A704-C16A72AE35B9}" type="presOf" srcId="{71112598-4EB1-4A9A-A7F5-848BB6018845}" destId="{69382CC0-27D3-4281-87F9-EA41AF249B95}" srcOrd="0" destOrd="1" presId="urn:microsoft.com/office/officeart/2005/8/layout/lProcess2"/>
    <dgm:cxn modelId="{FCC8FAAA-3D8C-46CE-BCD7-35C0116BDFB4}" srcId="{4602505C-BE38-4F74-BC5D-8598A57C0521}" destId="{C15418C7-7CBA-4E3C-824A-AD997DC4D994}" srcOrd="1" destOrd="0" parTransId="{9CC1438A-637B-49E5-A407-DB12E2AB85F9}" sibTransId="{AE126B5A-63B5-4420-8AF6-58E302008FAC}"/>
    <dgm:cxn modelId="{BE1C37AB-A61A-4796-8CBD-05A695637E96}" type="presOf" srcId="{B1AA730B-78B0-4022-9AAD-0B22C99A1320}" destId="{C16C9A3F-913F-4131-BCC8-0E99F70E54A7}" srcOrd="0" destOrd="2" presId="urn:microsoft.com/office/officeart/2005/8/layout/lProcess2"/>
    <dgm:cxn modelId="{8E0B79B6-EA5A-4277-9B93-E3DFE7FA0531}" type="presOf" srcId="{97D15C80-7100-4C49-8B76-3CA69B210385}" destId="{69382CC0-27D3-4281-87F9-EA41AF249B95}" srcOrd="0" destOrd="0" presId="urn:microsoft.com/office/officeart/2005/8/layout/lProcess2"/>
    <dgm:cxn modelId="{D944C8B8-D7FF-4785-8524-B7B3C1815D69}" type="presOf" srcId="{5B5C571A-E95A-4B4B-9E2C-A1581F0F9D75}" destId="{F3097AA3-A434-4C9F-BF0F-91B78208E0C6}" srcOrd="0" destOrd="0" presId="urn:microsoft.com/office/officeart/2005/8/layout/lProcess2"/>
    <dgm:cxn modelId="{32E007BA-443F-4176-8E3C-D9380DA3B9E2}" srcId="{7311932E-72A6-4CA9-A0CE-70024AF43912}" destId="{7DB43EF3-0F0E-4BBA-A72B-289AA0A166FC}" srcOrd="2" destOrd="0" parTransId="{EE2C9544-9FE4-425C-8519-6004B063A9C6}" sibTransId="{0923831A-F542-420C-801C-9DBCF5A390AC}"/>
    <dgm:cxn modelId="{E0C9A6BC-7206-41D2-9BE8-C33BA30BE579}" type="presOf" srcId="{0E0DCB6D-291A-421D-A0AA-9F2248B53672}" destId="{D261ACC1-5DBD-4BD6-8DF7-3B1C73E0CEA9}" srcOrd="0" destOrd="1" presId="urn:microsoft.com/office/officeart/2005/8/layout/lProcess2"/>
    <dgm:cxn modelId="{2CCECFC1-AAF9-404A-A96C-9FB13DCD62EE}" srcId="{7311932E-72A6-4CA9-A0CE-70024AF43912}" destId="{1C367485-C735-426C-9AA6-01AB9CC42045}" srcOrd="1" destOrd="0" parTransId="{85336292-2674-4C90-83DB-8352E5677B26}" sibTransId="{E27E1098-06FE-4AE1-9F81-4AAD602B61D8}"/>
    <dgm:cxn modelId="{701F7DC3-4E8C-4062-82A5-C0E29785F536}" srcId="{4602505C-BE38-4F74-BC5D-8598A57C0521}" destId="{70F6C5AC-8011-4AE7-B712-FD5133A37762}" srcOrd="3" destOrd="0" parTransId="{573FF062-1B83-42AF-A221-D7A4A00C3048}" sibTransId="{094864DC-CA71-4BBE-B4D9-75CCB530916B}"/>
    <dgm:cxn modelId="{CCC709C6-E8CA-4DA6-A8F0-858068C1D4FE}" type="presOf" srcId="{BA4B24C3-1064-427D-9821-CA551FAA804C}" destId="{F83ADDF7-9714-41E9-AAAF-3DD7BD3EAE1E}" srcOrd="0" destOrd="0" presId="urn:microsoft.com/office/officeart/2005/8/layout/lProcess2"/>
    <dgm:cxn modelId="{3FD7ABC8-0F35-4828-950C-4008DD0C02CD}" srcId="{7311932E-72A6-4CA9-A0CE-70024AF43912}" destId="{EFBA0178-CD75-49F9-B10E-778F55801778}" srcOrd="6" destOrd="0" parTransId="{1864847D-35B6-4909-8EEF-624C072A336B}" sibTransId="{C166F47E-BA16-47E8-9F5B-28552D313EF4}"/>
    <dgm:cxn modelId="{869869CB-0EE2-48D2-AA57-1BC3E1FE06F8}" type="presOf" srcId="{4602505C-BE38-4F74-BC5D-8598A57C0521}" destId="{9368DA6B-B34A-4491-B808-03FD6A953441}" srcOrd="0" destOrd="0" presId="urn:microsoft.com/office/officeart/2005/8/layout/lProcess2"/>
    <dgm:cxn modelId="{84EF48D3-EC36-41CA-B57C-35F877A053A2}" type="presOf" srcId="{7DB43EF3-0F0E-4BBA-A72B-289AA0A166FC}" destId="{809B79D6-9593-4DBF-8AE7-E37F90C50ABB}" srcOrd="0" destOrd="3" presId="urn:microsoft.com/office/officeart/2005/8/layout/lProcess2"/>
    <dgm:cxn modelId="{0B9169D7-F291-4AAA-A4A1-7FD04D19FE71}" srcId="{F31FF4AD-D919-4FDE-BAC1-86BD349B8CA3}" destId="{7E5766EF-076A-4BB6-878A-81E57B11A815}" srcOrd="2" destOrd="0" parTransId="{44EF1AD2-BC14-4BF1-9C56-5747A2CF2F4F}" sibTransId="{9C5EDD2C-BC1F-4061-8415-8FCD2BD572C6}"/>
    <dgm:cxn modelId="{6D4035D8-5D63-4CFB-890F-A37FBC995C97}" srcId="{4602505C-BE38-4F74-BC5D-8598A57C0521}" destId="{5B5C571A-E95A-4B4B-9E2C-A1581F0F9D75}" srcOrd="2" destOrd="0" parTransId="{92101118-F08F-4153-B22F-4364C51F2A88}" sibTransId="{6BE21506-9EFF-41E3-A776-386F440ABBE7}"/>
    <dgm:cxn modelId="{245FBFD8-DB7F-4020-939B-59E140EB41BA}" srcId="{DE21D51D-15E8-4167-B1B0-4AFF7F70CD19}" destId="{0E0DCB6D-291A-421D-A0AA-9F2248B53672}" srcOrd="0" destOrd="0" parTransId="{BE1B01A3-6839-4D5B-9A87-E6E639B610DF}" sibTransId="{B7262D9A-C169-48CD-B3C6-9A13D0B73ADA}"/>
    <dgm:cxn modelId="{9C5A1EE6-5170-4445-8607-3937E51B48FF}" type="presOf" srcId="{C15418C7-7CBA-4E3C-824A-AD997DC4D994}" destId="{47091938-74DB-4C31-841E-48F7BC3DBD93}" srcOrd="1" destOrd="0"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B0C8EF0-3926-49A0-986A-709E74292826}" type="presOf" srcId="{3C267526-0EB5-4224-ACBC-95976D7094CC}" destId="{809B79D6-9593-4DBF-8AE7-E37F90C50ABB}" srcOrd="0" destOrd="6" presId="urn:microsoft.com/office/officeart/2005/8/layout/lProcess2"/>
    <dgm:cxn modelId="{1A1106FB-8E00-48B0-93B4-FBA640795B13}" srcId="{F31FF4AD-D919-4FDE-BAC1-86BD349B8CA3}" destId="{169D3296-3554-4FB8-832C-51BE2A82091E}" srcOrd="0" destOrd="0" parTransId="{35916E22-37A7-469B-B6FE-17E55AC91C5C}" sibTransId="{06A98EE8-D5A7-4D77-A82E-8AF7360FFDD4}"/>
    <dgm:cxn modelId="{8923107D-34A1-41C6-954A-9D01664ADCF3}" type="presParOf" srcId="{9368DA6B-B34A-4491-B808-03FD6A953441}" destId="{7BEC33E5-A4C9-41CC-AF97-E156986B83AF}" srcOrd="0" destOrd="0" presId="urn:microsoft.com/office/officeart/2005/8/layout/lProcess2"/>
    <dgm:cxn modelId="{DF11F007-6625-49B5-8875-BA911AA7164A}" type="presParOf" srcId="{7BEC33E5-A4C9-41CC-AF97-E156986B83AF}" destId="{F83ADDF7-9714-41E9-AAAF-3DD7BD3EAE1E}" srcOrd="0" destOrd="0" presId="urn:microsoft.com/office/officeart/2005/8/layout/lProcess2"/>
    <dgm:cxn modelId="{76368B10-B556-44F8-BF12-39CCACDA1FAC}" type="presParOf" srcId="{7BEC33E5-A4C9-41CC-AF97-E156986B83AF}" destId="{545E997B-D2D6-4FC0-9986-7E9D9D00A55C}" srcOrd="1" destOrd="0" presId="urn:microsoft.com/office/officeart/2005/8/layout/lProcess2"/>
    <dgm:cxn modelId="{6B4821C6-C132-4F34-8762-7719AB5A44D5}" type="presParOf" srcId="{7BEC33E5-A4C9-41CC-AF97-E156986B83AF}" destId="{84E769F8-939A-4D02-A87E-AA70CDB11402}" srcOrd="2" destOrd="0" presId="urn:microsoft.com/office/officeart/2005/8/layout/lProcess2"/>
    <dgm:cxn modelId="{BA413E06-7011-48AB-9177-ED70E0E42CD7}" type="presParOf" srcId="{84E769F8-939A-4D02-A87E-AA70CDB11402}" destId="{095F8B3F-4776-41FF-A4DE-52679CA11A92}" srcOrd="0" destOrd="0" presId="urn:microsoft.com/office/officeart/2005/8/layout/lProcess2"/>
    <dgm:cxn modelId="{C9F5430D-74DF-4414-9670-1CF6AC6D650A}" type="presParOf" srcId="{095F8B3F-4776-41FF-A4DE-52679CA11A92}" destId="{69382CC0-27D3-4281-87F9-EA41AF249B95}" srcOrd="0" destOrd="0" presId="urn:microsoft.com/office/officeart/2005/8/layout/lProcess2"/>
    <dgm:cxn modelId="{C5B5580F-014A-44EF-BB13-EF08C6DB8D98}" type="presParOf" srcId="{9368DA6B-B34A-4491-B808-03FD6A953441}" destId="{5E9629EB-812B-4050-91F1-0EE4FB4589FA}" srcOrd="1" destOrd="0" presId="urn:microsoft.com/office/officeart/2005/8/layout/lProcess2"/>
    <dgm:cxn modelId="{15651781-A087-420D-8C3A-AAF31C929364}" type="presParOf" srcId="{9368DA6B-B34A-4491-B808-03FD6A953441}" destId="{FDE55128-D302-4FA1-B93E-3C33EF5ED5AC}" srcOrd="2"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 modelId="{83ABB596-31D4-4988-9E3B-422C0651CD87}" type="presParOf" srcId="{9368DA6B-B34A-4491-B808-03FD6A953441}" destId="{1ADB1D72-7826-416F-8080-50CCD8A80E60}" srcOrd="3" destOrd="0" presId="urn:microsoft.com/office/officeart/2005/8/layout/lProcess2"/>
    <dgm:cxn modelId="{F1783ED1-381C-468E-AEBB-16570BF73F7B}" type="presParOf" srcId="{9368DA6B-B34A-4491-B808-03FD6A953441}" destId="{227BED0A-03A2-4491-A99C-896273B0FC51}" srcOrd="4" destOrd="0" presId="urn:microsoft.com/office/officeart/2005/8/layout/lProcess2"/>
    <dgm:cxn modelId="{47F30657-AE07-4E1E-8182-53B54F156D0E}" type="presParOf" srcId="{227BED0A-03A2-4491-A99C-896273B0FC51}" destId="{F3097AA3-A434-4C9F-BF0F-91B78208E0C6}" srcOrd="0" destOrd="0" presId="urn:microsoft.com/office/officeart/2005/8/layout/lProcess2"/>
    <dgm:cxn modelId="{BDDDE760-B930-4434-A655-2A948970873F}" type="presParOf" srcId="{227BED0A-03A2-4491-A99C-896273B0FC51}" destId="{874B1F11-06C6-47B7-A564-FAB0D22900D5}" srcOrd="1" destOrd="0" presId="urn:microsoft.com/office/officeart/2005/8/layout/lProcess2"/>
    <dgm:cxn modelId="{84B5C31F-9639-4B19-8BC2-096C4C0DD9FD}" type="presParOf" srcId="{227BED0A-03A2-4491-A99C-896273B0FC51}" destId="{16B7BF0C-EF44-460A-91EE-0F018C8D4291}" srcOrd="2" destOrd="0" presId="urn:microsoft.com/office/officeart/2005/8/layout/lProcess2"/>
    <dgm:cxn modelId="{23B27365-F02F-4CFD-A418-079B05D3767D}" type="presParOf" srcId="{16B7BF0C-EF44-460A-91EE-0F018C8D4291}" destId="{3741552B-F599-4B21-8283-36E075031BA5}" srcOrd="0" destOrd="0" presId="urn:microsoft.com/office/officeart/2005/8/layout/lProcess2"/>
    <dgm:cxn modelId="{B0CA3CBF-8CFD-414C-9CC2-28F628A947D8}" type="presParOf" srcId="{3741552B-F599-4B21-8283-36E075031BA5}" destId="{D261ACC1-5DBD-4BD6-8DF7-3B1C73E0CEA9}" srcOrd="0" destOrd="0" presId="urn:microsoft.com/office/officeart/2005/8/layout/lProcess2"/>
    <dgm:cxn modelId="{135F8F07-2A6D-46DE-8AF4-2DD0CBE427C3}" type="presParOf" srcId="{9368DA6B-B34A-4491-B808-03FD6A953441}" destId="{88803F63-7244-4C25-879A-685B9A97E058}" srcOrd="5" destOrd="0" presId="urn:microsoft.com/office/officeart/2005/8/layout/lProcess2"/>
    <dgm:cxn modelId="{FE6D31AD-302E-48E8-A939-5C64F78BE656}" type="presParOf" srcId="{9368DA6B-B34A-4491-B808-03FD6A953441}" destId="{B8368FFE-8B79-4BB4-A473-37DF9540AA3B}" srcOrd="6" destOrd="0" presId="urn:microsoft.com/office/officeart/2005/8/layout/lProcess2"/>
    <dgm:cxn modelId="{DC92CB84-D203-4C93-BCEA-EE056FAAA22E}" type="presParOf" srcId="{B8368FFE-8B79-4BB4-A473-37DF9540AA3B}" destId="{4BC53CC4-5D93-401E-BFDB-145C294F8DFD}" srcOrd="0" destOrd="0" presId="urn:microsoft.com/office/officeart/2005/8/layout/lProcess2"/>
    <dgm:cxn modelId="{AF135C50-7300-4BD5-AD07-AA54C0B191F1}" type="presParOf" srcId="{B8368FFE-8B79-4BB4-A473-37DF9540AA3B}" destId="{5B2C3ABF-7481-427E-B24F-4237D7D8716B}" srcOrd="1" destOrd="0" presId="urn:microsoft.com/office/officeart/2005/8/layout/lProcess2"/>
    <dgm:cxn modelId="{B06AFA02-F36A-484C-BC07-7DFD84ED4786}" type="presParOf" srcId="{B8368FFE-8B79-4BB4-A473-37DF9540AA3B}" destId="{D8E9EB3E-22E6-48D2-9978-994C439A2F56}" srcOrd="2" destOrd="0" presId="urn:microsoft.com/office/officeart/2005/8/layout/lProcess2"/>
    <dgm:cxn modelId="{E88D2172-483D-4470-9551-13C9E7A2DBEA}" type="presParOf" srcId="{D8E9EB3E-22E6-48D2-9978-994C439A2F56}" destId="{0C435BA3-C2FB-4356-9445-3DB9B171B595}" srcOrd="0" destOrd="0" presId="urn:microsoft.com/office/officeart/2005/8/layout/lProcess2"/>
    <dgm:cxn modelId="{28FBE9D9-F881-406E-AEAF-E96025484029}" type="presParOf" srcId="{0C435BA3-C2FB-4356-9445-3DB9B171B595}" destId="{C16C9A3F-913F-4131-BCC8-0E99F70E54A7}" srcOrd="0" destOrd="0" presId="urn:microsoft.com/office/officeart/2005/8/layout/lProcess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BA4B24C3-1064-427D-9821-CA551FAA804C}">
      <dgm:prSet phldrT="[Text]"/>
      <dgm:spPr/>
      <dgm:t>
        <a:bodyPr/>
        <a:lstStyle/>
        <a:p>
          <a:r>
            <a:rPr lang="en-US">
              <a:latin typeface="Palatino Linotype" panose="02040502050505030304" pitchFamily="18" charset="0"/>
            </a:rPr>
            <a:t>Politics</a:t>
          </a:r>
        </a:p>
      </dgm:t>
    </dgm:pt>
    <dgm:pt modelId="{A22C9BE0-4A16-4F9F-8016-B06FB70181A3}" type="parTrans" cxnId="{B6CCBF4B-C92C-4209-AF2D-0AB90724F0F2}">
      <dgm:prSet/>
      <dgm:spPr/>
      <dgm:t>
        <a:bodyPr/>
        <a:lstStyle/>
        <a:p>
          <a:endParaRPr lang="en-US">
            <a:latin typeface="Palatino Linotype" panose="02040502050505030304" pitchFamily="18" charset="0"/>
          </a:endParaRPr>
        </a:p>
      </dgm:t>
    </dgm:pt>
    <dgm:pt modelId="{3A091D31-4A10-4966-8E3F-1D989DC88B59}" type="sibTrans" cxnId="{B6CCBF4B-C92C-4209-AF2D-0AB90724F0F2}">
      <dgm:prSet/>
      <dgm:spPr/>
      <dgm:t>
        <a:bodyPr/>
        <a:lstStyle/>
        <a:p>
          <a:endParaRPr lang="en-US">
            <a:latin typeface="Palatino Linotype" panose="02040502050505030304" pitchFamily="18" charset="0"/>
          </a:endParaRPr>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7E4EC7CB-65C5-4E2F-86A6-7CE79A7E598E}">
      <dgm:prSet custT="1"/>
      <dgm:spPr/>
      <dgm:t>
        <a:bodyPr/>
        <a:lstStyle/>
        <a:p>
          <a:r>
            <a:rPr lang="en-US" sz="900">
              <a:latin typeface="Palatino Linotype" panose="02040502050505030304" pitchFamily="18" charset="0"/>
            </a:rPr>
            <a:t>Policy Tools</a:t>
          </a:r>
        </a:p>
      </dgm:t>
    </dgm:pt>
    <dgm:pt modelId="{BC1350D0-F9CF-416F-801D-E73A8462690D}" type="parTrans" cxnId="{E70F4E2B-8BD8-40F5-AB84-FE69A59AAE6C}">
      <dgm:prSet/>
      <dgm:spPr/>
      <dgm:t>
        <a:bodyPr/>
        <a:lstStyle/>
        <a:p>
          <a:endParaRPr lang="en-US">
            <a:latin typeface="Palatino Linotype" panose="02040502050505030304" pitchFamily="18" charset="0"/>
          </a:endParaRPr>
        </a:p>
      </dgm:t>
    </dgm:pt>
    <dgm:pt modelId="{C959F7AD-80EB-41F5-AC04-1D9DA494B16F}" type="sibTrans" cxnId="{E70F4E2B-8BD8-40F5-AB84-FE69A59AAE6C}">
      <dgm:prSet/>
      <dgm:spPr/>
      <dgm:t>
        <a:bodyPr/>
        <a:lstStyle/>
        <a:p>
          <a:endParaRPr lang="en-US">
            <a:latin typeface="Palatino Linotype" panose="02040502050505030304" pitchFamily="18" charset="0"/>
          </a:endParaRPr>
        </a:p>
      </dgm:t>
    </dgm:pt>
    <dgm:pt modelId="{2A883902-FE9D-4349-94FA-0D03FF7A3648}">
      <dgm:prSet custT="1"/>
      <dgm:spPr/>
      <dgm:t>
        <a:bodyPr/>
        <a:lstStyle/>
        <a:p>
          <a:r>
            <a:rPr lang="en-US" sz="900">
              <a:latin typeface="Palatino Linotype" panose="02040502050505030304" pitchFamily="18" charset="0"/>
            </a:rPr>
            <a:t>Allocations of Benefits</a:t>
          </a:r>
        </a:p>
      </dgm:t>
    </dgm:pt>
    <dgm:pt modelId="{4D934622-BCD0-4A55-8EC9-998132295B1E}" type="parTrans" cxnId="{CE007B42-D454-46B6-9EE6-980DF678C65A}">
      <dgm:prSet/>
      <dgm:spPr/>
      <dgm:t>
        <a:bodyPr/>
        <a:lstStyle/>
        <a:p>
          <a:endParaRPr lang="en-US">
            <a:latin typeface="Palatino Linotype" panose="02040502050505030304" pitchFamily="18" charset="0"/>
          </a:endParaRPr>
        </a:p>
      </dgm:t>
    </dgm:pt>
    <dgm:pt modelId="{7F53BD23-5D8C-44B0-889E-8F4BD9556ECE}" type="sibTrans" cxnId="{CE007B42-D454-46B6-9EE6-980DF678C65A}">
      <dgm:prSet/>
      <dgm:spPr/>
      <dgm:t>
        <a:bodyPr/>
        <a:lstStyle/>
        <a:p>
          <a:endParaRPr lang="en-US">
            <a:latin typeface="Palatino Linotype" panose="02040502050505030304" pitchFamily="18" charset="0"/>
          </a:endParaRPr>
        </a:p>
      </dgm:t>
    </dgm:pt>
    <dgm:pt modelId="{86A5FC92-5A95-4A4A-A17B-05CDD5216009}">
      <dgm:prSet custT="1"/>
      <dgm:spPr/>
      <dgm:t>
        <a:bodyPr/>
        <a:lstStyle/>
        <a:p>
          <a:r>
            <a:rPr lang="en-US" sz="900">
              <a:latin typeface="Palatino Linotype" panose="02040502050505030304" pitchFamily="18" charset="0"/>
            </a:rPr>
            <a:t>Allocations of Burdens</a:t>
          </a:r>
        </a:p>
      </dgm:t>
    </dgm:pt>
    <dgm:pt modelId="{386469AE-C963-4EF9-ACED-AAAC23E9433A}" type="parTrans" cxnId="{05DE36FD-F61E-4DE5-AE2D-D052066BB7B9}">
      <dgm:prSet/>
      <dgm:spPr/>
      <dgm:t>
        <a:bodyPr/>
        <a:lstStyle/>
        <a:p>
          <a:endParaRPr lang="en-US">
            <a:latin typeface="Palatino Linotype" panose="02040502050505030304" pitchFamily="18" charset="0"/>
          </a:endParaRPr>
        </a:p>
      </dgm:t>
    </dgm:pt>
    <dgm:pt modelId="{BCF6CE22-49EC-4E28-BC95-465BE84A385B}" type="sibTrans" cxnId="{05DE36FD-F61E-4DE5-AE2D-D052066BB7B9}">
      <dgm:prSet/>
      <dgm:spPr/>
      <dgm:t>
        <a:bodyPr/>
        <a:lstStyle/>
        <a:p>
          <a:endParaRPr lang="en-US">
            <a:latin typeface="Palatino Linotype" panose="02040502050505030304" pitchFamily="18" charset="0"/>
          </a:endParaRPr>
        </a:p>
      </dgm:t>
    </dgm:pt>
    <dgm:pt modelId="{30DBD67A-65D4-481F-BC24-25961C456B7A}">
      <dgm:prSet custT="1"/>
      <dgm:spPr/>
      <dgm:t>
        <a:bodyPr/>
        <a:lstStyle/>
        <a:p>
          <a:r>
            <a:rPr lang="en-US" sz="900">
              <a:latin typeface="Palatino Linotype" panose="02040502050505030304" pitchFamily="18" charset="0"/>
            </a:rPr>
            <a:t>Eligibility Requirements</a:t>
          </a:r>
        </a:p>
      </dgm:t>
    </dgm:pt>
    <dgm:pt modelId="{6F3F3CA8-A10F-4DA0-9D44-06F79693DC9E}" type="sibTrans" cxnId="{8D443C47-6AFB-41C1-9751-817F85CFA668}">
      <dgm:prSet/>
      <dgm:spPr/>
      <dgm:t>
        <a:bodyPr/>
        <a:lstStyle/>
        <a:p>
          <a:endParaRPr lang="en-US">
            <a:latin typeface="Palatino Linotype" panose="02040502050505030304" pitchFamily="18" charset="0"/>
          </a:endParaRPr>
        </a:p>
      </dgm:t>
    </dgm:pt>
    <dgm:pt modelId="{95F0A796-F250-49D5-8598-9B30D35E95A1}" type="parTrans" cxnId="{8D443C47-6AFB-41C1-9751-817F85CFA668}">
      <dgm:prSet/>
      <dgm:spPr/>
      <dgm:t>
        <a:bodyPr/>
        <a:lstStyle/>
        <a:p>
          <a:endParaRPr lang="en-US">
            <a:latin typeface="Palatino Linotype" panose="02040502050505030304" pitchFamily="18" charset="0"/>
          </a:endParaRPr>
        </a:p>
      </dgm:t>
    </dgm:pt>
    <dgm:pt modelId="{8ACADC06-D3CE-42A6-89F4-0EC066B66B37}">
      <dgm:prSet custT="1"/>
      <dgm:spPr/>
      <dgm:t>
        <a:bodyPr/>
        <a:lstStyle/>
        <a:p>
          <a:r>
            <a:rPr lang="en-US" sz="900">
              <a:latin typeface="Palatino Linotype" panose="02040502050505030304" pitchFamily="18" charset="0"/>
            </a:rPr>
            <a:t>Funding Structure</a:t>
          </a:r>
        </a:p>
      </dgm:t>
    </dgm:pt>
    <dgm:pt modelId="{7331A786-CD33-44A0-99F5-8809A191B71C}" type="parTrans" cxnId="{C1FF0FEA-7EE9-4793-A468-CCB48929BA30}">
      <dgm:prSet/>
      <dgm:spPr/>
      <dgm:t>
        <a:bodyPr/>
        <a:lstStyle/>
        <a:p>
          <a:endParaRPr lang="en-US">
            <a:latin typeface="Palatino Linotype" panose="02040502050505030304" pitchFamily="18" charset="0"/>
          </a:endParaRPr>
        </a:p>
      </dgm:t>
    </dgm:pt>
    <dgm:pt modelId="{67F9E5D1-7772-4D7E-B755-C84866B4076D}" type="sibTrans" cxnId="{C1FF0FEA-7EE9-4793-A468-CCB48929BA30}">
      <dgm:prSet/>
      <dgm:spPr/>
      <dgm:t>
        <a:bodyPr/>
        <a:lstStyle/>
        <a:p>
          <a:endParaRPr lang="en-US">
            <a:latin typeface="Palatino Linotype" panose="02040502050505030304" pitchFamily="18" charset="0"/>
          </a:endParaRPr>
        </a:p>
      </dgm:t>
    </dgm:pt>
    <dgm:pt modelId="{D622C22B-66D3-4C3D-9CD9-E415746F0FBA}">
      <dgm:prSet custT="1"/>
      <dgm:spPr/>
      <dgm:t>
        <a:bodyPr/>
        <a:lstStyle/>
        <a:p>
          <a:r>
            <a:rPr lang="en-US" sz="900">
              <a:latin typeface="Palatino Linotype" panose="02040502050505030304" pitchFamily="18" charset="0"/>
            </a:rPr>
            <a:t>Political bargaining to build winning coalitions &amp; funding mechanisms</a:t>
          </a:r>
        </a:p>
      </dgm:t>
    </dgm:pt>
    <dgm:pt modelId="{AA118AAE-0A55-4E99-A04D-A7A7D0414B25}" type="sibTrans" cxnId="{67B25A43-78A8-48DF-A3B3-D7CF18126CB9}">
      <dgm:prSet/>
      <dgm:spPr/>
      <dgm:t>
        <a:bodyPr/>
        <a:lstStyle/>
        <a:p>
          <a:endParaRPr lang="en-US">
            <a:latin typeface="Palatino Linotype" panose="02040502050505030304" pitchFamily="18" charset="0"/>
          </a:endParaRPr>
        </a:p>
      </dgm:t>
    </dgm:pt>
    <dgm:pt modelId="{F43C9E45-67D2-4AA5-BCDB-CE6FDF48016B}" type="parTrans" cxnId="{67B25A43-78A8-48DF-A3B3-D7CF18126CB9}">
      <dgm:prSet/>
      <dgm:spPr/>
      <dgm:t>
        <a:bodyPr/>
        <a:lstStyle/>
        <a:p>
          <a:endParaRPr lang="en-US">
            <a:latin typeface="Palatino Linotype" panose="02040502050505030304" pitchFamily="18" charset="0"/>
          </a:endParaRPr>
        </a:p>
      </dgm:t>
    </dgm:pt>
    <dgm:pt modelId="{A2B89AB6-BBC6-4166-9ABA-2535D0D2E1E2}">
      <dgm:prSet custT="1"/>
      <dgm:spPr/>
      <dgm:t>
        <a:bodyPr/>
        <a:lstStyle/>
        <a:p>
          <a:r>
            <a:rPr lang="en-US" sz="900">
              <a:latin typeface="Palatino Linotype" panose="02040502050505030304" pitchFamily="18" charset="0"/>
            </a:rPr>
            <a:t>Selection of winning narrative based on casual story &amp; socially constructed target population</a:t>
          </a:r>
        </a:p>
      </dgm:t>
    </dgm:pt>
    <dgm:pt modelId="{E48939E1-EDAA-413B-941E-5CBA616B5E8A}" type="parTrans" cxnId="{E9F28DF0-E6F5-47A5-B9B0-440EF4F44E21}">
      <dgm:prSet/>
      <dgm:spPr/>
      <dgm:t>
        <a:bodyPr/>
        <a:lstStyle/>
        <a:p>
          <a:endParaRPr lang="en-US"/>
        </a:p>
      </dgm:t>
    </dgm:pt>
    <dgm:pt modelId="{B9FB9EE8-8E35-4AAC-A527-22981045D523}" type="sibTrans" cxnId="{E9F28DF0-E6F5-47A5-B9B0-440EF4F44E21}">
      <dgm:prSet/>
      <dgm:spPr/>
      <dgm:t>
        <a:bodyPr/>
        <a:lstStyle/>
        <a:p>
          <a:endParaRPr lang="en-US"/>
        </a:p>
      </dgm:t>
    </dgm:pt>
    <dgm:pt modelId="{97D15C80-7100-4C49-8B76-3CA69B210385}">
      <dgm:prSet phldrT="[Text]" phldr="1" custT="1"/>
      <dgm:spPr/>
      <dgm:t>
        <a:bodyPr/>
        <a:lstStyle/>
        <a:p>
          <a:endParaRPr lang="en-US" sz="100">
            <a:latin typeface="Palatino Linotype" panose="02040502050505030304" pitchFamily="18" charset="0"/>
          </a:endParaRPr>
        </a:p>
      </dgm:t>
    </dgm:pt>
    <dgm:pt modelId="{785C3AE6-F34D-4406-B1EB-7E88DF6BF006}" type="sibTrans" cxnId="{19EBF282-DFF7-4FF5-89ED-3B5EBA6667F9}">
      <dgm:prSet/>
      <dgm:spPr/>
      <dgm:t>
        <a:bodyPr/>
        <a:lstStyle/>
        <a:p>
          <a:endParaRPr lang="en-US">
            <a:latin typeface="Palatino Linotype" panose="02040502050505030304" pitchFamily="18" charset="0"/>
          </a:endParaRPr>
        </a:p>
      </dgm:t>
    </dgm:pt>
    <dgm:pt modelId="{AAF19B0D-8DCE-4B7B-9486-F0B7DA68ABF2}" type="parTrans" cxnId="{19EBF282-DFF7-4FF5-89ED-3B5EBA6667F9}">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9368DA6B-B34A-4491-B808-03FD6A953441}" type="pres">
      <dgm:prSet presAssocID="{4602505C-BE38-4F74-BC5D-8598A57C0521}" presName="theList" presStyleCnt="0">
        <dgm:presLayoutVars>
          <dgm:dir/>
          <dgm:animLvl val="lvl"/>
          <dgm:resizeHandles val="exact"/>
        </dgm:presLayoutVars>
      </dgm:prSet>
      <dgm:spPr/>
    </dgm:pt>
    <dgm:pt modelId="{7BEC33E5-A4C9-41CC-AF97-E156986B83AF}" type="pres">
      <dgm:prSet presAssocID="{BA4B24C3-1064-427D-9821-CA551FAA804C}" presName="compNode" presStyleCnt="0"/>
      <dgm:spPr/>
    </dgm:pt>
    <dgm:pt modelId="{F83ADDF7-9714-41E9-AAAF-3DD7BD3EAE1E}" type="pres">
      <dgm:prSet presAssocID="{BA4B24C3-1064-427D-9821-CA551FAA804C}" presName="aNode" presStyleLbl="bgShp" presStyleIdx="0" presStyleCnt="2"/>
      <dgm:spPr/>
    </dgm:pt>
    <dgm:pt modelId="{545E997B-D2D6-4FC0-9986-7E9D9D00A55C}" type="pres">
      <dgm:prSet presAssocID="{BA4B24C3-1064-427D-9821-CA551FAA804C}" presName="textNode" presStyleLbl="bgShp" presStyleIdx="0" presStyleCnt="2"/>
      <dgm:spPr/>
    </dgm:pt>
    <dgm:pt modelId="{84E769F8-939A-4D02-A87E-AA70CDB11402}" type="pres">
      <dgm:prSet presAssocID="{BA4B24C3-1064-427D-9821-CA551FAA804C}" presName="compChildNode" presStyleCnt="0"/>
      <dgm:spPr/>
    </dgm:pt>
    <dgm:pt modelId="{095F8B3F-4776-41FF-A4DE-52679CA11A92}" type="pres">
      <dgm:prSet presAssocID="{BA4B24C3-1064-427D-9821-CA551FAA804C}" presName="theInnerList" presStyleCnt="0"/>
      <dgm:spPr/>
    </dgm:pt>
    <dgm:pt modelId="{69382CC0-27D3-4281-87F9-EA41AF249B95}" type="pres">
      <dgm:prSet presAssocID="{97D15C80-7100-4C49-8B76-3CA69B210385}" presName="childNode" presStyleLbl="node1" presStyleIdx="0" presStyleCnt="2">
        <dgm:presLayoutVars>
          <dgm:bulletEnabled val="1"/>
        </dgm:presLayoutVars>
      </dgm:prSet>
      <dgm:spPr/>
    </dgm:pt>
    <dgm:pt modelId="{5E9629EB-812B-4050-91F1-0EE4FB4589FA}" type="pres">
      <dgm:prSet presAssocID="{BA4B24C3-1064-427D-9821-CA551FAA804C}" presName="aSpace" presStyleCnt="0"/>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1" presStyleCnt="2"/>
      <dgm:spPr/>
    </dgm:pt>
    <dgm:pt modelId="{47091938-74DB-4C31-841E-48F7BC3DBD93}" type="pres">
      <dgm:prSet presAssocID="{C15418C7-7CBA-4E3C-824A-AD997DC4D994}" presName="textNode" presStyleLbl="bgShp" presStyleIdx="1" presStyleCnt="2"/>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1" presStyleCnt="2">
        <dgm:presLayoutVars>
          <dgm:bulletEnabled val="1"/>
        </dgm:presLayoutVars>
      </dgm:prSet>
      <dgm:spPr/>
    </dgm:pt>
  </dgm:ptLst>
  <dgm:cxnLst>
    <dgm:cxn modelId="{30536D00-5216-452C-A0E1-D77E468DBF59}" type="presOf" srcId="{BA4B24C3-1064-427D-9821-CA551FAA804C}" destId="{545E997B-D2D6-4FC0-9986-7E9D9D00A55C}" srcOrd="1" destOrd="0" presId="urn:microsoft.com/office/officeart/2005/8/layout/lProcess2"/>
    <dgm:cxn modelId="{E70F4E2B-8BD8-40F5-AB84-FE69A59AAE6C}" srcId="{7311932E-72A6-4CA9-A0CE-70024AF43912}" destId="{7E4EC7CB-65C5-4E2F-86A6-7CE79A7E598E}" srcOrd="1" destOrd="0" parTransId="{BC1350D0-F9CF-416F-801D-E73A8462690D}" sibTransId="{C959F7AD-80EB-41F5-AC04-1D9DA494B16F}"/>
    <dgm:cxn modelId="{6D58432F-D434-4DBE-8CD4-791D81ABD538}" type="presOf" srcId="{C15418C7-7CBA-4E3C-824A-AD997DC4D994}" destId="{E8A73C91-A01D-4788-9E25-EB6622456EBA}" srcOrd="0" destOrd="0" presId="urn:microsoft.com/office/officeart/2005/8/layout/lProcess2"/>
    <dgm:cxn modelId="{82C50D30-9CB0-44F5-B64D-55333E08F687}" type="presOf" srcId="{30DBD67A-65D4-481F-BC24-25961C456B7A}" destId="{809B79D6-9593-4DBF-8AE7-E37F90C50ABB}" srcOrd="0" destOrd="1" presId="urn:microsoft.com/office/officeart/2005/8/layout/lProcess2"/>
    <dgm:cxn modelId="{88FC9A35-9CF6-4173-87BE-226E48A212FC}" type="presOf" srcId="{D622C22B-66D3-4C3D-9CD9-E415746F0FBA}" destId="{69382CC0-27D3-4281-87F9-EA41AF249B95}" srcOrd="0" destOrd="2" presId="urn:microsoft.com/office/officeart/2005/8/layout/lProcess2"/>
    <dgm:cxn modelId="{CE007B42-D454-46B6-9EE6-980DF678C65A}" srcId="{7311932E-72A6-4CA9-A0CE-70024AF43912}" destId="{2A883902-FE9D-4349-94FA-0D03FF7A3648}" srcOrd="2" destOrd="0" parTransId="{4D934622-BCD0-4A55-8EC9-998132295B1E}" sibTransId="{7F53BD23-5D8C-44B0-889E-8F4BD9556ECE}"/>
    <dgm:cxn modelId="{67B25A43-78A8-48DF-A3B3-D7CF18126CB9}" srcId="{97D15C80-7100-4C49-8B76-3CA69B210385}" destId="{D622C22B-66D3-4C3D-9CD9-E415746F0FBA}" srcOrd="1" destOrd="0" parTransId="{F43C9E45-67D2-4AA5-BCDB-CE6FDF48016B}" sibTransId="{AA118AAE-0A55-4E99-A04D-A7A7D0414B25}"/>
    <dgm:cxn modelId="{9FF35865-A62A-4458-B641-68DDABAF5731}" type="presOf" srcId="{2A883902-FE9D-4349-94FA-0D03FF7A3648}" destId="{809B79D6-9593-4DBF-8AE7-E37F90C50ABB}" srcOrd="0" destOrd="3" presId="urn:microsoft.com/office/officeart/2005/8/layout/lProcess2"/>
    <dgm:cxn modelId="{8D443C47-6AFB-41C1-9751-817F85CFA668}" srcId="{7311932E-72A6-4CA9-A0CE-70024AF43912}" destId="{30DBD67A-65D4-481F-BC24-25961C456B7A}" srcOrd="0" destOrd="0" parTransId="{95F0A796-F250-49D5-8598-9B30D35E95A1}" sibTransId="{6F3F3CA8-A10F-4DA0-9D44-06F79693DC9E}"/>
    <dgm:cxn modelId="{B6CCBF4B-C92C-4209-AF2D-0AB90724F0F2}" srcId="{4602505C-BE38-4F74-BC5D-8598A57C0521}" destId="{BA4B24C3-1064-427D-9821-CA551FAA804C}" srcOrd="0" destOrd="0" parTransId="{A22C9BE0-4A16-4F9F-8016-B06FB70181A3}" sibTransId="{3A091D31-4A10-4966-8E3F-1D989DC88B59}"/>
    <dgm:cxn modelId="{673DF26D-579C-49D9-99AE-6C07D5424153}" type="presOf" srcId="{86A5FC92-5A95-4A4A-A17B-05CDD5216009}" destId="{809B79D6-9593-4DBF-8AE7-E37F90C50ABB}" srcOrd="0" destOrd="4" presId="urn:microsoft.com/office/officeart/2005/8/layout/lProcess2"/>
    <dgm:cxn modelId="{19EBF282-DFF7-4FF5-89ED-3B5EBA6667F9}" srcId="{BA4B24C3-1064-427D-9821-CA551FAA804C}" destId="{97D15C80-7100-4C49-8B76-3CA69B210385}" srcOrd="0" destOrd="0" parTransId="{AAF19B0D-8DCE-4B7B-9486-F0B7DA68ABF2}" sibTransId="{785C3AE6-F34D-4406-B1EB-7E88DF6BF006}"/>
    <dgm:cxn modelId="{88981EA5-1F39-414E-9932-C5E43ADDFFF1}" type="presOf" srcId="{7311932E-72A6-4CA9-A0CE-70024AF43912}" destId="{809B79D6-9593-4DBF-8AE7-E37F90C50ABB}" srcOrd="0" destOrd="0" presId="urn:microsoft.com/office/officeart/2005/8/layout/lProcess2"/>
    <dgm:cxn modelId="{FCC8FAAA-3D8C-46CE-BCD7-35C0116BDFB4}" srcId="{4602505C-BE38-4F74-BC5D-8598A57C0521}" destId="{C15418C7-7CBA-4E3C-824A-AD997DC4D994}" srcOrd="1" destOrd="0" parTransId="{9CC1438A-637B-49E5-A407-DB12E2AB85F9}" sibTransId="{AE126B5A-63B5-4420-8AF6-58E302008FAC}"/>
    <dgm:cxn modelId="{8E0B79B6-EA5A-4277-9B93-E3DFE7FA0531}" type="presOf" srcId="{97D15C80-7100-4C49-8B76-3CA69B210385}" destId="{69382CC0-27D3-4281-87F9-EA41AF249B95}" srcOrd="0" destOrd="0" presId="urn:microsoft.com/office/officeart/2005/8/layout/lProcess2"/>
    <dgm:cxn modelId="{357ADCBD-5FED-4871-B1D3-355C46809D71}" type="presOf" srcId="{A2B89AB6-BBC6-4166-9ABA-2535D0D2E1E2}" destId="{69382CC0-27D3-4281-87F9-EA41AF249B95}" srcOrd="0" destOrd="1" presId="urn:microsoft.com/office/officeart/2005/8/layout/lProcess2"/>
    <dgm:cxn modelId="{CCC709C6-E8CA-4DA6-A8F0-858068C1D4FE}" type="presOf" srcId="{BA4B24C3-1064-427D-9821-CA551FAA804C}" destId="{F83ADDF7-9714-41E9-AAAF-3DD7BD3EAE1E}" srcOrd="0" destOrd="0" presId="urn:microsoft.com/office/officeart/2005/8/layout/lProcess2"/>
    <dgm:cxn modelId="{869869CB-0EE2-48D2-AA57-1BC3E1FE06F8}" type="presOf" srcId="{4602505C-BE38-4F74-BC5D-8598A57C0521}" destId="{9368DA6B-B34A-4491-B808-03FD6A953441}" srcOrd="0" destOrd="0" presId="urn:microsoft.com/office/officeart/2005/8/layout/lProcess2"/>
    <dgm:cxn modelId="{9C5A1EE6-5170-4445-8607-3937E51B48FF}" type="presOf" srcId="{C15418C7-7CBA-4E3C-824A-AD997DC4D994}" destId="{47091938-74DB-4C31-841E-48F7BC3DBD93}" srcOrd="1" destOrd="0" presId="urn:microsoft.com/office/officeart/2005/8/layout/lProcess2"/>
    <dgm:cxn modelId="{C1FF0FEA-7EE9-4793-A468-CCB48929BA30}" srcId="{7311932E-72A6-4CA9-A0CE-70024AF43912}" destId="{8ACADC06-D3CE-42A6-89F4-0EC066B66B37}" srcOrd="4" destOrd="0" parTransId="{7331A786-CD33-44A0-99F5-8809A191B71C}" sibTransId="{67F9E5D1-7772-4D7E-B755-C84866B4076D}"/>
    <dgm:cxn modelId="{EE5511EC-13F6-4564-B706-EB434E2E4CA7}" type="presOf" srcId="{7E4EC7CB-65C5-4E2F-86A6-7CE79A7E598E}" destId="{809B79D6-9593-4DBF-8AE7-E37F90C50ABB}" srcOrd="0" destOrd="2"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6C3EAEE-59E1-4B0C-B415-5B5C0573EE47}" type="presOf" srcId="{8ACADC06-D3CE-42A6-89F4-0EC066B66B37}" destId="{809B79D6-9593-4DBF-8AE7-E37F90C50ABB}" srcOrd="0" destOrd="5" presId="urn:microsoft.com/office/officeart/2005/8/layout/lProcess2"/>
    <dgm:cxn modelId="{E9F28DF0-E6F5-47A5-B9B0-440EF4F44E21}" srcId="{97D15C80-7100-4C49-8B76-3CA69B210385}" destId="{A2B89AB6-BBC6-4166-9ABA-2535D0D2E1E2}" srcOrd="0" destOrd="0" parTransId="{E48939E1-EDAA-413B-941E-5CBA616B5E8A}" sibTransId="{B9FB9EE8-8E35-4AAC-A527-22981045D523}"/>
    <dgm:cxn modelId="{05DE36FD-F61E-4DE5-AE2D-D052066BB7B9}" srcId="{7311932E-72A6-4CA9-A0CE-70024AF43912}" destId="{86A5FC92-5A95-4A4A-A17B-05CDD5216009}" srcOrd="3" destOrd="0" parTransId="{386469AE-C963-4EF9-ACED-AAAC23E9433A}" sibTransId="{BCF6CE22-49EC-4E28-BC95-465BE84A385B}"/>
    <dgm:cxn modelId="{8923107D-34A1-41C6-954A-9D01664ADCF3}" type="presParOf" srcId="{9368DA6B-B34A-4491-B808-03FD6A953441}" destId="{7BEC33E5-A4C9-41CC-AF97-E156986B83AF}" srcOrd="0" destOrd="0" presId="urn:microsoft.com/office/officeart/2005/8/layout/lProcess2"/>
    <dgm:cxn modelId="{DF11F007-6625-49B5-8875-BA911AA7164A}" type="presParOf" srcId="{7BEC33E5-A4C9-41CC-AF97-E156986B83AF}" destId="{F83ADDF7-9714-41E9-AAAF-3DD7BD3EAE1E}" srcOrd="0" destOrd="0" presId="urn:microsoft.com/office/officeart/2005/8/layout/lProcess2"/>
    <dgm:cxn modelId="{76368B10-B556-44F8-BF12-39CCACDA1FAC}" type="presParOf" srcId="{7BEC33E5-A4C9-41CC-AF97-E156986B83AF}" destId="{545E997B-D2D6-4FC0-9986-7E9D9D00A55C}" srcOrd="1" destOrd="0" presId="urn:microsoft.com/office/officeart/2005/8/layout/lProcess2"/>
    <dgm:cxn modelId="{6B4821C6-C132-4F34-8762-7719AB5A44D5}" type="presParOf" srcId="{7BEC33E5-A4C9-41CC-AF97-E156986B83AF}" destId="{84E769F8-939A-4D02-A87E-AA70CDB11402}" srcOrd="2" destOrd="0" presId="urn:microsoft.com/office/officeart/2005/8/layout/lProcess2"/>
    <dgm:cxn modelId="{BA413E06-7011-48AB-9177-ED70E0E42CD7}" type="presParOf" srcId="{84E769F8-939A-4D02-A87E-AA70CDB11402}" destId="{095F8B3F-4776-41FF-A4DE-52679CA11A92}" srcOrd="0" destOrd="0" presId="urn:microsoft.com/office/officeart/2005/8/layout/lProcess2"/>
    <dgm:cxn modelId="{C9F5430D-74DF-4414-9670-1CF6AC6D650A}" type="presParOf" srcId="{095F8B3F-4776-41FF-A4DE-52679CA11A92}" destId="{69382CC0-27D3-4281-87F9-EA41AF249B95}" srcOrd="0" destOrd="0" presId="urn:microsoft.com/office/officeart/2005/8/layout/lProcess2"/>
    <dgm:cxn modelId="{C5B5580F-014A-44EF-BB13-EF08C6DB8D98}" type="presParOf" srcId="{9368DA6B-B34A-4491-B808-03FD6A953441}" destId="{5E9629EB-812B-4050-91F1-0EE4FB4589FA}" srcOrd="1" destOrd="0" presId="urn:microsoft.com/office/officeart/2005/8/layout/lProcess2"/>
    <dgm:cxn modelId="{15651781-A087-420D-8C3A-AAF31C929364}" type="presParOf" srcId="{9368DA6B-B34A-4491-B808-03FD6A953441}" destId="{FDE55128-D302-4FA1-B93E-3C33EF5ED5AC}" srcOrd="2"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5B5C571A-E95A-4B4B-9E2C-A1581F0F9D75}">
      <dgm:prSet phldrT="[Text]"/>
      <dgm:spPr/>
      <dgm:t>
        <a:bodyPr/>
        <a:lstStyle/>
        <a:p>
          <a:r>
            <a:rPr lang="en-US">
              <a:latin typeface="Palatino Linotype" panose="02040502050505030304" pitchFamily="18" charset="0"/>
            </a:rPr>
            <a:t>Implementation</a:t>
          </a:r>
        </a:p>
      </dgm:t>
    </dgm:pt>
    <dgm:pt modelId="{92101118-F08F-4153-B22F-4364C51F2A88}" type="parTrans" cxnId="{6D4035D8-5D63-4CFB-890F-A37FBC995C97}">
      <dgm:prSet/>
      <dgm:spPr/>
      <dgm:t>
        <a:bodyPr/>
        <a:lstStyle/>
        <a:p>
          <a:endParaRPr lang="en-US">
            <a:latin typeface="Palatino Linotype" panose="02040502050505030304" pitchFamily="18" charset="0"/>
          </a:endParaRPr>
        </a:p>
      </dgm:t>
    </dgm:pt>
    <dgm:pt modelId="{6BE21506-9EFF-41E3-A776-386F440ABBE7}" type="sibTrans" cxnId="{6D4035D8-5D63-4CFB-890F-A37FBC995C97}">
      <dgm:prSet/>
      <dgm:spPr/>
      <dgm:t>
        <a:bodyPr/>
        <a:lstStyle/>
        <a:p>
          <a:endParaRPr lang="en-US">
            <a:latin typeface="Palatino Linotype" panose="02040502050505030304" pitchFamily="18" charset="0"/>
          </a:endParaRPr>
        </a:p>
      </dgm:t>
    </dgm:pt>
    <dgm:pt modelId="{7E4EC7CB-65C5-4E2F-86A6-7CE79A7E598E}">
      <dgm:prSet custT="1"/>
      <dgm:spPr/>
      <dgm:t>
        <a:bodyPr/>
        <a:lstStyle/>
        <a:p>
          <a:r>
            <a:rPr lang="en-US" sz="900">
              <a:latin typeface="Palatino Linotype" panose="02040502050505030304" pitchFamily="18" charset="0"/>
            </a:rPr>
            <a:t>Policy Tools</a:t>
          </a:r>
        </a:p>
      </dgm:t>
    </dgm:pt>
    <dgm:pt modelId="{BC1350D0-F9CF-416F-801D-E73A8462690D}" type="parTrans" cxnId="{E70F4E2B-8BD8-40F5-AB84-FE69A59AAE6C}">
      <dgm:prSet/>
      <dgm:spPr/>
      <dgm:t>
        <a:bodyPr/>
        <a:lstStyle/>
        <a:p>
          <a:endParaRPr lang="en-US">
            <a:latin typeface="Palatino Linotype" panose="02040502050505030304" pitchFamily="18" charset="0"/>
          </a:endParaRPr>
        </a:p>
      </dgm:t>
    </dgm:pt>
    <dgm:pt modelId="{C959F7AD-80EB-41F5-AC04-1D9DA494B16F}" type="sibTrans" cxnId="{E70F4E2B-8BD8-40F5-AB84-FE69A59AAE6C}">
      <dgm:prSet/>
      <dgm:spPr/>
      <dgm:t>
        <a:bodyPr/>
        <a:lstStyle/>
        <a:p>
          <a:endParaRPr lang="en-US">
            <a:latin typeface="Palatino Linotype" panose="02040502050505030304" pitchFamily="18" charset="0"/>
          </a:endParaRPr>
        </a:p>
      </dgm:t>
    </dgm:pt>
    <dgm:pt modelId="{2A883902-FE9D-4349-94FA-0D03FF7A3648}">
      <dgm:prSet custT="1"/>
      <dgm:spPr/>
      <dgm:t>
        <a:bodyPr/>
        <a:lstStyle/>
        <a:p>
          <a:r>
            <a:rPr lang="en-US" sz="900">
              <a:latin typeface="Palatino Linotype" panose="02040502050505030304" pitchFamily="18" charset="0"/>
            </a:rPr>
            <a:t>Allocations of Benefits</a:t>
          </a:r>
        </a:p>
      </dgm:t>
    </dgm:pt>
    <dgm:pt modelId="{4D934622-BCD0-4A55-8EC9-998132295B1E}" type="parTrans" cxnId="{CE007B42-D454-46B6-9EE6-980DF678C65A}">
      <dgm:prSet/>
      <dgm:spPr/>
      <dgm:t>
        <a:bodyPr/>
        <a:lstStyle/>
        <a:p>
          <a:endParaRPr lang="en-US">
            <a:latin typeface="Palatino Linotype" panose="02040502050505030304" pitchFamily="18" charset="0"/>
          </a:endParaRPr>
        </a:p>
      </dgm:t>
    </dgm:pt>
    <dgm:pt modelId="{7F53BD23-5D8C-44B0-889E-8F4BD9556ECE}" type="sibTrans" cxnId="{CE007B42-D454-46B6-9EE6-980DF678C65A}">
      <dgm:prSet/>
      <dgm:spPr/>
      <dgm:t>
        <a:bodyPr/>
        <a:lstStyle/>
        <a:p>
          <a:endParaRPr lang="en-US">
            <a:latin typeface="Palatino Linotype" panose="02040502050505030304" pitchFamily="18" charset="0"/>
          </a:endParaRPr>
        </a:p>
      </dgm:t>
    </dgm:pt>
    <dgm:pt modelId="{86A5FC92-5A95-4A4A-A17B-05CDD5216009}">
      <dgm:prSet custT="1"/>
      <dgm:spPr/>
      <dgm:t>
        <a:bodyPr/>
        <a:lstStyle/>
        <a:p>
          <a:r>
            <a:rPr lang="en-US" sz="900">
              <a:latin typeface="Palatino Linotype" panose="02040502050505030304" pitchFamily="18" charset="0"/>
            </a:rPr>
            <a:t>Allocations of Burdens</a:t>
          </a:r>
        </a:p>
      </dgm:t>
    </dgm:pt>
    <dgm:pt modelId="{386469AE-C963-4EF9-ACED-AAAC23E9433A}" type="parTrans" cxnId="{05DE36FD-F61E-4DE5-AE2D-D052066BB7B9}">
      <dgm:prSet/>
      <dgm:spPr/>
      <dgm:t>
        <a:bodyPr/>
        <a:lstStyle/>
        <a:p>
          <a:endParaRPr lang="en-US">
            <a:latin typeface="Palatino Linotype" panose="02040502050505030304" pitchFamily="18" charset="0"/>
          </a:endParaRPr>
        </a:p>
      </dgm:t>
    </dgm:pt>
    <dgm:pt modelId="{BCF6CE22-49EC-4E28-BC95-465BE84A385B}" type="sibTrans" cxnId="{05DE36FD-F61E-4DE5-AE2D-D052066BB7B9}">
      <dgm:prSet/>
      <dgm:spPr/>
      <dgm:t>
        <a:bodyPr/>
        <a:lstStyle/>
        <a:p>
          <a:endParaRPr lang="en-US">
            <a:latin typeface="Palatino Linotype" panose="02040502050505030304" pitchFamily="18" charset="0"/>
          </a:endParaRPr>
        </a:p>
      </dgm:t>
    </dgm:pt>
    <dgm:pt modelId="{30DBD67A-65D4-481F-BC24-25961C456B7A}">
      <dgm:prSet custT="1"/>
      <dgm:spPr/>
      <dgm:t>
        <a:bodyPr/>
        <a:lstStyle/>
        <a:p>
          <a:r>
            <a:rPr lang="en-US" sz="900">
              <a:latin typeface="Palatino Linotype" panose="02040502050505030304" pitchFamily="18" charset="0"/>
            </a:rPr>
            <a:t>Eligibility Requirements</a:t>
          </a:r>
        </a:p>
      </dgm:t>
    </dgm:pt>
    <dgm:pt modelId="{6F3F3CA8-A10F-4DA0-9D44-06F79693DC9E}" type="sibTrans" cxnId="{8D443C47-6AFB-41C1-9751-817F85CFA668}">
      <dgm:prSet/>
      <dgm:spPr/>
      <dgm:t>
        <a:bodyPr/>
        <a:lstStyle/>
        <a:p>
          <a:endParaRPr lang="en-US">
            <a:latin typeface="Palatino Linotype" panose="02040502050505030304" pitchFamily="18" charset="0"/>
          </a:endParaRPr>
        </a:p>
      </dgm:t>
    </dgm:pt>
    <dgm:pt modelId="{95F0A796-F250-49D5-8598-9B30D35E95A1}" type="parTrans" cxnId="{8D443C47-6AFB-41C1-9751-817F85CFA668}">
      <dgm:prSet/>
      <dgm:spPr/>
      <dgm:t>
        <a:bodyPr/>
        <a:lstStyle/>
        <a:p>
          <a:endParaRPr lang="en-US">
            <a:latin typeface="Palatino Linotype" panose="02040502050505030304" pitchFamily="18" charset="0"/>
          </a:endParaRPr>
        </a:p>
      </dgm:t>
    </dgm:pt>
    <dgm:pt modelId="{B303D517-0101-4F2A-A41F-AA78F00A166B}">
      <dgm:prSet custT="1"/>
      <dgm:spPr/>
      <dgm:t>
        <a:bodyPr/>
        <a:lstStyle/>
        <a:p>
          <a:r>
            <a:rPr lang="en-US" sz="900">
              <a:latin typeface="Palatino Linotype" panose="02040502050505030304" pitchFamily="18" charset="0"/>
            </a:rPr>
            <a:t>Strategic use of discretion within constraints set by policy design, management and organizational factors</a:t>
          </a:r>
        </a:p>
      </dgm:t>
    </dgm:pt>
    <dgm:pt modelId="{6BA26ADB-4907-4188-9304-E008949C040C}" type="parTrans" cxnId="{137220A2-ACF1-4F48-9682-FCCF588911CD}">
      <dgm:prSet/>
      <dgm:spPr/>
      <dgm:t>
        <a:bodyPr/>
        <a:lstStyle/>
        <a:p>
          <a:endParaRPr lang="en-US">
            <a:latin typeface="Palatino Linotype" panose="02040502050505030304" pitchFamily="18" charset="0"/>
          </a:endParaRPr>
        </a:p>
      </dgm:t>
    </dgm:pt>
    <dgm:pt modelId="{8A01560D-7574-4274-81A9-F46BF2FF62F1}" type="sibTrans" cxnId="{137220A2-ACF1-4F48-9682-FCCF588911CD}">
      <dgm:prSet/>
      <dgm:spPr/>
      <dgm:t>
        <a:bodyPr/>
        <a:lstStyle/>
        <a:p>
          <a:endParaRPr lang="en-US">
            <a:latin typeface="Palatino Linotype" panose="02040502050505030304" pitchFamily="18" charset="0"/>
          </a:endParaRPr>
        </a:p>
      </dgm:t>
    </dgm:pt>
    <dgm:pt modelId="{8ACADC06-D3CE-42A6-89F4-0EC066B66B37}">
      <dgm:prSet custT="1"/>
      <dgm:spPr/>
      <dgm:t>
        <a:bodyPr/>
        <a:lstStyle/>
        <a:p>
          <a:r>
            <a:rPr lang="en-US" sz="900">
              <a:latin typeface="Palatino Linotype" panose="02040502050505030304" pitchFamily="18" charset="0"/>
            </a:rPr>
            <a:t>Funding Structure</a:t>
          </a:r>
        </a:p>
      </dgm:t>
    </dgm:pt>
    <dgm:pt modelId="{7331A786-CD33-44A0-99F5-8809A191B71C}" type="parTrans" cxnId="{C1FF0FEA-7EE9-4793-A468-CCB48929BA30}">
      <dgm:prSet/>
      <dgm:spPr/>
      <dgm:t>
        <a:bodyPr/>
        <a:lstStyle/>
        <a:p>
          <a:endParaRPr lang="en-US">
            <a:latin typeface="Palatino Linotype" panose="02040502050505030304" pitchFamily="18" charset="0"/>
          </a:endParaRPr>
        </a:p>
      </dgm:t>
    </dgm:pt>
    <dgm:pt modelId="{67F9E5D1-7772-4D7E-B755-C84866B4076D}" type="sibTrans" cxnId="{C1FF0FEA-7EE9-4793-A468-CCB48929BA30}">
      <dgm:prSet/>
      <dgm:spPr/>
      <dgm:t>
        <a:bodyPr/>
        <a:lstStyle/>
        <a:p>
          <a:endParaRPr lang="en-US">
            <a:latin typeface="Palatino Linotype" panose="02040502050505030304" pitchFamily="18" charset="0"/>
          </a:endParaRPr>
        </a:p>
      </dgm:t>
    </dgm:pt>
    <dgm:pt modelId="{70F6C5AC-8011-4AE7-B712-FD5133A37762}">
      <dgm:prSet phldrT="[Text]"/>
      <dgm:spPr/>
      <dgm:t>
        <a:bodyPr/>
        <a:lstStyle/>
        <a:p>
          <a:r>
            <a:rPr lang="en-US">
              <a:latin typeface="Palatino Linotype" panose="02040502050505030304" pitchFamily="18" charset="0"/>
            </a:rPr>
            <a:t>Outcomes</a:t>
          </a:r>
        </a:p>
      </dgm:t>
    </dgm:pt>
    <dgm:pt modelId="{573FF062-1B83-42AF-A221-D7A4A00C3048}" type="parTrans" cxnId="{701F7DC3-4E8C-4062-82A5-C0E29785F536}">
      <dgm:prSet/>
      <dgm:spPr/>
      <dgm:t>
        <a:bodyPr/>
        <a:lstStyle/>
        <a:p>
          <a:endParaRPr lang="en-US">
            <a:latin typeface="Palatino Linotype" panose="02040502050505030304" pitchFamily="18" charset="0"/>
          </a:endParaRPr>
        </a:p>
      </dgm:t>
    </dgm:pt>
    <dgm:pt modelId="{094864DC-CA71-4BBE-B4D9-75CCB530916B}" type="sibTrans" cxnId="{701F7DC3-4E8C-4062-82A5-C0E29785F536}">
      <dgm:prSet/>
      <dgm:spPr/>
      <dgm:t>
        <a:bodyPr/>
        <a:lstStyle/>
        <a:p>
          <a:endParaRPr lang="en-US">
            <a:latin typeface="Palatino Linotype" panose="02040502050505030304" pitchFamily="18" charset="0"/>
          </a:endParaRPr>
        </a:p>
      </dgm:t>
    </dgm:pt>
    <dgm:pt modelId="{169D3296-3554-4FB8-832C-51BE2A82091E}">
      <dgm:prSet custT="1"/>
      <dgm:spPr/>
      <dgm:t>
        <a:bodyPr/>
        <a:lstStyle/>
        <a:p>
          <a:r>
            <a:rPr lang="en-US" sz="900">
              <a:latin typeface="Palatino Linotype" panose="02040502050505030304" pitchFamily="18" charset="0"/>
            </a:rPr>
            <a:t>Alleviation or exacerbation of public problems</a:t>
          </a:r>
        </a:p>
      </dgm:t>
    </dgm:pt>
    <dgm:pt modelId="{35916E22-37A7-469B-B6FE-17E55AC91C5C}" type="parTrans" cxnId="{1A1106FB-8E00-48B0-93B4-FBA640795B13}">
      <dgm:prSet/>
      <dgm:spPr/>
      <dgm:t>
        <a:bodyPr/>
        <a:lstStyle/>
        <a:p>
          <a:endParaRPr lang="en-US"/>
        </a:p>
      </dgm:t>
    </dgm:pt>
    <dgm:pt modelId="{06A98EE8-D5A7-4D77-A82E-8AF7360FFDD4}" type="sibTrans" cxnId="{1A1106FB-8E00-48B0-93B4-FBA640795B13}">
      <dgm:prSet/>
      <dgm:spPr/>
      <dgm:t>
        <a:bodyPr/>
        <a:lstStyle/>
        <a:p>
          <a:endParaRPr lang="en-US"/>
        </a:p>
      </dgm:t>
    </dgm:pt>
    <dgm:pt modelId="{26750BD6-229B-42A1-97F8-F98E14A6C8E2}">
      <dgm:prSet custT="1"/>
      <dgm:spPr/>
      <dgm:t>
        <a:bodyPr/>
        <a:lstStyle/>
        <a:p>
          <a:r>
            <a:rPr lang="en-US" sz="900">
              <a:latin typeface="Palatino Linotype" panose="02040502050505030304" pitchFamily="18" charset="0"/>
            </a:rPr>
            <a:t>Alignment or misalignment of politician and bureaucratic priorities</a:t>
          </a:r>
        </a:p>
      </dgm:t>
    </dgm:pt>
    <dgm:pt modelId="{010E62D6-94C8-4E88-834B-0B2A7DD96BC6}" type="parTrans" cxnId="{BEDDBEDB-9B03-4D03-B442-65E6AC44B684}">
      <dgm:prSet/>
      <dgm:spPr/>
      <dgm:t>
        <a:bodyPr/>
        <a:lstStyle/>
        <a:p>
          <a:endParaRPr lang="en-US"/>
        </a:p>
      </dgm:t>
    </dgm:pt>
    <dgm:pt modelId="{EACBA256-42B0-498B-86D8-7BD9FCE5516B}" type="sibTrans" cxnId="{BEDDBEDB-9B03-4D03-B442-65E6AC44B684}">
      <dgm:prSet/>
      <dgm:spPr/>
      <dgm:t>
        <a:bodyPr/>
        <a:lstStyle/>
        <a:p>
          <a:endParaRPr lang="en-US"/>
        </a:p>
      </dgm:t>
    </dgm:pt>
    <dgm:pt modelId="{F31FF4AD-D919-4FDE-BAC1-86BD349B8CA3}">
      <dgm:prSet custT="1"/>
      <dgm:spPr/>
      <dgm:t>
        <a:bodyPr/>
        <a:lstStyle/>
        <a:p>
          <a:endParaRPr lang="en-US" sz="1050">
            <a:latin typeface="Palatino Linotype" panose="02040502050505030304" pitchFamily="18" charset="0"/>
          </a:endParaRPr>
        </a:p>
      </dgm:t>
    </dgm:pt>
    <dgm:pt modelId="{40874EBA-317F-4238-932C-8C589735E372}" type="sibTrans" cxnId="{2C513C04-BF8F-432B-A117-0EC22E0195CB}">
      <dgm:prSet/>
      <dgm:spPr/>
      <dgm:t>
        <a:bodyPr/>
        <a:lstStyle/>
        <a:p>
          <a:endParaRPr lang="en-US">
            <a:latin typeface="Palatino Linotype" panose="02040502050505030304" pitchFamily="18" charset="0"/>
          </a:endParaRPr>
        </a:p>
      </dgm:t>
    </dgm:pt>
    <dgm:pt modelId="{1C2F017C-01CD-42D5-A332-F5E127DCB85D}" type="parTrans" cxnId="{2C513C04-BF8F-432B-A117-0EC22E0195CB}">
      <dgm:prSet/>
      <dgm:spPr/>
      <dgm:t>
        <a:bodyPr/>
        <a:lstStyle/>
        <a:p>
          <a:endParaRPr lang="en-US">
            <a:latin typeface="Palatino Linotype" panose="02040502050505030304" pitchFamily="18" charset="0"/>
          </a:endParaRPr>
        </a:p>
      </dgm:t>
    </dgm:pt>
    <dgm:pt modelId="{DE21D51D-15E8-4167-B1B0-4AFF7F70CD19}">
      <dgm:prSet phldrT="[Text]" phldr="1" custT="1"/>
      <dgm:spPr/>
      <dgm:t>
        <a:bodyPr/>
        <a:lstStyle/>
        <a:p>
          <a:endParaRPr lang="en-US" sz="100">
            <a:latin typeface="Palatino Linotype" panose="02040502050505030304" pitchFamily="18" charset="0"/>
          </a:endParaRPr>
        </a:p>
      </dgm:t>
    </dgm:pt>
    <dgm:pt modelId="{D7970F42-C82D-466E-8EBA-D685AD8D0850}" type="sibTrans" cxnId="{31750605-0193-4325-B154-3628E0C133C4}">
      <dgm:prSet/>
      <dgm:spPr/>
      <dgm:t>
        <a:bodyPr/>
        <a:lstStyle/>
        <a:p>
          <a:endParaRPr lang="en-US">
            <a:latin typeface="Palatino Linotype" panose="02040502050505030304" pitchFamily="18" charset="0"/>
          </a:endParaRPr>
        </a:p>
      </dgm:t>
    </dgm:pt>
    <dgm:pt modelId="{D2279636-F29B-491E-9593-A6439B40FF03}" type="parTrans" cxnId="{31750605-0193-4325-B154-3628E0C133C4}">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5FE9B622-9ED1-41EC-8363-EEBC4FD6D28D}">
      <dgm:prSet custT="1"/>
      <dgm:spPr/>
      <dgm:t>
        <a:bodyPr/>
        <a:lstStyle/>
        <a:p>
          <a:r>
            <a:rPr lang="en-US" sz="900">
              <a:latin typeface="Palatino Linotype" panose="02040502050505030304" pitchFamily="18" charset="0"/>
            </a:rPr>
            <a:t>Program access and success</a:t>
          </a:r>
        </a:p>
      </dgm:t>
    </dgm:pt>
    <dgm:pt modelId="{38EAF736-D8A7-4EF0-8C49-3FBEF0A2930D}" type="parTrans" cxnId="{7CB94B2F-47AE-40E1-8722-1FFBAD3B311C}">
      <dgm:prSet/>
      <dgm:spPr/>
    </dgm:pt>
    <dgm:pt modelId="{5AA1463A-1251-4B1E-9446-601A65E3C0E2}" type="sibTrans" cxnId="{7CB94B2F-47AE-40E1-8722-1FFBAD3B311C}">
      <dgm:prSet/>
      <dgm:spPr/>
    </dgm:pt>
    <dgm:pt modelId="{9368DA6B-B34A-4491-B808-03FD6A953441}" type="pres">
      <dgm:prSet presAssocID="{4602505C-BE38-4F74-BC5D-8598A57C0521}" presName="theList" presStyleCnt="0">
        <dgm:presLayoutVars>
          <dgm:dir/>
          <dgm:animLvl val="lvl"/>
          <dgm:resizeHandles val="exact"/>
        </dgm:presLayoutVars>
      </dgm:prSet>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0" presStyleCnt="3"/>
      <dgm:spPr/>
    </dgm:pt>
    <dgm:pt modelId="{47091938-74DB-4C31-841E-48F7BC3DBD93}" type="pres">
      <dgm:prSet presAssocID="{C15418C7-7CBA-4E3C-824A-AD997DC4D994}" presName="textNode" presStyleLbl="bgShp" presStyleIdx="0" presStyleCnt="3"/>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0" presStyleCnt="3">
        <dgm:presLayoutVars>
          <dgm:bulletEnabled val="1"/>
        </dgm:presLayoutVars>
      </dgm:prSet>
      <dgm:spPr/>
    </dgm:pt>
    <dgm:pt modelId="{1ADB1D72-7826-416F-8080-50CCD8A80E60}" type="pres">
      <dgm:prSet presAssocID="{C15418C7-7CBA-4E3C-824A-AD997DC4D994}" presName="aSpace" presStyleCnt="0"/>
      <dgm:spPr/>
    </dgm:pt>
    <dgm:pt modelId="{227BED0A-03A2-4491-A99C-896273B0FC51}" type="pres">
      <dgm:prSet presAssocID="{5B5C571A-E95A-4B4B-9E2C-A1581F0F9D75}" presName="compNode" presStyleCnt="0"/>
      <dgm:spPr/>
    </dgm:pt>
    <dgm:pt modelId="{F3097AA3-A434-4C9F-BF0F-91B78208E0C6}" type="pres">
      <dgm:prSet presAssocID="{5B5C571A-E95A-4B4B-9E2C-A1581F0F9D75}" presName="aNode" presStyleLbl="bgShp" presStyleIdx="1" presStyleCnt="3"/>
      <dgm:spPr/>
    </dgm:pt>
    <dgm:pt modelId="{874B1F11-06C6-47B7-A564-FAB0D22900D5}" type="pres">
      <dgm:prSet presAssocID="{5B5C571A-E95A-4B4B-9E2C-A1581F0F9D75}" presName="textNode" presStyleLbl="bgShp" presStyleIdx="1" presStyleCnt="3"/>
      <dgm:spPr/>
    </dgm:pt>
    <dgm:pt modelId="{16B7BF0C-EF44-460A-91EE-0F018C8D4291}" type="pres">
      <dgm:prSet presAssocID="{5B5C571A-E95A-4B4B-9E2C-A1581F0F9D75}" presName="compChildNode" presStyleCnt="0"/>
      <dgm:spPr/>
    </dgm:pt>
    <dgm:pt modelId="{3741552B-F599-4B21-8283-36E075031BA5}" type="pres">
      <dgm:prSet presAssocID="{5B5C571A-E95A-4B4B-9E2C-A1581F0F9D75}" presName="theInnerList" presStyleCnt="0"/>
      <dgm:spPr/>
    </dgm:pt>
    <dgm:pt modelId="{D261ACC1-5DBD-4BD6-8DF7-3B1C73E0CEA9}" type="pres">
      <dgm:prSet presAssocID="{DE21D51D-15E8-4167-B1B0-4AFF7F70CD19}" presName="childNode" presStyleLbl="node1" presStyleIdx="1" presStyleCnt="3">
        <dgm:presLayoutVars>
          <dgm:bulletEnabled val="1"/>
        </dgm:presLayoutVars>
      </dgm:prSet>
      <dgm:spPr/>
    </dgm:pt>
    <dgm:pt modelId="{88803F63-7244-4C25-879A-685B9A97E058}" type="pres">
      <dgm:prSet presAssocID="{5B5C571A-E95A-4B4B-9E2C-A1581F0F9D75}" presName="aSpace" presStyleCnt="0"/>
      <dgm:spPr/>
    </dgm:pt>
    <dgm:pt modelId="{B8368FFE-8B79-4BB4-A473-37DF9540AA3B}" type="pres">
      <dgm:prSet presAssocID="{70F6C5AC-8011-4AE7-B712-FD5133A37762}" presName="compNode" presStyleCnt="0"/>
      <dgm:spPr/>
    </dgm:pt>
    <dgm:pt modelId="{4BC53CC4-5D93-401E-BFDB-145C294F8DFD}" type="pres">
      <dgm:prSet presAssocID="{70F6C5AC-8011-4AE7-B712-FD5133A37762}" presName="aNode" presStyleLbl="bgShp" presStyleIdx="2" presStyleCnt="3" custLinFactNeighborX="33464" custLinFactNeighborY="-714"/>
      <dgm:spPr/>
    </dgm:pt>
    <dgm:pt modelId="{5B2C3ABF-7481-427E-B24F-4237D7D8716B}" type="pres">
      <dgm:prSet presAssocID="{70F6C5AC-8011-4AE7-B712-FD5133A37762}" presName="textNode" presStyleLbl="bgShp" presStyleIdx="2" presStyleCnt="3"/>
      <dgm:spPr/>
    </dgm:pt>
    <dgm:pt modelId="{D8E9EB3E-22E6-48D2-9978-994C439A2F56}" type="pres">
      <dgm:prSet presAssocID="{70F6C5AC-8011-4AE7-B712-FD5133A37762}" presName="compChildNode" presStyleCnt="0"/>
      <dgm:spPr/>
    </dgm:pt>
    <dgm:pt modelId="{0C435BA3-C2FB-4356-9445-3DB9B171B595}" type="pres">
      <dgm:prSet presAssocID="{70F6C5AC-8011-4AE7-B712-FD5133A37762}" presName="theInnerList" presStyleCnt="0"/>
      <dgm:spPr/>
    </dgm:pt>
    <dgm:pt modelId="{C16C9A3F-913F-4131-BCC8-0E99F70E54A7}" type="pres">
      <dgm:prSet presAssocID="{F31FF4AD-D919-4FDE-BAC1-86BD349B8CA3}" presName="childNode" presStyleLbl="node1" presStyleIdx="2" presStyleCnt="3">
        <dgm:presLayoutVars>
          <dgm:bulletEnabled val="1"/>
        </dgm:presLayoutVars>
      </dgm:prSet>
      <dgm:spPr/>
    </dgm:pt>
  </dgm:ptLst>
  <dgm:cxnLst>
    <dgm:cxn modelId="{2C513C04-BF8F-432B-A117-0EC22E0195CB}" srcId="{70F6C5AC-8011-4AE7-B712-FD5133A37762}" destId="{F31FF4AD-D919-4FDE-BAC1-86BD349B8CA3}" srcOrd="0" destOrd="0" parTransId="{1C2F017C-01CD-42D5-A332-F5E127DCB85D}" sibTransId="{40874EBA-317F-4238-932C-8C589735E372}"/>
    <dgm:cxn modelId="{31750605-0193-4325-B154-3628E0C133C4}" srcId="{5B5C571A-E95A-4B4B-9E2C-A1581F0F9D75}" destId="{DE21D51D-15E8-4167-B1B0-4AFF7F70CD19}" srcOrd="0" destOrd="0" parTransId="{D2279636-F29B-491E-9593-A6439B40FF03}" sibTransId="{D7970F42-C82D-466E-8EBA-D685AD8D0850}"/>
    <dgm:cxn modelId="{53618F09-07C3-41B2-A317-3E5A2BC3E4D3}" type="presOf" srcId="{70F6C5AC-8011-4AE7-B712-FD5133A37762}" destId="{5B2C3ABF-7481-427E-B24F-4237D7D8716B}" srcOrd="1" destOrd="0" presId="urn:microsoft.com/office/officeart/2005/8/layout/lProcess2"/>
    <dgm:cxn modelId="{1DBFB426-CBB3-4B0C-8741-8B114384477C}" type="presOf" srcId="{169D3296-3554-4FB8-832C-51BE2A82091E}" destId="{C16C9A3F-913F-4131-BCC8-0E99F70E54A7}" srcOrd="0" destOrd="2" presId="urn:microsoft.com/office/officeart/2005/8/layout/lProcess2"/>
    <dgm:cxn modelId="{E70F4E2B-8BD8-40F5-AB84-FE69A59AAE6C}" srcId="{7311932E-72A6-4CA9-A0CE-70024AF43912}" destId="{7E4EC7CB-65C5-4E2F-86A6-7CE79A7E598E}" srcOrd="1" destOrd="0" parTransId="{BC1350D0-F9CF-416F-801D-E73A8462690D}" sibTransId="{C959F7AD-80EB-41F5-AC04-1D9DA494B16F}"/>
    <dgm:cxn modelId="{6D58432F-D434-4DBE-8CD4-791D81ABD538}" type="presOf" srcId="{C15418C7-7CBA-4E3C-824A-AD997DC4D994}" destId="{E8A73C91-A01D-4788-9E25-EB6622456EBA}" srcOrd="0" destOrd="0" presId="urn:microsoft.com/office/officeart/2005/8/layout/lProcess2"/>
    <dgm:cxn modelId="{7CB94B2F-47AE-40E1-8722-1FFBAD3B311C}" srcId="{F31FF4AD-D919-4FDE-BAC1-86BD349B8CA3}" destId="{5FE9B622-9ED1-41EC-8363-EEBC4FD6D28D}" srcOrd="0" destOrd="0" parTransId="{38EAF736-D8A7-4EF0-8C49-3FBEF0A2930D}" sibTransId="{5AA1463A-1251-4B1E-9446-601A65E3C0E2}"/>
    <dgm:cxn modelId="{82C50D30-9CB0-44F5-B64D-55333E08F687}" type="presOf" srcId="{30DBD67A-65D4-481F-BC24-25961C456B7A}" destId="{809B79D6-9593-4DBF-8AE7-E37F90C50ABB}" srcOrd="0" destOrd="1" presId="urn:microsoft.com/office/officeart/2005/8/layout/lProcess2"/>
    <dgm:cxn modelId="{D707425E-5589-4C0B-B0C2-508D50293D70}" type="presOf" srcId="{5B5C571A-E95A-4B4B-9E2C-A1581F0F9D75}" destId="{874B1F11-06C6-47B7-A564-FAB0D22900D5}" srcOrd="1" destOrd="0" presId="urn:microsoft.com/office/officeart/2005/8/layout/lProcess2"/>
    <dgm:cxn modelId="{CE007B42-D454-46B6-9EE6-980DF678C65A}" srcId="{7311932E-72A6-4CA9-A0CE-70024AF43912}" destId="{2A883902-FE9D-4349-94FA-0D03FF7A3648}" srcOrd="2" destOrd="0" parTransId="{4D934622-BCD0-4A55-8EC9-998132295B1E}" sibTransId="{7F53BD23-5D8C-44B0-889E-8F4BD9556ECE}"/>
    <dgm:cxn modelId="{2C669C63-4E96-4421-9E32-898F8C8521FD}" type="presOf" srcId="{70F6C5AC-8011-4AE7-B712-FD5133A37762}" destId="{4BC53CC4-5D93-401E-BFDB-145C294F8DFD}" srcOrd="0" destOrd="0" presId="urn:microsoft.com/office/officeart/2005/8/layout/lProcess2"/>
    <dgm:cxn modelId="{1679E263-4718-4561-BC7F-0B55883416DB}" type="presOf" srcId="{DE21D51D-15E8-4167-B1B0-4AFF7F70CD19}" destId="{D261ACC1-5DBD-4BD6-8DF7-3B1C73E0CEA9}" srcOrd="0" destOrd="0" presId="urn:microsoft.com/office/officeart/2005/8/layout/lProcess2"/>
    <dgm:cxn modelId="{9FF35865-A62A-4458-B641-68DDABAF5731}" type="presOf" srcId="{2A883902-FE9D-4349-94FA-0D03FF7A3648}" destId="{809B79D6-9593-4DBF-8AE7-E37F90C50ABB}" srcOrd="0" destOrd="3" presId="urn:microsoft.com/office/officeart/2005/8/layout/lProcess2"/>
    <dgm:cxn modelId="{8D443C47-6AFB-41C1-9751-817F85CFA668}" srcId="{7311932E-72A6-4CA9-A0CE-70024AF43912}" destId="{30DBD67A-65D4-481F-BC24-25961C456B7A}" srcOrd="0" destOrd="0" parTransId="{95F0A796-F250-49D5-8598-9B30D35E95A1}" sibTransId="{6F3F3CA8-A10F-4DA0-9D44-06F79693DC9E}"/>
    <dgm:cxn modelId="{E4D5766B-0828-4F08-BDAA-C7C7795BCD9A}" type="presOf" srcId="{F31FF4AD-D919-4FDE-BAC1-86BD349B8CA3}" destId="{C16C9A3F-913F-4131-BCC8-0E99F70E54A7}" srcOrd="0" destOrd="0" presId="urn:microsoft.com/office/officeart/2005/8/layout/lProcess2"/>
    <dgm:cxn modelId="{673DF26D-579C-49D9-99AE-6C07D5424153}" type="presOf" srcId="{86A5FC92-5A95-4A4A-A17B-05CDD5216009}" destId="{809B79D6-9593-4DBF-8AE7-E37F90C50ABB}" srcOrd="0" destOrd="4" presId="urn:microsoft.com/office/officeart/2005/8/layout/lProcess2"/>
    <dgm:cxn modelId="{E0484A9C-C897-4BD8-9C1E-07DFD5CF9715}" type="presOf" srcId="{26750BD6-229B-42A1-97F8-F98E14A6C8E2}" destId="{D261ACC1-5DBD-4BD6-8DF7-3B1C73E0CEA9}" srcOrd="0" destOrd="2" presId="urn:microsoft.com/office/officeart/2005/8/layout/lProcess2"/>
    <dgm:cxn modelId="{137220A2-ACF1-4F48-9682-FCCF588911CD}" srcId="{DE21D51D-15E8-4167-B1B0-4AFF7F70CD19}" destId="{B303D517-0101-4F2A-A41F-AA78F00A166B}" srcOrd="0" destOrd="0" parTransId="{6BA26ADB-4907-4188-9304-E008949C040C}" sibTransId="{8A01560D-7574-4274-81A9-F46BF2FF62F1}"/>
    <dgm:cxn modelId="{E958EEA4-7F35-41B8-B972-8A8AF3C63694}" type="presOf" srcId="{B303D517-0101-4F2A-A41F-AA78F00A166B}" destId="{D261ACC1-5DBD-4BD6-8DF7-3B1C73E0CEA9}" srcOrd="0" destOrd="1" presId="urn:microsoft.com/office/officeart/2005/8/layout/lProcess2"/>
    <dgm:cxn modelId="{88981EA5-1F39-414E-9932-C5E43ADDFFF1}" type="presOf" srcId="{7311932E-72A6-4CA9-A0CE-70024AF43912}" destId="{809B79D6-9593-4DBF-8AE7-E37F90C50ABB}" srcOrd="0" destOrd="0" presId="urn:microsoft.com/office/officeart/2005/8/layout/lProcess2"/>
    <dgm:cxn modelId="{FCC8FAAA-3D8C-46CE-BCD7-35C0116BDFB4}" srcId="{4602505C-BE38-4F74-BC5D-8598A57C0521}" destId="{C15418C7-7CBA-4E3C-824A-AD997DC4D994}" srcOrd="0" destOrd="0" parTransId="{9CC1438A-637B-49E5-A407-DB12E2AB85F9}" sibTransId="{AE126B5A-63B5-4420-8AF6-58E302008FAC}"/>
    <dgm:cxn modelId="{D944C8B8-D7FF-4785-8524-B7B3C1815D69}" type="presOf" srcId="{5B5C571A-E95A-4B4B-9E2C-A1581F0F9D75}" destId="{F3097AA3-A434-4C9F-BF0F-91B78208E0C6}" srcOrd="0" destOrd="0" presId="urn:microsoft.com/office/officeart/2005/8/layout/lProcess2"/>
    <dgm:cxn modelId="{701F7DC3-4E8C-4062-82A5-C0E29785F536}" srcId="{4602505C-BE38-4F74-BC5D-8598A57C0521}" destId="{70F6C5AC-8011-4AE7-B712-FD5133A37762}" srcOrd="2" destOrd="0" parTransId="{573FF062-1B83-42AF-A221-D7A4A00C3048}" sibTransId="{094864DC-CA71-4BBE-B4D9-75CCB530916B}"/>
    <dgm:cxn modelId="{869869CB-0EE2-48D2-AA57-1BC3E1FE06F8}" type="presOf" srcId="{4602505C-BE38-4F74-BC5D-8598A57C0521}" destId="{9368DA6B-B34A-4491-B808-03FD6A953441}" srcOrd="0" destOrd="0" presId="urn:microsoft.com/office/officeart/2005/8/layout/lProcess2"/>
    <dgm:cxn modelId="{6D4035D8-5D63-4CFB-890F-A37FBC995C97}" srcId="{4602505C-BE38-4F74-BC5D-8598A57C0521}" destId="{5B5C571A-E95A-4B4B-9E2C-A1581F0F9D75}" srcOrd="1" destOrd="0" parTransId="{92101118-F08F-4153-B22F-4364C51F2A88}" sibTransId="{6BE21506-9EFF-41E3-A776-386F440ABBE7}"/>
    <dgm:cxn modelId="{BEDDBEDB-9B03-4D03-B442-65E6AC44B684}" srcId="{DE21D51D-15E8-4167-B1B0-4AFF7F70CD19}" destId="{26750BD6-229B-42A1-97F8-F98E14A6C8E2}" srcOrd="1" destOrd="0" parTransId="{010E62D6-94C8-4E88-834B-0B2A7DD96BC6}" sibTransId="{EACBA256-42B0-498B-86D8-7BD9FCE5516B}"/>
    <dgm:cxn modelId="{9C5A1EE6-5170-4445-8607-3937E51B48FF}" type="presOf" srcId="{C15418C7-7CBA-4E3C-824A-AD997DC4D994}" destId="{47091938-74DB-4C31-841E-48F7BC3DBD93}" srcOrd="1" destOrd="0" presId="urn:microsoft.com/office/officeart/2005/8/layout/lProcess2"/>
    <dgm:cxn modelId="{C1FF0FEA-7EE9-4793-A468-CCB48929BA30}" srcId="{7311932E-72A6-4CA9-A0CE-70024AF43912}" destId="{8ACADC06-D3CE-42A6-89F4-0EC066B66B37}" srcOrd="4" destOrd="0" parTransId="{7331A786-CD33-44A0-99F5-8809A191B71C}" sibTransId="{67F9E5D1-7772-4D7E-B755-C84866B4076D}"/>
    <dgm:cxn modelId="{EE5511EC-13F6-4564-B706-EB434E2E4CA7}" type="presOf" srcId="{7E4EC7CB-65C5-4E2F-86A6-7CE79A7E598E}" destId="{809B79D6-9593-4DBF-8AE7-E37F90C50ABB}" srcOrd="0" destOrd="2"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6C3EAEE-59E1-4B0C-B415-5B5C0573EE47}" type="presOf" srcId="{8ACADC06-D3CE-42A6-89F4-0EC066B66B37}" destId="{809B79D6-9593-4DBF-8AE7-E37F90C50ABB}" srcOrd="0" destOrd="5" presId="urn:microsoft.com/office/officeart/2005/8/layout/lProcess2"/>
    <dgm:cxn modelId="{095481F6-2FA9-4074-954A-223FFD76A3FE}" type="presOf" srcId="{5FE9B622-9ED1-41EC-8363-EEBC4FD6D28D}" destId="{C16C9A3F-913F-4131-BCC8-0E99F70E54A7}" srcOrd="0" destOrd="1" presId="urn:microsoft.com/office/officeart/2005/8/layout/lProcess2"/>
    <dgm:cxn modelId="{1A1106FB-8E00-48B0-93B4-FBA640795B13}" srcId="{F31FF4AD-D919-4FDE-BAC1-86BD349B8CA3}" destId="{169D3296-3554-4FB8-832C-51BE2A82091E}" srcOrd="1" destOrd="0" parTransId="{35916E22-37A7-469B-B6FE-17E55AC91C5C}" sibTransId="{06A98EE8-D5A7-4D77-A82E-8AF7360FFDD4}"/>
    <dgm:cxn modelId="{05DE36FD-F61E-4DE5-AE2D-D052066BB7B9}" srcId="{7311932E-72A6-4CA9-A0CE-70024AF43912}" destId="{86A5FC92-5A95-4A4A-A17B-05CDD5216009}" srcOrd="3" destOrd="0" parTransId="{386469AE-C963-4EF9-ACED-AAAC23E9433A}" sibTransId="{BCF6CE22-49EC-4E28-BC95-465BE84A385B}"/>
    <dgm:cxn modelId="{15651781-A087-420D-8C3A-AAF31C929364}" type="presParOf" srcId="{9368DA6B-B34A-4491-B808-03FD6A953441}" destId="{FDE55128-D302-4FA1-B93E-3C33EF5ED5AC}" srcOrd="0"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 modelId="{83ABB596-31D4-4988-9E3B-422C0651CD87}" type="presParOf" srcId="{9368DA6B-B34A-4491-B808-03FD6A953441}" destId="{1ADB1D72-7826-416F-8080-50CCD8A80E60}" srcOrd="1" destOrd="0" presId="urn:microsoft.com/office/officeart/2005/8/layout/lProcess2"/>
    <dgm:cxn modelId="{F1783ED1-381C-468E-AEBB-16570BF73F7B}" type="presParOf" srcId="{9368DA6B-B34A-4491-B808-03FD6A953441}" destId="{227BED0A-03A2-4491-A99C-896273B0FC51}" srcOrd="2" destOrd="0" presId="urn:microsoft.com/office/officeart/2005/8/layout/lProcess2"/>
    <dgm:cxn modelId="{47F30657-AE07-4E1E-8182-53B54F156D0E}" type="presParOf" srcId="{227BED0A-03A2-4491-A99C-896273B0FC51}" destId="{F3097AA3-A434-4C9F-BF0F-91B78208E0C6}" srcOrd="0" destOrd="0" presId="urn:microsoft.com/office/officeart/2005/8/layout/lProcess2"/>
    <dgm:cxn modelId="{BDDDE760-B930-4434-A655-2A948970873F}" type="presParOf" srcId="{227BED0A-03A2-4491-A99C-896273B0FC51}" destId="{874B1F11-06C6-47B7-A564-FAB0D22900D5}" srcOrd="1" destOrd="0" presId="urn:microsoft.com/office/officeart/2005/8/layout/lProcess2"/>
    <dgm:cxn modelId="{84B5C31F-9639-4B19-8BC2-096C4C0DD9FD}" type="presParOf" srcId="{227BED0A-03A2-4491-A99C-896273B0FC51}" destId="{16B7BF0C-EF44-460A-91EE-0F018C8D4291}" srcOrd="2" destOrd="0" presId="urn:microsoft.com/office/officeart/2005/8/layout/lProcess2"/>
    <dgm:cxn modelId="{23B27365-F02F-4CFD-A418-079B05D3767D}" type="presParOf" srcId="{16B7BF0C-EF44-460A-91EE-0F018C8D4291}" destId="{3741552B-F599-4B21-8283-36E075031BA5}" srcOrd="0" destOrd="0" presId="urn:microsoft.com/office/officeart/2005/8/layout/lProcess2"/>
    <dgm:cxn modelId="{B0CA3CBF-8CFD-414C-9CC2-28F628A947D8}" type="presParOf" srcId="{3741552B-F599-4B21-8283-36E075031BA5}" destId="{D261ACC1-5DBD-4BD6-8DF7-3B1C73E0CEA9}" srcOrd="0" destOrd="0" presId="urn:microsoft.com/office/officeart/2005/8/layout/lProcess2"/>
    <dgm:cxn modelId="{135F8F07-2A6D-46DE-8AF4-2DD0CBE427C3}" type="presParOf" srcId="{9368DA6B-B34A-4491-B808-03FD6A953441}" destId="{88803F63-7244-4C25-879A-685B9A97E058}" srcOrd="3" destOrd="0" presId="urn:microsoft.com/office/officeart/2005/8/layout/lProcess2"/>
    <dgm:cxn modelId="{FE6D31AD-302E-48E8-A939-5C64F78BE656}" type="presParOf" srcId="{9368DA6B-B34A-4491-B808-03FD6A953441}" destId="{B8368FFE-8B79-4BB4-A473-37DF9540AA3B}" srcOrd="4" destOrd="0" presId="urn:microsoft.com/office/officeart/2005/8/layout/lProcess2"/>
    <dgm:cxn modelId="{DC92CB84-D203-4C93-BCEA-EE056FAAA22E}" type="presParOf" srcId="{B8368FFE-8B79-4BB4-A473-37DF9540AA3B}" destId="{4BC53CC4-5D93-401E-BFDB-145C294F8DFD}" srcOrd="0" destOrd="0" presId="urn:microsoft.com/office/officeart/2005/8/layout/lProcess2"/>
    <dgm:cxn modelId="{AF135C50-7300-4BD5-AD07-AA54C0B191F1}" type="presParOf" srcId="{B8368FFE-8B79-4BB4-A473-37DF9540AA3B}" destId="{5B2C3ABF-7481-427E-B24F-4237D7D8716B}" srcOrd="1" destOrd="0" presId="urn:microsoft.com/office/officeart/2005/8/layout/lProcess2"/>
    <dgm:cxn modelId="{B06AFA02-F36A-484C-BC07-7DFD84ED4786}" type="presParOf" srcId="{B8368FFE-8B79-4BB4-A473-37DF9540AA3B}" destId="{D8E9EB3E-22E6-48D2-9978-994C439A2F56}" srcOrd="2" destOrd="0" presId="urn:microsoft.com/office/officeart/2005/8/layout/lProcess2"/>
    <dgm:cxn modelId="{E88D2172-483D-4470-9551-13C9E7A2DBEA}" type="presParOf" srcId="{D8E9EB3E-22E6-48D2-9978-994C439A2F56}" destId="{0C435BA3-C2FB-4356-9445-3DB9B171B595}" srcOrd="0" destOrd="0" presId="urn:microsoft.com/office/officeart/2005/8/layout/lProcess2"/>
    <dgm:cxn modelId="{28FBE9D9-F881-406E-AEAF-E96025484029}" type="presParOf" srcId="{0C435BA3-C2FB-4356-9445-3DB9B171B595}" destId="{C16C9A3F-913F-4131-BCC8-0E99F70E54A7}" srcOrd="0" destOrd="0" presId="urn:microsoft.com/office/officeart/2005/8/layout/lProcess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BA4B24C3-1064-427D-9821-CA551FAA804C}">
      <dgm:prSet phldrT="[Text]"/>
      <dgm:spPr/>
      <dgm:t>
        <a:bodyPr/>
        <a:lstStyle/>
        <a:p>
          <a:r>
            <a:rPr lang="en-US">
              <a:latin typeface="Palatino Linotype" panose="02040502050505030304" pitchFamily="18" charset="0"/>
            </a:rPr>
            <a:t>Politics</a:t>
          </a:r>
        </a:p>
      </dgm:t>
    </dgm:pt>
    <dgm:pt modelId="{A22C9BE0-4A16-4F9F-8016-B06FB70181A3}" type="parTrans" cxnId="{B6CCBF4B-C92C-4209-AF2D-0AB90724F0F2}">
      <dgm:prSet/>
      <dgm:spPr/>
      <dgm:t>
        <a:bodyPr/>
        <a:lstStyle/>
        <a:p>
          <a:endParaRPr lang="en-US">
            <a:latin typeface="Palatino Linotype" panose="02040502050505030304" pitchFamily="18" charset="0"/>
          </a:endParaRPr>
        </a:p>
      </dgm:t>
    </dgm:pt>
    <dgm:pt modelId="{3A091D31-4A10-4966-8E3F-1D989DC88B59}" type="sibTrans" cxnId="{B6CCBF4B-C92C-4209-AF2D-0AB90724F0F2}">
      <dgm:prSet/>
      <dgm:spPr/>
      <dgm:t>
        <a:bodyPr/>
        <a:lstStyle/>
        <a:p>
          <a:endParaRPr lang="en-US">
            <a:latin typeface="Palatino Linotype" panose="02040502050505030304" pitchFamily="18" charset="0"/>
          </a:endParaRPr>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5B5C571A-E95A-4B4B-9E2C-A1581F0F9D75}">
      <dgm:prSet phldrT="[Text]"/>
      <dgm:spPr/>
      <dgm:t>
        <a:bodyPr/>
        <a:lstStyle/>
        <a:p>
          <a:r>
            <a:rPr lang="en-US">
              <a:latin typeface="Palatino Linotype" panose="02040502050505030304" pitchFamily="18" charset="0"/>
            </a:rPr>
            <a:t>Implementation</a:t>
          </a:r>
        </a:p>
      </dgm:t>
    </dgm:pt>
    <dgm:pt modelId="{92101118-F08F-4153-B22F-4364C51F2A88}" type="parTrans" cxnId="{6D4035D8-5D63-4CFB-890F-A37FBC995C97}">
      <dgm:prSet/>
      <dgm:spPr/>
      <dgm:t>
        <a:bodyPr/>
        <a:lstStyle/>
        <a:p>
          <a:endParaRPr lang="en-US">
            <a:latin typeface="Palatino Linotype" panose="02040502050505030304" pitchFamily="18" charset="0"/>
          </a:endParaRPr>
        </a:p>
      </dgm:t>
    </dgm:pt>
    <dgm:pt modelId="{6BE21506-9EFF-41E3-A776-386F440ABBE7}" type="sibTrans" cxnId="{6D4035D8-5D63-4CFB-890F-A37FBC995C97}">
      <dgm:prSet/>
      <dgm:spPr/>
      <dgm:t>
        <a:bodyPr/>
        <a:lstStyle/>
        <a:p>
          <a:endParaRPr lang="en-US">
            <a:latin typeface="Palatino Linotype" panose="02040502050505030304" pitchFamily="18" charset="0"/>
          </a:endParaRPr>
        </a:p>
      </dgm:t>
    </dgm:pt>
    <dgm:pt modelId="{7E4EC7CB-65C5-4E2F-86A6-7CE79A7E598E}">
      <dgm:prSet custT="1"/>
      <dgm:spPr/>
      <dgm:t>
        <a:bodyPr/>
        <a:lstStyle/>
        <a:p>
          <a:r>
            <a:rPr lang="en-US" sz="900">
              <a:latin typeface="Palatino Linotype" panose="02040502050505030304" pitchFamily="18" charset="0"/>
            </a:rPr>
            <a:t>Policy Tools</a:t>
          </a:r>
        </a:p>
      </dgm:t>
    </dgm:pt>
    <dgm:pt modelId="{BC1350D0-F9CF-416F-801D-E73A8462690D}" type="parTrans" cxnId="{E70F4E2B-8BD8-40F5-AB84-FE69A59AAE6C}">
      <dgm:prSet/>
      <dgm:spPr/>
      <dgm:t>
        <a:bodyPr/>
        <a:lstStyle/>
        <a:p>
          <a:endParaRPr lang="en-US">
            <a:latin typeface="Palatino Linotype" panose="02040502050505030304" pitchFamily="18" charset="0"/>
          </a:endParaRPr>
        </a:p>
      </dgm:t>
    </dgm:pt>
    <dgm:pt modelId="{C959F7AD-80EB-41F5-AC04-1D9DA494B16F}" type="sibTrans" cxnId="{E70F4E2B-8BD8-40F5-AB84-FE69A59AAE6C}">
      <dgm:prSet/>
      <dgm:spPr/>
      <dgm:t>
        <a:bodyPr/>
        <a:lstStyle/>
        <a:p>
          <a:endParaRPr lang="en-US">
            <a:latin typeface="Palatino Linotype" panose="02040502050505030304" pitchFamily="18" charset="0"/>
          </a:endParaRPr>
        </a:p>
      </dgm:t>
    </dgm:pt>
    <dgm:pt modelId="{2A883902-FE9D-4349-94FA-0D03FF7A3648}">
      <dgm:prSet custT="1"/>
      <dgm:spPr/>
      <dgm:t>
        <a:bodyPr/>
        <a:lstStyle/>
        <a:p>
          <a:r>
            <a:rPr lang="en-US" sz="900">
              <a:latin typeface="Palatino Linotype" panose="02040502050505030304" pitchFamily="18" charset="0"/>
            </a:rPr>
            <a:t>Allocations of Benefits</a:t>
          </a:r>
        </a:p>
      </dgm:t>
    </dgm:pt>
    <dgm:pt modelId="{4D934622-BCD0-4A55-8EC9-998132295B1E}" type="parTrans" cxnId="{CE007B42-D454-46B6-9EE6-980DF678C65A}">
      <dgm:prSet/>
      <dgm:spPr/>
      <dgm:t>
        <a:bodyPr/>
        <a:lstStyle/>
        <a:p>
          <a:endParaRPr lang="en-US">
            <a:latin typeface="Palatino Linotype" panose="02040502050505030304" pitchFamily="18" charset="0"/>
          </a:endParaRPr>
        </a:p>
      </dgm:t>
    </dgm:pt>
    <dgm:pt modelId="{7F53BD23-5D8C-44B0-889E-8F4BD9556ECE}" type="sibTrans" cxnId="{CE007B42-D454-46B6-9EE6-980DF678C65A}">
      <dgm:prSet/>
      <dgm:spPr/>
      <dgm:t>
        <a:bodyPr/>
        <a:lstStyle/>
        <a:p>
          <a:endParaRPr lang="en-US">
            <a:latin typeface="Palatino Linotype" panose="02040502050505030304" pitchFamily="18" charset="0"/>
          </a:endParaRPr>
        </a:p>
      </dgm:t>
    </dgm:pt>
    <dgm:pt modelId="{86A5FC92-5A95-4A4A-A17B-05CDD5216009}">
      <dgm:prSet custT="1"/>
      <dgm:spPr/>
      <dgm:t>
        <a:bodyPr/>
        <a:lstStyle/>
        <a:p>
          <a:r>
            <a:rPr lang="en-US" sz="900">
              <a:latin typeface="Palatino Linotype" panose="02040502050505030304" pitchFamily="18" charset="0"/>
            </a:rPr>
            <a:t>Allocations of Burdens</a:t>
          </a:r>
        </a:p>
      </dgm:t>
    </dgm:pt>
    <dgm:pt modelId="{386469AE-C963-4EF9-ACED-AAAC23E9433A}" type="parTrans" cxnId="{05DE36FD-F61E-4DE5-AE2D-D052066BB7B9}">
      <dgm:prSet/>
      <dgm:spPr/>
      <dgm:t>
        <a:bodyPr/>
        <a:lstStyle/>
        <a:p>
          <a:endParaRPr lang="en-US">
            <a:latin typeface="Palatino Linotype" panose="02040502050505030304" pitchFamily="18" charset="0"/>
          </a:endParaRPr>
        </a:p>
      </dgm:t>
    </dgm:pt>
    <dgm:pt modelId="{BCF6CE22-49EC-4E28-BC95-465BE84A385B}" type="sibTrans" cxnId="{05DE36FD-F61E-4DE5-AE2D-D052066BB7B9}">
      <dgm:prSet/>
      <dgm:spPr/>
      <dgm:t>
        <a:bodyPr/>
        <a:lstStyle/>
        <a:p>
          <a:endParaRPr lang="en-US">
            <a:latin typeface="Palatino Linotype" panose="02040502050505030304" pitchFamily="18" charset="0"/>
          </a:endParaRPr>
        </a:p>
      </dgm:t>
    </dgm:pt>
    <dgm:pt modelId="{30DBD67A-65D4-481F-BC24-25961C456B7A}">
      <dgm:prSet custT="1"/>
      <dgm:spPr/>
      <dgm:t>
        <a:bodyPr/>
        <a:lstStyle/>
        <a:p>
          <a:r>
            <a:rPr lang="en-US" sz="900">
              <a:latin typeface="Palatino Linotype" panose="02040502050505030304" pitchFamily="18" charset="0"/>
            </a:rPr>
            <a:t>Eligibility Requirements</a:t>
          </a:r>
        </a:p>
      </dgm:t>
    </dgm:pt>
    <dgm:pt modelId="{6F3F3CA8-A10F-4DA0-9D44-06F79693DC9E}" type="sibTrans" cxnId="{8D443C47-6AFB-41C1-9751-817F85CFA668}">
      <dgm:prSet/>
      <dgm:spPr/>
      <dgm:t>
        <a:bodyPr/>
        <a:lstStyle/>
        <a:p>
          <a:endParaRPr lang="en-US">
            <a:latin typeface="Palatino Linotype" panose="02040502050505030304" pitchFamily="18" charset="0"/>
          </a:endParaRPr>
        </a:p>
      </dgm:t>
    </dgm:pt>
    <dgm:pt modelId="{95F0A796-F250-49D5-8598-9B30D35E95A1}" type="parTrans" cxnId="{8D443C47-6AFB-41C1-9751-817F85CFA668}">
      <dgm:prSet/>
      <dgm:spPr/>
      <dgm:t>
        <a:bodyPr/>
        <a:lstStyle/>
        <a:p>
          <a:endParaRPr lang="en-US">
            <a:latin typeface="Palatino Linotype" panose="02040502050505030304" pitchFamily="18" charset="0"/>
          </a:endParaRPr>
        </a:p>
      </dgm:t>
    </dgm:pt>
    <dgm:pt modelId="{B303D517-0101-4F2A-A41F-AA78F00A166B}">
      <dgm:prSet custT="1"/>
      <dgm:spPr/>
      <dgm:t>
        <a:bodyPr/>
        <a:lstStyle/>
        <a:p>
          <a:r>
            <a:rPr lang="en-US" sz="900">
              <a:latin typeface="Palatino Linotype" panose="02040502050505030304" pitchFamily="18" charset="0"/>
            </a:rPr>
            <a:t>Strategic use of discretion within constraints set by policy design, management and organizational factors</a:t>
          </a:r>
        </a:p>
      </dgm:t>
    </dgm:pt>
    <dgm:pt modelId="{6BA26ADB-4907-4188-9304-E008949C040C}" type="parTrans" cxnId="{137220A2-ACF1-4F48-9682-FCCF588911CD}">
      <dgm:prSet/>
      <dgm:spPr/>
      <dgm:t>
        <a:bodyPr/>
        <a:lstStyle/>
        <a:p>
          <a:endParaRPr lang="en-US">
            <a:latin typeface="Palatino Linotype" panose="02040502050505030304" pitchFamily="18" charset="0"/>
          </a:endParaRPr>
        </a:p>
      </dgm:t>
    </dgm:pt>
    <dgm:pt modelId="{8A01560D-7574-4274-81A9-F46BF2FF62F1}" type="sibTrans" cxnId="{137220A2-ACF1-4F48-9682-FCCF588911CD}">
      <dgm:prSet/>
      <dgm:spPr/>
      <dgm:t>
        <a:bodyPr/>
        <a:lstStyle/>
        <a:p>
          <a:endParaRPr lang="en-US">
            <a:latin typeface="Palatino Linotype" panose="02040502050505030304" pitchFamily="18" charset="0"/>
          </a:endParaRPr>
        </a:p>
      </dgm:t>
    </dgm:pt>
    <dgm:pt modelId="{8ACADC06-D3CE-42A6-89F4-0EC066B66B37}">
      <dgm:prSet custT="1"/>
      <dgm:spPr/>
      <dgm:t>
        <a:bodyPr/>
        <a:lstStyle/>
        <a:p>
          <a:r>
            <a:rPr lang="en-US" sz="900">
              <a:latin typeface="Palatino Linotype" panose="02040502050505030304" pitchFamily="18" charset="0"/>
            </a:rPr>
            <a:t>Funding Structure</a:t>
          </a:r>
        </a:p>
      </dgm:t>
    </dgm:pt>
    <dgm:pt modelId="{7331A786-CD33-44A0-99F5-8809A191B71C}" type="parTrans" cxnId="{C1FF0FEA-7EE9-4793-A468-CCB48929BA30}">
      <dgm:prSet/>
      <dgm:spPr/>
      <dgm:t>
        <a:bodyPr/>
        <a:lstStyle/>
        <a:p>
          <a:endParaRPr lang="en-US">
            <a:latin typeface="Palatino Linotype" panose="02040502050505030304" pitchFamily="18" charset="0"/>
          </a:endParaRPr>
        </a:p>
      </dgm:t>
    </dgm:pt>
    <dgm:pt modelId="{67F9E5D1-7772-4D7E-B755-C84866B4076D}" type="sibTrans" cxnId="{C1FF0FEA-7EE9-4793-A468-CCB48929BA30}">
      <dgm:prSet/>
      <dgm:spPr/>
      <dgm:t>
        <a:bodyPr/>
        <a:lstStyle/>
        <a:p>
          <a:endParaRPr lang="en-US">
            <a:latin typeface="Palatino Linotype" panose="02040502050505030304" pitchFamily="18" charset="0"/>
          </a:endParaRPr>
        </a:p>
      </dgm:t>
    </dgm:pt>
    <dgm:pt modelId="{D622C22B-66D3-4C3D-9CD9-E415746F0FBA}">
      <dgm:prSet custT="1"/>
      <dgm:spPr/>
      <dgm:t>
        <a:bodyPr/>
        <a:lstStyle/>
        <a:p>
          <a:r>
            <a:rPr lang="en-US" sz="900">
              <a:latin typeface="Palatino Linotype" panose="02040502050505030304" pitchFamily="18" charset="0"/>
            </a:rPr>
            <a:t>Political bargaining to build winning coalitions &amp; funding mechanisms</a:t>
          </a:r>
        </a:p>
      </dgm:t>
    </dgm:pt>
    <dgm:pt modelId="{AA118AAE-0A55-4E99-A04D-A7A7D0414B25}" type="sibTrans" cxnId="{67B25A43-78A8-48DF-A3B3-D7CF18126CB9}">
      <dgm:prSet/>
      <dgm:spPr/>
      <dgm:t>
        <a:bodyPr/>
        <a:lstStyle/>
        <a:p>
          <a:endParaRPr lang="en-US">
            <a:latin typeface="Palatino Linotype" panose="02040502050505030304" pitchFamily="18" charset="0"/>
          </a:endParaRPr>
        </a:p>
      </dgm:t>
    </dgm:pt>
    <dgm:pt modelId="{F43C9E45-67D2-4AA5-BCDB-CE6FDF48016B}" type="parTrans" cxnId="{67B25A43-78A8-48DF-A3B3-D7CF18126CB9}">
      <dgm:prSet/>
      <dgm:spPr/>
      <dgm:t>
        <a:bodyPr/>
        <a:lstStyle/>
        <a:p>
          <a:endParaRPr lang="en-US">
            <a:latin typeface="Palatino Linotype" panose="02040502050505030304" pitchFamily="18" charset="0"/>
          </a:endParaRPr>
        </a:p>
      </dgm:t>
    </dgm:pt>
    <dgm:pt modelId="{70F6C5AC-8011-4AE7-B712-FD5133A37762}">
      <dgm:prSet phldrT="[Text]"/>
      <dgm:spPr/>
      <dgm:t>
        <a:bodyPr/>
        <a:lstStyle/>
        <a:p>
          <a:r>
            <a:rPr lang="en-US">
              <a:latin typeface="Palatino Linotype" panose="02040502050505030304" pitchFamily="18" charset="0"/>
            </a:rPr>
            <a:t>Outcomes</a:t>
          </a:r>
        </a:p>
      </dgm:t>
    </dgm:pt>
    <dgm:pt modelId="{573FF062-1B83-42AF-A221-D7A4A00C3048}" type="parTrans" cxnId="{701F7DC3-4E8C-4062-82A5-C0E29785F536}">
      <dgm:prSet/>
      <dgm:spPr/>
      <dgm:t>
        <a:bodyPr/>
        <a:lstStyle/>
        <a:p>
          <a:endParaRPr lang="en-US">
            <a:latin typeface="Palatino Linotype" panose="02040502050505030304" pitchFamily="18" charset="0"/>
          </a:endParaRPr>
        </a:p>
      </dgm:t>
    </dgm:pt>
    <dgm:pt modelId="{094864DC-CA71-4BBE-B4D9-75CCB530916B}" type="sibTrans" cxnId="{701F7DC3-4E8C-4062-82A5-C0E29785F536}">
      <dgm:prSet/>
      <dgm:spPr/>
      <dgm:t>
        <a:bodyPr/>
        <a:lstStyle/>
        <a:p>
          <a:endParaRPr lang="en-US">
            <a:latin typeface="Palatino Linotype" panose="02040502050505030304" pitchFamily="18" charset="0"/>
          </a:endParaRPr>
        </a:p>
      </dgm:t>
    </dgm:pt>
    <dgm:pt modelId="{169D3296-3554-4FB8-832C-51BE2A82091E}">
      <dgm:prSet custT="1"/>
      <dgm:spPr/>
      <dgm:t>
        <a:bodyPr/>
        <a:lstStyle/>
        <a:p>
          <a:r>
            <a:rPr lang="en-US" sz="900">
              <a:latin typeface="Palatino Linotype" panose="02040502050505030304" pitchFamily="18" charset="0"/>
            </a:rPr>
            <a:t>Alleviation or exacerbation of public problems</a:t>
          </a:r>
        </a:p>
      </dgm:t>
    </dgm:pt>
    <dgm:pt modelId="{35916E22-37A7-469B-B6FE-17E55AC91C5C}" type="parTrans" cxnId="{1A1106FB-8E00-48B0-93B4-FBA640795B13}">
      <dgm:prSet/>
      <dgm:spPr/>
      <dgm:t>
        <a:bodyPr/>
        <a:lstStyle/>
        <a:p>
          <a:endParaRPr lang="en-US"/>
        </a:p>
      </dgm:t>
    </dgm:pt>
    <dgm:pt modelId="{06A98EE8-D5A7-4D77-A82E-8AF7360FFDD4}" type="sibTrans" cxnId="{1A1106FB-8E00-48B0-93B4-FBA640795B13}">
      <dgm:prSet/>
      <dgm:spPr/>
      <dgm:t>
        <a:bodyPr/>
        <a:lstStyle/>
        <a:p>
          <a:endParaRPr lang="en-US"/>
        </a:p>
      </dgm:t>
    </dgm:pt>
    <dgm:pt modelId="{26750BD6-229B-42A1-97F8-F98E14A6C8E2}">
      <dgm:prSet custT="1"/>
      <dgm:spPr/>
      <dgm:t>
        <a:bodyPr/>
        <a:lstStyle/>
        <a:p>
          <a:r>
            <a:rPr lang="en-US" sz="900">
              <a:latin typeface="Palatino Linotype" panose="02040502050505030304" pitchFamily="18" charset="0"/>
            </a:rPr>
            <a:t>Alignment or misalignment of politician and bureaucratic priorities</a:t>
          </a:r>
        </a:p>
      </dgm:t>
    </dgm:pt>
    <dgm:pt modelId="{010E62D6-94C8-4E88-834B-0B2A7DD96BC6}" type="parTrans" cxnId="{BEDDBEDB-9B03-4D03-B442-65E6AC44B684}">
      <dgm:prSet/>
      <dgm:spPr/>
      <dgm:t>
        <a:bodyPr/>
        <a:lstStyle/>
        <a:p>
          <a:endParaRPr lang="en-US"/>
        </a:p>
      </dgm:t>
    </dgm:pt>
    <dgm:pt modelId="{EACBA256-42B0-498B-86D8-7BD9FCE5516B}" type="sibTrans" cxnId="{BEDDBEDB-9B03-4D03-B442-65E6AC44B684}">
      <dgm:prSet/>
      <dgm:spPr/>
      <dgm:t>
        <a:bodyPr/>
        <a:lstStyle/>
        <a:p>
          <a:endParaRPr lang="en-US"/>
        </a:p>
      </dgm:t>
    </dgm:pt>
    <dgm:pt modelId="{A2B89AB6-BBC6-4166-9ABA-2535D0D2E1E2}">
      <dgm:prSet custT="1"/>
      <dgm:spPr/>
      <dgm:t>
        <a:bodyPr/>
        <a:lstStyle/>
        <a:p>
          <a:r>
            <a:rPr lang="en-US" sz="900">
              <a:latin typeface="Palatino Linotype" panose="02040502050505030304" pitchFamily="18" charset="0"/>
            </a:rPr>
            <a:t>Selection of winning narrative based on casual story &amp; socially constructed target population</a:t>
          </a:r>
        </a:p>
      </dgm:t>
    </dgm:pt>
    <dgm:pt modelId="{E48939E1-EDAA-413B-941E-5CBA616B5E8A}" type="parTrans" cxnId="{E9F28DF0-E6F5-47A5-B9B0-440EF4F44E21}">
      <dgm:prSet/>
      <dgm:spPr/>
      <dgm:t>
        <a:bodyPr/>
        <a:lstStyle/>
        <a:p>
          <a:endParaRPr lang="en-US"/>
        </a:p>
      </dgm:t>
    </dgm:pt>
    <dgm:pt modelId="{B9FB9EE8-8E35-4AAC-A527-22981045D523}" type="sibTrans" cxnId="{E9F28DF0-E6F5-47A5-B9B0-440EF4F44E21}">
      <dgm:prSet/>
      <dgm:spPr/>
      <dgm:t>
        <a:bodyPr/>
        <a:lstStyle/>
        <a:p>
          <a:endParaRPr lang="en-US"/>
        </a:p>
      </dgm:t>
    </dgm:pt>
    <dgm:pt modelId="{F31FF4AD-D919-4FDE-BAC1-86BD349B8CA3}">
      <dgm:prSet custT="1"/>
      <dgm:spPr/>
      <dgm:t>
        <a:bodyPr/>
        <a:lstStyle/>
        <a:p>
          <a:endParaRPr lang="en-US" sz="1050">
            <a:latin typeface="Palatino Linotype" panose="02040502050505030304" pitchFamily="18" charset="0"/>
          </a:endParaRPr>
        </a:p>
      </dgm:t>
    </dgm:pt>
    <dgm:pt modelId="{40874EBA-317F-4238-932C-8C589735E372}" type="sibTrans" cxnId="{2C513C04-BF8F-432B-A117-0EC22E0195CB}">
      <dgm:prSet/>
      <dgm:spPr/>
      <dgm:t>
        <a:bodyPr/>
        <a:lstStyle/>
        <a:p>
          <a:endParaRPr lang="en-US">
            <a:latin typeface="Palatino Linotype" panose="02040502050505030304" pitchFamily="18" charset="0"/>
          </a:endParaRPr>
        </a:p>
      </dgm:t>
    </dgm:pt>
    <dgm:pt modelId="{1C2F017C-01CD-42D5-A332-F5E127DCB85D}" type="parTrans" cxnId="{2C513C04-BF8F-432B-A117-0EC22E0195CB}">
      <dgm:prSet/>
      <dgm:spPr/>
      <dgm:t>
        <a:bodyPr/>
        <a:lstStyle/>
        <a:p>
          <a:endParaRPr lang="en-US">
            <a:latin typeface="Palatino Linotype" panose="02040502050505030304" pitchFamily="18" charset="0"/>
          </a:endParaRPr>
        </a:p>
      </dgm:t>
    </dgm:pt>
    <dgm:pt modelId="{DE21D51D-15E8-4167-B1B0-4AFF7F70CD19}">
      <dgm:prSet phldrT="[Text]" phldr="1" custT="1"/>
      <dgm:spPr/>
      <dgm:t>
        <a:bodyPr/>
        <a:lstStyle/>
        <a:p>
          <a:endParaRPr lang="en-US" sz="100">
            <a:latin typeface="Palatino Linotype" panose="02040502050505030304" pitchFamily="18" charset="0"/>
          </a:endParaRPr>
        </a:p>
      </dgm:t>
    </dgm:pt>
    <dgm:pt modelId="{D7970F42-C82D-466E-8EBA-D685AD8D0850}" type="sibTrans" cxnId="{31750605-0193-4325-B154-3628E0C133C4}">
      <dgm:prSet/>
      <dgm:spPr/>
      <dgm:t>
        <a:bodyPr/>
        <a:lstStyle/>
        <a:p>
          <a:endParaRPr lang="en-US">
            <a:latin typeface="Palatino Linotype" panose="02040502050505030304" pitchFamily="18" charset="0"/>
          </a:endParaRPr>
        </a:p>
      </dgm:t>
    </dgm:pt>
    <dgm:pt modelId="{D2279636-F29B-491E-9593-A6439B40FF03}" type="parTrans" cxnId="{31750605-0193-4325-B154-3628E0C133C4}">
      <dgm:prSet/>
      <dgm:spPr/>
      <dgm:t>
        <a:bodyPr/>
        <a:lstStyle/>
        <a:p>
          <a:endParaRPr lang="en-US">
            <a:latin typeface="Palatino Linotype" panose="02040502050505030304" pitchFamily="18" charset="0"/>
          </a:endParaRPr>
        </a:p>
      </dgm:t>
    </dgm:pt>
    <dgm:pt modelId="{97D15C80-7100-4C49-8B76-3CA69B210385}">
      <dgm:prSet phldrT="[Text]" phldr="1" custT="1"/>
      <dgm:spPr/>
      <dgm:t>
        <a:bodyPr/>
        <a:lstStyle/>
        <a:p>
          <a:endParaRPr lang="en-US" sz="100">
            <a:latin typeface="Palatino Linotype" panose="02040502050505030304" pitchFamily="18" charset="0"/>
          </a:endParaRPr>
        </a:p>
      </dgm:t>
    </dgm:pt>
    <dgm:pt modelId="{785C3AE6-F34D-4406-B1EB-7E88DF6BF006}" type="sibTrans" cxnId="{19EBF282-DFF7-4FF5-89ED-3B5EBA6667F9}">
      <dgm:prSet/>
      <dgm:spPr/>
      <dgm:t>
        <a:bodyPr/>
        <a:lstStyle/>
        <a:p>
          <a:endParaRPr lang="en-US">
            <a:latin typeface="Palatino Linotype" panose="02040502050505030304" pitchFamily="18" charset="0"/>
          </a:endParaRPr>
        </a:p>
      </dgm:t>
    </dgm:pt>
    <dgm:pt modelId="{AAF19B0D-8DCE-4B7B-9486-F0B7DA68ABF2}" type="parTrans" cxnId="{19EBF282-DFF7-4FF5-89ED-3B5EBA6667F9}">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9368DA6B-B34A-4491-B808-03FD6A953441}" type="pres">
      <dgm:prSet presAssocID="{4602505C-BE38-4F74-BC5D-8598A57C0521}" presName="theList" presStyleCnt="0">
        <dgm:presLayoutVars>
          <dgm:dir/>
          <dgm:animLvl val="lvl"/>
          <dgm:resizeHandles val="exact"/>
        </dgm:presLayoutVars>
      </dgm:prSet>
      <dgm:spPr/>
    </dgm:pt>
    <dgm:pt modelId="{7BEC33E5-A4C9-41CC-AF97-E156986B83AF}" type="pres">
      <dgm:prSet presAssocID="{BA4B24C3-1064-427D-9821-CA551FAA804C}" presName="compNode" presStyleCnt="0"/>
      <dgm:spPr/>
    </dgm:pt>
    <dgm:pt modelId="{F83ADDF7-9714-41E9-AAAF-3DD7BD3EAE1E}" type="pres">
      <dgm:prSet presAssocID="{BA4B24C3-1064-427D-9821-CA551FAA804C}" presName="aNode" presStyleLbl="bgShp" presStyleIdx="0" presStyleCnt="4"/>
      <dgm:spPr/>
    </dgm:pt>
    <dgm:pt modelId="{545E997B-D2D6-4FC0-9986-7E9D9D00A55C}" type="pres">
      <dgm:prSet presAssocID="{BA4B24C3-1064-427D-9821-CA551FAA804C}" presName="textNode" presStyleLbl="bgShp" presStyleIdx="0" presStyleCnt="4"/>
      <dgm:spPr/>
    </dgm:pt>
    <dgm:pt modelId="{84E769F8-939A-4D02-A87E-AA70CDB11402}" type="pres">
      <dgm:prSet presAssocID="{BA4B24C3-1064-427D-9821-CA551FAA804C}" presName="compChildNode" presStyleCnt="0"/>
      <dgm:spPr/>
    </dgm:pt>
    <dgm:pt modelId="{095F8B3F-4776-41FF-A4DE-52679CA11A92}" type="pres">
      <dgm:prSet presAssocID="{BA4B24C3-1064-427D-9821-CA551FAA804C}" presName="theInnerList" presStyleCnt="0"/>
      <dgm:spPr/>
    </dgm:pt>
    <dgm:pt modelId="{69382CC0-27D3-4281-87F9-EA41AF249B95}" type="pres">
      <dgm:prSet presAssocID="{97D15C80-7100-4C49-8B76-3CA69B210385}" presName="childNode" presStyleLbl="node1" presStyleIdx="0" presStyleCnt="4">
        <dgm:presLayoutVars>
          <dgm:bulletEnabled val="1"/>
        </dgm:presLayoutVars>
      </dgm:prSet>
      <dgm:spPr/>
    </dgm:pt>
    <dgm:pt modelId="{5E9629EB-812B-4050-91F1-0EE4FB4589FA}" type="pres">
      <dgm:prSet presAssocID="{BA4B24C3-1064-427D-9821-CA551FAA804C}" presName="aSpace" presStyleCnt="0"/>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1" presStyleCnt="4"/>
      <dgm:spPr/>
    </dgm:pt>
    <dgm:pt modelId="{47091938-74DB-4C31-841E-48F7BC3DBD93}" type="pres">
      <dgm:prSet presAssocID="{C15418C7-7CBA-4E3C-824A-AD997DC4D994}" presName="textNode" presStyleLbl="bgShp" presStyleIdx="1" presStyleCnt="4"/>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1" presStyleCnt="4">
        <dgm:presLayoutVars>
          <dgm:bulletEnabled val="1"/>
        </dgm:presLayoutVars>
      </dgm:prSet>
      <dgm:spPr/>
    </dgm:pt>
    <dgm:pt modelId="{1ADB1D72-7826-416F-8080-50CCD8A80E60}" type="pres">
      <dgm:prSet presAssocID="{C15418C7-7CBA-4E3C-824A-AD997DC4D994}" presName="aSpace" presStyleCnt="0"/>
      <dgm:spPr/>
    </dgm:pt>
    <dgm:pt modelId="{227BED0A-03A2-4491-A99C-896273B0FC51}" type="pres">
      <dgm:prSet presAssocID="{5B5C571A-E95A-4B4B-9E2C-A1581F0F9D75}" presName="compNode" presStyleCnt="0"/>
      <dgm:spPr/>
    </dgm:pt>
    <dgm:pt modelId="{F3097AA3-A434-4C9F-BF0F-91B78208E0C6}" type="pres">
      <dgm:prSet presAssocID="{5B5C571A-E95A-4B4B-9E2C-A1581F0F9D75}" presName="aNode" presStyleLbl="bgShp" presStyleIdx="2" presStyleCnt="4"/>
      <dgm:spPr/>
    </dgm:pt>
    <dgm:pt modelId="{874B1F11-06C6-47B7-A564-FAB0D22900D5}" type="pres">
      <dgm:prSet presAssocID="{5B5C571A-E95A-4B4B-9E2C-A1581F0F9D75}" presName="textNode" presStyleLbl="bgShp" presStyleIdx="2" presStyleCnt="4"/>
      <dgm:spPr/>
    </dgm:pt>
    <dgm:pt modelId="{16B7BF0C-EF44-460A-91EE-0F018C8D4291}" type="pres">
      <dgm:prSet presAssocID="{5B5C571A-E95A-4B4B-9E2C-A1581F0F9D75}" presName="compChildNode" presStyleCnt="0"/>
      <dgm:spPr/>
    </dgm:pt>
    <dgm:pt modelId="{3741552B-F599-4B21-8283-36E075031BA5}" type="pres">
      <dgm:prSet presAssocID="{5B5C571A-E95A-4B4B-9E2C-A1581F0F9D75}" presName="theInnerList" presStyleCnt="0"/>
      <dgm:spPr/>
    </dgm:pt>
    <dgm:pt modelId="{D261ACC1-5DBD-4BD6-8DF7-3B1C73E0CEA9}" type="pres">
      <dgm:prSet presAssocID="{DE21D51D-15E8-4167-B1B0-4AFF7F70CD19}" presName="childNode" presStyleLbl="node1" presStyleIdx="2" presStyleCnt="4">
        <dgm:presLayoutVars>
          <dgm:bulletEnabled val="1"/>
        </dgm:presLayoutVars>
      </dgm:prSet>
      <dgm:spPr/>
    </dgm:pt>
    <dgm:pt modelId="{88803F63-7244-4C25-879A-685B9A97E058}" type="pres">
      <dgm:prSet presAssocID="{5B5C571A-E95A-4B4B-9E2C-A1581F0F9D75}" presName="aSpace" presStyleCnt="0"/>
      <dgm:spPr/>
    </dgm:pt>
    <dgm:pt modelId="{B8368FFE-8B79-4BB4-A473-37DF9540AA3B}" type="pres">
      <dgm:prSet presAssocID="{70F6C5AC-8011-4AE7-B712-FD5133A37762}" presName="compNode" presStyleCnt="0"/>
      <dgm:spPr/>
    </dgm:pt>
    <dgm:pt modelId="{4BC53CC4-5D93-401E-BFDB-145C294F8DFD}" type="pres">
      <dgm:prSet presAssocID="{70F6C5AC-8011-4AE7-B712-FD5133A37762}" presName="aNode" presStyleLbl="bgShp" presStyleIdx="3" presStyleCnt="4" custLinFactNeighborX="19408" custLinFactNeighborY="-68095"/>
      <dgm:spPr/>
    </dgm:pt>
    <dgm:pt modelId="{5B2C3ABF-7481-427E-B24F-4237D7D8716B}" type="pres">
      <dgm:prSet presAssocID="{70F6C5AC-8011-4AE7-B712-FD5133A37762}" presName="textNode" presStyleLbl="bgShp" presStyleIdx="3" presStyleCnt="4"/>
      <dgm:spPr/>
    </dgm:pt>
    <dgm:pt modelId="{D8E9EB3E-22E6-48D2-9978-994C439A2F56}" type="pres">
      <dgm:prSet presAssocID="{70F6C5AC-8011-4AE7-B712-FD5133A37762}" presName="compChildNode" presStyleCnt="0"/>
      <dgm:spPr/>
    </dgm:pt>
    <dgm:pt modelId="{0C435BA3-C2FB-4356-9445-3DB9B171B595}" type="pres">
      <dgm:prSet presAssocID="{70F6C5AC-8011-4AE7-B712-FD5133A37762}" presName="theInnerList" presStyleCnt="0"/>
      <dgm:spPr/>
    </dgm:pt>
    <dgm:pt modelId="{C16C9A3F-913F-4131-BCC8-0E99F70E54A7}" type="pres">
      <dgm:prSet presAssocID="{F31FF4AD-D919-4FDE-BAC1-86BD349B8CA3}" presName="childNode" presStyleLbl="node1" presStyleIdx="3" presStyleCnt="4">
        <dgm:presLayoutVars>
          <dgm:bulletEnabled val="1"/>
        </dgm:presLayoutVars>
      </dgm:prSet>
      <dgm:spPr/>
    </dgm:pt>
  </dgm:ptLst>
  <dgm:cxnLst>
    <dgm:cxn modelId="{30536D00-5216-452C-A0E1-D77E468DBF59}" type="presOf" srcId="{BA4B24C3-1064-427D-9821-CA551FAA804C}" destId="{545E997B-D2D6-4FC0-9986-7E9D9D00A55C}" srcOrd="1" destOrd="0" presId="urn:microsoft.com/office/officeart/2005/8/layout/lProcess2"/>
    <dgm:cxn modelId="{2C513C04-BF8F-432B-A117-0EC22E0195CB}" srcId="{70F6C5AC-8011-4AE7-B712-FD5133A37762}" destId="{F31FF4AD-D919-4FDE-BAC1-86BD349B8CA3}" srcOrd="0" destOrd="0" parTransId="{1C2F017C-01CD-42D5-A332-F5E127DCB85D}" sibTransId="{40874EBA-317F-4238-932C-8C589735E372}"/>
    <dgm:cxn modelId="{31750605-0193-4325-B154-3628E0C133C4}" srcId="{5B5C571A-E95A-4B4B-9E2C-A1581F0F9D75}" destId="{DE21D51D-15E8-4167-B1B0-4AFF7F70CD19}" srcOrd="0" destOrd="0" parTransId="{D2279636-F29B-491E-9593-A6439B40FF03}" sibTransId="{D7970F42-C82D-466E-8EBA-D685AD8D0850}"/>
    <dgm:cxn modelId="{53618F09-07C3-41B2-A317-3E5A2BC3E4D3}" type="presOf" srcId="{70F6C5AC-8011-4AE7-B712-FD5133A37762}" destId="{5B2C3ABF-7481-427E-B24F-4237D7D8716B}" srcOrd="1" destOrd="0" presId="urn:microsoft.com/office/officeart/2005/8/layout/lProcess2"/>
    <dgm:cxn modelId="{1DBFB426-CBB3-4B0C-8741-8B114384477C}" type="presOf" srcId="{169D3296-3554-4FB8-832C-51BE2A82091E}" destId="{C16C9A3F-913F-4131-BCC8-0E99F70E54A7}" srcOrd="0" destOrd="1" presId="urn:microsoft.com/office/officeart/2005/8/layout/lProcess2"/>
    <dgm:cxn modelId="{E70F4E2B-8BD8-40F5-AB84-FE69A59AAE6C}" srcId="{7311932E-72A6-4CA9-A0CE-70024AF43912}" destId="{7E4EC7CB-65C5-4E2F-86A6-7CE79A7E598E}" srcOrd="1" destOrd="0" parTransId="{BC1350D0-F9CF-416F-801D-E73A8462690D}" sibTransId="{C959F7AD-80EB-41F5-AC04-1D9DA494B16F}"/>
    <dgm:cxn modelId="{6D58432F-D434-4DBE-8CD4-791D81ABD538}" type="presOf" srcId="{C15418C7-7CBA-4E3C-824A-AD997DC4D994}" destId="{E8A73C91-A01D-4788-9E25-EB6622456EBA}" srcOrd="0" destOrd="0" presId="urn:microsoft.com/office/officeart/2005/8/layout/lProcess2"/>
    <dgm:cxn modelId="{82C50D30-9CB0-44F5-B64D-55333E08F687}" type="presOf" srcId="{30DBD67A-65D4-481F-BC24-25961C456B7A}" destId="{809B79D6-9593-4DBF-8AE7-E37F90C50ABB}" srcOrd="0" destOrd="1" presId="urn:microsoft.com/office/officeart/2005/8/layout/lProcess2"/>
    <dgm:cxn modelId="{88FC9A35-9CF6-4173-87BE-226E48A212FC}" type="presOf" srcId="{D622C22B-66D3-4C3D-9CD9-E415746F0FBA}" destId="{69382CC0-27D3-4281-87F9-EA41AF249B95}" srcOrd="0" destOrd="2" presId="urn:microsoft.com/office/officeart/2005/8/layout/lProcess2"/>
    <dgm:cxn modelId="{D707425E-5589-4C0B-B0C2-508D50293D70}" type="presOf" srcId="{5B5C571A-E95A-4B4B-9E2C-A1581F0F9D75}" destId="{874B1F11-06C6-47B7-A564-FAB0D22900D5}" srcOrd="1" destOrd="0" presId="urn:microsoft.com/office/officeart/2005/8/layout/lProcess2"/>
    <dgm:cxn modelId="{CE007B42-D454-46B6-9EE6-980DF678C65A}" srcId="{7311932E-72A6-4CA9-A0CE-70024AF43912}" destId="{2A883902-FE9D-4349-94FA-0D03FF7A3648}" srcOrd="2" destOrd="0" parTransId="{4D934622-BCD0-4A55-8EC9-998132295B1E}" sibTransId="{7F53BD23-5D8C-44B0-889E-8F4BD9556ECE}"/>
    <dgm:cxn modelId="{67B25A43-78A8-48DF-A3B3-D7CF18126CB9}" srcId="{97D15C80-7100-4C49-8B76-3CA69B210385}" destId="{D622C22B-66D3-4C3D-9CD9-E415746F0FBA}" srcOrd="1" destOrd="0" parTransId="{F43C9E45-67D2-4AA5-BCDB-CE6FDF48016B}" sibTransId="{AA118AAE-0A55-4E99-A04D-A7A7D0414B25}"/>
    <dgm:cxn modelId="{2C669C63-4E96-4421-9E32-898F8C8521FD}" type="presOf" srcId="{70F6C5AC-8011-4AE7-B712-FD5133A37762}" destId="{4BC53CC4-5D93-401E-BFDB-145C294F8DFD}" srcOrd="0" destOrd="0" presId="urn:microsoft.com/office/officeart/2005/8/layout/lProcess2"/>
    <dgm:cxn modelId="{1679E263-4718-4561-BC7F-0B55883416DB}" type="presOf" srcId="{DE21D51D-15E8-4167-B1B0-4AFF7F70CD19}" destId="{D261ACC1-5DBD-4BD6-8DF7-3B1C73E0CEA9}" srcOrd="0" destOrd="0" presId="urn:microsoft.com/office/officeart/2005/8/layout/lProcess2"/>
    <dgm:cxn modelId="{9FF35865-A62A-4458-B641-68DDABAF5731}" type="presOf" srcId="{2A883902-FE9D-4349-94FA-0D03FF7A3648}" destId="{809B79D6-9593-4DBF-8AE7-E37F90C50ABB}" srcOrd="0" destOrd="3" presId="urn:microsoft.com/office/officeart/2005/8/layout/lProcess2"/>
    <dgm:cxn modelId="{8D443C47-6AFB-41C1-9751-817F85CFA668}" srcId="{7311932E-72A6-4CA9-A0CE-70024AF43912}" destId="{30DBD67A-65D4-481F-BC24-25961C456B7A}" srcOrd="0" destOrd="0" parTransId="{95F0A796-F250-49D5-8598-9B30D35E95A1}" sibTransId="{6F3F3CA8-A10F-4DA0-9D44-06F79693DC9E}"/>
    <dgm:cxn modelId="{E4D5766B-0828-4F08-BDAA-C7C7795BCD9A}" type="presOf" srcId="{F31FF4AD-D919-4FDE-BAC1-86BD349B8CA3}" destId="{C16C9A3F-913F-4131-BCC8-0E99F70E54A7}" srcOrd="0" destOrd="0" presId="urn:microsoft.com/office/officeart/2005/8/layout/lProcess2"/>
    <dgm:cxn modelId="{B6CCBF4B-C92C-4209-AF2D-0AB90724F0F2}" srcId="{4602505C-BE38-4F74-BC5D-8598A57C0521}" destId="{BA4B24C3-1064-427D-9821-CA551FAA804C}" srcOrd="0" destOrd="0" parTransId="{A22C9BE0-4A16-4F9F-8016-B06FB70181A3}" sibTransId="{3A091D31-4A10-4966-8E3F-1D989DC88B59}"/>
    <dgm:cxn modelId="{673DF26D-579C-49D9-99AE-6C07D5424153}" type="presOf" srcId="{86A5FC92-5A95-4A4A-A17B-05CDD5216009}" destId="{809B79D6-9593-4DBF-8AE7-E37F90C50ABB}" srcOrd="0" destOrd="4" presId="urn:microsoft.com/office/officeart/2005/8/layout/lProcess2"/>
    <dgm:cxn modelId="{19EBF282-DFF7-4FF5-89ED-3B5EBA6667F9}" srcId="{BA4B24C3-1064-427D-9821-CA551FAA804C}" destId="{97D15C80-7100-4C49-8B76-3CA69B210385}" srcOrd="0" destOrd="0" parTransId="{AAF19B0D-8DCE-4B7B-9486-F0B7DA68ABF2}" sibTransId="{785C3AE6-F34D-4406-B1EB-7E88DF6BF006}"/>
    <dgm:cxn modelId="{E0484A9C-C897-4BD8-9C1E-07DFD5CF9715}" type="presOf" srcId="{26750BD6-229B-42A1-97F8-F98E14A6C8E2}" destId="{D261ACC1-5DBD-4BD6-8DF7-3B1C73E0CEA9}" srcOrd="0" destOrd="2" presId="urn:microsoft.com/office/officeart/2005/8/layout/lProcess2"/>
    <dgm:cxn modelId="{137220A2-ACF1-4F48-9682-FCCF588911CD}" srcId="{DE21D51D-15E8-4167-B1B0-4AFF7F70CD19}" destId="{B303D517-0101-4F2A-A41F-AA78F00A166B}" srcOrd="0" destOrd="0" parTransId="{6BA26ADB-4907-4188-9304-E008949C040C}" sibTransId="{8A01560D-7574-4274-81A9-F46BF2FF62F1}"/>
    <dgm:cxn modelId="{E958EEA4-7F35-41B8-B972-8A8AF3C63694}" type="presOf" srcId="{B303D517-0101-4F2A-A41F-AA78F00A166B}" destId="{D261ACC1-5DBD-4BD6-8DF7-3B1C73E0CEA9}" srcOrd="0" destOrd="1" presId="urn:microsoft.com/office/officeart/2005/8/layout/lProcess2"/>
    <dgm:cxn modelId="{88981EA5-1F39-414E-9932-C5E43ADDFFF1}" type="presOf" srcId="{7311932E-72A6-4CA9-A0CE-70024AF43912}" destId="{809B79D6-9593-4DBF-8AE7-E37F90C50ABB}" srcOrd="0" destOrd="0" presId="urn:microsoft.com/office/officeart/2005/8/layout/lProcess2"/>
    <dgm:cxn modelId="{FCC8FAAA-3D8C-46CE-BCD7-35C0116BDFB4}" srcId="{4602505C-BE38-4F74-BC5D-8598A57C0521}" destId="{C15418C7-7CBA-4E3C-824A-AD997DC4D994}" srcOrd="1" destOrd="0" parTransId="{9CC1438A-637B-49E5-A407-DB12E2AB85F9}" sibTransId="{AE126B5A-63B5-4420-8AF6-58E302008FAC}"/>
    <dgm:cxn modelId="{8E0B79B6-EA5A-4277-9B93-E3DFE7FA0531}" type="presOf" srcId="{97D15C80-7100-4C49-8B76-3CA69B210385}" destId="{69382CC0-27D3-4281-87F9-EA41AF249B95}" srcOrd="0" destOrd="0" presId="urn:microsoft.com/office/officeart/2005/8/layout/lProcess2"/>
    <dgm:cxn modelId="{D944C8B8-D7FF-4785-8524-B7B3C1815D69}" type="presOf" srcId="{5B5C571A-E95A-4B4B-9E2C-A1581F0F9D75}" destId="{F3097AA3-A434-4C9F-BF0F-91B78208E0C6}" srcOrd="0" destOrd="0" presId="urn:microsoft.com/office/officeart/2005/8/layout/lProcess2"/>
    <dgm:cxn modelId="{357ADCBD-5FED-4871-B1D3-355C46809D71}" type="presOf" srcId="{A2B89AB6-BBC6-4166-9ABA-2535D0D2E1E2}" destId="{69382CC0-27D3-4281-87F9-EA41AF249B95}" srcOrd="0" destOrd="1" presId="urn:microsoft.com/office/officeart/2005/8/layout/lProcess2"/>
    <dgm:cxn modelId="{701F7DC3-4E8C-4062-82A5-C0E29785F536}" srcId="{4602505C-BE38-4F74-BC5D-8598A57C0521}" destId="{70F6C5AC-8011-4AE7-B712-FD5133A37762}" srcOrd="3" destOrd="0" parTransId="{573FF062-1B83-42AF-A221-D7A4A00C3048}" sibTransId="{094864DC-CA71-4BBE-B4D9-75CCB530916B}"/>
    <dgm:cxn modelId="{CCC709C6-E8CA-4DA6-A8F0-858068C1D4FE}" type="presOf" srcId="{BA4B24C3-1064-427D-9821-CA551FAA804C}" destId="{F83ADDF7-9714-41E9-AAAF-3DD7BD3EAE1E}" srcOrd="0" destOrd="0" presId="urn:microsoft.com/office/officeart/2005/8/layout/lProcess2"/>
    <dgm:cxn modelId="{869869CB-0EE2-48D2-AA57-1BC3E1FE06F8}" type="presOf" srcId="{4602505C-BE38-4F74-BC5D-8598A57C0521}" destId="{9368DA6B-B34A-4491-B808-03FD6A953441}" srcOrd="0" destOrd="0" presId="urn:microsoft.com/office/officeart/2005/8/layout/lProcess2"/>
    <dgm:cxn modelId="{6D4035D8-5D63-4CFB-890F-A37FBC995C97}" srcId="{4602505C-BE38-4F74-BC5D-8598A57C0521}" destId="{5B5C571A-E95A-4B4B-9E2C-A1581F0F9D75}" srcOrd="2" destOrd="0" parTransId="{92101118-F08F-4153-B22F-4364C51F2A88}" sibTransId="{6BE21506-9EFF-41E3-A776-386F440ABBE7}"/>
    <dgm:cxn modelId="{BEDDBEDB-9B03-4D03-B442-65E6AC44B684}" srcId="{DE21D51D-15E8-4167-B1B0-4AFF7F70CD19}" destId="{26750BD6-229B-42A1-97F8-F98E14A6C8E2}" srcOrd="1" destOrd="0" parTransId="{010E62D6-94C8-4E88-834B-0B2A7DD96BC6}" sibTransId="{EACBA256-42B0-498B-86D8-7BD9FCE5516B}"/>
    <dgm:cxn modelId="{9C5A1EE6-5170-4445-8607-3937E51B48FF}" type="presOf" srcId="{C15418C7-7CBA-4E3C-824A-AD997DC4D994}" destId="{47091938-74DB-4C31-841E-48F7BC3DBD93}" srcOrd="1" destOrd="0" presId="urn:microsoft.com/office/officeart/2005/8/layout/lProcess2"/>
    <dgm:cxn modelId="{C1FF0FEA-7EE9-4793-A468-CCB48929BA30}" srcId="{7311932E-72A6-4CA9-A0CE-70024AF43912}" destId="{8ACADC06-D3CE-42A6-89F4-0EC066B66B37}" srcOrd="4" destOrd="0" parTransId="{7331A786-CD33-44A0-99F5-8809A191B71C}" sibTransId="{67F9E5D1-7772-4D7E-B755-C84866B4076D}"/>
    <dgm:cxn modelId="{EE5511EC-13F6-4564-B706-EB434E2E4CA7}" type="presOf" srcId="{7E4EC7CB-65C5-4E2F-86A6-7CE79A7E598E}" destId="{809B79D6-9593-4DBF-8AE7-E37F90C50ABB}" srcOrd="0" destOrd="2"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6C3EAEE-59E1-4B0C-B415-5B5C0573EE47}" type="presOf" srcId="{8ACADC06-D3CE-42A6-89F4-0EC066B66B37}" destId="{809B79D6-9593-4DBF-8AE7-E37F90C50ABB}" srcOrd="0" destOrd="5" presId="urn:microsoft.com/office/officeart/2005/8/layout/lProcess2"/>
    <dgm:cxn modelId="{E9F28DF0-E6F5-47A5-B9B0-440EF4F44E21}" srcId="{97D15C80-7100-4C49-8B76-3CA69B210385}" destId="{A2B89AB6-BBC6-4166-9ABA-2535D0D2E1E2}" srcOrd="0" destOrd="0" parTransId="{E48939E1-EDAA-413B-941E-5CBA616B5E8A}" sibTransId="{B9FB9EE8-8E35-4AAC-A527-22981045D523}"/>
    <dgm:cxn modelId="{1A1106FB-8E00-48B0-93B4-FBA640795B13}" srcId="{F31FF4AD-D919-4FDE-BAC1-86BD349B8CA3}" destId="{169D3296-3554-4FB8-832C-51BE2A82091E}" srcOrd="0" destOrd="0" parTransId="{35916E22-37A7-469B-B6FE-17E55AC91C5C}" sibTransId="{06A98EE8-D5A7-4D77-A82E-8AF7360FFDD4}"/>
    <dgm:cxn modelId="{05DE36FD-F61E-4DE5-AE2D-D052066BB7B9}" srcId="{7311932E-72A6-4CA9-A0CE-70024AF43912}" destId="{86A5FC92-5A95-4A4A-A17B-05CDD5216009}" srcOrd="3" destOrd="0" parTransId="{386469AE-C963-4EF9-ACED-AAAC23E9433A}" sibTransId="{BCF6CE22-49EC-4E28-BC95-465BE84A385B}"/>
    <dgm:cxn modelId="{8923107D-34A1-41C6-954A-9D01664ADCF3}" type="presParOf" srcId="{9368DA6B-B34A-4491-B808-03FD6A953441}" destId="{7BEC33E5-A4C9-41CC-AF97-E156986B83AF}" srcOrd="0" destOrd="0" presId="urn:microsoft.com/office/officeart/2005/8/layout/lProcess2"/>
    <dgm:cxn modelId="{DF11F007-6625-49B5-8875-BA911AA7164A}" type="presParOf" srcId="{7BEC33E5-A4C9-41CC-AF97-E156986B83AF}" destId="{F83ADDF7-9714-41E9-AAAF-3DD7BD3EAE1E}" srcOrd="0" destOrd="0" presId="urn:microsoft.com/office/officeart/2005/8/layout/lProcess2"/>
    <dgm:cxn modelId="{76368B10-B556-44F8-BF12-39CCACDA1FAC}" type="presParOf" srcId="{7BEC33E5-A4C9-41CC-AF97-E156986B83AF}" destId="{545E997B-D2D6-4FC0-9986-7E9D9D00A55C}" srcOrd="1" destOrd="0" presId="urn:microsoft.com/office/officeart/2005/8/layout/lProcess2"/>
    <dgm:cxn modelId="{6B4821C6-C132-4F34-8762-7719AB5A44D5}" type="presParOf" srcId="{7BEC33E5-A4C9-41CC-AF97-E156986B83AF}" destId="{84E769F8-939A-4D02-A87E-AA70CDB11402}" srcOrd="2" destOrd="0" presId="urn:microsoft.com/office/officeart/2005/8/layout/lProcess2"/>
    <dgm:cxn modelId="{BA413E06-7011-48AB-9177-ED70E0E42CD7}" type="presParOf" srcId="{84E769F8-939A-4D02-A87E-AA70CDB11402}" destId="{095F8B3F-4776-41FF-A4DE-52679CA11A92}" srcOrd="0" destOrd="0" presId="urn:microsoft.com/office/officeart/2005/8/layout/lProcess2"/>
    <dgm:cxn modelId="{C9F5430D-74DF-4414-9670-1CF6AC6D650A}" type="presParOf" srcId="{095F8B3F-4776-41FF-A4DE-52679CA11A92}" destId="{69382CC0-27D3-4281-87F9-EA41AF249B95}" srcOrd="0" destOrd="0" presId="urn:microsoft.com/office/officeart/2005/8/layout/lProcess2"/>
    <dgm:cxn modelId="{C5B5580F-014A-44EF-BB13-EF08C6DB8D98}" type="presParOf" srcId="{9368DA6B-B34A-4491-B808-03FD6A953441}" destId="{5E9629EB-812B-4050-91F1-0EE4FB4589FA}" srcOrd="1" destOrd="0" presId="urn:microsoft.com/office/officeart/2005/8/layout/lProcess2"/>
    <dgm:cxn modelId="{15651781-A087-420D-8C3A-AAF31C929364}" type="presParOf" srcId="{9368DA6B-B34A-4491-B808-03FD6A953441}" destId="{FDE55128-D302-4FA1-B93E-3C33EF5ED5AC}" srcOrd="2"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 modelId="{83ABB596-31D4-4988-9E3B-422C0651CD87}" type="presParOf" srcId="{9368DA6B-B34A-4491-B808-03FD6A953441}" destId="{1ADB1D72-7826-416F-8080-50CCD8A80E60}" srcOrd="3" destOrd="0" presId="urn:microsoft.com/office/officeart/2005/8/layout/lProcess2"/>
    <dgm:cxn modelId="{F1783ED1-381C-468E-AEBB-16570BF73F7B}" type="presParOf" srcId="{9368DA6B-B34A-4491-B808-03FD6A953441}" destId="{227BED0A-03A2-4491-A99C-896273B0FC51}" srcOrd="4" destOrd="0" presId="urn:microsoft.com/office/officeart/2005/8/layout/lProcess2"/>
    <dgm:cxn modelId="{47F30657-AE07-4E1E-8182-53B54F156D0E}" type="presParOf" srcId="{227BED0A-03A2-4491-A99C-896273B0FC51}" destId="{F3097AA3-A434-4C9F-BF0F-91B78208E0C6}" srcOrd="0" destOrd="0" presId="urn:microsoft.com/office/officeart/2005/8/layout/lProcess2"/>
    <dgm:cxn modelId="{BDDDE760-B930-4434-A655-2A948970873F}" type="presParOf" srcId="{227BED0A-03A2-4491-A99C-896273B0FC51}" destId="{874B1F11-06C6-47B7-A564-FAB0D22900D5}" srcOrd="1" destOrd="0" presId="urn:microsoft.com/office/officeart/2005/8/layout/lProcess2"/>
    <dgm:cxn modelId="{84B5C31F-9639-4B19-8BC2-096C4C0DD9FD}" type="presParOf" srcId="{227BED0A-03A2-4491-A99C-896273B0FC51}" destId="{16B7BF0C-EF44-460A-91EE-0F018C8D4291}" srcOrd="2" destOrd="0" presId="urn:microsoft.com/office/officeart/2005/8/layout/lProcess2"/>
    <dgm:cxn modelId="{23B27365-F02F-4CFD-A418-079B05D3767D}" type="presParOf" srcId="{16B7BF0C-EF44-460A-91EE-0F018C8D4291}" destId="{3741552B-F599-4B21-8283-36E075031BA5}" srcOrd="0" destOrd="0" presId="urn:microsoft.com/office/officeart/2005/8/layout/lProcess2"/>
    <dgm:cxn modelId="{B0CA3CBF-8CFD-414C-9CC2-28F628A947D8}" type="presParOf" srcId="{3741552B-F599-4B21-8283-36E075031BA5}" destId="{D261ACC1-5DBD-4BD6-8DF7-3B1C73E0CEA9}" srcOrd="0" destOrd="0" presId="urn:microsoft.com/office/officeart/2005/8/layout/lProcess2"/>
    <dgm:cxn modelId="{135F8F07-2A6D-46DE-8AF4-2DD0CBE427C3}" type="presParOf" srcId="{9368DA6B-B34A-4491-B808-03FD6A953441}" destId="{88803F63-7244-4C25-879A-685B9A97E058}" srcOrd="5" destOrd="0" presId="urn:microsoft.com/office/officeart/2005/8/layout/lProcess2"/>
    <dgm:cxn modelId="{FE6D31AD-302E-48E8-A939-5C64F78BE656}" type="presParOf" srcId="{9368DA6B-B34A-4491-B808-03FD6A953441}" destId="{B8368FFE-8B79-4BB4-A473-37DF9540AA3B}" srcOrd="6" destOrd="0" presId="urn:microsoft.com/office/officeart/2005/8/layout/lProcess2"/>
    <dgm:cxn modelId="{DC92CB84-D203-4C93-BCEA-EE056FAAA22E}" type="presParOf" srcId="{B8368FFE-8B79-4BB4-A473-37DF9540AA3B}" destId="{4BC53CC4-5D93-401E-BFDB-145C294F8DFD}" srcOrd="0" destOrd="0" presId="urn:microsoft.com/office/officeart/2005/8/layout/lProcess2"/>
    <dgm:cxn modelId="{AF135C50-7300-4BD5-AD07-AA54C0B191F1}" type="presParOf" srcId="{B8368FFE-8B79-4BB4-A473-37DF9540AA3B}" destId="{5B2C3ABF-7481-427E-B24F-4237D7D8716B}" srcOrd="1" destOrd="0" presId="urn:microsoft.com/office/officeart/2005/8/layout/lProcess2"/>
    <dgm:cxn modelId="{B06AFA02-F36A-484C-BC07-7DFD84ED4786}" type="presParOf" srcId="{B8368FFE-8B79-4BB4-A473-37DF9540AA3B}" destId="{D8E9EB3E-22E6-48D2-9978-994C439A2F56}" srcOrd="2" destOrd="0" presId="urn:microsoft.com/office/officeart/2005/8/layout/lProcess2"/>
    <dgm:cxn modelId="{E88D2172-483D-4470-9551-13C9E7A2DBEA}" type="presParOf" srcId="{D8E9EB3E-22E6-48D2-9978-994C439A2F56}" destId="{0C435BA3-C2FB-4356-9445-3DB9B171B595}" srcOrd="0" destOrd="0" presId="urn:microsoft.com/office/officeart/2005/8/layout/lProcess2"/>
    <dgm:cxn modelId="{28FBE9D9-F881-406E-AEAF-E96025484029}" type="presParOf" srcId="{0C435BA3-C2FB-4356-9445-3DB9B171B595}" destId="{C16C9A3F-913F-4131-BCC8-0E99F70E54A7}" srcOrd="0" destOrd="0" presId="urn:microsoft.com/office/officeart/2005/8/layout/lProcess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602505C-BE38-4F74-BC5D-8598A57C0521}"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n-US"/>
        </a:p>
      </dgm:t>
    </dgm:pt>
    <dgm:pt modelId="{BA4B24C3-1064-427D-9821-CA551FAA804C}">
      <dgm:prSet phldrT="[Text]"/>
      <dgm:spPr/>
      <dgm:t>
        <a:bodyPr/>
        <a:lstStyle/>
        <a:p>
          <a:r>
            <a:rPr lang="en-US">
              <a:latin typeface="Palatino Linotype" panose="02040502050505030304" pitchFamily="18" charset="0"/>
            </a:rPr>
            <a:t>Politics</a:t>
          </a:r>
        </a:p>
      </dgm:t>
    </dgm:pt>
    <dgm:pt modelId="{A22C9BE0-4A16-4F9F-8016-B06FB70181A3}" type="parTrans" cxnId="{B6CCBF4B-C92C-4209-AF2D-0AB90724F0F2}">
      <dgm:prSet/>
      <dgm:spPr/>
      <dgm:t>
        <a:bodyPr/>
        <a:lstStyle/>
        <a:p>
          <a:endParaRPr lang="en-US">
            <a:latin typeface="Palatino Linotype" panose="02040502050505030304" pitchFamily="18" charset="0"/>
          </a:endParaRPr>
        </a:p>
      </dgm:t>
    </dgm:pt>
    <dgm:pt modelId="{3A091D31-4A10-4966-8E3F-1D989DC88B59}" type="sibTrans" cxnId="{B6CCBF4B-C92C-4209-AF2D-0AB90724F0F2}">
      <dgm:prSet/>
      <dgm:spPr/>
      <dgm:t>
        <a:bodyPr/>
        <a:lstStyle/>
        <a:p>
          <a:endParaRPr lang="en-US">
            <a:latin typeface="Palatino Linotype" panose="02040502050505030304" pitchFamily="18" charset="0"/>
          </a:endParaRPr>
        </a:p>
      </dgm:t>
    </dgm:pt>
    <dgm:pt modelId="{C15418C7-7CBA-4E3C-824A-AD997DC4D994}">
      <dgm:prSet phldrT="[Text]"/>
      <dgm:spPr/>
      <dgm:t>
        <a:bodyPr/>
        <a:lstStyle/>
        <a:p>
          <a:r>
            <a:rPr lang="en-US">
              <a:latin typeface="Palatino Linotype" panose="02040502050505030304" pitchFamily="18" charset="0"/>
            </a:rPr>
            <a:t>Statutory Design</a:t>
          </a:r>
        </a:p>
      </dgm:t>
    </dgm:pt>
    <dgm:pt modelId="{9CC1438A-637B-49E5-A407-DB12E2AB85F9}" type="parTrans" cxnId="{FCC8FAAA-3D8C-46CE-BCD7-35C0116BDFB4}">
      <dgm:prSet/>
      <dgm:spPr/>
      <dgm:t>
        <a:bodyPr/>
        <a:lstStyle/>
        <a:p>
          <a:endParaRPr lang="en-US">
            <a:latin typeface="Palatino Linotype" panose="02040502050505030304" pitchFamily="18" charset="0"/>
          </a:endParaRPr>
        </a:p>
      </dgm:t>
    </dgm:pt>
    <dgm:pt modelId="{AE126B5A-63B5-4420-8AF6-58E302008FAC}" type="sibTrans" cxnId="{FCC8FAAA-3D8C-46CE-BCD7-35C0116BDFB4}">
      <dgm:prSet/>
      <dgm:spPr/>
      <dgm:t>
        <a:bodyPr/>
        <a:lstStyle/>
        <a:p>
          <a:endParaRPr lang="en-US">
            <a:latin typeface="Palatino Linotype" panose="02040502050505030304" pitchFamily="18" charset="0"/>
          </a:endParaRPr>
        </a:p>
      </dgm:t>
    </dgm:pt>
    <dgm:pt modelId="{5B5C571A-E95A-4B4B-9E2C-A1581F0F9D75}">
      <dgm:prSet phldrT="[Text]"/>
      <dgm:spPr/>
      <dgm:t>
        <a:bodyPr/>
        <a:lstStyle/>
        <a:p>
          <a:r>
            <a:rPr lang="en-US">
              <a:latin typeface="Palatino Linotype" panose="02040502050505030304" pitchFamily="18" charset="0"/>
            </a:rPr>
            <a:t>Implementation</a:t>
          </a:r>
        </a:p>
      </dgm:t>
    </dgm:pt>
    <dgm:pt modelId="{92101118-F08F-4153-B22F-4364C51F2A88}" type="parTrans" cxnId="{6D4035D8-5D63-4CFB-890F-A37FBC995C97}">
      <dgm:prSet/>
      <dgm:spPr/>
      <dgm:t>
        <a:bodyPr/>
        <a:lstStyle/>
        <a:p>
          <a:endParaRPr lang="en-US">
            <a:latin typeface="Palatino Linotype" panose="02040502050505030304" pitchFamily="18" charset="0"/>
          </a:endParaRPr>
        </a:p>
      </dgm:t>
    </dgm:pt>
    <dgm:pt modelId="{6BE21506-9EFF-41E3-A776-386F440ABBE7}" type="sibTrans" cxnId="{6D4035D8-5D63-4CFB-890F-A37FBC995C97}">
      <dgm:prSet/>
      <dgm:spPr/>
      <dgm:t>
        <a:bodyPr/>
        <a:lstStyle/>
        <a:p>
          <a:endParaRPr lang="en-US">
            <a:latin typeface="Palatino Linotype" panose="02040502050505030304" pitchFamily="18" charset="0"/>
          </a:endParaRPr>
        </a:p>
      </dgm:t>
    </dgm:pt>
    <dgm:pt modelId="{B303D517-0101-4F2A-A41F-AA78F00A166B}">
      <dgm:prSet custT="1"/>
      <dgm:spPr/>
      <dgm:t>
        <a:bodyPr/>
        <a:lstStyle/>
        <a:p>
          <a:r>
            <a:rPr lang="en-US" sz="900">
              <a:latin typeface="Palatino Linotype" panose="02040502050505030304" pitchFamily="18" charset="0"/>
            </a:rPr>
            <a:t>Use of discretion by SLBs to advertise &amp; assist students in overcoming information, psychological, and compliance barriers (administrative burden)</a:t>
          </a:r>
        </a:p>
      </dgm:t>
    </dgm:pt>
    <dgm:pt modelId="{6BA26ADB-4907-4188-9304-E008949C040C}" type="parTrans" cxnId="{137220A2-ACF1-4F48-9682-FCCF588911CD}">
      <dgm:prSet/>
      <dgm:spPr/>
      <dgm:t>
        <a:bodyPr/>
        <a:lstStyle/>
        <a:p>
          <a:endParaRPr lang="en-US">
            <a:latin typeface="Palatino Linotype" panose="02040502050505030304" pitchFamily="18" charset="0"/>
          </a:endParaRPr>
        </a:p>
      </dgm:t>
    </dgm:pt>
    <dgm:pt modelId="{8A01560D-7574-4274-81A9-F46BF2FF62F1}" type="sibTrans" cxnId="{137220A2-ACF1-4F48-9682-FCCF588911CD}">
      <dgm:prSet/>
      <dgm:spPr/>
      <dgm:t>
        <a:bodyPr/>
        <a:lstStyle/>
        <a:p>
          <a:endParaRPr lang="en-US">
            <a:latin typeface="Palatino Linotype" panose="02040502050505030304" pitchFamily="18" charset="0"/>
          </a:endParaRPr>
        </a:p>
      </dgm:t>
    </dgm:pt>
    <dgm:pt modelId="{70F6C5AC-8011-4AE7-B712-FD5133A37762}">
      <dgm:prSet phldrT="[Text]"/>
      <dgm:spPr/>
      <dgm:t>
        <a:bodyPr/>
        <a:lstStyle/>
        <a:p>
          <a:r>
            <a:rPr lang="en-US">
              <a:latin typeface="Palatino Linotype" panose="02040502050505030304" pitchFamily="18" charset="0"/>
            </a:rPr>
            <a:t>Outcomes</a:t>
          </a:r>
        </a:p>
      </dgm:t>
    </dgm:pt>
    <dgm:pt modelId="{573FF062-1B83-42AF-A221-D7A4A00C3048}" type="parTrans" cxnId="{701F7DC3-4E8C-4062-82A5-C0E29785F536}">
      <dgm:prSet/>
      <dgm:spPr/>
      <dgm:t>
        <a:bodyPr/>
        <a:lstStyle/>
        <a:p>
          <a:endParaRPr lang="en-US">
            <a:latin typeface="Palatino Linotype" panose="02040502050505030304" pitchFamily="18" charset="0"/>
          </a:endParaRPr>
        </a:p>
      </dgm:t>
    </dgm:pt>
    <dgm:pt modelId="{094864DC-CA71-4BBE-B4D9-75CCB530916B}" type="sibTrans" cxnId="{701F7DC3-4E8C-4062-82A5-C0E29785F536}">
      <dgm:prSet/>
      <dgm:spPr/>
      <dgm:t>
        <a:bodyPr/>
        <a:lstStyle/>
        <a:p>
          <a:endParaRPr lang="en-US">
            <a:latin typeface="Palatino Linotype" panose="02040502050505030304" pitchFamily="18" charset="0"/>
          </a:endParaRPr>
        </a:p>
      </dgm:t>
    </dgm:pt>
    <dgm:pt modelId="{169D3296-3554-4FB8-832C-51BE2A82091E}">
      <dgm:prSet custT="1"/>
      <dgm:spPr/>
      <dgm:t>
        <a:bodyPr/>
        <a:lstStyle/>
        <a:p>
          <a:r>
            <a:rPr lang="en-US" sz="900">
              <a:latin typeface="Palatino Linotype" panose="02040502050505030304" pitchFamily="18" charset="0"/>
            </a:rPr>
            <a:t>Shifting college access and choice</a:t>
          </a:r>
        </a:p>
      </dgm:t>
    </dgm:pt>
    <dgm:pt modelId="{35916E22-37A7-469B-B6FE-17E55AC91C5C}" type="parTrans" cxnId="{1A1106FB-8E00-48B0-93B4-FBA640795B13}">
      <dgm:prSet/>
      <dgm:spPr/>
      <dgm:t>
        <a:bodyPr/>
        <a:lstStyle/>
        <a:p>
          <a:endParaRPr lang="en-US"/>
        </a:p>
      </dgm:t>
    </dgm:pt>
    <dgm:pt modelId="{06A98EE8-D5A7-4D77-A82E-8AF7360FFDD4}" type="sibTrans" cxnId="{1A1106FB-8E00-48B0-93B4-FBA640795B13}">
      <dgm:prSet/>
      <dgm:spPr/>
      <dgm:t>
        <a:bodyPr/>
        <a:lstStyle/>
        <a:p>
          <a:endParaRPr lang="en-US"/>
        </a:p>
      </dgm:t>
    </dgm:pt>
    <dgm:pt modelId="{F31FF4AD-D919-4FDE-BAC1-86BD349B8CA3}">
      <dgm:prSet custT="1"/>
      <dgm:spPr/>
      <dgm:t>
        <a:bodyPr/>
        <a:lstStyle/>
        <a:p>
          <a:endParaRPr lang="en-US" sz="1050">
            <a:latin typeface="Palatino Linotype" panose="02040502050505030304" pitchFamily="18" charset="0"/>
          </a:endParaRPr>
        </a:p>
      </dgm:t>
    </dgm:pt>
    <dgm:pt modelId="{40874EBA-317F-4238-932C-8C589735E372}" type="sibTrans" cxnId="{2C513C04-BF8F-432B-A117-0EC22E0195CB}">
      <dgm:prSet/>
      <dgm:spPr/>
      <dgm:t>
        <a:bodyPr/>
        <a:lstStyle/>
        <a:p>
          <a:endParaRPr lang="en-US">
            <a:latin typeface="Palatino Linotype" panose="02040502050505030304" pitchFamily="18" charset="0"/>
          </a:endParaRPr>
        </a:p>
      </dgm:t>
    </dgm:pt>
    <dgm:pt modelId="{1C2F017C-01CD-42D5-A332-F5E127DCB85D}" type="parTrans" cxnId="{2C513C04-BF8F-432B-A117-0EC22E0195CB}">
      <dgm:prSet/>
      <dgm:spPr/>
      <dgm:t>
        <a:bodyPr/>
        <a:lstStyle/>
        <a:p>
          <a:endParaRPr lang="en-US">
            <a:latin typeface="Palatino Linotype" panose="02040502050505030304" pitchFamily="18" charset="0"/>
          </a:endParaRPr>
        </a:p>
      </dgm:t>
    </dgm:pt>
    <dgm:pt modelId="{DE21D51D-15E8-4167-B1B0-4AFF7F70CD19}">
      <dgm:prSet phldrT="[Text]" phldr="1" custT="1"/>
      <dgm:spPr/>
      <dgm:t>
        <a:bodyPr/>
        <a:lstStyle/>
        <a:p>
          <a:endParaRPr lang="en-US" sz="100">
            <a:latin typeface="Palatino Linotype" panose="02040502050505030304" pitchFamily="18" charset="0"/>
          </a:endParaRPr>
        </a:p>
      </dgm:t>
    </dgm:pt>
    <dgm:pt modelId="{D7970F42-C82D-466E-8EBA-D685AD8D0850}" type="sibTrans" cxnId="{31750605-0193-4325-B154-3628E0C133C4}">
      <dgm:prSet/>
      <dgm:spPr/>
      <dgm:t>
        <a:bodyPr/>
        <a:lstStyle/>
        <a:p>
          <a:endParaRPr lang="en-US">
            <a:latin typeface="Palatino Linotype" panose="02040502050505030304" pitchFamily="18" charset="0"/>
          </a:endParaRPr>
        </a:p>
      </dgm:t>
    </dgm:pt>
    <dgm:pt modelId="{D2279636-F29B-491E-9593-A6439B40FF03}" type="parTrans" cxnId="{31750605-0193-4325-B154-3628E0C133C4}">
      <dgm:prSet/>
      <dgm:spPr/>
      <dgm:t>
        <a:bodyPr/>
        <a:lstStyle/>
        <a:p>
          <a:endParaRPr lang="en-US">
            <a:latin typeface="Palatino Linotype" panose="02040502050505030304" pitchFamily="18" charset="0"/>
          </a:endParaRPr>
        </a:p>
      </dgm:t>
    </dgm:pt>
    <dgm:pt modelId="{97D15C80-7100-4C49-8B76-3CA69B210385}">
      <dgm:prSet phldrT="[Text]" phldr="1" custT="1"/>
      <dgm:spPr/>
      <dgm:t>
        <a:bodyPr/>
        <a:lstStyle/>
        <a:p>
          <a:endParaRPr lang="en-US" sz="100">
            <a:latin typeface="Palatino Linotype" panose="02040502050505030304" pitchFamily="18" charset="0"/>
          </a:endParaRPr>
        </a:p>
      </dgm:t>
    </dgm:pt>
    <dgm:pt modelId="{785C3AE6-F34D-4406-B1EB-7E88DF6BF006}" type="sibTrans" cxnId="{19EBF282-DFF7-4FF5-89ED-3B5EBA6667F9}">
      <dgm:prSet/>
      <dgm:spPr/>
      <dgm:t>
        <a:bodyPr/>
        <a:lstStyle/>
        <a:p>
          <a:endParaRPr lang="en-US">
            <a:latin typeface="Palatino Linotype" panose="02040502050505030304" pitchFamily="18" charset="0"/>
          </a:endParaRPr>
        </a:p>
      </dgm:t>
    </dgm:pt>
    <dgm:pt modelId="{AAF19B0D-8DCE-4B7B-9486-F0B7DA68ABF2}" type="parTrans" cxnId="{19EBF282-DFF7-4FF5-89ED-3B5EBA6667F9}">
      <dgm:prSet/>
      <dgm:spPr/>
      <dgm:t>
        <a:bodyPr/>
        <a:lstStyle/>
        <a:p>
          <a:endParaRPr lang="en-US">
            <a:latin typeface="Palatino Linotype" panose="02040502050505030304" pitchFamily="18" charset="0"/>
          </a:endParaRPr>
        </a:p>
      </dgm:t>
    </dgm:pt>
    <dgm:pt modelId="{7311932E-72A6-4CA9-A0CE-70024AF43912}">
      <dgm:prSet phldrT="[Text]" custT="1"/>
      <dgm:spPr/>
      <dgm:t>
        <a:bodyPr/>
        <a:lstStyle/>
        <a:p>
          <a:endParaRPr lang="en-US" sz="100">
            <a:latin typeface="Palatino Linotype" panose="02040502050505030304" pitchFamily="18" charset="0"/>
          </a:endParaRPr>
        </a:p>
      </dgm:t>
    </dgm:pt>
    <dgm:pt modelId="{7FCB4290-03A9-46F4-9366-3E4AE87236A1}" type="sibTrans" cxnId="{F619DCEC-EDFF-4297-8068-7007717F1539}">
      <dgm:prSet/>
      <dgm:spPr/>
      <dgm:t>
        <a:bodyPr/>
        <a:lstStyle/>
        <a:p>
          <a:endParaRPr lang="en-US">
            <a:latin typeface="Palatino Linotype" panose="02040502050505030304" pitchFamily="18" charset="0"/>
          </a:endParaRPr>
        </a:p>
      </dgm:t>
    </dgm:pt>
    <dgm:pt modelId="{0B85B7C4-6C89-4D0F-BC24-9E859E48C458}" type="parTrans" cxnId="{F619DCEC-EDFF-4297-8068-7007717F1539}">
      <dgm:prSet/>
      <dgm:spPr/>
      <dgm:t>
        <a:bodyPr/>
        <a:lstStyle/>
        <a:p>
          <a:endParaRPr lang="en-US">
            <a:latin typeface="Palatino Linotype" panose="02040502050505030304" pitchFamily="18" charset="0"/>
          </a:endParaRPr>
        </a:p>
      </dgm:t>
    </dgm:pt>
    <dgm:pt modelId="{11611BF1-2540-419D-A6C3-91E2E03B9217}">
      <dgm:prSet custT="1"/>
      <dgm:spPr/>
      <dgm:t>
        <a:bodyPr/>
        <a:lstStyle/>
        <a:p>
          <a:r>
            <a:rPr lang="en-US" sz="900">
              <a:latin typeface="Palatino Linotype" panose="02040502050505030304" pitchFamily="18" charset="0"/>
            </a:rPr>
            <a:t>What is the causal story? Where does funding come from?</a:t>
          </a:r>
        </a:p>
      </dgm:t>
    </dgm:pt>
    <dgm:pt modelId="{515323F9-28F4-49EC-B511-E11D8307B8D0}" type="parTrans" cxnId="{FA9F8212-05C6-4F61-B713-7A4E9C58707D}">
      <dgm:prSet/>
      <dgm:spPr/>
      <dgm:t>
        <a:bodyPr/>
        <a:lstStyle/>
        <a:p>
          <a:endParaRPr lang="en-US"/>
        </a:p>
      </dgm:t>
    </dgm:pt>
    <dgm:pt modelId="{FDFC8DE2-40F2-4F80-A3E4-13465F6F0752}" type="sibTrans" cxnId="{FA9F8212-05C6-4F61-B713-7A4E9C58707D}">
      <dgm:prSet/>
      <dgm:spPr/>
      <dgm:t>
        <a:bodyPr/>
        <a:lstStyle/>
        <a:p>
          <a:endParaRPr lang="en-US"/>
        </a:p>
      </dgm:t>
    </dgm:pt>
    <dgm:pt modelId="{F1C88759-C7F7-44BD-85C1-C4B9490BD2EA}">
      <dgm:prSet custT="1"/>
      <dgm:spPr/>
      <dgm:t>
        <a:bodyPr/>
        <a:lstStyle/>
        <a:p>
          <a:r>
            <a:rPr lang="en-US" sz="900">
              <a:latin typeface="Palatino Linotype" panose="02040502050505030304" pitchFamily="18" charset="0"/>
            </a:rPr>
            <a:t>Last-dollar or First-dollar</a:t>
          </a:r>
        </a:p>
      </dgm:t>
    </dgm:pt>
    <dgm:pt modelId="{79A1C74A-4A90-4B48-AF7D-9D4446D40676}" type="parTrans" cxnId="{B5E30C4B-3CAA-4225-8308-1FA60B6A0CD5}">
      <dgm:prSet/>
      <dgm:spPr/>
      <dgm:t>
        <a:bodyPr/>
        <a:lstStyle/>
        <a:p>
          <a:endParaRPr lang="en-US"/>
        </a:p>
      </dgm:t>
    </dgm:pt>
    <dgm:pt modelId="{3C1F50F2-D915-48B4-A141-5AE6E999CCD1}" type="sibTrans" cxnId="{B5E30C4B-3CAA-4225-8308-1FA60B6A0CD5}">
      <dgm:prSet/>
      <dgm:spPr/>
      <dgm:t>
        <a:bodyPr/>
        <a:lstStyle/>
        <a:p>
          <a:endParaRPr lang="en-US"/>
        </a:p>
      </dgm:t>
    </dgm:pt>
    <dgm:pt modelId="{7DB43EF3-0F0E-4BBA-A72B-289AA0A166FC}">
      <dgm:prSet custT="1"/>
      <dgm:spPr/>
      <dgm:t>
        <a:bodyPr/>
        <a:lstStyle/>
        <a:p>
          <a:r>
            <a:rPr lang="en-US" sz="900">
              <a:latin typeface="Palatino Linotype" panose="02040502050505030304" pitchFamily="18" charset="0"/>
            </a:rPr>
            <a:t>Inclusion of student supports</a:t>
          </a:r>
        </a:p>
      </dgm:t>
    </dgm:pt>
    <dgm:pt modelId="{EE2C9544-9FE4-425C-8519-6004B063A9C6}" type="parTrans" cxnId="{32E007BA-443F-4176-8E3C-D9380DA3B9E2}">
      <dgm:prSet/>
      <dgm:spPr/>
      <dgm:t>
        <a:bodyPr/>
        <a:lstStyle/>
        <a:p>
          <a:endParaRPr lang="en-US"/>
        </a:p>
      </dgm:t>
    </dgm:pt>
    <dgm:pt modelId="{0923831A-F542-420C-801C-9DBCF5A390AC}" type="sibTrans" cxnId="{32E007BA-443F-4176-8E3C-D9380DA3B9E2}">
      <dgm:prSet/>
      <dgm:spPr/>
      <dgm:t>
        <a:bodyPr/>
        <a:lstStyle/>
        <a:p>
          <a:endParaRPr lang="en-US"/>
        </a:p>
      </dgm:t>
    </dgm:pt>
    <dgm:pt modelId="{0515BD6C-81AE-49E5-B313-A012C85B2B54}">
      <dgm:prSet custT="1"/>
      <dgm:spPr/>
      <dgm:t>
        <a:bodyPr/>
        <a:lstStyle/>
        <a:p>
          <a:r>
            <a:rPr lang="en-US" sz="900">
              <a:latin typeface="Palatino Linotype" panose="02040502050505030304" pitchFamily="18" charset="0"/>
            </a:rPr>
            <a:t>Merit-based or need-based?</a:t>
          </a:r>
        </a:p>
      </dgm:t>
    </dgm:pt>
    <dgm:pt modelId="{9273B381-E0CD-45DB-9B1E-4D928A72E8A9}" type="parTrans" cxnId="{780AAA4A-3BD8-4F03-967D-02EB0A593002}">
      <dgm:prSet/>
      <dgm:spPr/>
      <dgm:t>
        <a:bodyPr/>
        <a:lstStyle/>
        <a:p>
          <a:endParaRPr lang="en-US"/>
        </a:p>
      </dgm:t>
    </dgm:pt>
    <dgm:pt modelId="{E4491D7B-E13D-40B4-8C7F-8DA41D80C60F}" type="sibTrans" cxnId="{780AAA4A-3BD8-4F03-967D-02EB0A593002}">
      <dgm:prSet/>
      <dgm:spPr/>
      <dgm:t>
        <a:bodyPr/>
        <a:lstStyle/>
        <a:p>
          <a:endParaRPr lang="en-US"/>
        </a:p>
      </dgm:t>
    </dgm:pt>
    <dgm:pt modelId="{6100ACAB-00C3-4927-BB5E-BA3B34DAFD06}">
      <dgm:prSet custT="1"/>
      <dgm:spPr/>
      <dgm:t>
        <a:bodyPr/>
        <a:lstStyle/>
        <a:p>
          <a:r>
            <a:rPr lang="en-US" sz="900">
              <a:latin typeface="Palatino Linotype" panose="02040502050505030304" pitchFamily="18" charset="0"/>
            </a:rPr>
            <a:t>Public or mixed funding?</a:t>
          </a:r>
        </a:p>
      </dgm:t>
    </dgm:pt>
    <dgm:pt modelId="{C8A88A99-6D71-47AA-9409-338FA0E680EE}" type="parTrans" cxnId="{0A927D19-1785-4019-8619-AAAE23050DE6}">
      <dgm:prSet/>
      <dgm:spPr/>
      <dgm:t>
        <a:bodyPr/>
        <a:lstStyle/>
        <a:p>
          <a:endParaRPr lang="en-US"/>
        </a:p>
      </dgm:t>
    </dgm:pt>
    <dgm:pt modelId="{45F8DCD1-FE74-47E5-82F6-83BE46A08C61}" type="sibTrans" cxnId="{0A927D19-1785-4019-8619-AAAE23050DE6}">
      <dgm:prSet/>
      <dgm:spPr/>
      <dgm:t>
        <a:bodyPr/>
        <a:lstStyle/>
        <a:p>
          <a:endParaRPr lang="en-US"/>
        </a:p>
      </dgm:t>
    </dgm:pt>
    <dgm:pt modelId="{3C267526-0EB5-4224-ACBC-95976D7094CC}">
      <dgm:prSet custT="1"/>
      <dgm:spPr/>
      <dgm:t>
        <a:bodyPr/>
        <a:lstStyle/>
        <a:p>
          <a:r>
            <a:rPr lang="en-US" sz="900">
              <a:latin typeface="Palatino Linotype" panose="02040502050505030304" pitchFamily="18" charset="0"/>
            </a:rPr>
            <a:t>Stipulations to stay in-state/city? </a:t>
          </a:r>
        </a:p>
      </dgm:t>
    </dgm:pt>
    <dgm:pt modelId="{264AD1D3-4F6A-4B90-B824-15C83A3C453C}" type="parTrans" cxnId="{94605055-A014-42FB-9CBE-94F1D5D71FDF}">
      <dgm:prSet/>
      <dgm:spPr/>
      <dgm:t>
        <a:bodyPr/>
        <a:lstStyle/>
        <a:p>
          <a:endParaRPr lang="en-US"/>
        </a:p>
      </dgm:t>
    </dgm:pt>
    <dgm:pt modelId="{AB7E2EBE-1F09-452B-BBB1-B65BAFCA6DC3}" type="sibTrans" cxnId="{94605055-A014-42FB-9CBE-94F1D5D71FDF}">
      <dgm:prSet/>
      <dgm:spPr/>
      <dgm:t>
        <a:bodyPr/>
        <a:lstStyle/>
        <a:p>
          <a:endParaRPr lang="en-US"/>
        </a:p>
      </dgm:t>
    </dgm:pt>
    <dgm:pt modelId="{EFBA0178-CD75-49F9-B10E-778F55801778}">
      <dgm:prSet custT="1"/>
      <dgm:spPr/>
      <dgm:t>
        <a:bodyPr/>
        <a:lstStyle/>
        <a:p>
          <a:endParaRPr lang="en-US" sz="900">
            <a:latin typeface="Palatino Linotype" panose="02040502050505030304" pitchFamily="18" charset="0"/>
          </a:endParaRPr>
        </a:p>
      </dgm:t>
    </dgm:pt>
    <dgm:pt modelId="{1864847D-35B6-4909-8EEF-624C072A336B}" type="parTrans" cxnId="{3FD7ABC8-0F35-4828-950C-4008DD0C02CD}">
      <dgm:prSet/>
      <dgm:spPr/>
      <dgm:t>
        <a:bodyPr/>
        <a:lstStyle/>
        <a:p>
          <a:endParaRPr lang="en-US"/>
        </a:p>
      </dgm:t>
    </dgm:pt>
    <dgm:pt modelId="{C166F47E-BA16-47E8-9F5B-28552D313EF4}" type="sibTrans" cxnId="{3FD7ABC8-0F35-4828-950C-4008DD0C02CD}">
      <dgm:prSet/>
      <dgm:spPr/>
      <dgm:t>
        <a:bodyPr/>
        <a:lstStyle/>
        <a:p>
          <a:endParaRPr lang="en-US"/>
        </a:p>
      </dgm:t>
    </dgm:pt>
    <dgm:pt modelId="{71112598-4EB1-4A9A-A7F5-848BB6018845}">
      <dgm:prSet custT="1"/>
      <dgm:spPr/>
      <dgm:t>
        <a:bodyPr/>
        <a:lstStyle/>
        <a:p>
          <a:r>
            <a:rPr lang="en-US" sz="900">
              <a:latin typeface="Palatino Linotype" panose="02040502050505030304" pitchFamily="18" charset="0"/>
            </a:rPr>
            <a:t>Balance between political feasibility and efficiency          1) Whether it will be targeted or universal 2) Decision to make merit-based and increase the perceptions of deservingness</a:t>
          </a:r>
        </a:p>
      </dgm:t>
    </dgm:pt>
    <dgm:pt modelId="{4F6B1652-E28B-4F0F-AD63-214A5AC958ED}" type="parTrans" cxnId="{4E5C3990-62BC-44D5-AF41-C4BCBF76A66C}">
      <dgm:prSet/>
      <dgm:spPr/>
      <dgm:t>
        <a:bodyPr/>
        <a:lstStyle/>
        <a:p>
          <a:endParaRPr lang="en-US"/>
        </a:p>
      </dgm:t>
    </dgm:pt>
    <dgm:pt modelId="{2701F506-8123-4EBD-9EC8-26C7D608EC04}" type="sibTrans" cxnId="{4E5C3990-62BC-44D5-AF41-C4BCBF76A66C}">
      <dgm:prSet/>
      <dgm:spPr/>
      <dgm:t>
        <a:bodyPr/>
        <a:lstStyle/>
        <a:p>
          <a:endParaRPr lang="en-US"/>
        </a:p>
      </dgm:t>
    </dgm:pt>
    <dgm:pt modelId="{1C367485-C735-426C-9AA6-01AB9CC42045}">
      <dgm:prSet custT="1"/>
      <dgm:spPr/>
      <dgm:t>
        <a:bodyPr/>
        <a:lstStyle/>
        <a:p>
          <a:r>
            <a:rPr lang="en-US" sz="900">
              <a:latin typeface="Palatino Linotype" panose="02040502050505030304" pitchFamily="18" charset="0"/>
            </a:rPr>
            <a:t>Just tuition &amp; fees or tuition+?</a:t>
          </a:r>
        </a:p>
      </dgm:t>
    </dgm:pt>
    <dgm:pt modelId="{85336292-2674-4C90-83DB-8352E5677B26}" type="parTrans" cxnId="{2CCECFC1-AAF9-404A-A96C-9FB13DCD62EE}">
      <dgm:prSet/>
      <dgm:spPr/>
      <dgm:t>
        <a:bodyPr/>
        <a:lstStyle/>
        <a:p>
          <a:endParaRPr lang="en-US"/>
        </a:p>
      </dgm:t>
    </dgm:pt>
    <dgm:pt modelId="{E27E1098-06FE-4AE1-9F81-4AAD602B61D8}" type="sibTrans" cxnId="{2CCECFC1-AAF9-404A-A96C-9FB13DCD62EE}">
      <dgm:prSet/>
      <dgm:spPr/>
      <dgm:t>
        <a:bodyPr/>
        <a:lstStyle/>
        <a:p>
          <a:endParaRPr lang="en-US"/>
        </a:p>
      </dgm:t>
    </dgm:pt>
    <dgm:pt modelId="{0E0DCB6D-291A-421D-A0AA-9F2248B53672}">
      <dgm:prSet custT="1"/>
      <dgm:spPr/>
      <dgm:t>
        <a:bodyPr/>
        <a:lstStyle/>
        <a:p>
          <a:r>
            <a:rPr lang="en-US" sz="900">
              <a:latin typeface="Palatino Linotype" panose="02040502050505030304" pitchFamily="18" charset="0"/>
            </a:rPr>
            <a:t>Communication by public officials to street-level bureaucrats (SLBs) of priorities &amp; goals</a:t>
          </a:r>
        </a:p>
      </dgm:t>
    </dgm:pt>
    <dgm:pt modelId="{BE1B01A3-6839-4D5B-9A87-E6E639B610DF}" type="parTrans" cxnId="{245FBFD8-DB7F-4020-939B-59E140EB41BA}">
      <dgm:prSet/>
      <dgm:spPr/>
      <dgm:t>
        <a:bodyPr/>
        <a:lstStyle/>
        <a:p>
          <a:endParaRPr lang="en-US"/>
        </a:p>
      </dgm:t>
    </dgm:pt>
    <dgm:pt modelId="{B7262D9A-C169-48CD-B3C6-9A13D0B73ADA}" type="sibTrans" cxnId="{245FBFD8-DB7F-4020-939B-59E140EB41BA}">
      <dgm:prSet/>
      <dgm:spPr/>
      <dgm:t>
        <a:bodyPr/>
        <a:lstStyle/>
        <a:p>
          <a:endParaRPr lang="en-US"/>
        </a:p>
      </dgm:t>
    </dgm:pt>
    <dgm:pt modelId="{B1AA730B-78B0-4022-9AAD-0B22C99A1320}">
      <dgm:prSet custT="1"/>
      <dgm:spPr/>
      <dgm:t>
        <a:bodyPr/>
        <a:lstStyle/>
        <a:p>
          <a:r>
            <a:rPr lang="en-US" sz="900">
              <a:latin typeface="Palatino Linotype" panose="02040502050505030304" pitchFamily="18" charset="0"/>
            </a:rPr>
            <a:t>Changes in credits accumulated and retention</a:t>
          </a:r>
        </a:p>
      </dgm:t>
    </dgm:pt>
    <dgm:pt modelId="{3EE92F18-56D3-4CDB-ABCF-40DC438E6EDB}" type="parTrans" cxnId="{174CAC8D-72DC-45E4-97F8-0807A5DFDFF3}">
      <dgm:prSet/>
      <dgm:spPr/>
      <dgm:t>
        <a:bodyPr/>
        <a:lstStyle/>
        <a:p>
          <a:endParaRPr lang="en-US"/>
        </a:p>
      </dgm:t>
    </dgm:pt>
    <dgm:pt modelId="{CDE42AD2-F158-4437-80B0-8E4F84DEDD9A}" type="sibTrans" cxnId="{174CAC8D-72DC-45E4-97F8-0807A5DFDFF3}">
      <dgm:prSet/>
      <dgm:spPr/>
      <dgm:t>
        <a:bodyPr/>
        <a:lstStyle/>
        <a:p>
          <a:endParaRPr lang="en-US"/>
        </a:p>
      </dgm:t>
    </dgm:pt>
    <dgm:pt modelId="{7E5766EF-076A-4BB6-878A-81E57B11A815}">
      <dgm:prSet custT="1"/>
      <dgm:spPr/>
      <dgm:t>
        <a:bodyPr/>
        <a:lstStyle/>
        <a:p>
          <a:r>
            <a:rPr lang="en-US" sz="900">
              <a:latin typeface="Palatino Linotype" panose="02040502050505030304" pitchFamily="18" charset="0"/>
            </a:rPr>
            <a:t>Increase in degree attainment?</a:t>
          </a:r>
        </a:p>
      </dgm:t>
    </dgm:pt>
    <dgm:pt modelId="{44EF1AD2-BC14-4BF1-9C56-5747A2CF2F4F}" type="parTrans" cxnId="{0B9169D7-F291-4AAA-A4A1-7FD04D19FE71}">
      <dgm:prSet/>
      <dgm:spPr/>
      <dgm:t>
        <a:bodyPr/>
        <a:lstStyle/>
        <a:p>
          <a:endParaRPr lang="en-US"/>
        </a:p>
      </dgm:t>
    </dgm:pt>
    <dgm:pt modelId="{9C5EDD2C-BC1F-4061-8415-8FCD2BD572C6}" type="sibTrans" cxnId="{0B9169D7-F291-4AAA-A4A1-7FD04D19FE71}">
      <dgm:prSet/>
      <dgm:spPr/>
      <dgm:t>
        <a:bodyPr/>
        <a:lstStyle/>
        <a:p>
          <a:endParaRPr lang="en-US"/>
        </a:p>
      </dgm:t>
    </dgm:pt>
    <dgm:pt modelId="{9368DA6B-B34A-4491-B808-03FD6A953441}" type="pres">
      <dgm:prSet presAssocID="{4602505C-BE38-4F74-BC5D-8598A57C0521}" presName="theList" presStyleCnt="0">
        <dgm:presLayoutVars>
          <dgm:dir/>
          <dgm:animLvl val="lvl"/>
          <dgm:resizeHandles val="exact"/>
        </dgm:presLayoutVars>
      </dgm:prSet>
      <dgm:spPr/>
    </dgm:pt>
    <dgm:pt modelId="{7BEC33E5-A4C9-41CC-AF97-E156986B83AF}" type="pres">
      <dgm:prSet presAssocID="{BA4B24C3-1064-427D-9821-CA551FAA804C}" presName="compNode" presStyleCnt="0"/>
      <dgm:spPr/>
    </dgm:pt>
    <dgm:pt modelId="{F83ADDF7-9714-41E9-AAAF-3DD7BD3EAE1E}" type="pres">
      <dgm:prSet presAssocID="{BA4B24C3-1064-427D-9821-CA551FAA804C}" presName="aNode" presStyleLbl="bgShp" presStyleIdx="0" presStyleCnt="4"/>
      <dgm:spPr/>
    </dgm:pt>
    <dgm:pt modelId="{545E997B-D2D6-4FC0-9986-7E9D9D00A55C}" type="pres">
      <dgm:prSet presAssocID="{BA4B24C3-1064-427D-9821-CA551FAA804C}" presName="textNode" presStyleLbl="bgShp" presStyleIdx="0" presStyleCnt="4"/>
      <dgm:spPr/>
    </dgm:pt>
    <dgm:pt modelId="{84E769F8-939A-4D02-A87E-AA70CDB11402}" type="pres">
      <dgm:prSet presAssocID="{BA4B24C3-1064-427D-9821-CA551FAA804C}" presName="compChildNode" presStyleCnt="0"/>
      <dgm:spPr/>
    </dgm:pt>
    <dgm:pt modelId="{095F8B3F-4776-41FF-A4DE-52679CA11A92}" type="pres">
      <dgm:prSet presAssocID="{BA4B24C3-1064-427D-9821-CA551FAA804C}" presName="theInnerList" presStyleCnt="0"/>
      <dgm:spPr/>
    </dgm:pt>
    <dgm:pt modelId="{69382CC0-27D3-4281-87F9-EA41AF249B95}" type="pres">
      <dgm:prSet presAssocID="{97D15C80-7100-4C49-8B76-3CA69B210385}" presName="childNode" presStyleLbl="node1" presStyleIdx="0" presStyleCnt="4">
        <dgm:presLayoutVars>
          <dgm:bulletEnabled val="1"/>
        </dgm:presLayoutVars>
      </dgm:prSet>
      <dgm:spPr/>
    </dgm:pt>
    <dgm:pt modelId="{5E9629EB-812B-4050-91F1-0EE4FB4589FA}" type="pres">
      <dgm:prSet presAssocID="{BA4B24C3-1064-427D-9821-CA551FAA804C}" presName="aSpace" presStyleCnt="0"/>
      <dgm:spPr/>
    </dgm:pt>
    <dgm:pt modelId="{FDE55128-D302-4FA1-B93E-3C33EF5ED5AC}" type="pres">
      <dgm:prSet presAssocID="{C15418C7-7CBA-4E3C-824A-AD997DC4D994}" presName="compNode" presStyleCnt="0"/>
      <dgm:spPr/>
    </dgm:pt>
    <dgm:pt modelId="{E8A73C91-A01D-4788-9E25-EB6622456EBA}" type="pres">
      <dgm:prSet presAssocID="{C15418C7-7CBA-4E3C-824A-AD997DC4D994}" presName="aNode" presStyleLbl="bgShp" presStyleIdx="1" presStyleCnt="4"/>
      <dgm:spPr/>
    </dgm:pt>
    <dgm:pt modelId="{47091938-74DB-4C31-841E-48F7BC3DBD93}" type="pres">
      <dgm:prSet presAssocID="{C15418C7-7CBA-4E3C-824A-AD997DC4D994}" presName="textNode" presStyleLbl="bgShp" presStyleIdx="1" presStyleCnt="4"/>
      <dgm:spPr/>
    </dgm:pt>
    <dgm:pt modelId="{00AA2313-3587-44F1-815F-A6C84E89635C}" type="pres">
      <dgm:prSet presAssocID="{C15418C7-7CBA-4E3C-824A-AD997DC4D994}" presName="compChildNode" presStyleCnt="0"/>
      <dgm:spPr/>
    </dgm:pt>
    <dgm:pt modelId="{442E0BA7-C9E6-4F9D-A434-591CD957240F}" type="pres">
      <dgm:prSet presAssocID="{C15418C7-7CBA-4E3C-824A-AD997DC4D994}" presName="theInnerList" presStyleCnt="0"/>
      <dgm:spPr/>
    </dgm:pt>
    <dgm:pt modelId="{809B79D6-9593-4DBF-8AE7-E37F90C50ABB}" type="pres">
      <dgm:prSet presAssocID="{7311932E-72A6-4CA9-A0CE-70024AF43912}" presName="childNode" presStyleLbl="node1" presStyleIdx="1" presStyleCnt="4">
        <dgm:presLayoutVars>
          <dgm:bulletEnabled val="1"/>
        </dgm:presLayoutVars>
      </dgm:prSet>
      <dgm:spPr/>
    </dgm:pt>
    <dgm:pt modelId="{1ADB1D72-7826-416F-8080-50CCD8A80E60}" type="pres">
      <dgm:prSet presAssocID="{C15418C7-7CBA-4E3C-824A-AD997DC4D994}" presName="aSpace" presStyleCnt="0"/>
      <dgm:spPr/>
    </dgm:pt>
    <dgm:pt modelId="{227BED0A-03A2-4491-A99C-896273B0FC51}" type="pres">
      <dgm:prSet presAssocID="{5B5C571A-E95A-4B4B-9E2C-A1581F0F9D75}" presName="compNode" presStyleCnt="0"/>
      <dgm:spPr/>
    </dgm:pt>
    <dgm:pt modelId="{F3097AA3-A434-4C9F-BF0F-91B78208E0C6}" type="pres">
      <dgm:prSet presAssocID="{5B5C571A-E95A-4B4B-9E2C-A1581F0F9D75}" presName="aNode" presStyleLbl="bgShp" presStyleIdx="2" presStyleCnt="4"/>
      <dgm:spPr/>
    </dgm:pt>
    <dgm:pt modelId="{874B1F11-06C6-47B7-A564-FAB0D22900D5}" type="pres">
      <dgm:prSet presAssocID="{5B5C571A-E95A-4B4B-9E2C-A1581F0F9D75}" presName="textNode" presStyleLbl="bgShp" presStyleIdx="2" presStyleCnt="4"/>
      <dgm:spPr/>
    </dgm:pt>
    <dgm:pt modelId="{16B7BF0C-EF44-460A-91EE-0F018C8D4291}" type="pres">
      <dgm:prSet presAssocID="{5B5C571A-E95A-4B4B-9E2C-A1581F0F9D75}" presName="compChildNode" presStyleCnt="0"/>
      <dgm:spPr/>
    </dgm:pt>
    <dgm:pt modelId="{3741552B-F599-4B21-8283-36E075031BA5}" type="pres">
      <dgm:prSet presAssocID="{5B5C571A-E95A-4B4B-9E2C-A1581F0F9D75}" presName="theInnerList" presStyleCnt="0"/>
      <dgm:spPr/>
    </dgm:pt>
    <dgm:pt modelId="{D261ACC1-5DBD-4BD6-8DF7-3B1C73E0CEA9}" type="pres">
      <dgm:prSet presAssocID="{DE21D51D-15E8-4167-B1B0-4AFF7F70CD19}" presName="childNode" presStyleLbl="node1" presStyleIdx="2" presStyleCnt="4">
        <dgm:presLayoutVars>
          <dgm:bulletEnabled val="1"/>
        </dgm:presLayoutVars>
      </dgm:prSet>
      <dgm:spPr/>
    </dgm:pt>
    <dgm:pt modelId="{88803F63-7244-4C25-879A-685B9A97E058}" type="pres">
      <dgm:prSet presAssocID="{5B5C571A-E95A-4B4B-9E2C-A1581F0F9D75}" presName="aSpace" presStyleCnt="0"/>
      <dgm:spPr/>
    </dgm:pt>
    <dgm:pt modelId="{B8368FFE-8B79-4BB4-A473-37DF9540AA3B}" type="pres">
      <dgm:prSet presAssocID="{70F6C5AC-8011-4AE7-B712-FD5133A37762}" presName="compNode" presStyleCnt="0"/>
      <dgm:spPr/>
    </dgm:pt>
    <dgm:pt modelId="{4BC53CC4-5D93-401E-BFDB-145C294F8DFD}" type="pres">
      <dgm:prSet presAssocID="{70F6C5AC-8011-4AE7-B712-FD5133A37762}" presName="aNode" presStyleLbl="bgShp" presStyleIdx="3" presStyleCnt="4" custLinFactNeighborX="33464" custLinFactNeighborY="-714"/>
      <dgm:spPr/>
    </dgm:pt>
    <dgm:pt modelId="{5B2C3ABF-7481-427E-B24F-4237D7D8716B}" type="pres">
      <dgm:prSet presAssocID="{70F6C5AC-8011-4AE7-B712-FD5133A37762}" presName="textNode" presStyleLbl="bgShp" presStyleIdx="3" presStyleCnt="4"/>
      <dgm:spPr/>
    </dgm:pt>
    <dgm:pt modelId="{D8E9EB3E-22E6-48D2-9978-994C439A2F56}" type="pres">
      <dgm:prSet presAssocID="{70F6C5AC-8011-4AE7-B712-FD5133A37762}" presName="compChildNode" presStyleCnt="0"/>
      <dgm:spPr/>
    </dgm:pt>
    <dgm:pt modelId="{0C435BA3-C2FB-4356-9445-3DB9B171B595}" type="pres">
      <dgm:prSet presAssocID="{70F6C5AC-8011-4AE7-B712-FD5133A37762}" presName="theInnerList" presStyleCnt="0"/>
      <dgm:spPr/>
    </dgm:pt>
    <dgm:pt modelId="{C16C9A3F-913F-4131-BCC8-0E99F70E54A7}" type="pres">
      <dgm:prSet presAssocID="{F31FF4AD-D919-4FDE-BAC1-86BD349B8CA3}" presName="childNode" presStyleLbl="node1" presStyleIdx="3" presStyleCnt="4">
        <dgm:presLayoutVars>
          <dgm:bulletEnabled val="1"/>
        </dgm:presLayoutVars>
      </dgm:prSet>
      <dgm:spPr/>
    </dgm:pt>
  </dgm:ptLst>
  <dgm:cxnLst>
    <dgm:cxn modelId="{30536D00-5216-452C-A0E1-D77E468DBF59}" type="presOf" srcId="{BA4B24C3-1064-427D-9821-CA551FAA804C}" destId="{545E997B-D2D6-4FC0-9986-7E9D9D00A55C}" srcOrd="1" destOrd="0" presId="urn:microsoft.com/office/officeart/2005/8/layout/lProcess2"/>
    <dgm:cxn modelId="{2C513C04-BF8F-432B-A117-0EC22E0195CB}" srcId="{70F6C5AC-8011-4AE7-B712-FD5133A37762}" destId="{F31FF4AD-D919-4FDE-BAC1-86BD349B8CA3}" srcOrd="0" destOrd="0" parTransId="{1C2F017C-01CD-42D5-A332-F5E127DCB85D}" sibTransId="{40874EBA-317F-4238-932C-8C589735E372}"/>
    <dgm:cxn modelId="{31750605-0193-4325-B154-3628E0C133C4}" srcId="{5B5C571A-E95A-4B4B-9E2C-A1581F0F9D75}" destId="{DE21D51D-15E8-4167-B1B0-4AFF7F70CD19}" srcOrd="0" destOrd="0" parTransId="{D2279636-F29B-491E-9593-A6439B40FF03}" sibTransId="{D7970F42-C82D-466E-8EBA-D685AD8D0850}"/>
    <dgm:cxn modelId="{53618F09-07C3-41B2-A317-3E5A2BC3E4D3}" type="presOf" srcId="{70F6C5AC-8011-4AE7-B712-FD5133A37762}" destId="{5B2C3ABF-7481-427E-B24F-4237D7D8716B}" srcOrd="1" destOrd="0" presId="urn:microsoft.com/office/officeart/2005/8/layout/lProcess2"/>
    <dgm:cxn modelId="{8F680710-4E4B-4D78-A585-D1CA029C04EC}" type="presOf" srcId="{6100ACAB-00C3-4927-BB5E-BA3B34DAFD06}" destId="{809B79D6-9593-4DBF-8AE7-E37F90C50ABB}" srcOrd="0" destOrd="5" presId="urn:microsoft.com/office/officeart/2005/8/layout/lProcess2"/>
    <dgm:cxn modelId="{FA9F8212-05C6-4F61-B713-7A4E9C58707D}" srcId="{97D15C80-7100-4C49-8B76-3CA69B210385}" destId="{11611BF1-2540-419D-A6C3-91E2E03B9217}" srcOrd="1" destOrd="0" parTransId="{515323F9-28F4-49EC-B511-E11D8307B8D0}" sibTransId="{FDFC8DE2-40F2-4F80-A3E4-13465F6F0752}"/>
    <dgm:cxn modelId="{0A927D19-1785-4019-8619-AAAE23050DE6}" srcId="{7311932E-72A6-4CA9-A0CE-70024AF43912}" destId="{6100ACAB-00C3-4927-BB5E-BA3B34DAFD06}" srcOrd="4" destOrd="0" parTransId="{C8A88A99-6D71-47AA-9409-338FA0E680EE}" sibTransId="{45F8DCD1-FE74-47E5-82F6-83BE46A08C61}"/>
    <dgm:cxn modelId="{1DBFB426-CBB3-4B0C-8741-8B114384477C}" type="presOf" srcId="{169D3296-3554-4FB8-832C-51BE2A82091E}" destId="{C16C9A3F-913F-4131-BCC8-0E99F70E54A7}" srcOrd="0" destOrd="1" presId="urn:microsoft.com/office/officeart/2005/8/layout/lProcess2"/>
    <dgm:cxn modelId="{384BA62D-0AE6-4D47-A200-66A5AF04921E}" type="presOf" srcId="{7E5766EF-076A-4BB6-878A-81E57B11A815}" destId="{C16C9A3F-913F-4131-BCC8-0E99F70E54A7}" srcOrd="0" destOrd="3" presId="urn:microsoft.com/office/officeart/2005/8/layout/lProcess2"/>
    <dgm:cxn modelId="{6D58432F-D434-4DBE-8CD4-791D81ABD538}" type="presOf" srcId="{C15418C7-7CBA-4E3C-824A-AD997DC4D994}" destId="{E8A73C91-A01D-4788-9E25-EB6622456EBA}" srcOrd="0" destOrd="0" presId="urn:microsoft.com/office/officeart/2005/8/layout/lProcess2"/>
    <dgm:cxn modelId="{D707425E-5589-4C0B-B0C2-508D50293D70}" type="presOf" srcId="{5B5C571A-E95A-4B4B-9E2C-A1581F0F9D75}" destId="{874B1F11-06C6-47B7-A564-FAB0D22900D5}" srcOrd="1" destOrd="0" presId="urn:microsoft.com/office/officeart/2005/8/layout/lProcess2"/>
    <dgm:cxn modelId="{2C669C63-4E96-4421-9E32-898F8C8521FD}" type="presOf" srcId="{70F6C5AC-8011-4AE7-B712-FD5133A37762}" destId="{4BC53CC4-5D93-401E-BFDB-145C294F8DFD}" srcOrd="0" destOrd="0" presId="urn:microsoft.com/office/officeart/2005/8/layout/lProcess2"/>
    <dgm:cxn modelId="{1679E263-4718-4561-BC7F-0B55883416DB}" type="presOf" srcId="{DE21D51D-15E8-4167-B1B0-4AFF7F70CD19}" destId="{D261ACC1-5DBD-4BD6-8DF7-3B1C73E0CEA9}" srcOrd="0" destOrd="0" presId="urn:microsoft.com/office/officeart/2005/8/layout/lProcess2"/>
    <dgm:cxn modelId="{D72D4269-A266-4046-8B0C-FF4D8A42C282}" type="presOf" srcId="{F1C88759-C7F7-44BD-85C1-C4B9490BD2EA}" destId="{809B79D6-9593-4DBF-8AE7-E37F90C50ABB}" srcOrd="0" destOrd="1" presId="urn:microsoft.com/office/officeart/2005/8/layout/lProcess2"/>
    <dgm:cxn modelId="{780AAA4A-3BD8-4F03-967D-02EB0A593002}" srcId="{7311932E-72A6-4CA9-A0CE-70024AF43912}" destId="{0515BD6C-81AE-49E5-B313-A012C85B2B54}" srcOrd="3" destOrd="0" parTransId="{9273B381-E0CD-45DB-9B1E-4D928A72E8A9}" sibTransId="{E4491D7B-E13D-40B4-8C7F-8DA41D80C60F}"/>
    <dgm:cxn modelId="{B5E30C4B-3CAA-4225-8308-1FA60B6A0CD5}" srcId="{7311932E-72A6-4CA9-A0CE-70024AF43912}" destId="{F1C88759-C7F7-44BD-85C1-C4B9490BD2EA}" srcOrd="0" destOrd="0" parTransId="{79A1C74A-4A90-4B48-AF7D-9D4446D40676}" sibTransId="{3C1F50F2-D915-48B4-A141-5AE6E999CCD1}"/>
    <dgm:cxn modelId="{E4D5766B-0828-4F08-BDAA-C7C7795BCD9A}" type="presOf" srcId="{F31FF4AD-D919-4FDE-BAC1-86BD349B8CA3}" destId="{C16C9A3F-913F-4131-BCC8-0E99F70E54A7}" srcOrd="0" destOrd="0" presId="urn:microsoft.com/office/officeart/2005/8/layout/lProcess2"/>
    <dgm:cxn modelId="{99CCA34B-7568-462F-850D-05091CD7A970}" type="presOf" srcId="{0515BD6C-81AE-49E5-B313-A012C85B2B54}" destId="{809B79D6-9593-4DBF-8AE7-E37F90C50ABB}" srcOrd="0" destOrd="4" presId="urn:microsoft.com/office/officeart/2005/8/layout/lProcess2"/>
    <dgm:cxn modelId="{B6CCBF4B-C92C-4209-AF2D-0AB90724F0F2}" srcId="{4602505C-BE38-4F74-BC5D-8598A57C0521}" destId="{BA4B24C3-1064-427D-9821-CA551FAA804C}" srcOrd="0" destOrd="0" parTransId="{A22C9BE0-4A16-4F9F-8016-B06FB70181A3}" sibTransId="{3A091D31-4A10-4966-8E3F-1D989DC88B59}"/>
    <dgm:cxn modelId="{94605055-A014-42FB-9CBE-94F1D5D71FDF}" srcId="{7311932E-72A6-4CA9-A0CE-70024AF43912}" destId="{3C267526-0EB5-4224-ACBC-95976D7094CC}" srcOrd="5" destOrd="0" parTransId="{264AD1D3-4F6A-4B90-B824-15C83A3C453C}" sibTransId="{AB7E2EBE-1F09-452B-BBB1-B65BAFCA6DC3}"/>
    <dgm:cxn modelId="{32952C7D-E28A-4082-A2F8-266002F4E88F}" type="presOf" srcId="{EFBA0178-CD75-49F9-B10E-778F55801778}" destId="{809B79D6-9593-4DBF-8AE7-E37F90C50ABB}" srcOrd="0" destOrd="7" presId="urn:microsoft.com/office/officeart/2005/8/layout/lProcess2"/>
    <dgm:cxn modelId="{19EBF282-DFF7-4FF5-89ED-3B5EBA6667F9}" srcId="{BA4B24C3-1064-427D-9821-CA551FAA804C}" destId="{97D15C80-7100-4C49-8B76-3CA69B210385}" srcOrd="0" destOrd="0" parTransId="{AAF19B0D-8DCE-4B7B-9486-F0B7DA68ABF2}" sibTransId="{785C3AE6-F34D-4406-B1EB-7E88DF6BF006}"/>
    <dgm:cxn modelId="{174CAC8D-72DC-45E4-97F8-0807A5DFDFF3}" srcId="{F31FF4AD-D919-4FDE-BAC1-86BD349B8CA3}" destId="{B1AA730B-78B0-4022-9AAD-0B22C99A1320}" srcOrd="1" destOrd="0" parTransId="{3EE92F18-56D3-4CDB-ABCF-40DC438E6EDB}" sibTransId="{CDE42AD2-F158-4437-80B0-8E4F84DEDD9A}"/>
    <dgm:cxn modelId="{4E5C3990-62BC-44D5-AF41-C4BCBF76A66C}" srcId="{97D15C80-7100-4C49-8B76-3CA69B210385}" destId="{71112598-4EB1-4A9A-A7F5-848BB6018845}" srcOrd="0" destOrd="0" parTransId="{4F6B1652-E28B-4F0F-AD63-214A5AC958ED}" sibTransId="{2701F506-8123-4EBD-9EC8-26C7D608EC04}"/>
    <dgm:cxn modelId="{78C72B9A-B617-4084-989D-5F85D3BD0349}" type="presOf" srcId="{11611BF1-2540-419D-A6C3-91E2E03B9217}" destId="{69382CC0-27D3-4281-87F9-EA41AF249B95}" srcOrd="0" destOrd="2" presId="urn:microsoft.com/office/officeart/2005/8/layout/lProcess2"/>
    <dgm:cxn modelId="{4BA6449F-A5C6-44A5-B005-8DC9AEE4409E}" type="presOf" srcId="{1C367485-C735-426C-9AA6-01AB9CC42045}" destId="{809B79D6-9593-4DBF-8AE7-E37F90C50ABB}" srcOrd="0" destOrd="2" presId="urn:microsoft.com/office/officeart/2005/8/layout/lProcess2"/>
    <dgm:cxn modelId="{137220A2-ACF1-4F48-9682-FCCF588911CD}" srcId="{DE21D51D-15E8-4167-B1B0-4AFF7F70CD19}" destId="{B303D517-0101-4F2A-A41F-AA78F00A166B}" srcOrd="1" destOrd="0" parTransId="{6BA26ADB-4907-4188-9304-E008949C040C}" sibTransId="{8A01560D-7574-4274-81A9-F46BF2FF62F1}"/>
    <dgm:cxn modelId="{E958EEA4-7F35-41B8-B972-8A8AF3C63694}" type="presOf" srcId="{B303D517-0101-4F2A-A41F-AA78F00A166B}" destId="{D261ACC1-5DBD-4BD6-8DF7-3B1C73E0CEA9}" srcOrd="0" destOrd="2" presId="urn:microsoft.com/office/officeart/2005/8/layout/lProcess2"/>
    <dgm:cxn modelId="{88981EA5-1F39-414E-9932-C5E43ADDFFF1}" type="presOf" srcId="{7311932E-72A6-4CA9-A0CE-70024AF43912}" destId="{809B79D6-9593-4DBF-8AE7-E37F90C50ABB}" srcOrd="0" destOrd="0" presId="urn:microsoft.com/office/officeart/2005/8/layout/lProcess2"/>
    <dgm:cxn modelId="{52E20FA6-34B4-4607-A704-C16A72AE35B9}" type="presOf" srcId="{71112598-4EB1-4A9A-A7F5-848BB6018845}" destId="{69382CC0-27D3-4281-87F9-EA41AF249B95}" srcOrd="0" destOrd="1" presId="urn:microsoft.com/office/officeart/2005/8/layout/lProcess2"/>
    <dgm:cxn modelId="{FCC8FAAA-3D8C-46CE-BCD7-35C0116BDFB4}" srcId="{4602505C-BE38-4F74-BC5D-8598A57C0521}" destId="{C15418C7-7CBA-4E3C-824A-AD997DC4D994}" srcOrd="1" destOrd="0" parTransId="{9CC1438A-637B-49E5-A407-DB12E2AB85F9}" sibTransId="{AE126B5A-63B5-4420-8AF6-58E302008FAC}"/>
    <dgm:cxn modelId="{BE1C37AB-A61A-4796-8CBD-05A695637E96}" type="presOf" srcId="{B1AA730B-78B0-4022-9AAD-0B22C99A1320}" destId="{C16C9A3F-913F-4131-BCC8-0E99F70E54A7}" srcOrd="0" destOrd="2" presId="urn:microsoft.com/office/officeart/2005/8/layout/lProcess2"/>
    <dgm:cxn modelId="{8E0B79B6-EA5A-4277-9B93-E3DFE7FA0531}" type="presOf" srcId="{97D15C80-7100-4C49-8B76-3CA69B210385}" destId="{69382CC0-27D3-4281-87F9-EA41AF249B95}" srcOrd="0" destOrd="0" presId="urn:microsoft.com/office/officeart/2005/8/layout/lProcess2"/>
    <dgm:cxn modelId="{D944C8B8-D7FF-4785-8524-B7B3C1815D69}" type="presOf" srcId="{5B5C571A-E95A-4B4B-9E2C-A1581F0F9D75}" destId="{F3097AA3-A434-4C9F-BF0F-91B78208E0C6}" srcOrd="0" destOrd="0" presId="urn:microsoft.com/office/officeart/2005/8/layout/lProcess2"/>
    <dgm:cxn modelId="{32E007BA-443F-4176-8E3C-D9380DA3B9E2}" srcId="{7311932E-72A6-4CA9-A0CE-70024AF43912}" destId="{7DB43EF3-0F0E-4BBA-A72B-289AA0A166FC}" srcOrd="2" destOrd="0" parTransId="{EE2C9544-9FE4-425C-8519-6004B063A9C6}" sibTransId="{0923831A-F542-420C-801C-9DBCF5A390AC}"/>
    <dgm:cxn modelId="{E0C9A6BC-7206-41D2-9BE8-C33BA30BE579}" type="presOf" srcId="{0E0DCB6D-291A-421D-A0AA-9F2248B53672}" destId="{D261ACC1-5DBD-4BD6-8DF7-3B1C73E0CEA9}" srcOrd="0" destOrd="1" presId="urn:microsoft.com/office/officeart/2005/8/layout/lProcess2"/>
    <dgm:cxn modelId="{2CCECFC1-AAF9-404A-A96C-9FB13DCD62EE}" srcId="{7311932E-72A6-4CA9-A0CE-70024AF43912}" destId="{1C367485-C735-426C-9AA6-01AB9CC42045}" srcOrd="1" destOrd="0" parTransId="{85336292-2674-4C90-83DB-8352E5677B26}" sibTransId="{E27E1098-06FE-4AE1-9F81-4AAD602B61D8}"/>
    <dgm:cxn modelId="{701F7DC3-4E8C-4062-82A5-C0E29785F536}" srcId="{4602505C-BE38-4F74-BC5D-8598A57C0521}" destId="{70F6C5AC-8011-4AE7-B712-FD5133A37762}" srcOrd="3" destOrd="0" parTransId="{573FF062-1B83-42AF-A221-D7A4A00C3048}" sibTransId="{094864DC-CA71-4BBE-B4D9-75CCB530916B}"/>
    <dgm:cxn modelId="{CCC709C6-E8CA-4DA6-A8F0-858068C1D4FE}" type="presOf" srcId="{BA4B24C3-1064-427D-9821-CA551FAA804C}" destId="{F83ADDF7-9714-41E9-AAAF-3DD7BD3EAE1E}" srcOrd="0" destOrd="0" presId="urn:microsoft.com/office/officeart/2005/8/layout/lProcess2"/>
    <dgm:cxn modelId="{3FD7ABC8-0F35-4828-950C-4008DD0C02CD}" srcId="{7311932E-72A6-4CA9-A0CE-70024AF43912}" destId="{EFBA0178-CD75-49F9-B10E-778F55801778}" srcOrd="6" destOrd="0" parTransId="{1864847D-35B6-4909-8EEF-624C072A336B}" sibTransId="{C166F47E-BA16-47E8-9F5B-28552D313EF4}"/>
    <dgm:cxn modelId="{869869CB-0EE2-48D2-AA57-1BC3E1FE06F8}" type="presOf" srcId="{4602505C-BE38-4F74-BC5D-8598A57C0521}" destId="{9368DA6B-B34A-4491-B808-03FD6A953441}" srcOrd="0" destOrd="0" presId="urn:microsoft.com/office/officeart/2005/8/layout/lProcess2"/>
    <dgm:cxn modelId="{84EF48D3-EC36-41CA-B57C-35F877A053A2}" type="presOf" srcId="{7DB43EF3-0F0E-4BBA-A72B-289AA0A166FC}" destId="{809B79D6-9593-4DBF-8AE7-E37F90C50ABB}" srcOrd="0" destOrd="3" presId="urn:microsoft.com/office/officeart/2005/8/layout/lProcess2"/>
    <dgm:cxn modelId="{0B9169D7-F291-4AAA-A4A1-7FD04D19FE71}" srcId="{F31FF4AD-D919-4FDE-BAC1-86BD349B8CA3}" destId="{7E5766EF-076A-4BB6-878A-81E57B11A815}" srcOrd="2" destOrd="0" parTransId="{44EF1AD2-BC14-4BF1-9C56-5747A2CF2F4F}" sibTransId="{9C5EDD2C-BC1F-4061-8415-8FCD2BD572C6}"/>
    <dgm:cxn modelId="{6D4035D8-5D63-4CFB-890F-A37FBC995C97}" srcId="{4602505C-BE38-4F74-BC5D-8598A57C0521}" destId="{5B5C571A-E95A-4B4B-9E2C-A1581F0F9D75}" srcOrd="2" destOrd="0" parTransId="{92101118-F08F-4153-B22F-4364C51F2A88}" sibTransId="{6BE21506-9EFF-41E3-A776-386F440ABBE7}"/>
    <dgm:cxn modelId="{245FBFD8-DB7F-4020-939B-59E140EB41BA}" srcId="{DE21D51D-15E8-4167-B1B0-4AFF7F70CD19}" destId="{0E0DCB6D-291A-421D-A0AA-9F2248B53672}" srcOrd="0" destOrd="0" parTransId="{BE1B01A3-6839-4D5B-9A87-E6E639B610DF}" sibTransId="{B7262D9A-C169-48CD-B3C6-9A13D0B73ADA}"/>
    <dgm:cxn modelId="{9C5A1EE6-5170-4445-8607-3937E51B48FF}" type="presOf" srcId="{C15418C7-7CBA-4E3C-824A-AD997DC4D994}" destId="{47091938-74DB-4C31-841E-48F7BC3DBD93}" srcOrd="1" destOrd="0" presId="urn:microsoft.com/office/officeart/2005/8/layout/lProcess2"/>
    <dgm:cxn modelId="{F619DCEC-EDFF-4297-8068-7007717F1539}" srcId="{C15418C7-7CBA-4E3C-824A-AD997DC4D994}" destId="{7311932E-72A6-4CA9-A0CE-70024AF43912}" srcOrd="0" destOrd="0" parTransId="{0B85B7C4-6C89-4D0F-BC24-9E859E48C458}" sibTransId="{7FCB4290-03A9-46F4-9366-3E4AE87236A1}"/>
    <dgm:cxn modelId="{0B0C8EF0-3926-49A0-986A-709E74292826}" type="presOf" srcId="{3C267526-0EB5-4224-ACBC-95976D7094CC}" destId="{809B79D6-9593-4DBF-8AE7-E37F90C50ABB}" srcOrd="0" destOrd="6" presId="urn:microsoft.com/office/officeart/2005/8/layout/lProcess2"/>
    <dgm:cxn modelId="{1A1106FB-8E00-48B0-93B4-FBA640795B13}" srcId="{F31FF4AD-D919-4FDE-BAC1-86BD349B8CA3}" destId="{169D3296-3554-4FB8-832C-51BE2A82091E}" srcOrd="0" destOrd="0" parTransId="{35916E22-37A7-469B-B6FE-17E55AC91C5C}" sibTransId="{06A98EE8-D5A7-4D77-A82E-8AF7360FFDD4}"/>
    <dgm:cxn modelId="{8923107D-34A1-41C6-954A-9D01664ADCF3}" type="presParOf" srcId="{9368DA6B-B34A-4491-B808-03FD6A953441}" destId="{7BEC33E5-A4C9-41CC-AF97-E156986B83AF}" srcOrd="0" destOrd="0" presId="urn:microsoft.com/office/officeart/2005/8/layout/lProcess2"/>
    <dgm:cxn modelId="{DF11F007-6625-49B5-8875-BA911AA7164A}" type="presParOf" srcId="{7BEC33E5-A4C9-41CC-AF97-E156986B83AF}" destId="{F83ADDF7-9714-41E9-AAAF-3DD7BD3EAE1E}" srcOrd="0" destOrd="0" presId="urn:microsoft.com/office/officeart/2005/8/layout/lProcess2"/>
    <dgm:cxn modelId="{76368B10-B556-44F8-BF12-39CCACDA1FAC}" type="presParOf" srcId="{7BEC33E5-A4C9-41CC-AF97-E156986B83AF}" destId="{545E997B-D2D6-4FC0-9986-7E9D9D00A55C}" srcOrd="1" destOrd="0" presId="urn:microsoft.com/office/officeart/2005/8/layout/lProcess2"/>
    <dgm:cxn modelId="{6B4821C6-C132-4F34-8762-7719AB5A44D5}" type="presParOf" srcId="{7BEC33E5-A4C9-41CC-AF97-E156986B83AF}" destId="{84E769F8-939A-4D02-A87E-AA70CDB11402}" srcOrd="2" destOrd="0" presId="urn:microsoft.com/office/officeart/2005/8/layout/lProcess2"/>
    <dgm:cxn modelId="{BA413E06-7011-48AB-9177-ED70E0E42CD7}" type="presParOf" srcId="{84E769F8-939A-4D02-A87E-AA70CDB11402}" destId="{095F8B3F-4776-41FF-A4DE-52679CA11A92}" srcOrd="0" destOrd="0" presId="urn:microsoft.com/office/officeart/2005/8/layout/lProcess2"/>
    <dgm:cxn modelId="{C9F5430D-74DF-4414-9670-1CF6AC6D650A}" type="presParOf" srcId="{095F8B3F-4776-41FF-A4DE-52679CA11A92}" destId="{69382CC0-27D3-4281-87F9-EA41AF249B95}" srcOrd="0" destOrd="0" presId="urn:microsoft.com/office/officeart/2005/8/layout/lProcess2"/>
    <dgm:cxn modelId="{C5B5580F-014A-44EF-BB13-EF08C6DB8D98}" type="presParOf" srcId="{9368DA6B-B34A-4491-B808-03FD6A953441}" destId="{5E9629EB-812B-4050-91F1-0EE4FB4589FA}" srcOrd="1" destOrd="0" presId="urn:microsoft.com/office/officeart/2005/8/layout/lProcess2"/>
    <dgm:cxn modelId="{15651781-A087-420D-8C3A-AAF31C929364}" type="presParOf" srcId="{9368DA6B-B34A-4491-B808-03FD6A953441}" destId="{FDE55128-D302-4FA1-B93E-3C33EF5ED5AC}" srcOrd="2" destOrd="0" presId="urn:microsoft.com/office/officeart/2005/8/layout/lProcess2"/>
    <dgm:cxn modelId="{319F9CC9-A1E7-4FA0-917C-ABE76DD5C1E2}" type="presParOf" srcId="{FDE55128-D302-4FA1-B93E-3C33EF5ED5AC}" destId="{E8A73C91-A01D-4788-9E25-EB6622456EBA}" srcOrd="0" destOrd="0" presId="urn:microsoft.com/office/officeart/2005/8/layout/lProcess2"/>
    <dgm:cxn modelId="{13ABA85A-EEBC-44F7-8E37-6AAAB181F9B1}" type="presParOf" srcId="{FDE55128-D302-4FA1-B93E-3C33EF5ED5AC}" destId="{47091938-74DB-4C31-841E-48F7BC3DBD93}" srcOrd="1" destOrd="0" presId="urn:microsoft.com/office/officeart/2005/8/layout/lProcess2"/>
    <dgm:cxn modelId="{9AEFF832-095A-432D-BE6B-B4A5021C2CA0}" type="presParOf" srcId="{FDE55128-D302-4FA1-B93E-3C33EF5ED5AC}" destId="{00AA2313-3587-44F1-815F-A6C84E89635C}" srcOrd="2" destOrd="0" presId="urn:microsoft.com/office/officeart/2005/8/layout/lProcess2"/>
    <dgm:cxn modelId="{7602C086-4FFC-4426-8D9D-E76EABFD00D8}" type="presParOf" srcId="{00AA2313-3587-44F1-815F-A6C84E89635C}" destId="{442E0BA7-C9E6-4F9D-A434-591CD957240F}" srcOrd="0" destOrd="0" presId="urn:microsoft.com/office/officeart/2005/8/layout/lProcess2"/>
    <dgm:cxn modelId="{A710F34C-2346-4D20-A3DD-BA560DC95692}" type="presParOf" srcId="{442E0BA7-C9E6-4F9D-A434-591CD957240F}" destId="{809B79D6-9593-4DBF-8AE7-E37F90C50ABB}" srcOrd="0" destOrd="0" presId="urn:microsoft.com/office/officeart/2005/8/layout/lProcess2"/>
    <dgm:cxn modelId="{83ABB596-31D4-4988-9E3B-422C0651CD87}" type="presParOf" srcId="{9368DA6B-B34A-4491-B808-03FD6A953441}" destId="{1ADB1D72-7826-416F-8080-50CCD8A80E60}" srcOrd="3" destOrd="0" presId="urn:microsoft.com/office/officeart/2005/8/layout/lProcess2"/>
    <dgm:cxn modelId="{F1783ED1-381C-468E-AEBB-16570BF73F7B}" type="presParOf" srcId="{9368DA6B-B34A-4491-B808-03FD6A953441}" destId="{227BED0A-03A2-4491-A99C-896273B0FC51}" srcOrd="4" destOrd="0" presId="urn:microsoft.com/office/officeart/2005/8/layout/lProcess2"/>
    <dgm:cxn modelId="{47F30657-AE07-4E1E-8182-53B54F156D0E}" type="presParOf" srcId="{227BED0A-03A2-4491-A99C-896273B0FC51}" destId="{F3097AA3-A434-4C9F-BF0F-91B78208E0C6}" srcOrd="0" destOrd="0" presId="urn:microsoft.com/office/officeart/2005/8/layout/lProcess2"/>
    <dgm:cxn modelId="{BDDDE760-B930-4434-A655-2A948970873F}" type="presParOf" srcId="{227BED0A-03A2-4491-A99C-896273B0FC51}" destId="{874B1F11-06C6-47B7-A564-FAB0D22900D5}" srcOrd="1" destOrd="0" presId="urn:microsoft.com/office/officeart/2005/8/layout/lProcess2"/>
    <dgm:cxn modelId="{84B5C31F-9639-4B19-8BC2-096C4C0DD9FD}" type="presParOf" srcId="{227BED0A-03A2-4491-A99C-896273B0FC51}" destId="{16B7BF0C-EF44-460A-91EE-0F018C8D4291}" srcOrd="2" destOrd="0" presId="urn:microsoft.com/office/officeart/2005/8/layout/lProcess2"/>
    <dgm:cxn modelId="{23B27365-F02F-4CFD-A418-079B05D3767D}" type="presParOf" srcId="{16B7BF0C-EF44-460A-91EE-0F018C8D4291}" destId="{3741552B-F599-4B21-8283-36E075031BA5}" srcOrd="0" destOrd="0" presId="urn:microsoft.com/office/officeart/2005/8/layout/lProcess2"/>
    <dgm:cxn modelId="{B0CA3CBF-8CFD-414C-9CC2-28F628A947D8}" type="presParOf" srcId="{3741552B-F599-4B21-8283-36E075031BA5}" destId="{D261ACC1-5DBD-4BD6-8DF7-3B1C73E0CEA9}" srcOrd="0" destOrd="0" presId="urn:microsoft.com/office/officeart/2005/8/layout/lProcess2"/>
    <dgm:cxn modelId="{135F8F07-2A6D-46DE-8AF4-2DD0CBE427C3}" type="presParOf" srcId="{9368DA6B-B34A-4491-B808-03FD6A953441}" destId="{88803F63-7244-4C25-879A-685B9A97E058}" srcOrd="5" destOrd="0" presId="urn:microsoft.com/office/officeart/2005/8/layout/lProcess2"/>
    <dgm:cxn modelId="{FE6D31AD-302E-48E8-A939-5C64F78BE656}" type="presParOf" srcId="{9368DA6B-B34A-4491-B808-03FD6A953441}" destId="{B8368FFE-8B79-4BB4-A473-37DF9540AA3B}" srcOrd="6" destOrd="0" presId="urn:microsoft.com/office/officeart/2005/8/layout/lProcess2"/>
    <dgm:cxn modelId="{DC92CB84-D203-4C93-BCEA-EE056FAAA22E}" type="presParOf" srcId="{B8368FFE-8B79-4BB4-A473-37DF9540AA3B}" destId="{4BC53CC4-5D93-401E-BFDB-145C294F8DFD}" srcOrd="0" destOrd="0" presId="urn:microsoft.com/office/officeart/2005/8/layout/lProcess2"/>
    <dgm:cxn modelId="{AF135C50-7300-4BD5-AD07-AA54C0B191F1}" type="presParOf" srcId="{B8368FFE-8B79-4BB4-A473-37DF9540AA3B}" destId="{5B2C3ABF-7481-427E-B24F-4237D7D8716B}" srcOrd="1" destOrd="0" presId="urn:microsoft.com/office/officeart/2005/8/layout/lProcess2"/>
    <dgm:cxn modelId="{B06AFA02-F36A-484C-BC07-7DFD84ED4786}" type="presParOf" srcId="{B8368FFE-8B79-4BB4-A473-37DF9540AA3B}" destId="{D8E9EB3E-22E6-48D2-9978-994C439A2F56}" srcOrd="2" destOrd="0" presId="urn:microsoft.com/office/officeart/2005/8/layout/lProcess2"/>
    <dgm:cxn modelId="{E88D2172-483D-4470-9551-13C9E7A2DBEA}" type="presParOf" srcId="{D8E9EB3E-22E6-48D2-9978-994C439A2F56}" destId="{0C435BA3-C2FB-4356-9445-3DB9B171B595}" srcOrd="0" destOrd="0" presId="urn:microsoft.com/office/officeart/2005/8/layout/lProcess2"/>
    <dgm:cxn modelId="{28FBE9D9-F881-406E-AEAF-E96025484029}" type="presParOf" srcId="{0C435BA3-C2FB-4356-9445-3DB9B171B595}" destId="{C16C9A3F-913F-4131-BCC8-0E99F70E54A7}" srcOrd="0" destOrd="0" presId="urn:microsoft.com/office/officeart/2005/8/layout/lProcess2"/>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ADDF7-9714-41E9-AAAF-3DD7BD3EAE1E}">
      <dsp:nvSpPr>
        <dsp:cNvPr id="0" name=""/>
        <dsp:cNvSpPr/>
      </dsp:nvSpPr>
      <dsp:spPr>
        <a:xfrm>
          <a:off x="1528"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Politics</a:t>
          </a:r>
        </a:p>
      </dsp:txBody>
      <dsp:txXfrm>
        <a:off x="1528" y="0"/>
        <a:ext cx="1499830" cy="960120"/>
      </dsp:txXfrm>
    </dsp:sp>
    <dsp:sp modelId="{69382CC0-27D3-4281-87F9-EA41AF249B95}">
      <dsp:nvSpPr>
        <dsp:cNvPr id="0" name=""/>
        <dsp:cNvSpPr/>
      </dsp:nvSpPr>
      <dsp:spPr>
        <a:xfrm>
          <a:off x="151511"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Selection of winning narrative based on casual story &amp; socially constructed target population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Political bargaining to build winning coalitions &amp; funding mechanisms</a:t>
          </a:r>
        </a:p>
      </dsp:txBody>
      <dsp:txXfrm>
        <a:off x="186654" y="995263"/>
        <a:ext cx="1129578" cy="2009974"/>
      </dsp:txXfrm>
    </dsp:sp>
    <dsp:sp modelId="{E8A73C91-A01D-4788-9E25-EB6622456EBA}">
      <dsp:nvSpPr>
        <dsp:cNvPr id="0" name=""/>
        <dsp:cNvSpPr/>
      </dsp:nvSpPr>
      <dsp:spPr>
        <a:xfrm>
          <a:off x="1613846"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Statutory Design</a:t>
          </a:r>
        </a:p>
      </dsp:txBody>
      <dsp:txXfrm>
        <a:off x="1613846" y="0"/>
        <a:ext cx="1499830" cy="960120"/>
      </dsp:txXfrm>
    </dsp:sp>
    <dsp:sp modelId="{809B79D6-9593-4DBF-8AE7-E37F90C50ABB}">
      <dsp:nvSpPr>
        <dsp:cNvPr id="0" name=""/>
        <dsp:cNvSpPr/>
      </dsp:nvSpPr>
      <dsp:spPr>
        <a:xfrm>
          <a:off x="1763829"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Eligibility Requirements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Policy Tools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Benefits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Burdens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Funding Structure</a:t>
          </a:r>
        </a:p>
      </dsp:txBody>
      <dsp:txXfrm>
        <a:off x="1798972" y="995263"/>
        <a:ext cx="1129578" cy="2009974"/>
      </dsp:txXfrm>
    </dsp:sp>
    <dsp:sp modelId="{F3097AA3-A434-4C9F-BF0F-91B78208E0C6}">
      <dsp:nvSpPr>
        <dsp:cNvPr id="0" name=""/>
        <dsp:cNvSpPr/>
      </dsp:nvSpPr>
      <dsp:spPr>
        <a:xfrm>
          <a:off x="3226163"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Implementation</a:t>
          </a:r>
        </a:p>
      </dsp:txBody>
      <dsp:txXfrm>
        <a:off x="3226163" y="0"/>
        <a:ext cx="1499830" cy="960120"/>
      </dsp:txXfrm>
    </dsp:sp>
    <dsp:sp modelId="{D261ACC1-5DBD-4BD6-8DF7-3B1C73E0CEA9}">
      <dsp:nvSpPr>
        <dsp:cNvPr id="0" name=""/>
        <dsp:cNvSpPr/>
      </dsp:nvSpPr>
      <dsp:spPr>
        <a:xfrm>
          <a:off x="3376146"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Strategic use of discretion within constraints set by policy design, management and organizational factors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Alignment or misalignment of politician and bureaucratic priorities</a:t>
          </a:r>
        </a:p>
      </dsp:txBody>
      <dsp:txXfrm>
        <a:off x="3411289" y="995263"/>
        <a:ext cx="1129578" cy="2009974"/>
      </dsp:txXfrm>
    </dsp:sp>
    <dsp:sp modelId="{4BC53CC4-5D93-401E-BFDB-145C294F8DFD}">
      <dsp:nvSpPr>
        <dsp:cNvPr id="0" name=""/>
        <dsp:cNvSpPr/>
      </dsp:nvSpPr>
      <dsp:spPr>
        <a:xfrm>
          <a:off x="4840009"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Outcomes</a:t>
          </a:r>
        </a:p>
      </dsp:txBody>
      <dsp:txXfrm>
        <a:off x="4840009" y="0"/>
        <a:ext cx="1499830" cy="960120"/>
      </dsp:txXfrm>
    </dsp:sp>
    <dsp:sp modelId="{C16C9A3F-913F-4131-BCC8-0E99F70E54A7}">
      <dsp:nvSpPr>
        <dsp:cNvPr id="0" name=""/>
        <dsp:cNvSpPr/>
      </dsp:nvSpPr>
      <dsp:spPr>
        <a:xfrm>
          <a:off x="4988464"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t" anchorCtr="0">
          <a:noAutofit/>
        </a:bodyPr>
        <a:lstStyle/>
        <a:p>
          <a:pPr marL="0" lvl="0" indent="0" algn="l" defTabSz="466725">
            <a:lnSpc>
              <a:spcPct val="90000"/>
            </a:lnSpc>
            <a:spcBef>
              <a:spcPct val="0"/>
            </a:spcBef>
            <a:spcAft>
              <a:spcPct val="35000"/>
            </a:spcAft>
            <a:buNone/>
          </a:pPr>
          <a:endParaRPr lang="en-US" sz="105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Alleviation or exacerbation of public problems</a:t>
          </a:r>
        </a:p>
      </dsp:txBody>
      <dsp:txXfrm>
        <a:off x="5023607" y="995263"/>
        <a:ext cx="1129578" cy="20099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20DE2E-E01A-464A-83C5-D57E7533CE1F}">
      <dsp:nvSpPr>
        <dsp:cNvPr id="0" name=""/>
        <dsp:cNvSpPr/>
      </dsp:nvSpPr>
      <dsp:spPr>
        <a:xfrm>
          <a:off x="304800" y="0"/>
          <a:ext cx="1219200" cy="6096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Palatino Linotype" panose="02040502050505030304" pitchFamily="18" charset="0"/>
            </a:rPr>
            <a:t>Statutory Design: Policy Tools &amp; Eligibility Requirements</a:t>
          </a:r>
        </a:p>
      </dsp:txBody>
      <dsp:txXfrm>
        <a:off x="322655" y="17855"/>
        <a:ext cx="1183490" cy="573890"/>
      </dsp:txXfrm>
    </dsp:sp>
    <dsp:sp modelId="{A12466D4-927C-431C-80B6-A8B5D201488D}">
      <dsp:nvSpPr>
        <dsp:cNvPr id="0" name=""/>
        <dsp:cNvSpPr/>
      </dsp:nvSpPr>
      <dsp:spPr>
        <a:xfrm>
          <a:off x="1524000" y="214800"/>
          <a:ext cx="564196" cy="180000"/>
        </a:xfrm>
        <a:custGeom>
          <a:avLst/>
          <a:gdLst/>
          <a:ahLst/>
          <a:cxnLst/>
          <a:rect l="0" t="0" r="0" b="0"/>
          <a:pathLst>
            <a:path>
              <a:moveTo>
                <a:pt x="0" y="90000"/>
              </a:moveTo>
              <a:lnTo>
                <a:pt x="564196" y="900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solidFill>
            <a:latin typeface="Palatino Linotype" panose="02040502050505030304" pitchFamily="18" charset="0"/>
          </a:endParaRPr>
        </a:p>
      </dsp:txBody>
      <dsp:txXfrm>
        <a:off x="1791993" y="290695"/>
        <a:ext cx="28209" cy="28209"/>
      </dsp:txXfrm>
    </dsp:sp>
    <dsp:sp modelId="{F9C928B2-B9A6-41BE-A911-DA9FBF3E49F9}">
      <dsp:nvSpPr>
        <dsp:cNvPr id="0" name=""/>
        <dsp:cNvSpPr/>
      </dsp:nvSpPr>
      <dsp:spPr>
        <a:xfrm>
          <a:off x="2088196" y="0"/>
          <a:ext cx="1219200" cy="6096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Palatino Linotype" panose="02040502050505030304" pitchFamily="18" charset="0"/>
            </a:rPr>
            <a:t>Policy Outcomes</a:t>
          </a:r>
        </a:p>
      </dsp:txBody>
      <dsp:txXfrm>
        <a:off x="2106051" y="17855"/>
        <a:ext cx="1183490" cy="5738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20DE2E-E01A-464A-83C5-D57E7533CE1F}">
      <dsp:nvSpPr>
        <dsp:cNvPr id="0" name=""/>
        <dsp:cNvSpPr/>
      </dsp:nvSpPr>
      <dsp:spPr>
        <a:xfrm>
          <a:off x="0" y="186500"/>
          <a:ext cx="1158999" cy="5794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Palatino Linotype" panose="02040502050505030304" pitchFamily="18" charset="0"/>
            </a:rPr>
            <a:t>Politics: Social Constructions, Bargaining,Coalition Building</a:t>
          </a:r>
        </a:p>
      </dsp:txBody>
      <dsp:txXfrm>
        <a:off x="16973" y="203473"/>
        <a:ext cx="1125053" cy="545553"/>
      </dsp:txXfrm>
    </dsp:sp>
    <dsp:sp modelId="{F9F61920-14A8-45CA-9175-1C66182AF476}">
      <dsp:nvSpPr>
        <dsp:cNvPr id="0" name=""/>
        <dsp:cNvSpPr/>
      </dsp:nvSpPr>
      <dsp:spPr>
        <a:xfrm>
          <a:off x="1158999" y="421494"/>
          <a:ext cx="463599" cy="109511"/>
        </a:xfrm>
        <a:custGeom>
          <a:avLst/>
          <a:gdLst/>
          <a:ahLst/>
          <a:cxnLst/>
          <a:rect l="0" t="0" r="0" b="0"/>
          <a:pathLst>
            <a:path>
              <a:moveTo>
                <a:pt x="0" y="54755"/>
              </a:moveTo>
              <a:lnTo>
                <a:pt x="463599" y="547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379208" y="464660"/>
        <a:ext cx="23179" cy="23179"/>
      </dsp:txXfrm>
    </dsp:sp>
    <dsp:sp modelId="{9F161DE7-50CF-430D-ABF4-8626A2A5A91F}">
      <dsp:nvSpPr>
        <dsp:cNvPr id="0" name=""/>
        <dsp:cNvSpPr/>
      </dsp:nvSpPr>
      <dsp:spPr>
        <a:xfrm>
          <a:off x="1622598" y="186500"/>
          <a:ext cx="1158999" cy="5794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Palatino Linotype" panose="02040502050505030304" pitchFamily="18" charset="0"/>
            </a:rPr>
            <a:t>Statutory Design: Eligibility Requirements &amp; Tools</a:t>
          </a:r>
          <a:endParaRPr lang="en-US" sz="900" kern="1200"/>
        </a:p>
      </dsp:txBody>
      <dsp:txXfrm>
        <a:off x="1639571" y="203473"/>
        <a:ext cx="1125053" cy="545553"/>
      </dsp:txXfrm>
    </dsp:sp>
    <dsp:sp modelId="{A12466D4-927C-431C-80B6-A8B5D201488D}">
      <dsp:nvSpPr>
        <dsp:cNvPr id="0" name=""/>
        <dsp:cNvSpPr/>
      </dsp:nvSpPr>
      <dsp:spPr>
        <a:xfrm>
          <a:off x="2781597" y="421494"/>
          <a:ext cx="463763" cy="109511"/>
        </a:xfrm>
        <a:custGeom>
          <a:avLst/>
          <a:gdLst/>
          <a:ahLst/>
          <a:cxnLst/>
          <a:rect l="0" t="0" r="0" b="0"/>
          <a:pathLst>
            <a:path>
              <a:moveTo>
                <a:pt x="0" y="54755"/>
              </a:moveTo>
              <a:lnTo>
                <a:pt x="463763" y="5475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Palatino Linotype" panose="02040502050505030304" pitchFamily="18" charset="0"/>
          </a:endParaRPr>
        </a:p>
      </dsp:txBody>
      <dsp:txXfrm>
        <a:off x="3001885" y="464655"/>
        <a:ext cx="23188" cy="23188"/>
      </dsp:txXfrm>
    </dsp:sp>
    <dsp:sp modelId="{F9C928B2-B9A6-41BE-A911-DA9FBF3E49F9}">
      <dsp:nvSpPr>
        <dsp:cNvPr id="0" name=""/>
        <dsp:cNvSpPr/>
      </dsp:nvSpPr>
      <dsp:spPr>
        <a:xfrm>
          <a:off x="3245360" y="186500"/>
          <a:ext cx="1158999" cy="5794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Palatino Linotype" panose="02040502050505030304" pitchFamily="18" charset="0"/>
            </a:rPr>
            <a:t>Political Outcomes</a:t>
          </a:r>
        </a:p>
      </dsp:txBody>
      <dsp:txXfrm>
        <a:off x="3262333" y="203473"/>
        <a:ext cx="1125053" cy="54555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DAA61D-07F5-4083-986F-5EDD434F177C}">
      <dsp:nvSpPr>
        <dsp:cNvPr id="0" name=""/>
        <dsp:cNvSpPr/>
      </dsp:nvSpPr>
      <dsp:spPr>
        <a:xfrm>
          <a:off x="130837" y="266698"/>
          <a:ext cx="1297684" cy="61722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Palatino Linotype" panose="02040502050505030304" pitchFamily="18" charset="0"/>
            </a:rPr>
            <a:t>Statutory Design</a:t>
          </a:r>
          <a:endParaRPr lang="en-US" sz="1000" kern="1200">
            <a:highlight>
              <a:srgbClr val="FFFF00"/>
            </a:highlight>
          </a:endParaRPr>
        </a:p>
      </dsp:txBody>
      <dsp:txXfrm>
        <a:off x="148915" y="284776"/>
        <a:ext cx="1261528" cy="581066"/>
      </dsp:txXfrm>
    </dsp:sp>
    <dsp:sp modelId="{F9F61920-14A8-45CA-9175-1C66182AF476}">
      <dsp:nvSpPr>
        <dsp:cNvPr id="0" name=""/>
        <dsp:cNvSpPr/>
      </dsp:nvSpPr>
      <dsp:spPr>
        <a:xfrm>
          <a:off x="1428521" y="516743"/>
          <a:ext cx="530592" cy="117132"/>
        </a:xfrm>
        <a:custGeom>
          <a:avLst/>
          <a:gdLst/>
          <a:ahLst/>
          <a:cxnLst/>
          <a:rect l="0" t="0" r="0" b="0"/>
          <a:pathLst>
            <a:path>
              <a:moveTo>
                <a:pt x="0" y="58566"/>
              </a:moveTo>
              <a:lnTo>
                <a:pt x="530592" y="5856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680553" y="562045"/>
        <a:ext cx="26529" cy="26529"/>
      </dsp:txXfrm>
    </dsp:sp>
    <dsp:sp modelId="{9F161DE7-50CF-430D-ABF4-8626A2A5A91F}">
      <dsp:nvSpPr>
        <dsp:cNvPr id="0" name=""/>
        <dsp:cNvSpPr/>
      </dsp:nvSpPr>
      <dsp:spPr>
        <a:xfrm>
          <a:off x="1959114" y="213357"/>
          <a:ext cx="1186510" cy="7239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Palatino Linotype" panose="02040502050505030304" pitchFamily="18" charset="0"/>
            </a:rPr>
            <a:t>Politics of Implementation: Strategic Use of Discretion</a:t>
          </a:r>
          <a:endParaRPr lang="en-US" sz="1000" kern="1200"/>
        </a:p>
      </dsp:txBody>
      <dsp:txXfrm>
        <a:off x="1980316" y="234559"/>
        <a:ext cx="1144106" cy="681500"/>
      </dsp:txXfrm>
    </dsp:sp>
    <dsp:sp modelId="{A12466D4-927C-431C-80B6-A8B5D201488D}">
      <dsp:nvSpPr>
        <dsp:cNvPr id="0" name=""/>
        <dsp:cNvSpPr/>
      </dsp:nvSpPr>
      <dsp:spPr>
        <a:xfrm>
          <a:off x="3145624" y="516743"/>
          <a:ext cx="563417" cy="117132"/>
        </a:xfrm>
        <a:custGeom>
          <a:avLst/>
          <a:gdLst/>
          <a:ahLst/>
          <a:cxnLst/>
          <a:rect l="0" t="0" r="0" b="0"/>
          <a:pathLst>
            <a:path>
              <a:moveTo>
                <a:pt x="0" y="58566"/>
              </a:moveTo>
              <a:lnTo>
                <a:pt x="563417" y="5856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en-US" sz="800" kern="1200">
            <a:solidFill>
              <a:sysClr val="windowText" lastClr="000000"/>
            </a:solidFill>
            <a:latin typeface="Palatino Linotype" panose="02040502050505030304" pitchFamily="18" charset="0"/>
          </a:endParaRPr>
        </a:p>
      </dsp:txBody>
      <dsp:txXfrm>
        <a:off x="3413247" y="561224"/>
        <a:ext cx="28170" cy="28170"/>
      </dsp:txXfrm>
    </dsp:sp>
    <dsp:sp modelId="{F9C928B2-B9A6-41BE-A911-DA9FBF3E49F9}">
      <dsp:nvSpPr>
        <dsp:cNvPr id="0" name=""/>
        <dsp:cNvSpPr/>
      </dsp:nvSpPr>
      <dsp:spPr>
        <a:xfrm>
          <a:off x="3709042" y="251457"/>
          <a:ext cx="1169154" cy="6477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Palatino Linotype" panose="02040502050505030304" pitchFamily="18" charset="0"/>
            </a:rPr>
            <a:t>Access to Public Programs</a:t>
          </a:r>
        </a:p>
      </dsp:txBody>
      <dsp:txXfrm>
        <a:off x="3728013" y="270428"/>
        <a:ext cx="1131212" cy="60976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ADDF7-9714-41E9-AAAF-3DD7BD3EAE1E}">
      <dsp:nvSpPr>
        <dsp:cNvPr id="0" name=""/>
        <dsp:cNvSpPr/>
      </dsp:nvSpPr>
      <dsp:spPr>
        <a:xfrm>
          <a:off x="1528"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Politics</a:t>
          </a:r>
        </a:p>
      </dsp:txBody>
      <dsp:txXfrm>
        <a:off x="1528" y="0"/>
        <a:ext cx="1499830" cy="960120"/>
      </dsp:txXfrm>
    </dsp:sp>
    <dsp:sp modelId="{69382CC0-27D3-4281-87F9-EA41AF249B95}">
      <dsp:nvSpPr>
        <dsp:cNvPr id="0" name=""/>
        <dsp:cNvSpPr/>
      </dsp:nvSpPr>
      <dsp:spPr>
        <a:xfrm>
          <a:off x="151511"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Balance between political feasibility and efficiency          1) Whether it will be targeted or universal 2) Decision to make merit-based and increase the perceptions of deservingness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What is the causal story? Where does funding come from?</a:t>
          </a:r>
        </a:p>
      </dsp:txBody>
      <dsp:txXfrm>
        <a:off x="186654" y="995263"/>
        <a:ext cx="1129578" cy="2009974"/>
      </dsp:txXfrm>
    </dsp:sp>
    <dsp:sp modelId="{E8A73C91-A01D-4788-9E25-EB6622456EBA}">
      <dsp:nvSpPr>
        <dsp:cNvPr id="0" name=""/>
        <dsp:cNvSpPr/>
      </dsp:nvSpPr>
      <dsp:spPr>
        <a:xfrm>
          <a:off x="1613846"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Statutory Design</a:t>
          </a:r>
        </a:p>
      </dsp:txBody>
      <dsp:txXfrm>
        <a:off x="1613846" y="0"/>
        <a:ext cx="1499830" cy="960120"/>
      </dsp:txXfrm>
    </dsp:sp>
    <dsp:sp modelId="{809B79D6-9593-4DBF-8AE7-E37F90C50ABB}">
      <dsp:nvSpPr>
        <dsp:cNvPr id="0" name=""/>
        <dsp:cNvSpPr/>
      </dsp:nvSpPr>
      <dsp:spPr>
        <a:xfrm>
          <a:off x="1763829"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Last-dollar or First-dollar</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Just tuition &amp; fees or tuition+?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Inclusion of student supports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Merit-based or need-based?</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Public or mixed funding?</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Stipulations to stay in-state/city? </a:t>
          </a:r>
        </a:p>
        <a:p>
          <a:pPr marL="57150" lvl="1" indent="-57150" algn="l" defTabSz="400050">
            <a:lnSpc>
              <a:spcPct val="90000"/>
            </a:lnSpc>
            <a:spcBef>
              <a:spcPct val="0"/>
            </a:spcBef>
            <a:spcAft>
              <a:spcPct val="15000"/>
            </a:spcAft>
            <a:buChar char="•"/>
          </a:pPr>
          <a:endParaRPr lang="en-US" sz="900" kern="1200">
            <a:latin typeface="Palatino Linotype" panose="02040502050505030304" pitchFamily="18" charset="0"/>
          </a:endParaRPr>
        </a:p>
      </dsp:txBody>
      <dsp:txXfrm>
        <a:off x="1798972" y="995263"/>
        <a:ext cx="1129578" cy="2009974"/>
      </dsp:txXfrm>
    </dsp:sp>
    <dsp:sp modelId="{F3097AA3-A434-4C9F-BF0F-91B78208E0C6}">
      <dsp:nvSpPr>
        <dsp:cNvPr id="0" name=""/>
        <dsp:cNvSpPr/>
      </dsp:nvSpPr>
      <dsp:spPr>
        <a:xfrm>
          <a:off x="3226163"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Implementation</a:t>
          </a:r>
        </a:p>
      </dsp:txBody>
      <dsp:txXfrm>
        <a:off x="3226163" y="0"/>
        <a:ext cx="1499830" cy="960120"/>
      </dsp:txXfrm>
    </dsp:sp>
    <dsp:sp modelId="{D261ACC1-5DBD-4BD6-8DF7-3B1C73E0CEA9}">
      <dsp:nvSpPr>
        <dsp:cNvPr id="0" name=""/>
        <dsp:cNvSpPr/>
      </dsp:nvSpPr>
      <dsp:spPr>
        <a:xfrm>
          <a:off x="3376146"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Communication by public officials to street-level bureaucrats (SLBs) of priorities &amp; goals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Use of discretion by SLBs to advertise &amp; assist students in overcoming information, psychological, and compliance barriers (administrative burden)</a:t>
          </a:r>
        </a:p>
      </dsp:txBody>
      <dsp:txXfrm>
        <a:off x="3411289" y="995263"/>
        <a:ext cx="1129578" cy="2009974"/>
      </dsp:txXfrm>
    </dsp:sp>
    <dsp:sp modelId="{4BC53CC4-5D93-401E-BFDB-145C294F8DFD}">
      <dsp:nvSpPr>
        <dsp:cNvPr id="0" name=""/>
        <dsp:cNvSpPr/>
      </dsp:nvSpPr>
      <dsp:spPr>
        <a:xfrm>
          <a:off x="4840009"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Outcomes</a:t>
          </a:r>
        </a:p>
      </dsp:txBody>
      <dsp:txXfrm>
        <a:off x="4840009" y="0"/>
        <a:ext cx="1499830" cy="960120"/>
      </dsp:txXfrm>
    </dsp:sp>
    <dsp:sp modelId="{C16C9A3F-913F-4131-BCC8-0E99F70E54A7}">
      <dsp:nvSpPr>
        <dsp:cNvPr id="0" name=""/>
        <dsp:cNvSpPr/>
      </dsp:nvSpPr>
      <dsp:spPr>
        <a:xfrm>
          <a:off x="4988464"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t" anchorCtr="0">
          <a:noAutofit/>
        </a:bodyPr>
        <a:lstStyle/>
        <a:p>
          <a:pPr marL="0" lvl="0" indent="0" algn="l" defTabSz="466725">
            <a:lnSpc>
              <a:spcPct val="90000"/>
            </a:lnSpc>
            <a:spcBef>
              <a:spcPct val="0"/>
            </a:spcBef>
            <a:spcAft>
              <a:spcPct val="35000"/>
            </a:spcAft>
            <a:buNone/>
          </a:pPr>
          <a:endParaRPr lang="en-US" sz="105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Shifting college access and choice</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Changes in credits accumulated and retention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Increase in degree attainment?</a:t>
          </a:r>
        </a:p>
      </dsp:txBody>
      <dsp:txXfrm>
        <a:off x="5023607" y="995263"/>
        <a:ext cx="1129578" cy="200997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ADDF7-9714-41E9-AAAF-3DD7BD3EAE1E}">
      <dsp:nvSpPr>
        <dsp:cNvPr id="0" name=""/>
        <dsp:cNvSpPr/>
      </dsp:nvSpPr>
      <dsp:spPr>
        <a:xfrm>
          <a:off x="3173" y="0"/>
          <a:ext cx="3052286" cy="15240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latin typeface="Palatino Linotype" panose="02040502050505030304" pitchFamily="18" charset="0"/>
            </a:rPr>
            <a:t>Politics</a:t>
          </a:r>
        </a:p>
      </dsp:txBody>
      <dsp:txXfrm>
        <a:off x="3173" y="0"/>
        <a:ext cx="3052286" cy="457200"/>
      </dsp:txXfrm>
    </dsp:sp>
    <dsp:sp modelId="{69382CC0-27D3-4281-87F9-EA41AF249B95}">
      <dsp:nvSpPr>
        <dsp:cNvPr id="0" name=""/>
        <dsp:cNvSpPr/>
      </dsp:nvSpPr>
      <dsp:spPr>
        <a:xfrm>
          <a:off x="308401" y="457200"/>
          <a:ext cx="2441829" cy="9906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Selection of winning narrative based on casual story &amp; socially constructed target population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Political bargaining to build winning coalitions &amp; funding mechanisms</a:t>
          </a:r>
        </a:p>
      </dsp:txBody>
      <dsp:txXfrm>
        <a:off x="337415" y="486214"/>
        <a:ext cx="2383801" cy="932572"/>
      </dsp:txXfrm>
    </dsp:sp>
    <dsp:sp modelId="{E8A73C91-A01D-4788-9E25-EB6622456EBA}">
      <dsp:nvSpPr>
        <dsp:cNvPr id="0" name=""/>
        <dsp:cNvSpPr/>
      </dsp:nvSpPr>
      <dsp:spPr>
        <a:xfrm>
          <a:off x="3284380" y="0"/>
          <a:ext cx="3052286" cy="15240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latin typeface="Palatino Linotype" panose="02040502050505030304" pitchFamily="18" charset="0"/>
            </a:rPr>
            <a:t>Statutory Design</a:t>
          </a:r>
        </a:p>
      </dsp:txBody>
      <dsp:txXfrm>
        <a:off x="3284380" y="0"/>
        <a:ext cx="3052286" cy="457200"/>
      </dsp:txXfrm>
    </dsp:sp>
    <dsp:sp modelId="{809B79D6-9593-4DBF-8AE7-E37F90C50ABB}">
      <dsp:nvSpPr>
        <dsp:cNvPr id="0" name=""/>
        <dsp:cNvSpPr/>
      </dsp:nvSpPr>
      <dsp:spPr>
        <a:xfrm>
          <a:off x="3589609" y="457200"/>
          <a:ext cx="2441829" cy="99060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Eligibility Requirements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Policy Tools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Benefits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Burdens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Funding Structure</a:t>
          </a:r>
        </a:p>
      </dsp:txBody>
      <dsp:txXfrm>
        <a:off x="3618623" y="486214"/>
        <a:ext cx="2383801" cy="93257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A73C91-A01D-4788-9E25-EB6622456EBA}">
      <dsp:nvSpPr>
        <dsp:cNvPr id="0" name=""/>
        <dsp:cNvSpPr/>
      </dsp:nvSpPr>
      <dsp:spPr>
        <a:xfrm>
          <a:off x="773" y="0"/>
          <a:ext cx="2012156"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Palatino Linotype" panose="02040502050505030304" pitchFamily="18" charset="0"/>
            </a:rPr>
            <a:t>Statutory Design</a:t>
          </a:r>
        </a:p>
      </dsp:txBody>
      <dsp:txXfrm>
        <a:off x="773" y="0"/>
        <a:ext cx="2012156" cy="960120"/>
      </dsp:txXfrm>
    </dsp:sp>
    <dsp:sp modelId="{809B79D6-9593-4DBF-8AE7-E37F90C50ABB}">
      <dsp:nvSpPr>
        <dsp:cNvPr id="0" name=""/>
        <dsp:cNvSpPr/>
      </dsp:nvSpPr>
      <dsp:spPr>
        <a:xfrm>
          <a:off x="201989" y="960120"/>
          <a:ext cx="1609725"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Eligibility Requirements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Policy Tools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Benefits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Burdens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Funding Structure</a:t>
          </a:r>
        </a:p>
      </dsp:txBody>
      <dsp:txXfrm>
        <a:off x="249136" y="1007267"/>
        <a:ext cx="1515431" cy="1985966"/>
      </dsp:txXfrm>
    </dsp:sp>
    <dsp:sp modelId="{F3097AA3-A434-4C9F-BF0F-91B78208E0C6}">
      <dsp:nvSpPr>
        <dsp:cNvPr id="0" name=""/>
        <dsp:cNvSpPr/>
      </dsp:nvSpPr>
      <dsp:spPr>
        <a:xfrm>
          <a:off x="2163841" y="0"/>
          <a:ext cx="2012156"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Palatino Linotype" panose="02040502050505030304" pitchFamily="18" charset="0"/>
            </a:rPr>
            <a:t>Implementation</a:t>
          </a:r>
        </a:p>
      </dsp:txBody>
      <dsp:txXfrm>
        <a:off x="2163841" y="0"/>
        <a:ext cx="2012156" cy="960120"/>
      </dsp:txXfrm>
    </dsp:sp>
    <dsp:sp modelId="{D261ACC1-5DBD-4BD6-8DF7-3B1C73E0CEA9}">
      <dsp:nvSpPr>
        <dsp:cNvPr id="0" name=""/>
        <dsp:cNvSpPr/>
      </dsp:nvSpPr>
      <dsp:spPr>
        <a:xfrm>
          <a:off x="2365057" y="960120"/>
          <a:ext cx="1609725"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Strategic use of discretion within constraints set by policy design, management and organizational factors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Alignment or misalignment of politician and bureaucratic priorities</a:t>
          </a:r>
        </a:p>
      </dsp:txBody>
      <dsp:txXfrm>
        <a:off x="2412204" y="1007267"/>
        <a:ext cx="1515431" cy="1985966"/>
      </dsp:txXfrm>
    </dsp:sp>
    <dsp:sp modelId="{4BC53CC4-5D93-401E-BFDB-145C294F8DFD}">
      <dsp:nvSpPr>
        <dsp:cNvPr id="0" name=""/>
        <dsp:cNvSpPr/>
      </dsp:nvSpPr>
      <dsp:spPr>
        <a:xfrm>
          <a:off x="4327683" y="0"/>
          <a:ext cx="2012156"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Palatino Linotype" panose="02040502050505030304" pitchFamily="18" charset="0"/>
            </a:rPr>
            <a:t>Outcomes</a:t>
          </a:r>
        </a:p>
      </dsp:txBody>
      <dsp:txXfrm>
        <a:off x="4327683" y="0"/>
        <a:ext cx="2012156" cy="960120"/>
      </dsp:txXfrm>
    </dsp:sp>
    <dsp:sp modelId="{C16C9A3F-913F-4131-BCC8-0E99F70E54A7}">
      <dsp:nvSpPr>
        <dsp:cNvPr id="0" name=""/>
        <dsp:cNvSpPr/>
      </dsp:nvSpPr>
      <dsp:spPr>
        <a:xfrm>
          <a:off x="4528125" y="960120"/>
          <a:ext cx="1609725"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t" anchorCtr="0">
          <a:noAutofit/>
        </a:bodyPr>
        <a:lstStyle/>
        <a:p>
          <a:pPr marL="0" lvl="0" indent="0" algn="l" defTabSz="466725">
            <a:lnSpc>
              <a:spcPct val="90000"/>
            </a:lnSpc>
            <a:spcBef>
              <a:spcPct val="0"/>
            </a:spcBef>
            <a:spcAft>
              <a:spcPct val="35000"/>
            </a:spcAft>
            <a:buNone/>
          </a:pPr>
          <a:endParaRPr lang="en-US" sz="105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Program access and success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Alleviation or exacerbation of public problems</a:t>
          </a:r>
        </a:p>
      </dsp:txBody>
      <dsp:txXfrm>
        <a:off x="4575272" y="1007267"/>
        <a:ext cx="1515431" cy="198596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ADDF7-9714-41E9-AAAF-3DD7BD3EAE1E}">
      <dsp:nvSpPr>
        <dsp:cNvPr id="0" name=""/>
        <dsp:cNvSpPr/>
      </dsp:nvSpPr>
      <dsp:spPr>
        <a:xfrm>
          <a:off x="1528"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Politics</a:t>
          </a:r>
        </a:p>
      </dsp:txBody>
      <dsp:txXfrm>
        <a:off x="1528" y="0"/>
        <a:ext cx="1499830" cy="960120"/>
      </dsp:txXfrm>
    </dsp:sp>
    <dsp:sp modelId="{69382CC0-27D3-4281-87F9-EA41AF249B95}">
      <dsp:nvSpPr>
        <dsp:cNvPr id="0" name=""/>
        <dsp:cNvSpPr/>
      </dsp:nvSpPr>
      <dsp:spPr>
        <a:xfrm>
          <a:off x="151511"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Selection of winning narrative based on casual story &amp; socially constructed target population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Political bargaining to build winning coalitions &amp; funding mechanisms</a:t>
          </a:r>
        </a:p>
      </dsp:txBody>
      <dsp:txXfrm>
        <a:off x="186654" y="995263"/>
        <a:ext cx="1129578" cy="2009974"/>
      </dsp:txXfrm>
    </dsp:sp>
    <dsp:sp modelId="{E8A73C91-A01D-4788-9E25-EB6622456EBA}">
      <dsp:nvSpPr>
        <dsp:cNvPr id="0" name=""/>
        <dsp:cNvSpPr/>
      </dsp:nvSpPr>
      <dsp:spPr>
        <a:xfrm>
          <a:off x="1613846"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Statutory Design</a:t>
          </a:r>
        </a:p>
      </dsp:txBody>
      <dsp:txXfrm>
        <a:off x="1613846" y="0"/>
        <a:ext cx="1499830" cy="960120"/>
      </dsp:txXfrm>
    </dsp:sp>
    <dsp:sp modelId="{809B79D6-9593-4DBF-8AE7-E37F90C50ABB}">
      <dsp:nvSpPr>
        <dsp:cNvPr id="0" name=""/>
        <dsp:cNvSpPr/>
      </dsp:nvSpPr>
      <dsp:spPr>
        <a:xfrm>
          <a:off x="1763829"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Eligibility Requirements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Policy Tools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Benefits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Allocations of Burdens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Funding Structure</a:t>
          </a:r>
        </a:p>
      </dsp:txBody>
      <dsp:txXfrm>
        <a:off x="1798972" y="995263"/>
        <a:ext cx="1129578" cy="2009974"/>
      </dsp:txXfrm>
    </dsp:sp>
    <dsp:sp modelId="{F3097AA3-A434-4C9F-BF0F-91B78208E0C6}">
      <dsp:nvSpPr>
        <dsp:cNvPr id="0" name=""/>
        <dsp:cNvSpPr/>
      </dsp:nvSpPr>
      <dsp:spPr>
        <a:xfrm>
          <a:off x="3226163"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Implementation</a:t>
          </a:r>
        </a:p>
      </dsp:txBody>
      <dsp:txXfrm>
        <a:off x="3226163" y="0"/>
        <a:ext cx="1499830" cy="960120"/>
      </dsp:txXfrm>
    </dsp:sp>
    <dsp:sp modelId="{D261ACC1-5DBD-4BD6-8DF7-3B1C73E0CEA9}">
      <dsp:nvSpPr>
        <dsp:cNvPr id="0" name=""/>
        <dsp:cNvSpPr/>
      </dsp:nvSpPr>
      <dsp:spPr>
        <a:xfrm>
          <a:off x="3376146"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Strategic use of discretion within constraints set by policy design, management and organizational factors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Alignment or misalignment of politician and bureaucratic priorities</a:t>
          </a:r>
        </a:p>
      </dsp:txBody>
      <dsp:txXfrm>
        <a:off x="3411289" y="995263"/>
        <a:ext cx="1129578" cy="2009974"/>
      </dsp:txXfrm>
    </dsp:sp>
    <dsp:sp modelId="{4BC53CC4-5D93-401E-BFDB-145C294F8DFD}">
      <dsp:nvSpPr>
        <dsp:cNvPr id="0" name=""/>
        <dsp:cNvSpPr/>
      </dsp:nvSpPr>
      <dsp:spPr>
        <a:xfrm>
          <a:off x="4840009" y="0"/>
          <a:ext cx="1499830" cy="320040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Palatino Linotype" panose="02040502050505030304" pitchFamily="18" charset="0"/>
            </a:rPr>
            <a:t>Outcomes</a:t>
          </a:r>
        </a:p>
      </dsp:txBody>
      <dsp:txXfrm>
        <a:off x="4840009" y="0"/>
        <a:ext cx="1499830" cy="960120"/>
      </dsp:txXfrm>
    </dsp:sp>
    <dsp:sp modelId="{C16C9A3F-913F-4131-BCC8-0E99F70E54A7}">
      <dsp:nvSpPr>
        <dsp:cNvPr id="0" name=""/>
        <dsp:cNvSpPr/>
      </dsp:nvSpPr>
      <dsp:spPr>
        <a:xfrm>
          <a:off x="4988464" y="960120"/>
          <a:ext cx="1199864" cy="2080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t" anchorCtr="0">
          <a:noAutofit/>
        </a:bodyPr>
        <a:lstStyle/>
        <a:p>
          <a:pPr marL="0" lvl="0" indent="0" algn="l" defTabSz="466725">
            <a:lnSpc>
              <a:spcPct val="90000"/>
            </a:lnSpc>
            <a:spcBef>
              <a:spcPct val="0"/>
            </a:spcBef>
            <a:spcAft>
              <a:spcPct val="35000"/>
            </a:spcAft>
            <a:buNone/>
          </a:pPr>
          <a:endParaRPr lang="en-US" sz="105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Alleviation or exacerbation of public problems</a:t>
          </a:r>
        </a:p>
      </dsp:txBody>
      <dsp:txXfrm>
        <a:off x="5023607" y="995263"/>
        <a:ext cx="1129578" cy="200997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ADDF7-9714-41E9-AAAF-3DD7BD3EAE1E}">
      <dsp:nvSpPr>
        <dsp:cNvPr id="0" name=""/>
        <dsp:cNvSpPr/>
      </dsp:nvSpPr>
      <dsp:spPr>
        <a:xfrm>
          <a:off x="1451" y="0"/>
          <a:ext cx="1424117" cy="311658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Palatino Linotype" panose="02040502050505030304" pitchFamily="18" charset="0"/>
            </a:rPr>
            <a:t>Politics</a:t>
          </a:r>
        </a:p>
      </dsp:txBody>
      <dsp:txXfrm>
        <a:off x="1451" y="0"/>
        <a:ext cx="1424117" cy="934974"/>
      </dsp:txXfrm>
    </dsp:sp>
    <dsp:sp modelId="{69382CC0-27D3-4281-87F9-EA41AF249B95}">
      <dsp:nvSpPr>
        <dsp:cNvPr id="0" name=""/>
        <dsp:cNvSpPr/>
      </dsp:nvSpPr>
      <dsp:spPr>
        <a:xfrm>
          <a:off x="143863" y="934974"/>
          <a:ext cx="1139294" cy="20257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Balance between political feasibility and efficiency          1) Whether it will be targeted or universal 2) Decision to make merit-based and increase the perceptions of deservingness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What is the causal story? Where does funding come from?</a:t>
          </a:r>
        </a:p>
      </dsp:txBody>
      <dsp:txXfrm>
        <a:off x="177232" y="968343"/>
        <a:ext cx="1072556" cy="1959039"/>
      </dsp:txXfrm>
    </dsp:sp>
    <dsp:sp modelId="{E8A73C91-A01D-4788-9E25-EB6622456EBA}">
      <dsp:nvSpPr>
        <dsp:cNvPr id="0" name=""/>
        <dsp:cNvSpPr/>
      </dsp:nvSpPr>
      <dsp:spPr>
        <a:xfrm>
          <a:off x="1532377" y="0"/>
          <a:ext cx="1424117" cy="311658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Palatino Linotype" panose="02040502050505030304" pitchFamily="18" charset="0"/>
            </a:rPr>
            <a:t>Statutory Design</a:t>
          </a:r>
        </a:p>
      </dsp:txBody>
      <dsp:txXfrm>
        <a:off x="1532377" y="0"/>
        <a:ext cx="1424117" cy="934974"/>
      </dsp:txXfrm>
    </dsp:sp>
    <dsp:sp modelId="{809B79D6-9593-4DBF-8AE7-E37F90C50ABB}">
      <dsp:nvSpPr>
        <dsp:cNvPr id="0" name=""/>
        <dsp:cNvSpPr/>
      </dsp:nvSpPr>
      <dsp:spPr>
        <a:xfrm>
          <a:off x="1674789" y="934974"/>
          <a:ext cx="1139294" cy="20257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Last-dollar or First-dollar</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Just tuition &amp; fees or tuition+?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Inclusion of student supports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Merit-based or need-based?</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Public or mixed funding?</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Stipulations to stay in-state/city? </a:t>
          </a:r>
        </a:p>
        <a:p>
          <a:pPr marL="57150" lvl="1" indent="-57150" algn="l" defTabSz="400050">
            <a:lnSpc>
              <a:spcPct val="90000"/>
            </a:lnSpc>
            <a:spcBef>
              <a:spcPct val="0"/>
            </a:spcBef>
            <a:spcAft>
              <a:spcPct val="15000"/>
            </a:spcAft>
            <a:buChar char="•"/>
          </a:pPr>
          <a:endParaRPr lang="en-US" sz="900" kern="1200">
            <a:latin typeface="Palatino Linotype" panose="02040502050505030304" pitchFamily="18" charset="0"/>
          </a:endParaRPr>
        </a:p>
      </dsp:txBody>
      <dsp:txXfrm>
        <a:off x="1708158" y="968343"/>
        <a:ext cx="1072556" cy="1959039"/>
      </dsp:txXfrm>
    </dsp:sp>
    <dsp:sp modelId="{F3097AA3-A434-4C9F-BF0F-91B78208E0C6}">
      <dsp:nvSpPr>
        <dsp:cNvPr id="0" name=""/>
        <dsp:cNvSpPr/>
      </dsp:nvSpPr>
      <dsp:spPr>
        <a:xfrm>
          <a:off x="3063304" y="0"/>
          <a:ext cx="1424117" cy="311658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Palatino Linotype" panose="02040502050505030304" pitchFamily="18" charset="0"/>
            </a:rPr>
            <a:t>Implementation</a:t>
          </a:r>
        </a:p>
      </dsp:txBody>
      <dsp:txXfrm>
        <a:off x="3063304" y="0"/>
        <a:ext cx="1424117" cy="934974"/>
      </dsp:txXfrm>
    </dsp:sp>
    <dsp:sp modelId="{D261ACC1-5DBD-4BD6-8DF7-3B1C73E0CEA9}">
      <dsp:nvSpPr>
        <dsp:cNvPr id="0" name=""/>
        <dsp:cNvSpPr/>
      </dsp:nvSpPr>
      <dsp:spPr>
        <a:xfrm>
          <a:off x="3205716" y="934974"/>
          <a:ext cx="1139294" cy="20257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1905" rIns="2540" bIns="1905" numCol="1" spcCol="1270" anchor="t" anchorCtr="0">
          <a:noAutofit/>
        </a:bodyPr>
        <a:lstStyle/>
        <a:p>
          <a:pPr marL="0" lvl="0" indent="0" algn="l" defTabSz="44450">
            <a:lnSpc>
              <a:spcPct val="90000"/>
            </a:lnSpc>
            <a:spcBef>
              <a:spcPct val="0"/>
            </a:spcBef>
            <a:spcAft>
              <a:spcPct val="35000"/>
            </a:spcAft>
            <a:buNone/>
          </a:pPr>
          <a:endParaRPr lang="en-US" sz="10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Communication by public officials to street-level bureaucrats (SLBs) of priorities &amp; goals</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Use of discretion by SLBs to advertise &amp; assist students in overcoming information, psychological, and compliance barriers (administrative burden)</a:t>
          </a:r>
        </a:p>
      </dsp:txBody>
      <dsp:txXfrm>
        <a:off x="3239085" y="968343"/>
        <a:ext cx="1072556" cy="1959039"/>
      </dsp:txXfrm>
    </dsp:sp>
    <dsp:sp modelId="{4BC53CC4-5D93-401E-BFDB-145C294F8DFD}">
      <dsp:nvSpPr>
        <dsp:cNvPr id="0" name=""/>
        <dsp:cNvSpPr/>
      </dsp:nvSpPr>
      <dsp:spPr>
        <a:xfrm>
          <a:off x="4595682" y="0"/>
          <a:ext cx="1424117" cy="311658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Palatino Linotype" panose="02040502050505030304" pitchFamily="18" charset="0"/>
            </a:rPr>
            <a:t>Outcomes</a:t>
          </a:r>
        </a:p>
      </dsp:txBody>
      <dsp:txXfrm>
        <a:off x="4595682" y="0"/>
        <a:ext cx="1424117" cy="934974"/>
      </dsp:txXfrm>
    </dsp:sp>
    <dsp:sp modelId="{C16C9A3F-913F-4131-BCC8-0E99F70E54A7}">
      <dsp:nvSpPr>
        <dsp:cNvPr id="0" name=""/>
        <dsp:cNvSpPr/>
      </dsp:nvSpPr>
      <dsp:spPr>
        <a:xfrm>
          <a:off x="4736642" y="934974"/>
          <a:ext cx="1139294" cy="20257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t" anchorCtr="0">
          <a:noAutofit/>
        </a:bodyPr>
        <a:lstStyle/>
        <a:p>
          <a:pPr marL="0" lvl="0" indent="0" algn="l" defTabSz="466725">
            <a:lnSpc>
              <a:spcPct val="90000"/>
            </a:lnSpc>
            <a:spcBef>
              <a:spcPct val="0"/>
            </a:spcBef>
            <a:spcAft>
              <a:spcPct val="35000"/>
            </a:spcAft>
            <a:buNone/>
          </a:pPr>
          <a:endParaRPr lang="en-US" sz="1050" kern="1200">
            <a:latin typeface="Palatino Linotype" panose="02040502050505030304" pitchFamily="18" charset="0"/>
          </a:endParaRP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Shifting college access and choice</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Changes in credits accumulated and retention</a:t>
          </a:r>
        </a:p>
        <a:p>
          <a:pPr marL="57150" lvl="1" indent="-57150" algn="l" defTabSz="400050">
            <a:lnSpc>
              <a:spcPct val="90000"/>
            </a:lnSpc>
            <a:spcBef>
              <a:spcPct val="0"/>
            </a:spcBef>
            <a:spcAft>
              <a:spcPct val="15000"/>
            </a:spcAft>
            <a:buChar char="•"/>
          </a:pPr>
          <a:r>
            <a:rPr lang="en-US" sz="900" kern="1200">
              <a:latin typeface="Palatino Linotype" panose="02040502050505030304" pitchFamily="18" charset="0"/>
            </a:rPr>
            <a:t>Increase in degree attainment?</a:t>
          </a:r>
        </a:p>
      </dsp:txBody>
      <dsp:txXfrm>
        <a:off x="4770011" y="968343"/>
        <a:ext cx="1072556" cy="195903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323E8-888E-49E6-94D3-E2954A2BA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236</Pages>
  <Words>152798</Words>
  <Characters>870955</Characters>
  <Application>Microsoft Office Word</Application>
  <DocSecurity>0</DocSecurity>
  <Lines>7257</Lines>
  <Paragraphs>2043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2019-07-22T20:19:00Z</dcterms:created>
  <dcterms:modified xsi:type="dcterms:W3CDTF">2019-07-23T16:41:00Z</dcterms:modified>
</cp:coreProperties>
</file>