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A6F40" w14:textId="28345D87" w:rsidR="00D725CC" w:rsidRPr="00D725CC" w:rsidRDefault="00D725CC" w:rsidP="00D725CC">
      <w:pPr>
        <w:pBdr>
          <w:top w:val="nil"/>
          <w:left w:val="nil"/>
          <w:bottom w:val="nil"/>
          <w:right w:val="nil"/>
          <w:between w:val="nil"/>
        </w:pBdr>
        <w:jc w:val="center"/>
        <w:rPr>
          <w:color w:val="000000"/>
          <w:sz w:val="20"/>
          <w:szCs w:val="20"/>
        </w:rPr>
      </w:pPr>
      <w:r w:rsidRPr="00D725CC">
        <w:rPr>
          <w:color w:val="000000"/>
          <w:sz w:val="20"/>
          <w:szCs w:val="20"/>
        </w:rPr>
        <w:t>UNIVERSITY OF OKLAHOMA</w:t>
      </w:r>
    </w:p>
    <w:p w14:paraId="05B769CE" w14:textId="77777777" w:rsidR="00D725CC" w:rsidRPr="00D725CC" w:rsidRDefault="00D725CC" w:rsidP="00D725CC">
      <w:pPr>
        <w:pBdr>
          <w:top w:val="nil"/>
          <w:left w:val="nil"/>
          <w:bottom w:val="nil"/>
          <w:right w:val="nil"/>
          <w:between w:val="nil"/>
        </w:pBdr>
        <w:jc w:val="center"/>
        <w:rPr>
          <w:color w:val="000000"/>
          <w:sz w:val="20"/>
          <w:szCs w:val="20"/>
        </w:rPr>
      </w:pPr>
    </w:p>
    <w:p w14:paraId="37FD86AC" w14:textId="5351D724" w:rsidR="00187849" w:rsidRPr="00D725CC" w:rsidRDefault="00D725CC" w:rsidP="00D725CC">
      <w:pPr>
        <w:pBdr>
          <w:top w:val="nil"/>
          <w:left w:val="nil"/>
          <w:bottom w:val="nil"/>
          <w:right w:val="nil"/>
          <w:between w:val="nil"/>
        </w:pBdr>
        <w:jc w:val="center"/>
        <w:rPr>
          <w:color w:val="000000"/>
          <w:sz w:val="20"/>
          <w:szCs w:val="20"/>
        </w:rPr>
      </w:pPr>
      <w:r w:rsidRPr="00D725CC">
        <w:rPr>
          <w:color w:val="000000"/>
          <w:sz w:val="20"/>
          <w:szCs w:val="20"/>
        </w:rPr>
        <w:t>GRADUATE COLLEGE</w:t>
      </w:r>
    </w:p>
    <w:p w14:paraId="14245093" w14:textId="77777777" w:rsidR="00187849" w:rsidRPr="00D725CC" w:rsidRDefault="00187849" w:rsidP="00D725CC">
      <w:pPr>
        <w:pBdr>
          <w:top w:val="nil"/>
          <w:left w:val="nil"/>
          <w:bottom w:val="nil"/>
          <w:right w:val="nil"/>
          <w:between w:val="nil"/>
        </w:pBdr>
        <w:tabs>
          <w:tab w:val="left" w:pos="9360"/>
        </w:tabs>
        <w:jc w:val="center"/>
        <w:rPr>
          <w:color w:val="000000"/>
          <w:sz w:val="20"/>
          <w:szCs w:val="20"/>
        </w:rPr>
      </w:pPr>
    </w:p>
    <w:p w14:paraId="5033D3F2" w14:textId="77777777" w:rsidR="00187849" w:rsidRPr="00D725CC" w:rsidRDefault="00187849" w:rsidP="00D725CC">
      <w:pPr>
        <w:pBdr>
          <w:top w:val="nil"/>
          <w:left w:val="nil"/>
          <w:bottom w:val="nil"/>
          <w:right w:val="nil"/>
          <w:between w:val="nil"/>
        </w:pBdr>
        <w:tabs>
          <w:tab w:val="left" w:pos="9360"/>
        </w:tabs>
        <w:jc w:val="center"/>
        <w:rPr>
          <w:color w:val="000000"/>
          <w:sz w:val="20"/>
          <w:szCs w:val="20"/>
        </w:rPr>
      </w:pPr>
    </w:p>
    <w:p w14:paraId="6F56BBC2" w14:textId="77777777" w:rsidR="00187849" w:rsidRPr="00D725CC" w:rsidRDefault="00187849" w:rsidP="00D725CC">
      <w:pPr>
        <w:pBdr>
          <w:top w:val="nil"/>
          <w:left w:val="nil"/>
          <w:bottom w:val="nil"/>
          <w:right w:val="nil"/>
          <w:between w:val="nil"/>
        </w:pBdr>
        <w:tabs>
          <w:tab w:val="left" w:pos="9360"/>
        </w:tabs>
        <w:jc w:val="center"/>
        <w:rPr>
          <w:color w:val="000000"/>
          <w:sz w:val="20"/>
          <w:szCs w:val="20"/>
        </w:rPr>
      </w:pPr>
    </w:p>
    <w:p w14:paraId="6D6E014D" w14:textId="77777777" w:rsidR="00187849" w:rsidRPr="00D725CC" w:rsidRDefault="00187849" w:rsidP="00D725CC">
      <w:pPr>
        <w:pBdr>
          <w:top w:val="nil"/>
          <w:left w:val="nil"/>
          <w:bottom w:val="nil"/>
          <w:right w:val="nil"/>
          <w:between w:val="nil"/>
        </w:pBdr>
        <w:tabs>
          <w:tab w:val="left" w:pos="9360"/>
        </w:tabs>
        <w:jc w:val="center"/>
        <w:rPr>
          <w:color w:val="000000"/>
          <w:sz w:val="20"/>
          <w:szCs w:val="20"/>
        </w:rPr>
      </w:pPr>
    </w:p>
    <w:p w14:paraId="3034E2AE" w14:textId="77777777" w:rsidR="00187849" w:rsidRPr="00D725CC" w:rsidRDefault="00187849" w:rsidP="00D725CC">
      <w:pPr>
        <w:pBdr>
          <w:top w:val="nil"/>
          <w:left w:val="nil"/>
          <w:bottom w:val="nil"/>
          <w:right w:val="nil"/>
          <w:between w:val="nil"/>
        </w:pBdr>
        <w:tabs>
          <w:tab w:val="left" w:pos="9360"/>
        </w:tabs>
        <w:jc w:val="center"/>
        <w:rPr>
          <w:color w:val="000000"/>
          <w:sz w:val="20"/>
          <w:szCs w:val="20"/>
        </w:rPr>
      </w:pPr>
    </w:p>
    <w:p w14:paraId="77E902DA" w14:textId="77777777" w:rsidR="00187849" w:rsidRPr="00D725CC" w:rsidRDefault="00187849" w:rsidP="00D725CC">
      <w:pPr>
        <w:pBdr>
          <w:top w:val="nil"/>
          <w:left w:val="nil"/>
          <w:bottom w:val="nil"/>
          <w:right w:val="nil"/>
          <w:between w:val="nil"/>
        </w:pBdr>
        <w:tabs>
          <w:tab w:val="left" w:pos="9360"/>
        </w:tabs>
        <w:jc w:val="center"/>
        <w:rPr>
          <w:color w:val="000000"/>
          <w:sz w:val="20"/>
          <w:szCs w:val="20"/>
        </w:rPr>
      </w:pPr>
    </w:p>
    <w:p w14:paraId="411F56A3" w14:textId="77777777" w:rsidR="00187849" w:rsidRPr="00D725CC" w:rsidRDefault="00187849" w:rsidP="00D725CC">
      <w:pPr>
        <w:pBdr>
          <w:top w:val="nil"/>
          <w:left w:val="nil"/>
          <w:bottom w:val="nil"/>
          <w:right w:val="nil"/>
          <w:between w:val="nil"/>
        </w:pBdr>
        <w:tabs>
          <w:tab w:val="left" w:pos="9360"/>
        </w:tabs>
        <w:jc w:val="center"/>
        <w:rPr>
          <w:color w:val="000000"/>
          <w:sz w:val="20"/>
          <w:szCs w:val="20"/>
        </w:rPr>
      </w:pPr>
    </w:p>
    <w:p w14:paraId="6A4B855A" w14:textId="77777777" w:rsidR="00187849" w:rsidRPr="00D725CC" w:rsidRDefault="00187849" w:rsidP="00D725CC">
      <w:pPr>
        <w:pBdr>
          <w:top w:val="nil"/>
          <w:left w:val="nil"/>
          <w:bottom w:val="nil"/>
          <w:right w:val="nil"/>
          <w:between w:val="nil"/>
        </w:pBdr>
        <w:tabs>
          <w:tab w:val="left" w:pos="9360"/>
        </w:tabs>
        <w:jc w:val="center"/>
        <w:rPr>
          <w:color w:val="000000"/>
          <w:sz w:val="20"/>
          <w:szCs w:val="20"/>
        </w:rPr>
      </w:pPr>
    </w:p>
    <w:p w14:paraId="6E47BB3D" w14:textId="77777777" w:rsidR="00187849" w:rsidRPr="00D725CC" w:rsidRDefault="00187849" w:rsidP="00D725CC">
      <w:pPr>
        <w:pBdr>
          <w:top w:val="nil"/>
          <w:left w:val="nil"/>
          <w:bottom w:val="nil"/>
          <w:right w:val="nil"/>
          <w:between w:val="nil"/>
        </w:pBdr>
        <w:tabs>
          <w:tab w:val="left" w:pos="9360"/>
        </w:tabs>
        <w:jc w:val="center"/>
        <w:rPr>
          <w:color w:val="000000"/>
          <w:sz w:val="20"/>
          <w:szCs w:val="20"/>
        </w:rPr>
      </w:pPr>
    </w:p>
    <w:p w14:paraId="50E7026E" w14:textId="77777777" w:rsidR="00187849" w:rsidRPr="00D725CC" w:rsidRDefault="00187849" w:rsidP="00D725CC">
      <w:pPr>
        <w:pBdr>
          <w:top w:val="nil"/>
          <w:left w:val="nil"/>
          <w:bottom w:val="nil"/>
          <w:right w:val="nil"/>
          <w:between w:val="nil"/>
        </w:pBdr>
        <w:tabs>
          <w:tab w:val="left" w:pos="9360"/>
        </w:tabs>
        <w:spacing w:before="1"/>
        <w:jc w:val="center"/>
        <w:rPr>
          <w:color w:val="000000"/>
          <w:sz w:val="16"/>
          <w:szCs w:val="16"/>
        </w:rPr>
      </w:pPr>
    </w:p>
    <w:p w14:paraId="495505C2" w14:textId="77777777" w:rsidR="00187849" w:rsidRPr="00D725CC" w:rsidRDefault="00D06FD2" w:rsidP="00D725CC">
      <w:pPr>
        <w:tabs>
          <w:tab w:val="left" w:pos="9360"/>
        </w:tabs>
        <w:spacing w:before="90"/>
        <w:jc w:val="center"/>
      </w:pPr>
      <w:r w:rsidRPr="00D725CC">
        <w:t>Exercise-Induced Cognitive Decline: Exploring the Role of Pain Catastrophizing</w:t>
      </w:r>
    </w:p>
    <w:p w14:paraId="5DCACE79" w14:textId="77777777" w:rsidR="00187849" w:rsidRPr="00D725CC" w:rsidRDefault="00187849" w:rsidP="00D725CC">
      <w:pPr>
        <w:pBdr>
          <w:top w:val="nil"/>
          <w:left w:val="nil"/>
          <w:bottom w:val="nil"/>
          <w:right w:val="nil"/>
          <w:between w:val="nil"/>
        </w:pBdr>
        <w:tabs>
          <w:tab w:val="left" w:pos="9360"/>
        </w:tabs>
        <w:jc w:val="center"/>
        <w:rPr>
          <w:color w:val="000000"/>
          <w:sz w:val="26"/>
          <w:szCs w:val="26"/>
        </w:rPr>
      </w:pPr>
    </w:p>
    <w:p w14:paraId="485FE07B" w14:textId="77777777" w:rsidR="00187849" w:rsidRPr="00D725CC" w:rsidRDefault="00187849" w:rsidP="00D725CC">
      <w:pPr>
        <w:pBdr>
          <w:top w:val="nil"/>
          <w:left w:val="nil"/>
          <w:bottom w:val="nil"/>
          <w:right w:val="nil"/>
          <w:between w:val="nil"/>
        </w:pBdr>
        <w:tabs>
          <w:tab w:val="left" w:pos="9360"/>
        </w:tabs>
        <w:jc w:val="center"/>
        <w:rPr>
          <w:color w:val="000000"/>
          <w:sz w:val="26"/>
          <w:szCs w:val="26"/>
        </w:rPr>
      </w:pPr>
    </w:p>
    <w:p w14:paraId="2133B770" w14:textId="77777777" w:rsidR="00187849" w:rsidRPr="00D725CC" w:rsidRDefault="00187849" w:rsidP="00D725CC">
      <w:pPr>
        <w:pBdr>
          <w:top w:val="nil"/>
          <w:left w:val="nil"/>
          <w:bottom w:val="nil"/>
          <w:right w:val="nil"/>
          <w:between w:val="nil"/>
        </w:pBdr>
        <w:tabs>
          <w:tab w:val="left" w:pos="9360"/>
        </w:tabs>
        <w:jc w:val="center"/>
        <w:rPr>
          <w:color w:val="000000"/>
          <w:sz w:val="26"/>
          <w:szCs w:val="26"/>
        </w:rPr>
      </w:pPr>
    </w:p>
    <w:p w14:paraId="5810F49D" w14:textId="77777777" w:rsidR="00187849" w:rsidRPr="00D725CC" w:rsidRDefault="00187849" w:rsidP="00D725CC">
      <w:pPr>
        <w:pBdr>
          <w:top w:val="nil"/>
          <w:left w:val="nil"/>
          <w:bottom w:val="nil"/>
          <w:right w:val="nil"/>
          <w:between w:val="nil"/>
        </w:pBdr>
        <w:tabs>
          <w:tab w:val="left" w:pos="9360"/>
        </w:tabs>
        <w:jc w:val="center"/>
        <w:rPr>
          <w:color w:val="000000"/>
          <w:sz w:val="26"/>
          <w:szCs w:val="26"/>
        </w:rPr>
      </w:pPr>
    </w:p>
    <w:p w14:paraId="1D851C54" w14:textId="77777777" w:rsidR="00187849" w:rsidRPr="00D725CC" w:rsidRDefault="00187849" w:rsidP="00D725CC">
      <w:pPr>
        <w:pBdr>
          <w:top w:val="nil"/>
          <w:left w:val="nil"/>
          <w:bottom w:val="nil"/>
          <w:right w:val="nil"/>
          <w:between w:val="nil"/>
        </w:pBdr>
        <w:tabs>
          <w:tab w:val="left" w:pos="9360"/>
        </w:tabs>
        <w:jc w:val="center"/>
        <w:rPr>
          <w:color w:val="000000"/>
          <w:sz w:val="26"/>
          <w:szCs w:val="26"/>
        </w:rPr>
      </w:pPr>
    </w:p>
    <w:p w14:paraId="169C8E92" w14:textId="77777777" w:rsidR="00187849" w:rsidRPr="00D725CC" w:rsidRDefault="00187849" w:rsidP="00D725CC">
      <w:pPr>
        <w:pBdr>
          <w:top w:val="nil"/>
          <w:left w:val="nil"/>
          <w:bottom w:val="nil"/>
          <w:right w:val="nil"/>
          <w:between w:val="nil"/>
        </w:pBdr>
        <w:tabs>
          <w:tab w:val="left" w:pos="9360"/>
        </w:tabs>
        <w:jc w:val="center"/>
        <w:rPr>
          <w:color w:val="000000"/>
          <w:sz w:val="38"/>
          <w:szCs w:val="38"/>
        </w:rPr>
      </w:pPr>
    </w:p>
    <w:p w14:paraId="527458FF" w14:textId="1AD9881C" w:rsidR="00D725CC" w:rsidRPr="00D725CC" w:rsidRDefault="00D725CC" w:rsidP="00D725CC">
      <w:pPr>
        <w:tabs>
          <w:tab w:val="left" w:pos="9360"/>
        </w:tabs>
        <w:jc w:val="center"/>
      </w:pPr>
      <w:r w:rsidRPr="00D725CC">
        <w:t>A DISSERTATION</w:t>
      </w:r>
    </w:p>
    <w:p w14:paraId="535886CC" w14:textId="77777777" w:rsidR="00D725CC" w:rsidRPr="00D725CC" w:rsidRDefault="00D725CC" w:rsidP="00D725CC">
      <w:pPr>
        <w:tabs>
          <w:tab w:val="left" w:pos="9360"/>
        </w:tabs>
        <w:jc w:val="center"/>
      </w:pPr>
    </w:p>
    <w:p w14:paraId="00E397BF" w14:textId="77777777" w:rsidR="00D725CC" w:rsidRPr="00D725CC" w:rsidRDefault="00D725CC" w:rsidP="00D725CC">
      <w:pPr>
        <w:tabs>
          <w:tab w:val="left" w:pos="9360"/>
        </w:tabs>
        <w:jc w:val="center"/>
      </w:pPr>
      <w:r w:rsidRPr="00D725CC">
        <w:t>SUBMITTED TO THE GRADUATE FACULTY</w:t>
      </w:r>
    </w:p>
    <w:p w14:paraId="643678FF" w14:textId="77777777" w:rsidR="00D725CC" w:rsidRPr="00D725CC" w:rsidRDefault="00D725CC" w:rsidP="00D725CC">
      <w:pPr>
        <w:tabs>
          <w:tab w:val="left" w:pos="9360"/>
        </w:tabs>
        <w:jc w:val="center"/>
      </w:pPr>
    </w:p>
    <w:p w14:paraId="3CB17F49" w14:textId="6F000882" w:rsidR="00D725CC" w:rsidRPr="00D725CC" w:rsidRDefault="00D725CC" w:rsidP="00D725CC">
      <w:pPr>
        <w:tabs>
          <w:tab w:val="left" w:pos="9360"/>
        </w:tabs>
        <w:jc w:val="center"/>
      </w:pPr>
      <w:r w:rsidRPr="00D725CC">
        <w:t>in partial fulfillment of the requirements for the</w:t>
      </w:r>
    </w:p>
    <w:p w14:paraId="3BFAE691" w14:textId="77777777" w:rsidR="00D725CC" w:rsidRPr="00D725CC" w:rsidRDefault="00D725CC" w:rsidP="00D725CC">
      <w:pPr>
        <w:tabs>
          <w:tab w:val="left" w:pos="9360"/>
        </w:tabs>
        <w:jc w:val="center"/>
      </w:pPr>
    </w:p>
    <w:p w14:paraId="0F163888" w14:textId="771163AC" w:rsidR="00187849" w:rsidRPr="00D725CC" w:rsidRDefault="00D725CC" w:rsidP="00D725CC">
      <w:pPr>
        <w:tabs>
          <w:tab w:val="left" w:pos="9360"/>
        </w:tabs>
        <w:jc w:val="center"/>
      </w:pPr>
      <w:r w:rsidRPr="00D725CC">
        <w:t>Degree of</w:t>
      </w:r>
    </w:p>
    <w:p w14:paraId="1CBFA6F3" w14:textId="77777777" w:rsidR="00D725CC" w:rsidRPr="00D725CC" w:rsidRDefault="00D725CC" w:rsidP="00D725CC">
      <w:pPr>
        <w:tabs>
          <w:tab w:val="left" w:pos="9360"/>
        </w:tabs>
        <w:jc w:val="center"/>
      </w:pPr>
    </w:p>
    <w:p w14:paraId="22C40A0A" w14:textId="7E66D5CE" w:rsidR="00D725CC" w:rsidRPr="00D725CC" w:rsidRDefault="0015010B" w:rsidP="00D725CC">
      <w:pPr>
        <w:tabs>
          <w:tab w:val="left" w:pos="9360"/>
        </w:tabs>
        <w:jc w:val="center"/>
      </w:pPr>
      <w:r>
        <w:t>DOCTOR OF PHILOSOPHY</w:t>
      </w:r>
    </w:p>
    <w:p w14:paraId="62836370" w14:textId="77777777" w:rsidR="00187849" w:rsidRPr="00D725CC" w:rsidRDefault="00187849" w:rsidP="00D725CC">
      <w:pPr>
        <w:pBdr>
          <w:top w:val="nil"/>
          <w:left w:val="nil"/>
          <w:bottom w:val="nil"/>
          <w:right w:val="nil"/>
          <w:between w:val="nil"/>
        </w:pBdr>
        <w:tabs>
          <w:tab w:val="left" w:pos="9360"/>
        </w:tabs>
        <w:jc w:val="center"/>
        <w:rPr>
          <w:color w:val="000000"/>
          <w:sz w:val="26"/>
          <w:szCs w:val="26"/>
        </w:rPr>
      </w:pPr>
    </w:p>
    <w:p w14:paraId="658ABC11" w14:textId="77777777" w:rsidR="00187849" w:rsidRPr="00D725CC" w:rsidRDefault="00187849" w:rsidP="00D725CC">
      <w:pPr>
        <w:pBdr>
          <w:top w:val="nil"/>
          <w:left w:val="nil"/>
          <w:bottom w:val="nil"/>
          <w:right w:val="nil"/>
          <w:between w:val="nil"/>
        </w:pBdr>
        <w:tabs>
          <w:tab w:val="left" w:pos="9360"/>
        </w:tabs>
        <w:jc w:val="center"/>
        <w:rPr>
          <w:color w:val="000000"/>
          <w:sz w:val="26"/>
          <w:szCs w:val="26"/>
        </w:rPr>
      </w:pPr>
    </w:p>
    <w:p w14:paraId="165DC619" w14:textId="77777777" w:rsidR="00187849" w:rsidRPr="00D725CC" w:rsidRDefault="00187849" w:rsidP="00D725CC">
      <w:pPr>
        <w:pBdr>
          <w:top w:val="nil"/>
          <w:left w:val="nil"/>
          <w:bottom w:val="nil"/>
          <w:right w:val="nil"/>
          <w:between w:val="nil"/>
        </w:pBdr>
        <w:tabs>
          <w:tab w:val="left" w:pos="9360"/>
        </w:tabs>
        <w:jc w:val="center"/>
        <w:rPr>
          <w:color w:val="000000"/>
          <w:sz w:val="26"/>
          <w:szCs w:val="26"/>
        </w:rPr>
      </w:pPr>
    </w:p>
    <w:p w14:paraId="26857278" w14:textId="77777777" w:rsidR="00187849" w:rsidRPr="00D725CC" w:rsidRDefault="00187849" w:rsidP="00D725CC">
      <w:pPr>
        <w:pBdr>
          <w:top w:val="nil"/>
          <w:left w:val="nil"/>
          <w:bottom w:val="nil"/>
          <w:right w:val="nil"/>
          <w:between w:val="nil"/>
        </w:pBdr>
        <w:tabs>
          <w:tab w:val="left" w:pos="9360"/>
        </w:tabs>
        <w:jc w:val="center"/>
        <w:rPr>
          <w:color w:val="000000"/>
          <w:sz w:val="26"/>
          <w:szCs w:val="26"/>
        </w:rPr>
      </w:pPr>
    </w:p>
    <w:p w14:paraId="47D30971" w14:textId="5B9B2A61" w:rsidR="00D725CC" w:rsidRPr="00D725CC" w:rsidRDefault="00D725CC" w:rsidP="00D725CC">
      <w:pPr>
        <w:tabs>
          <w:tab w:val="left" w:pos="9360"/>
        </w:tabs>
        <w:spacing w:before="184" w:line="480" w:lineRule="auto"/>
        <w:jc w:val="center"/>
      </w:pPr>
      <w:r w:rsidRPr="00D725CC">
        <w:t>By</w:t>
      </w:r>
    </w:p>
    <w:p w14:paraId="7CA5482B" w14:textId="720F0A47" w:rsidR="00D725CC" w:rsidRPr="00D725CC" w:rsidRDefault="00D725CC" w:rsidP="00D725CC">
      <w:pPr>
        <w:tabs>
          <w:tab w:val="left" w:pos="9360"/>
        </w:tabs>
        <w:contextualSpacing/>
        <w:jc w:val="center"/>
      </w:pPr>
      <w:r w:rsidRPr="00D725CC">
        <w:t xml:space="preserve">MADISON </w:t>
      </w:r>
      <w:r w:rsidR="0015010B">
        <w:t xml:space="preserve">L. </w:t>
      </w:r>
      <w:r w:rsidRPr="00D725CC">
        <w:t>JOHNSTON</w:t>
      </w:r>
    </w:p>
    <w:p w14:paraId="7351EB1D" w14:textId="3A16180C" w:rsidR="00D725CC" w:rsidRPr="00D725CC" w:rsidRDefault="00D06FD2" w:rsidP="00D725CC">
      <w:pPr>
        <w:tabs>
          <w:tab w:val="left" w:pos="9360"/>
        </w:tabs>
        <w:contextualSpacing/>
        <w:jc w:val="center"/>
      </w:pPr>
      <w:r w:rsidRPr="00D725CC">
        <w:t>Norman, Oklahoma</w:t>
      </w:r>
    </w:p>
    <w:p w14:paraId="26BF913D" w14:textId="77777777" w:rsidR="00187849" w:rsidRPr="00D725CC" w:rsidRDefault="00D06FD2" w:rsidP="00D725CC">
      <w:pPr>
        <w:tabs>
          <w:tab w:val="left" w:pos="9360"/>
        </w:tabs>
        <w:contextualSpacing/>
        <w:jc w:val="center"/>
      </w:pPr>
      <w:r w:rsidRPr="00D725CC">
        <w:t>2024</w:t>
      </w:r>
    </w:p>
    <w:p w14:paraId="6060E33B" w14:textId="77777777" w:rsidR="007C4AC6" w:rsidRDefault="007C4AC6" w:rsidP="00D725CC">
      <w:pPr>
        <w:ind w:left="720" w:right="1066"/>
        <w:contextualSpacing/>
        <w:jc w:val="center"/>
        <w:rPr>
          <w:b/>
        </w:rPr>
      </w:pPr>
    </w:p>
    <w:p w14:paraId="06C1FCF5" w14:textId="77777777" w:rsidR="007C4AC6" w:rsidRDefault="007C4AC6" w:rsidP="00D725CC">
      <w:pPr>
        <w:ind w:left="720" w:right="1066"/>
        <w:contextualSpacing/>
        <w:jc w:val="center"/>
        <w:rPr>
          <w:b/>
        </w:rPr>
      </w:pPr>
    </w:p>
    <w:p w14:paraId="01BBB7D2" w14:textId="77777777" w:rsidR="007C4AC6" w:rsidRDefault="007C4AC6" w:rsidP="00D725CC">
      <w:pPr>
        <w:ind w:left="720" w:right="1066"/>
        <w:contextualSpacing/>
        <w:jc w:val="center"/>
        <w:rPr>
          <w:b/>
        </w:rPr>
      </w:pPr>
    </w:p>
    <w:p w14:paraId="7E044DA6" w14:textId="77777777" w:rsidR="007C4AC6" w:rsidRDefault="007C4AC6" w:rsidP="00D725CC">
      <w:pPr>
        <w:ind w:left="720" w:right="1066"/>
        <w:contextualSpacing/>
        <w:jc w:val="center"/>
        <w:rPr>
          <w:b/>
        </w:rPr>
      </w:pPr>
    </w:p>
    <w:p w14:paraId="13D95820" w14:textId="77777777" w:rsidR="007C4AC6" w:rsidRDefault="007C4AC6" w:rsidP="00D725CC">
      <w:pPr>
        <w:ind w:left="720" w:right="1066"/>
        <w:contextualSpacing/>
        <w:jc w:val="center"/>
        <w:rPr>
          <w:b/>
        </w:rPr>
      </w:pPr>
    </w:p>
    <w:p w14:paraId="24CCA5D2" w14:textId="77777777" w:rsidR="007C4AC6" w:rsidRDefault="007C4AC6" w:rsidP="00D725CC">
      <w:pPr>
        <w:ind w:left="720" w:right="1066"/>
        <w:contextualSpacing/>
        <w:jc w:val="center"/>
        <w:rPr>
          <w:b/>
        </w:rPr>
      </w:pPr>
    </w:p>
    <w:p w14:paraId="45C7725B" w14:textId="77777777" w:rsidR="007C4AC6" w:rsidRDefault="007C4AC6" w:rsidP="00D725CC">
      <w:pPr>
        <w:spacing w:before="90"/>
        <w:jc w:val="center"/>
        <w:rPr>
          <w:b/>
        </w:rPr>
        <w:sectPr w:rsidR="007C4AC6" w:rsidSect="00D725C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0" w:footer="1085" w:gutter="0"/>
          <w:pgNumType w:start="1"/>
          <w:cols w:space="720"/>
          <w:docGrid w:linePitch="326"/>
        </w:sectPr>
      </w:pPr>
    </w:p>
    <w:p w14:paraId="4207ED8A" w14:textId="5A3A8027" w:rsidR="00D725CC" w:rsidRPr="00D725CC" w:rsidRDefault="00D725CC" w:rsidP="007C4AC6">
      <w:pPr>
        <w:spacing w:before="90"/>
        <w:jc w:val="center"/>
        <w:rPr>
          <w:bCs/>
        </w:rPr>
      </w:pPr>
      <w:r w:rsidRPr="00D725CC">
        <w:rPr>
          <w:bCs/>
        </w:rPr>
        <w:lastRenderedPageBreak/>
        <w:t>Exercise-Induced Cognitive Decline: Exploring the Role of Pain Catastrophizing</w:t>
      </w:r>
    </w:p>
    <w:p w14:paraId="453097FB" w14:textId="77777777" w:rsidR="00D725CC" w:rsidRPr="00D725CC" w:rsidRDefault="00D725CC" w:rsidP="00D725CC">
      <w:pPr>
        <w:pBdr>
          <w:top w:val="nil"/>
          <w:left w:val="nil"/>
          <w:bottom w:val="nil"/>
          <w:right w:val="nil"/>
          <w:between w:val="nil"/>
        </w:pBdr>
        <w:rPr>
          <w:bCs/>
          <w:color w:val="000000"/>
          <w:sz w:val="26"/>
          <w:szCs w:val="26"/>
        </w:rPr>
      </w:pPr>
    </w:p>
    <w:p w14:paraId="744351A5" w14:textId="77777777" w:rsidR="00D725CC" w:rsidRPr="00D725CC" w:rsidRDefault="00D725CC" w:rsidP="00D725CC">
      <w:pPr>
        <w:pBdr>
          <w:top w:val="nil"/>
          <w:left w:val="nil"/>
          <w:bottom w:val="nil"/>
          <w:right w:val="nil"/>
          <w:between w:val="nil"/>
        </w:pBdr>
        <w:rPr>
          <w:bCs/>
          <w:color w:val="000000"/>
          <w:sz w:val="26"/>
          <w:szCs w:val="26"/>
        </w:rPr>
      </w:pPr>
    </w:p>
    <w:p w14:paraId="55A0227F" w14:textId="77777777" w:rsidR="00D725CC" w:rsidRPr="00D725CC" w:rsidRDefault="00D725CC" w:rsidP="00D725CC">
      <w:pPr>
        <w:pBdr>
          <w:top w:val="nil"/>
          <w:left w:val="nil"/>
          <w:bottom w:val="nil"/>
          <w:right w:val="nil"/>
          <w:between w:val="nil"/>
        </w:pBdr>
        <w:rPr>
          <w:bCs/>
          <w:color w:val="000000"/>
          <w:sz w:val="26"/>
          <w:szCs w:val="26"/>
        </w:rPr>
      </w:pPr>
    </w:p>
    <w:p w14:paraId="7B585034" w14:textId="77777777" w:rsidR="00D725CC" w:rsidRPr="00D725CC" w:rsidRDefault="00D725CC" w:rsidP="00D725CC">
      <w:pPr>
        <w:pBdr>
          <w:top w:val="nil"/>
          <w:left w:val="nil"/>
          <w:bottom w:val="nil"/>
          <w:right w:val="nil"/>
          <w:between w:val="nil"/>
        </w:pBdr>
        <w:rPr>
          <w:bCs/>
          <w:color w:val="000000"/>
          <w:sz w:val="26"/>
          <w:szCs w:val="26"/>
        </w:rPr>
      </w:pPr>
    </w:p>
    <w:p w14:paraId="0609D494" w14:textId="77777777" w:rsidR="00D725CC" w:rsidRPr="00D725CC" w:rsidRDefault="00D725CC" w:rsidP="00D725CC">
      <w:pPr>
        <w:pBdr>
          <w:top w:val="nil"/>
          <w:left w:val="nil"/>
          <w:bottom w:val="nil"/>
          <w:right w:val="nil"/>
          <w:between w:val="nil"/>
        </w:pBdr>
        <w:rPr>
          <w:bCs/>
          <w:color w:val="000000"/>
          <w:sz w:val="26"/>
          <w:szCs w:val="26"/>
        </w:rPr>
      </w:pPr>
    </w:p>
    <w:p w14:paraId="422CE4A4" w14:textId="77777777" w:rsidR="00D725CC" w:rsidRPr="00D725CC" w:rsidRDefault="00D725CC" w:rsidP="00D725CC">
      <w:pPr>
        <w:pBdr>
          <w:top w:val="nil"/>
          <w:left w:val="nil"/>
          <w:bottom w:val="nil"/>
          <w:right w:val="nil"/>
          <w:between w:val="nil"/>
        </w:pBdr>
        <w:rPr>
          <w:bCs/>
          <w:color w:val="000000"/>
          <w:sz w:val="38"/>
          <w:szCs w:val="38"/>
        </w:rPr>
      </w:pPr>
    </w:p>
    <w:p w14:paraId="4F4C4E3B" w14:textId="0BD09FE8" w:rsidR="00D725CC" w:rsidRPr="00D725CC" w:rsidRDefault="00D725CC" w:rsidP="00D725CC">
      <w:pPr>
        <w:ind w:left="1182" w:right="1144"/>
        <w:jc w:val="center"/>
        <w:rPr>
          <w:bCs/>
        </w:rPr>
      </w:pPr>
      <w:r w:rsidRPr="00D725CC">
        <w:rPr>
          <w:bCs/>
        </w:rPr>
        <w:t xml:space="preserve">A DISSERTATION APPROVED FOR THE DEPARTMENT </w:t>
      </w:r>
      <w:r w:rsidR="00CE155C">
        <w:rPr>
          <w:bCs/>
        </w:rPr>
        <w:t>OF PSYCHOLOGY</w:t>
      </w:r>
    </w:p>
    <w:p w14:paraId="3D62016E" w14:textId="77777777" w:rsidR="00D725CC" w:rsidRPr="00D725CC" w:rsidRDefault="00D725CC" w:rsidP="00D725CC">
      <w:pPr>
        <w:ind w:left="1182" w:right="1144"/>
        <w:jc w:val="center"/>
        <w:rPr>
          <w:bCs/>
        </w:rPr>
      </w:pPr>
    </w:p>
    <w:p w14:paraId="4F667EFA" w14:textId="77777777" w:rsidR="00D725CC" w:rsidRPr="00D725CC" w:rsidRDefault="00D725CC" w:rsidP="00D725CC">
      <w:pPr>
        <w:ind w:left="1182" w:right="1144"/>
        <w:jc w:val="center"/>
        <w:rPr>
          <w:bCs/>
        </w:rPr>
      </w:pPr>
    </w:p>
    <w:p w14:paraId="7795B108" w14:textId="77777777" w:rsidR="00D725CC" w:rsidRPr="00D725CC" w:rsidRDefault="00D725CC" w:rsidP="00D725CC">
      <w:pPr>
        <w:ind w:left="1182" w:right="1144"/>
        <w:jc w:val="center"/>
        <w:rPr>
          <w:bCs/>
        </w:rPr>
      </w:pPr>
    </w:p>
    <w:p w14:paraId="7FA4DF13" w14:textId="77777777" w:rsidR="00D725CC" w:rsidRPr="00D725CC" w:rsidRDefault="00D725CC" w:rsidP="00D725CC">
      <w:pPr>
        <w:ind w:left="1182" w:right="1144"/>
        <w:jc w:val="center"/>
        <w:rPr>
          <w:bCs/>
        </w:rPr>
      </w:pPr>
    </w:p>
    <w:p w14:paraId="1A8F3B76" w14:textId="77777777" w:rsidR="00D725CC" w:rsidRPr="00D725CC" w:rsidRDefault="00D725CC" w:rsidP="00D725CC">
      <w:pPr>
        <w:ind w:left="1182" w:right="1144"/>
        <w:jc w:val="center"/>
        <w:rPr>
          <w:bCs/>
        </w:rPr>
      </w:pPr>
    </w:p>
    <w:p w14:paraId="1540F3D1" w14:textId="77777777" w:rsidR="00D725CC" w:rsidRPr="00D725CC" w:rsidRDefault="00D725CC" w:rsidP="00D725CC">
      <w:pPr>
        <w:ind w:left="1182" w:right="1144"/>
        <w:jc w:val="center"/>
        <w:rPr>
          <w:bCs/>
        </w:rPr>
      </w:pPr>
    </w:p>
    <w:p w14:paraId="24138784" w14:textId="5050079A" w:rsidR="00D725CC" w:rsidRPr="00D725CC" w:rsidRDefault="00D725CC" w:rsidP="00D725CC">
      <w:pPr>
        <w:ind w:left="1182" w:right="1144"/>
        <w:jc w:val="center"/>
        <w:rPr>
          <w:bCs/>
        </w:rPr>
      </w:pPr>
      <w:r w:rsidRPr="00D725CC">
        <w:rPr>
          <w:bCs/>
        </w:rPr>
        <w:t>BY THE COMMITTEE CONSISTING OF</w:t>
      </w:r>
    </w:p>
    <w:p w14:paraId="7E1978B0" w14:textId="77777777" w:rsidR="00D725CC" w:rsidRPr="00D725CC" w:rsidRDefault="00D725CC" w:rsidP="00D725CC">
      <w:pPr>
        <w:ind w:left="1182" w:right="1144"/>
        <w:jc w:val="center"/>
        <w:rPr>
          <w:bCs/>
        </w:rPr>
      </w:pPr>
    </w:p>
    <w:p w14:paraId="27069C89" w14:textId="77777777" w:rsidR="00D725CC" w:rsidRPr="00D725CC" w:rsidRDefault="00D725CC" w:rsidP="00D725CC">
      <w:pPr>
        <w:ind w:left="1182" w:right="1144"/>
        <w:jc w:val="center"/>
        <w:rPr>
          <w:bCs/>
        </w:rPr>
      </w:pPr>
    </w:p>
    <w:p w14:paraId="517A68B3" w14:textId="77777777" w:rsidR="00D725CC" w:rsidRPr="00D725CC" w:rsidRDefault="00D725CC" w:rsidP="00D725CC">
      <w:pPr>
        <w:ind w:left="1182" w:right="1144"/>
        <w:jc w:val="center"/>
        <w:rPr>
          <w:bCs/>
        </w:rPr>
      </w:pPr>
    </w:p>
    <w:p w14:paraId="4E28419E" w14:textId="77777777" w:rsidR="00D725CC" w:rsidRPr="00D725CC" w:rsidRDefault="00D725CC" w:rsidP="00D725CC">
      <w:pPr>
        <w:ind w:left="1182" w:right="1144"/>
        <w:jc w:val="center"/>
        <w:rPr>
          <w:bCs/>
        </w:rPr>
      </w:pPr>
    </w:p>
    <w:p w14:paraId="7AB1CAA9" w14:textId="77777777" w:rsidR="00D725CC" w:rsidRPr="00D725CC" w:rsidRDefault="00D725CC" w:rsidP="00D725CC">
      <w:pPr>
        <w:ind w:left="1182" w:right="1144"/>
        <w:jc w:val="center"/>
        <w:rPr>
          <w:bCs/>
        </w:rPr>
      </w:pPr>
    </w:p>
    <w:p w14:paraId="76B0F99A" w14:textId="77777777" w:rsidR="00D725CC" w:rsidRPr="00D725CC" w:rsidRDefault="00D725CC" w:rsidP="00D725CC">
      <w:pPr>
        <w:ind w:left="1182" w:right="1144"/>
        <w:jc w:val="center"/>
        <w:rPr>
          <w:bCs/>
        </w:rPr>
      </w:pPr>
    </w:p>
    <w:p w14:paraId="6F8A042C" w14:textId="77777777" w:rsidR="00D725CC" w:rsidRPr="00D725CC" w:rsidRDefault="00D725CC" w:rsidP="00D725CC">
      <w:pPr>
        <w:ind w:left="1182" w:right="1144"/>
        <w:jc w:val="center"/>
        <w:rPr>
          <w:bCs/>
        </w:rPr>
      </w:pPr>
    </w:p>
    <w:p w14:paraId="49AC91E1" w14:textId="77777777" w:rsidR="00D725CC" w:rsidRPr="00D725CC" w:rsidRDefault="00D725CC" w:rsidP="00D725CC">
      <w:pPr>
        <w:ind w:left="1182" w:right="1144"/>
        <w:jc w:val="center"/>
        <w:rPr>
          <w:bCs/>
        </w:rPr>
      </w:pPr>
    </w:p>
    <w:p w14:paraId="54B992F1" w14:textId="77777777" w:rsidR="00D725CC" w:rsidRPr="00D725CC" w:rsidRDefault="00D725CC" w:rsidP="00D725CC">
      <w:pPr>
        <w:ind w:left="1182" w:right="1144"/>
        <w:jc w:val="center"/>
        <w:rPr>
          <w:bCs/>
        </w:rPr>
      </w:pPr>
    </w:p>
    <w:p w14:paraId="6652D64E" w14:textId="77777777" w:rsidR="008B4197" w:rsidRDefault="008B4197" w:rsidP="00D725CC">
      <w:pPr>
        <w:ind w:left="1182" w:right="1144"/>
        <w:jc w:val="center"/>
        <w:rPr>
          <w:bCs/>
        </w:rPr>
      </w:pPr>
    </w:p>
    <w:p w14:paraId="43F71030" w14:textId="77777777" w:rsidR="008B4197" w:rsidRDefault="008B4197" w:rsidP="00D725CC">
      <w:pPr>
        <w:ind w:left="1182" w:right="1144"/>
        <w:jc w:val="center"/>
        <w:rPr>
          <w:bCs/>
        </w:rPr>
      </w:pPr>
    </w:p>
    <w:p w14:paraId="427622E6" w14:textId="77777777" w:rsidR="008B4197" w:rsidRDefault="008B4197" w:rsidP="00D725CC">
      <w:pPr>
        <w:ind w:left="1182" w:right="1144"/>
        <w:jc w:val="center"/>
        <w:rPr>
          <w:bCs/>
        </w:rPr>
      </w:pPr>
    </w:p>
    <w:p w14:paraId="217BD6BC" w14:textId="77777777" w:rsidR="008B4197" w:rsidRPr="00D725CC" w:rsidRDefault="008B4197" w:rsidP="00D725CC">
      <w:pPr>
        <w:ind w:left="1182" w:right="1144"/>
        <w:jc w:val="center"/>
        <w:rPr>
          <w:bCs/>
        </w:rPr>
      </w:pPr>
    </w:p>
    <w:p w14:paraId="00B5D689" w14:textId="77777777" w:rsidR="00D725CC" w:rsidRPr="00D725CC" w:rsidRDefault="00D725CC" w:rsidP="00D725CC">
      <w:pPr>
        <w:ind w:left="1182" w:right="1144"/>
        <w:jc w:val="center"/>
        <w:rPr>
          <w:bCs/>
        </w:rPr>
      </w:pPr>
    </w:p>
    <w:p w14:paraId="5D2F11BD" w14:textId="77777777" w:rsidR="00D725CC" w:rsidRPr="00D725CC" w:rsidRDefault="00D725CC" w:rsidP="00D725CC">
      <w:pPr>
        <w:ind w:left="1182" w:right="1144"/>
        <w:jc w:val="center"/>
        <w:rPr>
          <w:bCs/>
        </w:rPr>
      </w:pPr>
    </w:p>
    <w:p w14:paraId="08E0CF9B" w14:textId="66633677" w:rsidR="00D725CC" w:rsidRPr="00D725CC" w:rsidRDefault="00D725CC" w:rsidP="00D725CC">
      <w:pPr>
        <w:ind w:left="1182"/>
        <w:jc w:val="right"/>
        <w:rPr>
          <w:bCs/>
        </w:rPr>
      </w:pPr>
      <w:r w:rsidRPr="00D725CC">
        <w:rPr>
          <w:bCs/>
        </w:rPr>
        <w:t xml:space="preserve">Dr. Eugenia </w:t>
      </w:r>
      <w:proofErr w:type="spellStart"/>
      <w:r w:rsidRPr="00D725CC">
        <w:rPr>
          <w:bCs/>
        </w:rPr>
        <w:t>Fuenzalida</w:t>
      </w:r>
      <w:proofErr w:type="spellEnd"/>
      <w:r w:rsidR="001D25D7">
        <w:rPr>
          <w:bCs/>
        </w:rPr>
        <w:t>, Chair</w:t>
      </w:r>
    </w:p>
    <w:p w14:paraId="255AFCC8" w14:textId="77777777" w:rsidR="00D725CC" w:rsidRPr="00D725CC" w:rsidRDefault="00D725CC" w:rsidP="00D725CC">
      <w:pPr>
        <w:ind w:left="1182"/>
        <w:jc w:val="right"/>
        <w:rPr>
          <w:bCs/>
        </w:rPr>
      </w:pPr>
    </w:p>
    <w:p w14:paraId="0A6198FE" w14:textId="121B2124" w:rsidR="00D725CC" w:rsidRPr="00D725CC" w:rsidRDefault="00D725CC" w:rsidP="00D725CC">
      <w:pPr>
        <w:ind w:left="1182"/>
        <w:jc w:val="right"/>
        <w:rPr>
          <w:bCs/>
        </w:rPr>
      </w:pPr>
      <w:r w:rsidRPr="00D725CC">
        <w:rPr>
          <w:bCs/>
        </w:rPr>
        <w:t>Dr. Christopher Black</w:t>
      </w:r>
    </w:p>
    <w:p w14:paraId="59A66C60" w14:textId="77777777" w:rsidR="00D725CC" w:rsidRPr="00D725CC" w:rsidRDefault="00D725CC" w:rsidP="00D725CC">
      <w:pPr>
        <w:ind w:left="1182"/>
        <w:jc w:val="right"/>
        <w:rPr>
          <w:bCs/>
        </w:rPr>
      </w:pPr>
    </w:p>
    <w:p w14:paraId="5F56417F" w14:textId="5F721ACB" w:rsidR="00D725CC" w:rsidRPr="00D725CC" w:rsidRDefault="00D725CC" w:rsidP="00D725CC">
      <w:pPr>
        <w:ind w:left="1182"/>
        <w:jc w:val="right"/>
        <w:rPr>
          <w:bCs/>
        </w:rPr>
      </w:pPr>
      <w:r w:rsidRPr="00D725CC">
        <w:rPr>
          <w:bCs/>
        </w:rPr>
        <w:t>Dr. Erin Freeman</w:t>
      </w:r>
    </w:p>
    <w:p w14:paraId="1FE00E67" w14:textId="77777777" w:rsidR="00D725CC" w:rsidRPr="00D725CC" w:rsidRDefault="00D725CC" w:rsidP="00D725CC">
      <w:pPr>
        <w:ind w:left="1182"/>
        <w:jc w:val="right"/>
        <w:rPr>
          <w:bCs/>
        </w:rPr>
      </w:pPr>
    </w:p>
    <w:p w14:paraId="0594B0C8" w14:textId="4E45A6E3" w:rsidR="00D725CC" w:rsidRPr="00D725CC" w:rsidRDefault="00D725CC" w:rsidP="00D725CC">
      <w:pPr>
        <w:ind w:left="1182"/>
        <w:jc w:val="right"/>
        <w:rPr>
          <w:bCs/>
        </w:rPr>
      </w:pPr>
      <w:r w:rsidRPr="00D725CC">
        <w:rPr>
          <w:bCs/>
        </w:rPr>
        <w:t>Dr. Lauren Ethridge</w:t>
      </w:r>
    </w:p>
    <w:p w14:paraId="68579D66" w14:textId="77777777" w:rsidR="00D725CC" w:rsidRPr="00D725CC" w:rsidRDefault="00D725CC" w:rsidP="00D725CC">
      <w:pPr>
        <w:ind w:left="1182"/>
        <w:jc w:val="right"/>
        <w:rPr>
          <w:bCs/>
        </w:rPr>
      </w:pPr>
    </w:p>
    <w:p w14:paraId="65A182C0" w14:textId="6841135A" w:rsidR="00D725CC" w:rsidRDefault="00D725CC" w:rsidP="00D725CC">
      <w:pPr>
        <w:ind w:left="1182"/>
        <w:jc w:val="right"/>
        <w:rPr>
          <w:bCs/>
        </w:rPr>
      </w:pPr>
      <w:r w:rsidRPr="00D725CC">
        <w:rPr>
          <w:bCs/>
        </w:rPr>
        <w:t>Dr. Randa Shehab</w:t>
      </w:r>
    </w:p>
    <w:p w14:paraId="178F5AEC" w14:textId="77777777" w:rsidR="00850348" w:rsidRDefault="00850348" w:rsidP="00D725CC">
      <w:pPr>
        <w:ind w:left="1182"/>
        <w:jc w:val="right"/>
        <w:rPr>
          <w:bCs/>
        </w:rPr>
      </w:pPr>
    </w:p>
    <w:p w14:paraId="643623DE" w14:textId="77777777" w:rsidR="00850348" w:rsidRDefault="00850348" w:rsidP="00D725CC">
      <w:pPr>
        <w:ind w:left="1182"/>
        <w:jc w:val="right"/>
        <w:rPr>
          <w:bCs/>
        </w:rPr>
        <w:sectPr w:rsidR="00850348" w:rsidSect="00D725CC">
          <w:pgSz w:w="12240" w:h="15840"/>
          <w:pgMar w:top="1440" w:right="1440" w:bottom="1440" w:left="1440" w:header="0" w:footer="1085" w:gutter="0"/>
          <w:pgNumType w:start="1"/>
          <w:cols w:space="720"/>
          <w:docGrid w:linePitch="326"/>
        </w:sectPr>
      </w:pPr>
    </w:p>
    <w:p w14:paraId="185ADC2E" w14:textId="77777777" w:rsidR="00850348" w:rsidRDefault="00850348" w:rsidP="00D725CC">
      <w:pPr>
        <w:ind w:left="1182"/>
        <w:jc w:val="right"/>
        <w:rPr>
          <w:bCs/>
        </w:rPr>
      </w:pPr>
    </w:p>
    <w:p w14:paraId="7947DB56" w14:textId="77777777" w:rsidR="00850348" w:rsidRDefault="00850348" w:rsidP="00D725CC">
      <w:pPr>
        <w:ind w:left="1182"/>
        <w:jc w:val="right"/>
        <w:rPr>
          <w:bCs/>
        </w:rPr>
      </w:pPr>
    </w:p>
    <w:p w14:paraId="5C606C49" w14:textId="77777777" w:rsidR="00850348" w:rsidRDefault="00850348" w:rsidP="00D725CC">
      <w:pPr>
        <w:ind w:left="1182"/>
        <w:jc w:val="right"/>
        <w:rPr>
          <w:bCs/>
        </w:rPr>
      </w:pPr>
    </w:p>
    <w:p w14:paraId="5A0D8DAD" w14:textId="77777777" w:rsidR="00850348" w:rsidRDefault="00850348" w:rsidP="00D725CC">
      <w:pPr>
        <w:ind w:left="1182"/>
        <w:jc w:val="right"/>
        <w:rPr>
          <w:bCs/>
        </w:rPr>
      </w:pPr>
    </w:p>
    <w:p w14:paraId="2499DAE0" w14:textId="77777777" w:rsidR="00850348" w:rsidRDefault="00850348" w:rsidP="00D725CC">
      <w:pPr>
        <w:ind w:left="1182"/>
        <w:jc w:val="right"/>
        <w:rPr>
          <w:bCs/>
        </w:rPr>
      </w:pPr>
    </w:p>
    <w:p w14:paraId="55561263" w14:textId="77777777" w:rsidR="00850348" w:rsidRDefault="00850348" w:rsidP="00D725CC">
      <w:pPr>
        <w:ind w:left="1182"/>
        <w:jc w:val="right"/>
        <w:rPr>
          <w:bCs/>
        </w:rPr>
      </w:pPr>
    </w:p>
    <w:p w14:paraId="0C2BED54" w14:textId="77777777" w:rsidR="00850348" w:rsidRDefault="00850348" w:rsidP="00D725CC">
      <w:pPr>
        <w:ind w:left="1182"/>
        <w:jc w:val="right"/>
        <w:rPr>
          <w:bCs/>
        </w:rPr>
      </w:pPr>
    </w:p>
    <w:p w14:paraId="031BE28C" w14:textId="77777777" w:rsidR="00850348" w:rsidRDefault="00850348" w:rsidP="00D725CC">
      <w:pPr>
        <w:ind w:left="1182"/>
        <w:jc w:val="right"/>
        <w:rPr>
          <w:bCs/>
        </w:rPr>
      </w:pPr>
    </w:p>
    <w:p w14:paraId="17D7A03A" w14:textId="77777777" w:rsidR="00850348" w:rsidRDefault="00850348" w:rsidP="00D725CC">
      <w:pPr>
        <w:ind w:left="1182"/>
        <w:jc w:val="right"/>
        <w:rPr>
          <w:bCs/>
        </w:rPr>
      </w:pPr>
    </w:p>
    <w:p w14:paraId="67AD4638" w14:textId="77777777" w:rsidR="00850348" w:rsidRDefault="00850348" w:rsidP="00D725CC">
      <w:pPr>
        <w:ind w:left="1182"/>
        <w:jc w:val="right"/>
        <w:rPr>
          <w:bCs/>
        </w:rPr>
      </w:pPr>
    </w:p>
    <w:p w14:paraId="2AD5696A" w14:textId="77777777" w:rsidR="00850348" w:rsidRDefault="00850348" w:rsidP="00D725CC">
      <w:pPr>
        <w:ind w:left="1182"/>
        <w:jc w:val="right"/>
        <w:rPr>
          <w:bCs/>
        </w:rPr>
      </w:pPr>
    </w:p>
    <w:p w14:paraId="3DA3FABB" w14:textId="77777777" w:rsidR="00850348" w:rsidRDefault="00850348" w:rsidP="00D725CC">
      <w:pPr>
        <w:ind w:left="1182"/>
        <w:jc w:val="right"/>
        <w:rPr>
          <w:bCs/>
        </w:rPr>
      </w:pPr>
    </w:p>
    <w:p w14:paraId="05A28847" w14:textId="77777777" w:rsidR="00850348" w:rsidRDefault="00850348" w:rsidP="00D725CC">
      <w:pPr>
        <w:ind w:left="1182"/>
        <w:jc w:val="right"/>
        <w:rPr>
          <w:bCs/>
        </w:rPr>
      </w:pPr>
    </w:p>
    <w:p w14:paraId="4CD1081E" w14:textId="77777777" w:rsidR="00850348" w:rsidRDefault="00850348" w:rsidP="00850348">
      <w:pPr>
        <w:jc w:val="center"/>
        <w:rPr>
          <w:bCs/>
        </w:rPr>
      </w:pPr>
    </w:p>
    <w:p w14:paraId="3FB6E086" w14:textId="77777777" w:rsidR="00850348" w:rsidRDefault="00850348" w:rsidP="00850348">
      <w:pPr>
        <w:jc w:val="center"/>
        <w:rPr>
          <w:bCs/>
        </w:rPr>
      </w:pPr>
    </w:p>
    <w:p w14:paraId="00526D36" w14:textId="77777777" w:rsidR="00850348" w:rsidRDefault="00850348" w:rsidP="00850348">
      <w:pPr>
        <w:jc w:val="center"/>
        <w:rPr>
          <w:bCs/>
        </w:rPr>
      </w:pPr>
    </w:p>
    <w:p w14:paraId="73083FE2" w14:textId="77777777" w:rsidR="00850348" w:rsidRDefault="00850348" w:rsidP="00850348">
      <w:pPr>
        <w:jc w:val="center"/>
        <w:rPr>
          <w:bCs/>
        </w:rPr>
      </w:pPr>
    </w:p>
    <w:p w14:paraId="5A2392AB" w14:textId="77777777" w:rsidR="00850348" w:rsidRDefault="00850348" w:rsidP="00850348">
      <w:pPr>
        <w:jc w:val="center"/>
        <w:rPr>
          <w:bCs/>
        </w:rPr>
      </w:pPr>
    </w:p>
    <w:p w14:paraId="24076F7B" w14:textId="77777777" w:rsidR="00850348" w:rsidRDefault="00850348" w:rsidP="00850348">
      <w:pPr>
        <w:jc w:val="center"/>
        <w:rPr>
          <w:bCs/>
        </w:rPr>
      </w:pPr>
    </w:p>
    <w:p w14:paraId="30FD209B" w14:textId="77777777" w:rsidR="00850348" w:rsidRDefault="00850348" w:rsidP="00850348">
      <w:pPr>
        <w:jc w:val="center"/>
        <w:rPr>
          <w:bCs/>
        </w:rPr>
      </w:pPr>
    </w:p>
    <w:p w14:paraId="05AFB395" w14:textId="77777777" w:rsidR="00850348" w:rsidRDefault="00850348" w:rsidP="00850348">
      <w:pPr>
        <w:jc w:val="center"/>
        <w:rPr>
          <w:bCs/>
        </w:rPr>
      </w:pPr>
    </w:p>
    <w:p w14:paraId="62D47B11" w14:textId="77777777" w:rsidR="00850348" w:rsidRDefault="00850348" w:rsidP="00850348">
      <w:pPr>
        <w:jc w:val="center"/>
        <w:rPr>
          <w:bCs/>
        </w:rPr>
      </w:pPr>
    </w:p>
    <w:p w14:paraId="7A2FD54A" w14:textId="77777777" w:rsidR="00850348" w:rsidRDefault="00850348" w:rsidP="00850348">
      <w:pPr>
        <w:jc w:val="center"/>
        <w:rPr>
          <w:bCs/>
        </w:rPr>
      </w:pPr>
    </w:p>
    <w:p w14:paraId="2DD39ABA" w14:textId="77777777" w:rsidR="00850348" w:rsidRDefault="00850348" w:rsidP="00850348">
      <w:pPr>
        <w:jc w:val="center"/>
        <w:rPr>
          <w:bCs/>
        </w:rPr>
      </w:pPr>
    </w:p>
    <w:p w14:paraId="1D9593EF" w14:textId="77777777" w:rsidR="00850348" w:rsidRDefault="00850348" w:rsidP="00850348">
      <w:pPr>
        <w:jc w:val="center"/>
        <w:rPr>
          <w:bCs/>
        </w:rPr>
      </w:pPr>
    </w:p>
    <w:p w14:paraId="03AF6181" w14:textId="77777777" w:rsidR="00850348" w:rsidRDefault="00850348" w:rsidP="00850348">
      <w:pPr>
        <w:jc w:val="center"/>
        <w:rPr>
          <w:bCs/>
        </w:rPr>
      </w:pPr>
    </w:p>
    <w:p w14:paraId="7368615B" w14:textId="77777777" w:rsidR="00850348" w:rsidRDefault="00850348" w:rsidP="00850348">
      <w:pPr>
        <w:jc w:val="center"/>
        <w:rPr>
          <w:bCs/>
        </w:rPr>
      </w:pPr>
    </w:p>
    <w:p w14:paraId="7F1034E4" w14:textId="77777777" w:rsidR="00850348" w:rsidRDefault="00850348" w:rsidP="00850348">
      <w:pPr>
        <w:jc w:val="center"/>
        <w:rPr>
          <w:bCs/>
        </w:rPr>
      </w:pPr>
    </w:p>
    <w:p w14:paraId="30A7B9B9" w14:textId="77777777" w:rsidR="00850348" w:rsidRDefault="00850348" w:rsidP="00850348">
      <w:pPr>
        <w:jc w:val="center"/>
        <w:rPr>
          <w:bCs/>
        </w:rPr>
      </w:pPr>
    </w:p>
    <w:p w14:paraId="0C2B4E50" w14:textId="77777777" w:rsidR="00850348" w:rsidRDefault="00850348" w:rsidP="00850348">
      <w:pPr>
        <w:jc w:val="center"/>
        <w:rPr>
          <w:bCs/>
        </w:rPr>
      </w:pPr>
    </w:p>
    <w:p w14:paraId="550676DB" w14:textId="77777777" w:rsidR="00850348" w:rsidRDefault="00850348" w:rsidP="00850348">
      <w:pPr>
        <w:jc w:val="center"/>
        <w:rPr>
          <w:bCs/>
        </w:rPr>
      </w:pPr>
    </w:p>
    <w:p w14:paraId="56313E1A" w14:textId="77777777" w:rsidR="00850348" w:rsidRDefault="00850348" w:rsidP="00850348">
      <w:pPr>
        <w:jc w:val="center"/>
        <w:rPr>
          <w:bCs/>
        </w:rPr>
      </w:pPr>
    </w:p>
    <w:p w14:paraId="3652CF0E" w14:textId="77777777" w:rsidR="00850348" w:rsidRDefault="00850348" w:rsidP="00850348">
      <w:pPr>
        <w:jc w:val="center"/>
        <w:rPr>
          <w:bCs/>
        </w:rPr>
      </w:pPr>
    </w:p>
    <w:p w14:paraId="5FCCA483" w14:textId="77777777" w:rsidR="00850348" w:rsidRDefault="00850348" w:rsidP="00850348">
      <w:pPr>
        <w:jc w:val="center"/>
        <w:rPr>
          <w:bCs/>
        </w:rPr>
      </w:pPr>
    </w:p>
    <w:p w14:paraId="74EC1297" w14:textId="77777777" w:rsidR="00850348" w:rsidRDefault="00850348" w:rsidP="00850348">
      <w:pPr>
        <w:jc w:val="center"/>
        <w:rPr>
          <w:bCs/>
        </w:rPr>
      </w:pPr>
    </w:p>
    <w:p w14:paraId="44150102" w14:textId="77777777" w:rsidR="00850348" w:rsidRDefault="00850348" w:rsidP="00850348">
      <w:pPr>
        <w:jc w:val="center"/>
        <w:rPr>
          <w:bCs/>
        </w:rPr>
      </w:pPr>
    </w:p>
    <w:p w14:paraId="188E7A6D" w14:textId="77777777" w:rsidR="00850348" w:rsidRDefault="00850348" w:rsidP="00850348">
      <w:pPr>
        <w:jc w:val="center"/>
        <w:rPr>
          <w:bCs/>
        </w:rPr>
      </w:pPr>
    </w:p>
    <w:p w14:paraId="4534934B" w14:textId="77777777" w:rsidR="00850348" w:rsidRDefault="00850348" w:rsidP="00850348">
      <w:pPr>
        <w:jc w:val="center"/>
        <w:rPr>
          <w:bCs/>
        </w:rPr>
      </w:pPr>
    </w:p>
    <w:p w14:paraId="5B2296FD" w14:textId="77777777" w:rsidR="00850348" w:rsidRDefault="00850348" w:rsidP="00850348">
      <w:pPr>
        <w:jc w:val="center"/>
        <w:rPr>
          <w:bCs/>
        </w:rPr>
      </w:pPr>
    </w:p>
    <w:p w14:paraId="7A497433" w14:textId="77777777" w:rsidR="00850348" w:rsidRDefault="00850348" w:rsidP="00850348">
      <w:pPr>
        <w:jc w:val="center"/>
        <w:rPr>
          <w:bCs/>
        </w:rPr>
      </w:pPr>
    </w:p>
    <w:p w14:paraId="4C2281C0" w14:textId="77777777" w:rsidR="00850348" w:rsidRDefault="00850348" w:rsidP="00850348">
      <w:pPr>
        <w:jc w:val="center"/>
        <w:rPr>
          <w:bCs/>
        </w:rPr>
      </w:pPr>
    </w:p>
    <w:p w14:paraId="258F85C6" w14:textId="77777777" w:rsidR="00850348" w:rsidRDefault="00850348" w:rsidP="00850348">
      <w:pPr>
        <w:jc w:val="center"/>
        <w:rPr>
          <w:bCs/>
        </w:rPr>
      </w:pPr>
    </w:p>
    <w:p w14:paraId="53AF554E" w14:textId="77777777" w:rsidR="00850348" w:rsidRDefault="00850348" w:rsidP="00850348">
      <w:pPr>
        <w:jc w:val="center"/>
        <w:rPr>
          <w:bCs/>
        </w:rPr>
      </w:pPr>
    </w:p>
    <w:p w14:paraId="50413ECC" w14:textId="77777777" w:rsidR="00850348" w:rsidRPr="00D725CC" w:rsidRDefault="00850348" w:rsidP="00850348">
      <w:pPr>
        <w:jc w:val="center"/>
        <w:rPr>
          <w:bCs/>
        </w:rPr>
      </w:pPr>
    </w:p>
    <w:p w14:paraId="3A0B081F" w14:textId="1F481F8F" w:rsidR="00850348" w:rsidRPr="00850348" w:rsidRDefault="00850348" w:rsidP="00850348">
      <w:pPr>
        <w:pBdr>
          <w:top w:val="nil"/>
          <w:left w:val="nil"/>
          <w:bottom w:val="nil"/>
          <w:right w:val="nil"/>
          <w:between w:val="nil"/>
        </w:pBdr>
        <w:jc w:val="center"/>
        <w:rPr>
          <w:bCs/>
          <w:color w:val="000000"/>
          <w:sz w:val="26"/>
          <w:szCs w:val="26"/>
        </w:rPr>
      </w:pPr>
      <w:r w:rsidRPr="00850348">
        <w:rPr>
          <w:bCs/>
          <w:color w:val="000000"/>
          <w:sz w:val="26"/>
          <w:szCs w:val="26"/>
        </w:rPr>
        <w:t>©</w:t>
      </w:r>
      <w:r w:rsidRPr="00850348">
        <w:rPr>
          <w:b/>
          <w:color w:val="000000"/>
          <w:sz w:val="26"/>
          <w:szCs w:val="26"/>
        </w:rPr>
        <w:t xml:space="preserve"> </w:t>
      </w:r>
      <w:r w:rsidRPr="00850348">
        <w:rPr>
          <w:bCs/>
          <w:color w:val="000000"/>
          <w:sz w:val="26"/>
          <w:szCs w:val="26"/>
        </w:rPr>
        <w:t xml:space="preserve">Copyright by </w:t>
      </w:r>
      <w:r>
        <w:rPr>
          <w:bCs/>
          <w:color w:val="000000"/>
          <w:sz w:val="26"/>
          <w:szCs w:val="26"/>
        </w:rPr>
        <w:t xml:space="preserve">MADISON </w:t>
      </w:r>
      <w:r w:rsidR="0015010B">
        <w:rPr>
          <w:bCs/>
          <w:color w:val="000000"/>
          <w:sz w:val="26"/>
          <w:szCs w:val="26"/>
        </w:rPr>
        <w:t xml:space="preserve">L. </w:t>
      </w:r>
      <w:r>
        <w:rPr>
          <w:bCs/>
          <w:color w:val="000000"/>
          <w:sz w:val="26"/>
          <w:szCs w:val="26"/>
        </w:rPr>
        <w:t>JOHNSTON</w:t>
      </w:r>
      <w:r w:rsidRPr="00850348">
        <w:rPr>
          <w:bCs/>
          <w:color w:val="000000"/>
          <w:sz w:val="26"/>
          <w:szCs w:val="26"/>
        </w:rPr>
        <w:t xml:space="preserve"> </w:t>
      </w:r>
      <w:r>
        <w:rPr>
          <w:bCs/>
          <w:color w:val="000000"/>
          <w:sz w:val="26"/>
          <w:szCs w:val="26"/>
        </w:rPr>
        <w:t>2024</w:t>
      </w:r>
      <w:r w:rsidRPr="00850348">
        <w:rPr>
          <w:bCs/>
          <w:color w:val="000000"/>
          <w:sz w:val="26"/>
          <w:szCs w:val="26"/>
        </w:rPr>
        <w:t xml:space="preserve"> </w:t>
      </w:r>
    </w:p>
    <w:p w14:paraId="512D01EE" w14:textId="77777777" w:rsidR="007C4AC6" w:rsidRDefault="00850348" w:rsidP="00850348">
      <w:pPr>
        <w:pBdr>
          <w:top w:val="nil"/>
          <w:left w:val="nil"/>
          <w:bottom w:val="nil"/>
          <w:right w:val="nil"/>
          <w:between w:val="nil"/>
        </w:pBdr>
        <w:jc w:val="center"/>
        <w:rPr>
          <w:bCs/>
          <w:color w:val="000000"/>
          <w:sz w:val="26"/>
          <w:szCs w:val="26"/>
        </w:rPr>
        <w:sectPr w:rsidR="007C4AC6" w:rsidSect="00850348">
          <w:headerReference w:type="default" r:id="rId16"/>
          <w:pgSz w:w="12240" w:h="15840"/>
          <w:pgMar w:top="1440" w:right="1440" w:bottom="1440" w:left="1440" w:header="0" w:footer="1085" w:gutter="0"/>
          <w:cols w:space="720"/>
          <w:docGrid w:linePitch="326"/>
        </w:sectPr>
      </w:pPr>
      <w:r w:rsidRPr="00850348">
        <w:rPr>
          <w:bCs/>
          <w:color w:val="000000"/>
          <w:sz w:val="26"/>
          <w:szCs w:val="26"/>
        </w:rPr>
        <w:t>All Rights Reserved.</w:t>
      </w:r>
    </w:p>
    <w:p w14:paraId="51002F9F" w14:textId="77777777" w:rsidR="00DD1CCE" w:rsidRDefault="00DD1CCE" w:rsidP="007C4AC6">
      <w:pPr>
        <w:pBdr>
          <w:top w:val="nil"/>
          <w:left w:val="nil"/>
          <w:bottom w:val="nil"/>
          <w:right w:val="nil"/>
          <w:between w:val="nil"/>
        </w:pBdr>
        <w:jc w:val="center"/>
        <w:rPr>
          <w:b/>
        </w:rPr>
      </w:pPr>
      <w:r>
        <w:rPr>
          <w:b/>
        </w:rPr>
        <w:lastRenderedPageBreak/>
        <w:t>Table of Contents</w:t>
      </w:r>
    </w:p>
    <w:p w14:paraId="7B00F9E1" w14:textId="77777777" w:rsidR="004219F5" w:rsidRDefault="004219F5" w:rsidP="007C4AC6">
      <w:pPr>
        <w:pBdr>
          <w:top w:val="nil"/>
          <w:left w:val="nil"/>
          <w:bottom w:val="nil"/>
          <w:right w:val="nil"/>
          <w:between w:val="nil"/>
        </w:pBdr>
        <w:jc w:val="center"/>
        <w:rPr>
          <w:b/>
        </w:rPr>
      </w:pPr>
    </w:p>
    <w:tbl>
      <w:tblPr>
        <w:tblStyle w:val="TableGrid"/>
        <w:tblW w:w="8910" w:type="dxa"/>
        <w:tblInd w:w="265" w:type="dxa"/>
        <w:tblLook w:val="04A0" w:firstRow="1" w:lastRow="0" w:firstColumn="1" w:lastColumn="0" w:noHBand="0" w:noVBand="1"/>
      </w:tblPr>
      <w:tblGrid>
        <w:gridCol w:w="8275"/>
        <w:gridCol w:w="635"/>
      </w:tblGrid>
      <w:tr w:rsidR="004219F5" w:rsidRPr="00543EEC" w14:paraId="40853324" w14:textId="77777777" w:rsidTr="00CE155C">
        <w:tc>
          <w:tcPr>
            <w:tcW w:w="8275" w:type="dxa"/>
          </w:tcPr>
          <w:p w14:paraId="3649C65E" w14:textId="77777777" w:rsidR="004219F5" w:rsidRPr="009472F7" w:rsidRDefault="004219F5" w:rsidP="007D430F">
            <w:pPr>
              <w:contextualSpacing/>
              <w:jc w:val="both"/>
              <w:rPr>
                <w:bCs/>
                <w:sz w:val="20"/>
                <w:szCs w:val="20"/>
              </w:rPr>
            </w:pPr>
            <w:r w:rsidRPr="009472F7">
              <w:rPr>
                <w:bCs/>
                <w:sz w:val="20"/>
                <w:szCs w:val="20"/>
              </w:rPr>
              <w:t>Abstract</w:t>
            </w:r>
          </w:p>
        </w:tc>
        <w:tc>
          <w:tcPr>
            <w:tcW w:w="635" w:type="dxa"/>
          </w:tcPr>
          <w:p w14:paraId="474BC303" w14:textId="77777777" w:rsidR="004219F5" w:rsidRPr="00543EEC" w:rsidRDefault="004219F5" w:rsidP="007D430F">
            <w:pPr>
              <w:contextualSpacing/>
              <w:jc w:val="both"/>
              <w:rPr>
                <w:bCs/>
                <w:sz w:val="20"/>
                <w:szCs w:val="20"/>
              </w:rPr>
            </w:pPr>
            <w:r>
              <w:rPr>
                <w:bCs/>
                <w:sz w:val="20"/>
                <w:szCs w:val="20"/>
              </w:rPr>
              <w:t>v</w:t>
            </w:r>
          </w:p>
        </w:tc>
      </w:tr>
      <w:tr w:rsidR="004219F5" w:rsidRPr="00543EEC" w14:paraId="7F867868" w14:textId="77777777" w:rsidTr="00CE155C">
        <w:tc>
          <w:tcPr>
            <w:tcW w:w="8275" w:type="dxa"/>
          </w:tcPr>
          <w:p w14:paraId="5107B8E1" w14:textId="77777777" w:rsidR="004219F5" w:rsidRPr="009472F7" w:rsidRDefault="004219F5" w:rsidP="007D430F">
            <w:pPr>
              <w:contextualSpacing/>
              <w:jc w:val="both"/>
              <w:rPr>
                <w:bCs/>
                <w:sz w:val="20"/>
                <w:szCs w:val="20"/>
              </w:rPr>
            </w:pPr>
            <w:r w:rsidRPr="009472F7">
              <w:rPr>
                <w:bCs/>
                <w:sz w:val="20"/>
                <w:szCs w:val="20"/>
              </w:rPr>
              <w:t>Introduction</w:t>
            </w:r>
          </w:p>
        </w:tc>
        <w:tc>
          <w:tcPr>
            <w:tcW w:w="635" w:type="dxa"/>
          </w:tcPr>
          <w:p w14:paraId="304C708C" w14:textId="77777777" w:rsidR="004219F5" w:rsidRPr="00543EEC" w:rsidRDefault="004219F5" w:rsidP="007D430F">
            <w:pPr>
              <w:contextualSpacing/>
              <w:jc w:val="both"/>
              <w:rPr>
                <w:bCs/>
                <w:sz w:val="20"/>
                <w:szCs w:val="20"/>
              </w:rPr>
            </w:pPr>
            <w:r>
              <w:rPr>
                <w:bCs/>
                <w:sz w:val="20"/>
                <w:szCs w:val="20"/>
              </w:rPr>
              <w:t>1</w:t>
            </w:r>
          </w:p>
        </w:tc>
      </w:tr>
      <w:tr w:rsidR="004219F5" w:rsidRPr="00543EEC" w14:paraId="12250996" w14:textId="77777777" w:rsidTr="00CE155C">
        <w:tc>
          <w:tcPr>
            <w:tcW w:w="8275" w:type="dxa"/>
          </w:tcPr>
          <w:p w14:paraId="64C62DE8" w14:textId="77777777" w:rsidR="004219F5" w:rsidRPr="009472F7" w:rsidRDefault="004219F5" w:rsidP="007D430F">
            <w:pPr>
              <w:ind w:left="341"/>
              <w:contextualSpacing/>
              <w:jc w:val="both"/>
              <w:rPr>
                <w:bCs/>
                <w:sz w:val="20"/>
                <w:szCs w:val="20"/>
              </w:rPr>
            </w:pPr>
            <w:r w:rsidRPr="009472F7">
              <w:rPr>
                <w:bCs/>
                <w:sz w:val="20"/>
                <w:szCs w:val="20"/>
              </w:rPr>
              <w:t xml:space="preserve">Cognition </w:t>
            </w:r>
            <w:r>
              <w:rPr>
                <w:bCs/>
                <w:sz w:val="20"/>
                <w:szCs w:val="20"/>
              </w:rPr>
              <w:t xml:space="preserve">During </w:t>
            </w:r>
            <w:r w:rsidRPr="009472F7">
              <w:rPr>
                <w:bCs/>
                <w:sz w:val="20"/>
                <w:szCs w:val="20"/>
              </w:rPr>
              <w:t>Exercise: The Importance of Specificity</w:t>
            </w:r>
          </w:p>
        </w:tc>
        <w:tc>
          <w:tcPr>
            <w:tcW w:w="635" w:type="dxa"/>
          </w:tcPr>
          <w:p w14:paraId="21DC0E80" w14:textId="77777777" w:rsidR="004219F5" w:rsidRPr="00543EEC" w:rsidRDefault="004219F5" w:rsidP="007D430F">
            <w:pPr>
              <w:contextualSpacing/>
              <w:jc w:val="both"/>
              <w:rPr>
                <w:bCs/>
                <w:sz w:val="20"/>
                <w:szCs w:val="20"/>
              </w:rPr>
            </w:pPr>
            <w:r>
              <w:rPr>
                <w:bCs/>
                <w:sz w:val="20"/>
                <w:szCs w:val="20"/>
              </w:rPr>
              <w:t>1</w:t>
            </w:r>
          </w:p>
        </w:tc>
      </w:tr>
      <w:tr w:rsidR="004219F5" w:rsidRPr="00543EEC" w14:paraId="34BD0322" w14:textId="77777777" w:rsidTr="00CE155C">
        <w:tc>
          <w:tcPr>
            <w:tcW w:w="8275" w:type="dxa"/>
          </w:tcPr>
          <w:p w14:paraId="31ED851A" w14:textId="77777777" w:rsidR="004219F5" w:rsidRPr="009472F7" w:rsidRDefault="004219F5" w:rsidP="007D430F">
            <w:pPr>
              <w:ind w:left="701"/>
              <w:contextualSpacing/>
              <w:jc w:val="both"/>
              <w:rPr>
                <w:bCs/>
                <w:sz w:val="20"/>
                <w:szCs w:val="20"/>
              </w:rPr>
            </w:pPr>
            <w:r w:rsidRPr="009472F7">
              <w:rPr>
                <w:bCs/>
                <w:sz w:val="20"/>
                <w:szCs w:val="20"/>
              </w:rPr>
              <w:t>Executive Function</w:t>
            </w:r>
          </w:p>
        </w:tc>
        <w:tc>
          <w:tcPr>
            <w:tcW w:w="635" w:type="dxa"/>
          </w:tcPr>
          <w:p w14:paraId="00180679" w14:textId="77777777" w:rsidR="004219F5" w:rsidRPr="00543EEC" w:rsidRDefault="004219F5" w:rsidP="007D430F">
            <w:pPr>
              <w:contextualSpacing/>
              <w:jc w:val="both"/>
              <w:rPr>
                <w:bCs/>
                <w:sz w:val="20"/>
                <w:szCs w:val="20"/>
              </w:rPr>
            </w:pPr>
            <w:r>
              <w:rPr>
                <w:bCs/>
                <w:sz w:val="20"/>
                <w:szCs w:val="20"/>
              </w:rPr>
              <w:t>1</w:t>
            </w:r>
          </w:p>
        </w:tc>
      </w:tr>
      <w:tr w:rsidR="004219F5" w:rsidRPr="00543EEC" w14:paraId="05E3EC6C" w14:textId="77777777" w:rsidTr="00CE155C">
        <w:tc>
          <w:tcPr>
            <w:tcW w:w="8275" w:type="dxa"/>
          </w:tcPr>
          <w:p w14:paraId="522E0B84" w14:textId="77777777" w:rsidR="004219F5" w:rsidRPr="009472F7" w:rsidRDefault="004219F5" w:rsidP="007D430F">
            <w:pPr>
              <w:ind w:left="701"/>
              <w:contextualSpacing/>
              <w:jc w:val="both"/>
              <w:rPr>
                <w:bCs/>
                <w:sz w:val="20"/>
                <w:szCs w:val="20"/>
              </w:rPr>
            </w:pPr>
            <w:r w:rsidRPr="009472F7">
              <w:rPr>
                <w:bCs/>
                <w:sz w:val="20"/>
                <w:szCs w:val="20"/>
              </w:rPr>
              <w:t>Exercise Intensity</w:t>
            </w:r>
          </w:p>
        </w:tc>
        <w:tc>
          <w:tcPr>
            <w:tcW w:w="635" w:type="dxa"/>
          </w:tcPr>
          <w:p w14:paraId="4B7C981A" w14:textId="77777777" w:rsidR="004219F5" w:rsidRPr="00543EEC" w:rsidRDefault="004219F5" w:rsidP="007D430F">
            <w:pPr>
              <w:contextualSpacing/>
              <w:jc w:val="both"/>
              <w:rPr>
                <w:bCs/>
                <w:sz w:val="20"/>
                <w:szCs w:val="20"/>
              </w:rPr>
            </w:pPr>
            <w:r>
              <w:rPr>
                <w:bCs/>
                <w:sz w:val="20"/>
                <w:szCs w:val="20"/>
              </w:rPr>
              <w:t>2</w:t>
            </w:r>
          </w:p>
        </w:tc>
      </w:tr>
      <w:tr w:rsidR="004219F5" w:rsidRPr="00543EEC" w14:paraId="6BC3AA9F" w14:textId="77777777" w:rsidTr="00CE155C">
        <w:tc>
          <w:tcPr>
            <w:tcW w:w="8275" w:type="dxa"/>
          </w:tcPr>
          <w:p w14:paraId="13F1AFF2" w14:textId="77777777" w:rsidR="004219F5" w:rsidRPr="009472F7" w:rsidRDefault="004219F5" w:rsidP="007D430F">
            <w:pPr>
              <w:ind w:left="341" w:firstLine="349"/>
              <w:contextualSpacing/>
              <w:jc w:val="both"/>
              <w:rPr>
                <w:bCs/>
                <w:sz w:val="20"/>
                <w:szCs w:val="20"/>
              </w:rPr>
            </w:pPr>
            <w:r w:rsidRPr="009472F7">
              <w:rPr>
                <w:bCs/>
                <w:sz w:val="20"/>
                <w:szCs w:val="20"/>
              </w:rPr>
              <w:t>Var</w:t>
            </w:r>
            <w:r w:rsidRPr="009472F7">
              <w:rPr>
                <w:sz w:val="20"/>
                <w:szCs w:val="20"/>
              </w:rPr>
              <w:t>iations in During and Post-Exercise Task Administration</w:t>
            </w:r>
          </w:p>
        </w:tc>
        <w:tc>
          <w:tcPr>
            <w:tcW w:w="635" w:type="dxa"/>
          </w:tcPr>
          <w:p w14:paraId="39F7A00B" w14:textId="77777777" w:rsidR="004219F5" w:rsidRPr="00543EEC" w:rsidRDefault="004219F5" w:rsidP="007D430F">
            <w:pPr>
              <w:contextualSpacing/>
              <w:jc w:val="both"/>
              <w:rPr>
                <w:bCs/>
                <w:sz w:val="20"/>
                <w:szCs w:val="20"/>
              </w:rPr>
            </w:pPr>
            <w:r>
              <w:rPr>
                <w:bCs/>
                <w:sz w:val="20"/>
                <w:szCs w:val="20"/>
              </w:rPr>
              <w:t>6</w:t>
            </w:r>
          </w:p>
        </w:tc>
      </w:tr>
      <w:tr w:rsidR="004219F5" w:rsidRPr="00543EEC" w14:paraId="663367B8" w14:textId="77777777" w:rsidTr="00CE155C">
        <w:tc>
          <w:tcPr>
            <w:tcW w:w="8275" w:type="dxa"/>
          </w:tcPr>
          <w:p w14:paraId="4C7593CA" w14:textId="77777777" w:rsidR="004219F5" w:rsidRPr="009472F7" w:rsidRDefault="004219F5" w:rsidP="007D430F">
            <w:pPr>
              <w:ind w:left="341" w:firstLine="349"/>
              <w:contextualSpacing/>
              <w:jc w:val="both"/>
              <w:rPr>
                <w:bCs/>
                <w:sz w:val="20"/>
                <w:szCs w:val="20"/>
              </w:rPr>
            </w:pPr>
            <w:r w:rsidRPr="009472F7">
              <w:rPr>
                <w:bCs/>
                <w:sz w:val="20"/>
                <w:szCs w:val="20"/>
              </w:rPr>
              <w:t>Identifying Patterns and Drawing Conclusions</w:t>
            </w:r>
            <w:r>
              <w:rPr>
                <w:bCs/>
                <w:sz w:val="20"/>
                <w:szCs w:val="20"/>
              </w:rPr>
              <w:t>: Exercise and Cognition</w:t>
            </w:r>
          </w:p>
        </w:tc>
        <w:tc>
          <w:tcPr>
            <w:tcW w:w="635" w:type="dxa"/>
          </w:tcPr>
          <w:p w14:paraId="55B39A4D" w14:textId="77777777" w:rsidR="004219F5" w:rsidRPr="00543EEC" w:rsidRDefault="004219F5" w:rsidP="007D430F">
            <w:pPr>
              <w:contextualSpacing/>
              <w:jc w:val="both"/>
              <w:rPr>
                <w:bCs/>
                <w:sz w:val="20"/>
                <w:szCs w:val="20"/>
              </w:rPr>
            </w:pPr>
            <w:r>
              <w:rPr>
                <w:bCs/>
                <w:sz w:val="20"/>
                <w:szCs w:val="20"/>
              </w:rPr>
              <w:t>7</w:t>
            </w:r>
          </w:p>
        </w:tc>
      </w:tr>
      <w:tr w:rsidR="004219F5" w:rsidRPr="00543EEC" w14:paraId="7EE7491F" w14:textId="77777777" w:rsidTr="00CE155C">
        <w:tc>
          <w:tcPr>
            <w:tcW w:w="8275" w:type="dxa"/>
          </w:tcPr>
          <w:p w14:paraId="5D1EDF53" w14:textId="77777777" w:rsidR="004219F5" w:rsidRPr="009472F7" w:rsidRDefault="004219F5" w:rsidP="007D430F">
            <w:pPr>
              <w:ind w:firstLine="690"/>
              <w:contextualSpacing/>
              <w:jc w:val="both"/>
              <w:rPr>
                <w:bCs/>
                <w:sz w:val="20"/>
                <w:szCs w:val="20"/>
              </w:rPr>
            </w:pPr>
            <w:r w:rsidRPr="009472F7">
              <w:rPr>
                <w:bCs/>
                <w:sz w:val="20"/>
                <w:szCs w:val="20"/>
              </w:rPr>
              <w:t>Mitigating Cognitive Decline: Relevance to Applied Settings</w:t>
            </w:r>
          </w:p>
        </w:tc>
        <w:tc>
          <w:tcPr>
            <w:tcW w:w="635" w:type="dxa"/>
          </w:tcPr>
          <w:p w14:paraId="046A590F" w14:textId="77777777" w:rsidR="004219F5" w:rsidRPr="00543EEC" w:rsidRDefault="004219F5" w:rsidP="007D430F">
            <w:pPr>
              <w:contextualSpacing/>
              <w:jc w:val="both"/>
              <w:rPr>
                <w:bCs/>
                <w:sz w:val="20"/>
                <w:szCs w:val="20"/>
              </w:rPr>
            </w:pPr>
            <w:r>
              <w:rPr>
                <w:bCs/>
                <w:sz w:val="20"/>
                <w:szCs w:val="20"/>
              </w:rPr>
              <w:t>8</w:t>
            </w:r>
          </w:p>
        </w:tc>
      </w:tr>
      <w:tr w:rsidR="004219F5" w:rsidRPr="00543EEC" w14:paraId="1A048E38" w14:textId="77777777" w:rsidTr="00CE155C">
        <w:tc>
          <w:tcPr>
            <w:tcW w:w="8275" w:type="dxa"/>
          </w:tcPr>
          <w:p w14:paraId="09ED1EB4" w14:textId="77777777" w:rsidR="004219F5" w:rsidRPr="009472F7" w:rsidRDefault="004219F5" w:rsidP="007D430F">
            <w:pPr>
              <w:ind w:firstLine="330"/>
              <w:contextualSpacing/>
              <w:jc w:val="both"/>
              <w:rPr>
                <w:bCs/>
                <w:sz w:val="20"/>
                <w:szCs w:val="20"/>
              </w:rPr>
            </w:pPr>
            <w:r w:rsidRPr="009472F7">
              <w:rPr>
                <w:bCs/>
                <w:sz w:val="20"/>
                <w:szCs w:val="20"/>
              </w:rPr>
              <w:t>Identifying Target Variables: The Potential Role of Pain Catastrophizing</w:t>
            </w:r>
          </w:p>
        </w:tc>
        <w:tc>
          <w:tcPr>
            <w:tcW w:w="635" w:type="dxa"/>
          </w:tcPr>
          <w:p w14:paraId="68BF9D5B" w14:textId="77777777" w:rsidR="004219F5" w:rsidRPr="00543EEC" w:rsidRDefault="004219F5" w:rsidP="007D430F">
            <w:pPr>
              <w:contextualSpacing/>
              <w:jc w:val="both"/>
              <w:rPr>
                <w:bCs/>
                <w:sz w:val="20"/>
                <w:szCs w:val="20"/>
              </w:rPr>
            </w:pPr>
            <w:r>
              <w:rPr>
                <w:bCs/>
                <w:sz w:val="20"/>
                <w:szCs w:val="20"/>
              </w:rPr>
              <w:t>9</w:t>
            </w:r>
          </w:p>
        </w:tc>
      </w:tr>
      <w:tr w:rsidR="004219F5" w:rsidRPr="00543EEC" w14:paraId="73884F99" w14:textId="77777777" w:rsidTr="00CE155C">
        <w:tc>
          <w:tcPr>
            <w:tcW w:w="8275" w:type="dxa"/>
          </w:tcPr>
          <w:p w14:paraId="3BD0ABDF" w14:textId="77777777" w:rsidR="004219F5" w:rsidRPr="009472F7" w:rsidRDefault="004219F5" w:rsidP="007D430F">
            <w:pPr>
              <w:ind w:left="337" w:firstLine="360"/>
              <w:contextualSpacing/>
              <w:jc w:val="both"/>
              <w:rPr>
                <w:bCs/>
                <w:sz w:val="20"/>
                <w:szCs w:val="20"/>
              </w:rPr>
            </w:pPr>
            <w:r w:rsidRPr="009472F7">
              <w:rPr>
                <w:bCs/>
                <w:sz w:val="20"/>
                <w:szCs w:val="20"/>
              </w:rPr>
              <w:t>Pain Catastrophizing De</w:t>
            </w:r>
            <w:r>
              <w:rPr>
                <w:bCs/>
                <w:sz w:val="20"/>
                <w:szCs w:val="20"/>
              </w:rPr>
              <w:t>fined</w:t>
            </w:r>
          </w:p>
        </w:tc>
        <w:tc>
          <w:tcPr>
            <w:tcW w:w="635" w:type="dxa"/>
          </w:tcPr>
          <w:p w14:paraId="4F5E6653" w14:textId="77777777" w:rsidR="004219F5" w:rsidRPr="00543EEC" w:rsidRDefault="004219F5" w:rsidP="007D430F">
            <w:pPr>
              <w:contextualSpacing/>
              <w:jc w:val="both"/>
              <w:rPr>
                <w:bCs/>
                <w:sz w:val="20"/>
                <w:szCs w:val="20"/>
              </w:rPr>
            </w:pPr>
            <w:r>
              <w:rPr>
                <w:bCs/>
                <w:sz w:val="20"/>
                <w:szCs w:val="20"/>
              </w:rPr>
              <w:t>10</w:t>
            </w:r>
          </w:p>
        </w:tc>
      </w:tr>
      <w:tr w:rsidR="004219F5" w:rsidRPr="00543EEC" w14:paraId="19920C98" w14:textId="77777777" w:rsidTr="00CE155C">
        <w:tc>
          <w:tcPr>
            <w:tcW w:w="8275" w:type="dxa"/>
          </w:tcPr>
          <w:p w14:paraId="4F628B6E" w14:textId="77777777" w:rsidR="004219F5" w:rsidRPr="009472F7" w:rsidRDefault="004219F5" w:rsidP="007D430F">
            <w:pPr>
              <w:ind w:left="607" w:firstLine="90"/>
              <w:contextualSpacing/>
              <w:jc w:val="both"/>
              <w:rPr>
                <w:bCs/>
                <w:sz w:val="20"/>
                <w:szCs w:val="20"/>
              </w:rPr>
            </w:pPr>
            <w:r w:rsidRPr="009472F7">
              <w:rPr>
                <w:bCs/>
                <w:sz w:val="20"/>
                <w:szCs w:val="20"/>
              </w:rPr>
              <w:t>Conceptual Challenges</w:t>
            </w:r>
          </w:p>
        </w:tc>
        <w:tc>
          <w:tcPr>
            <w:tcW w:w="635" w:type="dxa"/>
          </w:tcPr>
          <w:p w14:paraId="128BD5B4" w14:textId="77777777" w:rsidR="004219F5" w:rsidRPr="00543EEC" w:rsidRDefault="004219F5" w:rsidP="007D430F">
            <w:pPr>
              <w:contextualSpacing/>
              <w:jc w:val="both"/>
              <w:rPr>
                <w:bCs/>
                <w:sz w:val="20"/>
                <w:szCs w:val="20"/>
              </w:rPr>
            </w:pPr>
            <w:r>
              <w:rPr>
                <w:bCs/>
                <w:sz w:val="20"/>
                <w:szCs w:val="20"/>
              </w:rPr>
              <w:t>11</w:t>
            </w:r>
          </w:p>
        </w:tc>
      </w:tr>
      <w:tr w:rsidR="004219F5" w:rsidRPr="00543EEC" w14:paraId="0EC59D7E" w14:textId="77777777" w:rsidTr="00CE155C">
        <w:tc>
          <w:tcPr>
            <w:tcW w:w="8275" w:type="dxa"/>
          </w:tcPr>
          <w:p w14:paraId="12F9F186" w14:textId="77777777" w:rsidR="004219F5" w:rsidRPr="009472F7" w:rsidRDefault="004219F5" w:rsidP="007D430F">
            <w:pPr>
              <w:ind w:left="607" w:firstLine="540"/>
              <w:contextualSpacing/>
              <w:jc w:val="both"/>
              <w:rPr>
                <w:bCs/>
                <w:sz w:val="20"/>
                <w:szCs w:val="20"/>
              </w:rPr>
            </w:pPr>
            <w:r w:rsidRPr="009472F7">
              <w:rPr>
                <w:bCs/>
                <w:sz w:val="20"/>
                <w:szCs w:val="20"/>
              </w:rPr>
              <w:t>Existing Frameworks</w:t>
            </w:r>
          </w:p>
        </w:tc>
        <w:tc>
          <w:tcPr>
            <w:tcW w:w="635" w:type="dxa"/>
          </w:tcPr>
          <w:p w14:paraId="19B34E0A" w14:textId="77777777" w:rsidR="004219F5" w:rsidRPr="00543EEC" w:rsidRDefault="004219F5" w:rsidP="007D430F">
            <w:pPr>
              <w:contextualSpacing/>
              <w:jc w:val="both"/>
              <w:rPr>
                <w:bCs/>
                <w:sz w:val="20"/>
                <w:szCs w:val="20"/>
              </w:rPr>
            </w:pPr>
            <w:r>
              <w:rPr>
                <w:bCs/>
                <w:sz w:val="20"/>
                <w:szCs w:val="20"/>
              </w:rPr>
              <w:t>12</w:t>
            </w:r>
          </w:p>
        </w:tc>
      </w:tr>
      <w:tr w:rsidR="004219F5" w:rsidRPr="00543EEC" w14:paraId="4650004D" w14:textId="77777777" w:rsidTr="00CE155C">
        <w:tc>
          <w:tcPr>
            <w:tcW w:w="8275" w:type="dxa"/>
          </w:tcPr>
          <w:p w14:paraId="4E37A5AB" w14:textId="77777777" w:rsidR="004219F5" w:rsidRPr="009472F7" w:rsidRDefault="004219F5" w:rsidP="007D430F">
            <w:pPr>
              <w:ind w:left="607" w:firstLine="1260"/>
              <w:contextualSpacing/>
              <w:jc w:val="both"/>
              <w:rPr>
                <w:bCs/>
                <w:sz w:val="20"/>
                <w:szCs w:val="20"/>
              </w:rPr>
            </w:pPr>
            <w:r w:rsidRPr="009472F7">
              <w:rPr>
                <w:bCs/>
                <w:sz w:val="20"/>
                <w:szCs w:val="20"/>
              </w:rPr>
              <w:t>Schema-Activation Model</w:t>
            </w:r>
          </w:p>
        </w:tc>
        <w:tc>
          <w:tcPr>
            <w:tcW w:w="635" w:type="dxa"/>
          </w:tcPr>
          <w:p w14:paraId="47DB621E" w14:textId="77777777" w:rsidR="004219F5" w:rsidRPr="00543EEC" w:rsidRDefault="004219F5" w:rsidP="007D430F">
            <w:pPr>
              <w:contextualSpacing/>
              <w:jc w:val="both"/>
              <w:rPr>
                <w:bCs/>
                <w:sz w:val="20"/>
                <w:szCs w:val="20"/>
              </w:rPr>
            </w:pPr>
            <w:r>
              <w:rPr>
                <w:bCs/>
                <w:sz w:val="20"/>
                <w:szCs w:val="20"/>
              </w:rPr>
              <w:t>12</w:t>
            </w:r>
          </w:p>
        </w:tc>
      </w:tr>
      <w:tr w:rsidR="004219F5" w:rsidRPr="00543EEC" w14:paraId="6E1C55FD" w14:textId="77777777" w:rsidTr="00CE155C">
        <w:tc>
          <w:tcPr>
            <w:tcW w:w="8275" w:type="dxa"/>
          </w:tcPr>
          <w:p w14:paraId="062856EE" w14:textId="77777777" w:rsidR="004219F5" w:rsidRPr="009472F7" w:rsidRDefault="004219F5" w:rsidP="007D430F">
            <w:pPr>
              <w:ind w:left="607" w:firstLine="1260"/>
              <w:contextualSpacing/>
              <w:jc w:val="both"/>
              <w:rPr>
                <w:bCs/>
                <w:sz w:val="20"/>
                <w:szCs w:val="20"/>
              </w:rPr>
            </w:pPr>
            <w:r w:rsidRPr="009472F7">
              <w:rPr>
                <w:bCs/>
                <w:sz w:val="20"/>
                <w:szCs w:val="20"/>
              </w:rPr>
              <w:t>Appraisal Model</w:t>
            </w:r>
          </w:p>
        </w:tc>
        <w:tc>
          <w:tcPr>
            <w:tcW w:w="635" w:type="dxa"/>
          </w:tcPr>
          <w:p w14:paraId="549B8A7A" w14:textId="77777777" w:rsidR="004219F5" w:rsidRPr="00543EEC" w:rsidRDefault="004219F5" w:rsidP="007D430F">
            <w:pPr>
              <w:contextualSpacing/>
              <w:jc w:val="both"/>
              <w:rPr>
                <w:bCs/>
                <w:sz w:val="20"/>
                <w:szCs w:val="20"/>
              </w:rPr>
            </w:pPr>
            <w:r>
              <w:rPr>
                <w:bCs/>
                <w:sz w:val="20"/>
                <w:szCs w:val="20"/>
              </w:rPr>
              <w:t>13</w:t>
            </w:r>
          </w:p>
        </w:tc>
      </w:tr>
      <w:tr w:rsidR="004219F5" w:rsidRPr="00543EEC" w14:paraId="3CB828A9" w14:textId="77777777" w:rsidTr="00CE155C">
        <w:tc>
          <w:tcPr>
            <w:tcW w:w="8275" w:type="dxa"/>
          </w:tcPr>
          <w:p w14:paraId="501BCBC9" w14:textId="77777777" w:rsidR="004219F5" w:rsidRPr="009472F7" w:rsidRDefault="004219F5" w:rsidP="007D430F">
            <w:pPr>
              <w:ind w:left="607" w:firstLine="1260"/>
              <w:contextualSpacing/>
              <w:jc w:val="both"/>
              <w:rPr>
                <w:bCs/>
                <w:sz w:val="20"/>
                <w:szCs w:val="20"/>
              </w:rPr>
            </w:pPr>
            <w:r w:rsidRPr="009472F7">
              <w:rPr>
                <w:bCs/>
                <w:sz w:val="20"/>
                <w:szCs w:val="20"/>
              </w:rPr>
              <w:t>Attention-</w:t>
            </w:r>
            <w:r>
              <w:rPr>
                <w:bCs/>
                <w:sz w:val="20"/>
                <w:szCs w:val="20"/>
              </w:rPr>
              <w:t>B</w:t>
            </w:r>
            <w:r w:rsidRPr="009472F7">
              <w:rPr>
                <w:bCs/>
                <w:sz w:val="20"/>
                <w:szCs w:val="20"/>
              </w:rPr>
              <w:t>ias Model</w:t>
            </w:r>
          </w:p>
        </w:tc>
        <w:tc>
          <w:tcPr>
            <w:tcW w:w="635" w:type="dxa"/>
          </w:tcPr>
          <w:p w14:paraId="5565C80B" w14:textId="77777777" w:rsidR="004219F5" w:rsidRPr="00543EEC" w:rsidRDefault="004219F5" w:rsidP="007D430F">
            <w:pPr>
              <w:contextualSpacing/>
              <w:jc w:val="both"/>
              <w:rPr>
                <w:bCs/>
                <w:sz w:val="20"/>
                <w:szCs w:val="20"/>
              </w:rPr>
            </w:pPr>
            <w:r>
              <w:rPr>
                <w:bCs/>
                <w:sz w:val="20"/>
                <w:szCs w:val="20"/>
              </w:rPr>
              <w:t>13</w:t>
            </w:r>
          </w:p>
        </w:tc>
      </w:tr>
      <w:tr w:rsidR="004219F5" w14:paraId="668EA502" w14:textId="77777777" w:rsidTr="00CE155C">
        <w:tc>
          <w:tcPr>
            <w:tcW w:w="8275" w:type="dxa"/>
          </w:tcPr>
          <w:p w14:paraId="7FFCACFD" w14:textId="77777777" w:rsidR="004219F5" w:rsidRPr="009472F7" w:rsidRDefault="004219F5" w:rsidP="007D430F">
            <w:pPr>
              <w:ind w:left="607" w:firstLine="549"/>
              <w:contextualSpacing/>
              <w:jc w:val="both"/>
              <w:rPr>
                <w:bCs/>
                <w:sz w:val="20"/>
                <w:szCs w:val="20"/>
              </w:rPr>
            </w:pPr>
            <w:r>
              <w:rPr>
                <w:bCs/>
                <w:sz w:val="20"/>
                <w:szCs w:val="20"/>
              </w:rPr>
              <w:t>Neurobiological Mechanisms</w:t>
            </w:r>
          </w:p>
        </w:tc>
        <w:tc>
          <w:tcPr>
            <w:tcW w:w="635" w:type="dxa"/>
          </w:tcPr>
          <w:p w14:paraId="1B855EB2" w14:textId="77777777" w:rsidR="004219F5" w:rsidRDefault="004219F5" w:rsidP="007D430F">
            <w:pPr>
              <w:contextualSpacing/>
              <w:jc w:val="both"/>
              <w:rPr>
                <w:bCs/>
                <w:sz w:val="20"/>
                <w:szCs w:val="20"/>
              </w:rPr>
            </w:pPr>
            <w:r>
              <w:rPr>
                <w:bCs/>
                <w:sz w:val="20"/>
                <w:szCs w:val="20"/>
              </w:rPr>
              <w:t>14</w:t>
            </w:r>
          </w:p>
        </w:tc>
      </w:tr>
      <w:tr w:rsidR="004219F5" w14:paraId="3E3F0DD8" w14:textId="77777777" w:rsidTr="00CE155C">
        <w:tc>
          <w:tcPr>
            <w:tcW w:w="8275" w:type="dxa"/>
          </w:tcPr>
          <w:p w14:paraId="095D2F79" w14:textId="77777777" w:rsidR="004219F5" w:rsidRDefault="004219F5" w:rsidP="007D430F">
            <w:pPr>
              <w:ind w:left="607" w:firstLine="549"/>
              <w:contextualSpacing/>
              <w:jc w:val="both"/>
              <w:rPr>
                <w:bCs/>
                <w:sz w:val="20"/>
                <w:szCs w:val="20"/>
              </w:rPr>
            </w:pPr>
            <w:r>
              <w:rPr>
                <w:bCs/>
                <w:sz w:val="20"/>
                <w:szCs w:val="20"/>
              </w:rPr>
              <w:t>D</w:t>
            </w:r>
            <w:r>
              <w:rPr>
                <w:sz w:val="20"/>
                <w:szCs w:val="20"/>
              </w:rPr>
              <w:t>ispositional or Situational Conceptualizations</w:t>
            </w:r>
          </w:p>
        </w:tc>
        <w:tc>
          <w:tcPr>
            <w:tcW w:w="635" w:type="dxa"/>
          </w:tcPr>
          <w:p w14:paraId="56F2DE17" w14:textId="77777777" w:rsidR="004219F5" w:rsidRDefault="004219F5" w:rsidP="007D430F">
            <w:pPr>
              <w:contextualSpacing/>
              <w:jc w:val="both"/>
              <w:rPr>
                <w:bCs/>
                <w:sz w:val="20"/>
                <w:szCs w:val="20"/>
              </w:rPr>
            </w:pPr>
            <w:r>
              <w:rPr>
                <w:bCs/>
                <w:sz w:val="20"/>
                <w:szCs w:val="20"/>
              </w:rPr>
              <w:t>16</w:t>
            </w:r>
          </w:p>
        </w:tc>
      </w:tr>
      <w:tr w:rsidR="004219F5" w:rsidRPr="00543EEC" w14:paraId="72D4A165" w14:textId="77777777" w:rsidTr="00CE155C">
        <w:tc>
          <w:tcPr>
            <w:tcW w:w="8275" w:type="dxa"/>
          </w:tcPr>
          <w:p w14:paraId="1402EA1E" w14:textId="77777777" w:rsidR="004219F5" w:rsidRPr="009472F7" w:rsidRDefault="004219F5" w:rsidP="007D430F">
            <w:pPr>
              <w:ind w:left="607" w:firstLine="99"/>
              <w:contextualSpacing/>
              <w:jc w:val="both"/>
              <w:rPr>
                <w:bCs/>
                <w:sz w:val="20"/>
                <w:szCs w:val="20"/>
              </w:rPr>
            </w:pPr>
            <w:r w:rsidRPr="009472F7">
              <w:rPr>
                <w:bCs/>
                <w:sz w:val="20"/>
                <w:szCs w:val="20"/>
              </w:rPr>
              <w:t>Identifying Patterns and Drawing Conclusions</w:t>
            </w:r>
            <w:r>
              <w:rPr>
                <w:bCs/>
                <w:sz w:val="20"/>
                <w:szCs w:val="20"/>
              </w:rPr>
              <w:t>: Pain Catastrophizing</w:t>
            </w:r>
          </w:p>
        </w:tc>
        <w:tc>
          <w:tcPr>
            <w:tcW w:w="635" w:type="dxa"/>
          </w:tcPr>
          <w:p w14:paraId="4EDC41C9" w14:textId="77777777" w:rsidR="004219F5" w:rsidRPr="00543EEC" w:rsidRDefault="004219F5" w:rsidP="007D430F">
            <w:pPr>
              <w:contextualSpacing/>
              <w:jc w:val="both"/>
              <w:rPr>
                <w:bCs/>
                <w:sz w:val="20"/>
                <w:szCs w:val="20"/>
              </w:rPr>
            </w:pPr>
            <w:r>
              <w:rPr>
                <w:bCs/>
                <w:sz w:val="20"/>
                <w:szCs w:val="20"/>
              </w:rPr>
              <w:t>17</w:t>
            </w:r>
          </w:p>
        </w:tc>
      </w:tr>
      <w:tr w:rsidR="004219F5" w:rsidRPr="00543EEC" w14:paraId="79A4481F" w14:textId="77777777" w:rsidTr="00CE155C">
        <w:tc>
          <w:tcPr>
            <w:tcW w:w="8275" w:type="dxa"/>
          </w:tcPr>
          <w:p w14:paraId="624096AD" w14:textId="77777777" w:rsidR="004219F5" w:rsidRPr="00DB0B21" w:rsidRDefault="004219F5" w:rsidP="007D430F">
            <w:pPr>
              <w:ind w:left="607" w:firstLine="90"/>
              <w:contextualSpacing/>
              <w:jc w:val="both"/>
              <w:rPr>
                <w:sz w:val="20"/>
                <w:szCs w:val="20"/>
              </w:rPr>
            </w:pPr>
            <w:r w:rsidRPr="00DB0B21">
              <w:rPr>
                <w:sz w:val="20"/>
                <w:szCs w:val="20"/>
                <w:lang w:eastAsia="ja-JP"/>
              </w:rPr>
              <w:t>Attentional Demands and Performance Decrements: Catastrophizing in Applied Settings</w:t>
            </w:r>
          </w:p>
        </w:tc>
        <w:tc>
          <w:tcPr>
            <w:tcW w:w="635" w:type="dxa"/>
          </w:tcPr>
          <w:p w14:paraId="62E155C5" w14:textId="77777777" w:rsidR="004219F5" w:rsidRPr="00543EEC" w:rsidRDefault="004219F5" w:rsidP="007D430F">
            <w:pPr>
              <w:contextualSpacing/>
              <w:jc w:val="both"/>
              <w:rPr>
                <w:bCs/>
                <w:sz w:val="20"/>
                <w:szCs w:val="20"/>
              </w:rPr>
            </w:pPr>
            <w:r>
              <w:rPr>
                <w:bCs/>
                <w:sz w:val="20"/>
                <w:szCs w:val="20"/>
              </w:rPr>
              <w:t>18</w:t>
            </w:r>
          </w:p>
        </w:tc>
      </w:tr>
      <w:tr w:rsidR="004219F5" w:rsidRPr="00543EEC" w14:paraId="5222E263" w14:textId="77777777" w:rsidTr="00CE155C">
        <w:tc>
          <w:tcPr>
            <w:tcW w:w="8275" w:type="dxa"/>
          </w:tcPr>
          <w:p w14:paraId="2E6FBA22" w14:textId="77777777" w:rsidR="004219F5" w:rsidRPr="009472F7" w:rsidRDefault="004219F5" w:rsidP="007D430F">
            <w:pPr>
              <w:ind w:left="607" w:hanging="360"/>
              <w:contextualSpacing/>
              <w:jc w:val="both"/>
              <w:rPr>
                <w:bCs/>
                <w:sz w:val="20"/>
                <w:szCs w:val="20"/>
              </w:rPr>
            </w:pPr>
            <w:r w:rsidRPr="009472F7">
              <w:rPr>
                <w:bCs/>
                <w:sz w:val="20"/>
                <w:szCs w:val="20"/>
              </w:rPr>
              <w:t>Study Goals and Hypotheses</w:t>
            </w:r>
          </w:p>
        </w:tc>
        <w:tc>
          <w:tcPr>
            <w:tcW w:w="635" w:type="dxa"/>
          </w:tcPr>
          <w:p w14:paraId="0F448159" w14:textId="77777777" w:rsidR="004219F5" w:rsidRPr="00543EEC" w:rsidRDefault="004219F5" w:rsidP="007D430F">
            <w:pPr>
              <w:contextualSpacing/>
              <w:jc w:val="both"/>
              <w:rPr>
                <w:bCs/>
                <w:sz w:val="20"/>
                <w:szCs w:val="20"/>
              </w:rPr>
            </w:pPr>
            <w:r>
              <w:rPr>
                <w:bCs/>
                <w:sz w:val="20"/>
                <w:szCs w:val="20"/>
              </w:rPr>
              <w:t>20</w:t>
            </w:r>
          </w:p>
        </w:tc>
      </w:tr>
      <w:tr w:rsidR="004219F5" w:rsidRPr="00543EEC" w14:paraId="6333F9AE" w14:textId="77777777" w:rsidTr="00CE155C">
        <w:tc>
          <w:tcPr>
            <w:tcW w:w="8275" w:type="dxa"/>
          </w:tcPr>
          <w:p w14:paraId="1F53CC81" w14:textId="77777777" w:rsidR="004219F5" w:rsidRPr="009472F7" w:rsidRDefault="004219F5" w:rsidP="007D430F">
            <w:pPr>
              <w:contextualSpacing/>
              <w:jc w:val="both"/>
              <w:rPr>
                <w:bCs/>
                <w:sz w:val="20"/>
                <w:szCs w:val="20"/>
              </w:rPr>
            </w:pPr>
            <w:r w:rsidRPr="009472F7">
              <w:rPr>
                <w:bCs/>
                <w:sz w:val="20"/>
                <w:szCs w:val="20"/>
              </w:rPr>
              <w:t>Method</w:t>
            </w:r>
          </w:p>
        </w:tc>
        <w:tc>
          <w:tcPr>
            <w:tcW w:w="635" w:type="dxa"/>
          </w:tcPr>
          <w:p w14:paraId="6CD930DA" w14:textId="77777777" w:rsidR="004219F5" w:rsidRPr="00543EEC" w:rsidRDefault="004219F5" w:rsidP="007D430F">
            <w:pPr>
              <w:contextualSpacing/>
              <w:jc w:val="both"/>
              <w:rPr>
                <w:bCs/>
                <w:sz w:val="20"/>
                <w:szCs w:val="20"/>
              </w:rPr>
            </w:pPr>
            <w:r>
              <w:rPr>
                <w:bCs/>
                <w:sz w:val="20"/>
                <w:szCs w:val="20"/>
              </w:rPr>
              <w:t>21</w:t>
            </w:r>
          </w:p>
        </w:tc>
      </w:tr>
      <w:tr w:rsidR="004219F5" w:rsidRPr="00543EEC" w14:paraId="7ACCE33C" w14:textId="77777777" w:rsidTr="00CE155C">
        <w:tc>
          <w:tcPr>
            <w:tcW w:w="8275" w:type="dxa"/>
          </w:tcPr>
          <w:p w14:paraId="5BFE63FF" w14:textId="77777777" w:rsidR="004219F5" w:rsidRPr="009472F7" w:rsidRDefault="004219F5" w:rsidP="007D430F">
            <w:pPr>
              <w:ind w:firstLine="337"/>
              <w:contextualSpacing/>
              <w:jc w:val="both"/>
              <w:rPr>
                <w:bCs/>
                <w:sz w:val="20"/>
                <w:szCs w:val="20"/>
              </w:rPr>
            </w:pPr>
            <w:r w:rsidRPr="009472F7">
              <w:rPr>
                <w:bCs/>
                <w:sz w:val="20"/>
                <w:szCs w:val="20"/>
              </w:rPr>
              <w:t>Design</w:t>
            </w:r>
          </w:p>
        </w:tc>
        <w:tc>
          <w:tcPr>
            <w:tcW w:w="635" w:type="dxa"/>
          </w:tcPr>
          <w:p w14:paraId="494F1B08" w14:textId="77777777" w:rsidR="004219F5" w:rsidRPr="00543EEC" w:rsidRDefault="004219F5" w:rsidP="007D430F">
            <w:pPr>
              <w:contextualSpacing/>
              <w:jc w:val="both"/>
              <w:rPr>
                <w:bCs/>
                <w:sz w:val="20"/>
                <w:szCs w:val="20"/>
              </w:rPr>
            </w:pPr>
            <w:r>
              <w:rPr>
                <w:bCs/>
                <w:sz w:val="20"/>
                <w:szCs w:val="20"/>
              </w:rPr>
              <w:t>21</w:t>
            </w:r>
          </w:p>
        </w:tc>
      </w:tr>
      <w:tr w:rsidR="004219F5" w:rsidRPr="00543EEC" w14:paraId="241CD25A" w14:textId="77777777" w:rsidTr="00CE155C">
        <w:tc>
          <w:tcPr>
            <w:tcW w:w="8275" w:type="dxa"/>
          </w:tcPr>
          <w:p w14:paraId="21367321" w14:textId="77777777" w:rsidR="004219F5" w:rsidRPr="009472F7" w:rsidRDefault="004219F5" w:rsidP="007D430F">
            <w:pPr>
              <w:ind w:firstLine="337"/>
              <w:contextualSpacing/>
              <w:jc w:val="both"/>
              <w:rPr>
                <w:bCs/>
                <w:sz w:val="20"/>
                <w:szCs w:val="20"/>
              </w:rPr>
            </w:pPr>
            <w:r w:rsidRPr="009472F7">
              <w:rPr>
                <w:bCs/>
                <w:sz w:val="20"/>
                <w:szCs w:val="20"/>
              </w:rPr>
              <w:t>Participants</w:t>
            </w:r>
          </w:p>
        </w:tc>
        <w:tc>
          <w:tcPr>
            <w:tcW w:w="635" w:type="dxa"/>
          </w:tcPr>
          <w:p w14:paraId="40EB760E" w14:textId="77777777" w:rsidR="004219F5" w:rsidRPr="00543EEC" w:rsidRDefault="004219F5" w:rsidP="007D430F">
            <w:pPr>
              <w:contextualSpacing/>
              <w:jc w:val="both"/>
              <w:rPr>
                <w:bCs/>
                <w:sz w:val="20"/>
                <w:szCs w:val="20"/>
              </w:rPr>
            </w:pPr>
            <w:r>
              <w:rPr>
                <w:bCs/>
                <w:sz w:val="20"/>
                <w:szCs w:val="20"/>
              </w:rPr>
              <w:t>21</w:t>
            </w:r>
          </w:p>
        </w:tc>
      </w:tr>
      <w:tr w:rsidR="004219F5" w:rsidRPr="00543EEC" w14:paraId="1BF76C16" w14:textId="77777777" w:rsidTr="00CE155C">
        <w:tc>
          <w:tcPr>
            <w:tcW w:w="8275" w:type="dxa"/>
          </w:tcPr>
          <w:p w14:paraId="00BE8351" w14:textId="77777777" w:rsidR="004219F5" w:rsidRPr="009472F7" w:rsidRDefault="004219F5" w:rsidP="007D430F">
            <w:pPr>
              <w:ind w:firstLine="337"/>
              <w:contextualSpacing/>
              <w:jc w:val="both"/>
              <w:rPr>
                <w:bCs/>
                <w:sz w:val="20"/>
                <w:szCs w:val="20"/>
              </w:rPr>
            </w:pPr>
            <w:r w:rsidRPr="009472F7">
              <w:rPr>
                <w:bCs/>
                <w:sz w:val="20"/>
                <w:szCs w:val="20"/>
              </w:rPr>
              <w:t>Measurement Tools</w:t>
            </w:r>
          </w:p>
        </w:tc>
        <w:tc>
          <w:tcPr>
            <w:tcW w:w="635" w:type="dxa"/>
          </w:tcPr>
          <w:p w14:paraId="27C06BE1" w14:textId="77777777" w:rsidR="004219F5" w:rsidRPr="00543EEC" w:rsidRDefault="004219F5" w:rsidP="007D430F">
            <w:pPr>
              <w:contextualSpacing/>
              <w:jc w:val="both"/>
              <w:rPr>
                <w:bCs/>
                <w:sz w:val="20"/>
                <w:szCs w:val="20"/>
              </w:rPr>
            </w:pPr>
            <w:r>
              <w:rPr>
                <w:bCs/>
                <w:sz w:val="20"/>
                <w:szCs w:val="20"/>
              </w:rPr>
              <w:t>22</w:t>
            </w:r>
          </w:p>
        </w:tc>
      </w:tr>
      <w:tr w:rsidR="004219F5" w:rsidRPr="00543EEC" w14:paraId="4547C0A7" w14:textId="77777777" w:rsidTr="00CE155C">
        <w:tc>
          <w:tcPr>
            <w:tcW w:w="8275" w:type="dxa"/>
          </w:tcPr>
          <w:p w14:paraId="7DFA42B2" w14:textId="77777777" w:rsidR="004219F5" w:rsidRPr="009472F7" w:rsidRDefault="004219F5" w:rsidP="007D430F">
            <w:pPr>
              <w:ind w:firstLine="697"/>
              <w:contextualSpacing/>
              <w:jc w:val="both"/>
              <w:rPr>
                <w:bCs/>
                <w:sz w:val="20"/>
                <w:szCs w:val="20"/>
              </w:rPr>
            </w:pPr>
            <w:r w:rsidRPr="009472F7">
              <w:rPr>
                <w:bCs/>
                <w:sz w:val="20"/>
                <w:szCs w:val="20"/>
              </w:rPr>
              <w:t>Questionnaires and Forms</w:t>
            </w:r>
          </w:p>
        </w:tc>
        <w:tc>
          <w:tcPr>
            <w:tcW w:w="635" w:type="dxa"/>
          </w:tcPr>
          <w:p w14:paraId="04DD9FCA" w14:textId="77777777" w:rsidR="004219F5" w:rsidRPr="00543EEC" w:rsidRDefault="004219F5" w:rsidP="007D430F">
            <w:pPr>
              <w:contextualSpacing/>
              <w:jc w:val="both"/>
              <w:rPr>
                <w:bCs/>
                <w:sz w:val="20"/>
                <w:szCs w:val="20"/>
              </w:rPr>
            </w:pPr>
            <w:r>
              <w:rPr>
                <w:bCs/>
                <w:sz w:val="20"/>
                <w:szCs w:val="20"/>
              </w:rPr>
              <w:t>22</w:t>
            </w:r>
          </w:p>
        </w:tc>
      </w:tr>
      <w:tr w:rsidR="004219F5" w:rsidRPr="00543EEC" w14:paraId="34BFD3F3" w14:textId="77777777" w:rsidTr="00CE155C">
        <w:tc>
          <w:tcPr>
            <w:tcW w:w="8275" w:type="dxa"/>
          </w:tcPr>
          <w:p w14:paraId="6CB6B051" w14:textId="77777777" w:rsidR="004219F5" w:rsidRPr="009472F7" w:rsidRDefault="004219F5" w:rsidP="007D430F">
            <w:pPr>
              <w:tabs>
                <w:tab w:val="left" w:pos="1147"/>
              </w:tabs>
              <w:ind w:firstLine="1057"/>
              <w:contextualSpacing/>
              <w:jc w:val="both"/>
              <w:rPr>
                <w:bCs/>
                <w:sz w:val="20"/>
                <w:szCs w:val="20"/>
              </w:rPr>
            </w:pPr>
            <w:r w:rsidRPr="009472F7">
              <w:rPr>
                <w:bCs/>
                <w:sz w:val="20"/>
                <w:szCs w:val="20"/>
              </w:rPr>
              <w:t>Health Insurance Portability and Accountability Act (HIPPA)</w:t>
            </w:r>
          </w:p>
        </w:tc>
        <w:tc>
          <w:tcPr>
            <w:tcW w:w="635" w:type="dxa"/>
          </w:tcPr>
          <w:p w14:paraId="3796F19D" w14:textId="77777777" w:rsidR="004219F5" w:rsidRPr="00543EEC" w:rsidRDefault="004219F5" w:rsidP="007D430F">
            <w:pPr>
              <w:contextualSpacing/>
              <w:jc w:val="both"/>
              <w:rPr>
                <w:bCs/>
                <w:sz w:val="20"/>
                <w:szCs w:val="20"/>
              </w:rPr>
            </w:pPr>
            <w:r>
              <w:rPr>
                <w:bCs/>
                <w:sz w:val="20"/>
                <w:szCs w:val="20"/>
              </w:rPr>
              <w:t>22</w:t>
            </w:r>
          </w:p>
        </w:tc>
      </w:tr>
      <w:tr w:rsidR="004219F5" w:rsidRPr="00543EEC" w14:paraId="6A3F7AD1" w14:textId="77777777" w:rsidTr="00CE155C">
        <w:tc>
          <w:tcPr>
            <w:tcW w:w="8275" w:type="dxa"/>
          </w:tcPr>
          <w:p w14:paraId="3E32E8CB" w14:textId="77777777" w:rsidR="004219F5" w:rsidRPr="009472F7" w:rsidRDefault="004219F5" w:rsidP="007D430F">
            <w:pPr>
              <w:tabs>
                <w:tab w:val="left" w:pos="1147"/>
              </w:tabs>
              <w:ind w:firstLine="1057"/>
              <w:contextualSpacing/>
              <w:jc w:val="both"/>
              <w:rPr>
                <w:bCs/>
                <w:sz w:val="20"/>
                <w:szCs w:val="20"/>
              </w:rPr>
            </w:pPr>
            <w:r w:rsidRPr="009472F7">
              <w:rPr>
                <w:bCs/>
                <w:sz w:val="20"/>
                <w:szCs w:val="20"/>
              </w:rPr>
              <w:t>Health Status and Exercise History Questionnaire</w:t>
            </w:r>
          </w:p>
        </w:tc>
        <w:tc>
          <w:tcPr>
            <w:tcW w:w="635" w:type="dxa"/>
          </w:tcPr>
          <w:p w14:paraId="42199394" w14:textId="77777777" w:rsidR="004219F5" w:rsidRPr="00543EEC" w:rsidRDefault="004219F5" w:rsidP="007D430F">
            <w:pPr>
              <w:contextualSpacing/>
              <w:jc w:val="both"/>
              <w:rPr>
                <w:bCs/>
                <w:sz w:val="20"/>
                <w:szCs w:val="20"/>
              </w:rPr>
            </w:pPr>
            <w:r>
              <w:rPr>
                <w:bCs/>
                <w:sz w:val="20"/>
                <w:szCs w:val="20"/>
              </w:rPr>
              <w:t>22</w:t>
            </w:r>
          </w:p>
        </w:tc>
      </w:tr>
      <w:tr w:rsidR="004219F5" w:rsidRPr="00543EEC" w14:paraId="7F2B8DAD" w14:textId="77777777" w:rsidTr="00CE155C">
        <w:tc>
          <w:tcPr>
            <w:tcW w:w="8275" w:type="dxa"/>
          </w:tcPr>
          <w:p w14:paraId="20578CE7" w14:textId="77777777" w:rsidR="004219F5" w:rsidRPr="009472F7" w:rsidRDefault="004219F5" w:rsidP="007D430F">
            <w:pPr>
              <w:tabs>
                <w:tab w:val="left" w:pos="1147"/>
              </w:tabs>
              <w:ind w:firstLine="1057"/>
              <w:contextualSpacing/>
              <w:jc w:val="both"/>
              <w:rPr>
                <w:bCs/>
                <w:sz w:val="20"/>
                <w:szCs w:val="20"/>
              </w:rPr>
            </w:pPr>
            <w:r w:rsidRPr="009472F7">
              <w:rPr>
                <w:bCs/>
                <w:sz w:val="20"/>
                <w:szCs w:val="20"/>
              </w:rPr>
              <w:t>The Physical Activity Readiness Questionnaire (PAR-Q)</w:t>
            </w:r>
          </w:p>
        </w:tc>
        <w:tc>
          <w:tcPr>
            <w:tcW w:w="635" w:type="dxa"/>
          </w:tcPr>
          <w:p w14:paraId="59C53FC0" w14:textId="77777777" w:rsidR="004219F5" w:rsidRPr="00543EEC" w:rsidRDefault="004219F5" w:rsidP="007D430F">
            <w:pPr>
              <w:contextualSpacing/>
              <w:jc w:val="both"/>
              <w:rPr>
                <w:bCs/>
                <w:sz w:val="20"/>
                <w:szCs w:val="20"/>
              </w:rPr>
            </w:pPr>
            <w:r>
              <w:rPr>
                <w:bCs/>
                <w:sz w:val="20"/>
                <w:szCs w:val="20"/>
              </w:rPr>
              <w:t>23</w:t>
            </w:r>
          </w:p>
        </w:tc>
      </w:tr>
      <w:tr w:rsidR="004219F5" w:rsidRPr="00543EEC" w14:paraId="6EA5DE4C" w14:textId="77777777" w:rsidTr="00CE155C">
        <w:tc>
          <w:tcPr>
            <w:tcW w:w="8275" w:type="dxa"/>
          </w:tcPr>
          <w:p w14:paraId="44E71963" w14:textId="77777777" w:rsidR="004219F5" w:rsidRPr="009472F7" w:rsidRDefault="004219F5" w:rsidP="007D430F">
            <w:pPr>
              <w:ind w:firstLine="1057"/>
              <w:contextualSpacing/>
              <w:jc w:val="both"/>
              <w:rPr>
                <w:bCs/>
                <w:sz w:val="20"/>
                <w:szCs w:val="20"/>
              </w:rPr>
            </w:pPr>
            <w:r w:rsidRPr="009472F7">
              <w:rPr>
                <w:bCs/>
                <w:sz w:val="20"/>
                <w:szCs w:val="20"/>
              </w:rPr>
              <w:t>Pain Catastrophizing Scale</w:t>
            </w:r>
          </w:p>
        </w:tc>
        <w:tc>
          <w:tcPr>
            <w:tcW w:w="635" w:type="dxa"/>
          </w:tcPr>
          <w:p w14:paraId="70C5C866" w14:textId="77777777" w:rsidR="004219F5" w:rsidRPr="00543EEC" w:rsidRDefault="004219F5" w:rsidP="007D430F">
            <w:pPr>
              <w:contextualSpacing/>
              <w:jc w:val="both"/>
              <w:rPr>
                <w:bCs/>
                <w:sz w:val="20"/>
                <w:szCs w:val="20"/>
              </w:rPr>
            </w:pPr>
            <w:r>
              <w:rPr>
                <w:bCs/>
                <w:sz w:val="20"/>
                <w:szCs w:val="20"/>
              </w:rPr>
              <w:t>23</w:t>
            </w:r>
          </w:p>
        </w:tc>
      </w:tr>
      <w:tr w:rsidR="004219F5" w:rsidRPr="00543EEC" w14:paraId="2F70F251" w14:textId="77777777" w:rsidTr="00CE155C">
        <w:tc>
          <w:tcPr>
            <w:tcW w:w="8275" w:type="dxa"/>
          </w:tcPr>
          <w:p w14:paraId="6C4E0384" w14:textId="77777777" w:rsidR="004219F5" w:rsidRPr="009472F7" w:rsidRDefault="004219F5" w:rsidP="007D430F">
            <w:pPr>
              <w:ind w:firstLine="697"/>
              <w:contextualSpacing/>
              <w:jc w:val="both"/>
              <w:rPr>
                <w:bCs/>
                <w:sz w:val="20"/>
                <w:szCs w:val="20"/>
              </w:rPr>
            </w:pPr>
            <w:r w:rsidRPr="009472F7">
              <w:rPr>
                <w:bCs/>
                <w:sz w:val="20"/>
                <w:szCs w:val="20"/>
              </w:rPr>
              <w:t>Physiological Instruments</w:t>
            </w:r>
          </w:p>
        </w:tc>
        <w:tc>
          <w:tcPr>
            <w:tcW w:w="635" w:type="dxa"/>
          </w:tcPr>
          <w:p w14:paraId="07E9CD2D" w14:textId="77777777" w:rsidR="004219F5" w:rsidRPr="00543EEC" w:rsidRDefault="004219F5" w:rsidP="007D430F">
            <w:pPr>
              <w:contextualSpacing/>
              <w:jc w:val="both"/>
              <w:rPr>
                <w:bCs/>
                <w:sz w:val="20"/>
                <w:szCs w:val="20"/>
              </w:rPr>
            </w:pPr>
            <w:r>
              <w:rPr>
                <w:bCs/>
                <w:sz w:val="20"/>
                <w:szCs w:val="20"/>
              </w:rPr>
              <w:t>24</w:t>
            </w:r>
          </w:p>
        </w:tc>
      </w:tr>
      <w:tr w:rsidR="004219F5" w:rsidRPr="00543EEC" w14:paraId="348EFE00" w14:textId="77777777" w:rsidTr="00CE155C">
        <w:tc>
          <w:tcPr>
            <w:tcW w:w="8275" w:type="dxa"/>
          </w:tcPr>
          <w:p w14:paraId="1B0CE565" w14:textId="77777777" w:rsidR="004219F5" w:rsidRPr="009472F7" w:rsidRDefault="004219F5" w:rsidP="007D430F">
            <w:pPr>
              <w:tabs>
                <w:tab w:val="left" w:pos="1147"/>
              </w:tabs>
              <w:ind w:firstLine="1057"/>
              <w:contextualSpacing/>
              <w:jc w:val="both"/>
              <w:rPr>
                <w:bCs/>
                <w:sz w:val="20"/>
                <w:szCs w:val="20"/>
              </w:rPr>
            </w:pPr>
            <w:r w:rsidRPr="009472F7">
              <w:rPr>
                <w:bCs/>
                <w:sz w:val="20"/>
                <w:szCs w:val="20"/>
              </w:rPr>
              <w:t>Garmin HRM-PRO PLUS</w:t>
            </w:r>
          </w:p>
        </w:tc>
        <w:tc>
          <w:tcPr>
            <w:tcW w:w="635" w:type="dxa"/>
          </w:tcPr>
          <w:p w14:paraId="58C9109B" w14:textId="77777777" w:rsidR="004219F5" w:rsidRPr="00543EEC" w:rsidRDefault="004219F5" w:rsidP="007D430F">
            <w:pPr>
              <w:contextualSpacing/>
              <w:jc w:val="both"/>
              <w:rPr>
                <w:bCs/>
                <w:sz w:val="20"/>
                <w:szCs w:val="20"/>
              </w:rPr>
            </w:pPr>
            <w:r>
              <w:rPr>
                <w:bCs/>
                <w:sz w:val="20"/>
                <w:szCs w:val="20"/>
              </w:rPr>
              <w:t>24</w:t>
            </w:r>
          </w:p>
        </w:tc>
      </w:tr>
      <w:tr w:rsidR="004219F5" w:rsidRPr="00543EEC" w14:paraId="445F7672" w14:textId="77777777" w:rsidTr="00CE155C">
        <w:tc>
          <w:tcPr>
            <w:tcW w:w="8275" w:type="dxa"/>
          </w:tcPr>
          <w:p w14:paraId="6CB30ADB" w14:textId="77777777" w:rsidR="004219F5" w:rsidRPr="009472F7" w:rsidRDefault="004219F5" w:rsidP="007D430F">
            <w:pPr>
              <w:ind w:firstLine="697"/>
              <w:contextualSpacing/>
              <w:jc w:val="both"/>
              <w:rPr>
                <w:bCs/>
                <w:sz w:val="20"/>
                <w:szCs w:val="20"/>
              </w:rPr>
            </w:pPr>
            <w:r w:rsidRPr="009472F7">
              <w:rPr>
                <w:bCs/>
                <w:sz w:val="20"/>
                <w:szCs w:val="20"/>
              </w:rPr>
              <w:t>Cognitive Assessment</w:t>
            </w:r>
          </w:p>
        </w:tc>
        <w:tc>
          <w:tcPr>
            <w:tcW w:w="635" w:type="dxa"/>
          </w:tcPr>
          <w:p w14:paraId="2BB470FD" w14:textId="77777777" w:rsidR="004219F5" w:rsidRPr="00543EEC" w:rsidRDefault="004219F5" w:rsidP="007D430F">
            <w:pPr>
              <w:contextualSpacing/>
              <w:jc w:val="both"/>
              <w:rPr>
                <w:bCs/>
                <w:sz w:val="20"/>
                <w:szCs w:val="20"/>
              </w:rPr>
            </w:pPr>
            <w:r>
              <w:rPr>
                <w:bCs/>
                <w:sz w:val="20"/>
                <w:szCs w:val="20"/>
              </w:rPr>
              <w:t>25</w:t>
            </w:r>
          </w:p>
        </w:tc>
      </w:tr>
      <w:tr w:rsidR="004219F5" w:rsidRPr="00543EEC" w14:paraId="1C73C5A7" w14:textId="77777777" w:rsidTr="00CE155C">
        <w:tc>
          <w:tcPr>
            <w:tcW w:w="8275" w:type="dxa"/>
          </w:tcPr>
          <w:p w14:paraId="1D4FD9C5" w14:textId="77777777" w:rsidR="004219F5" w:rsidRPr="009472F7" w:rsidRDefault="004219F5" w:rsidP="007D430F">
            <w:pPr>
              <w:ind w:firstLine="1057"/>
              <w:contextualSpacing/>
              <w:jc w:val="both"/>
              <w:rPr>
                <w:bCs/>
                <w:sz w:val="20"/>
                <w:szCs w:val="20"/>
              </w:rPr>
            </w:pPr>
            <w:r w:rsidRPr="009472F7">
              <w:rPr>
                <w:bCs/>
                <w:sz w:val="20"/>
                <w:szCs w:val="20"/>
              </w:rPr>
              <w:t>The Cedar Operator Workload Assessment Too</w:t>
            </w:r>
            <w:r>
              <w:rPr>
                <w:bCs/>
                <w:sz w:val="20"/>
                <w:szCs w:val="20"/>
              </w:rPr>
              <w:t>l</w:t>
            </w:r>
            <w:r w:rsidRPr="009472F7">
              <w:rPr>
                <w:bCs/>
                <w:sz w:val="20"/>
                <w:szCs w:val="20"/>
              </w:rPr>
              <w:t xml:space="preserve"> </w:t>
            </w:r>
          </w:p>
        </w:tc>
        <w:tc>
          <w:tcPr>
            <w:tcW w:w="635" w:type="dxa"/>
          </w:tcPr>
          <w:p w14:paraId="1B6212B1" w14:textId="77777777" w:rsidR="004219F5" w:rsidRPr="00543EEC" w:rsidRDefault="004219F5" w:rsidP="007D430F">
            <w:pPr>
              <w:contextualSpacing/>
              <w:jc w:val="both"/>
              <w:rPr>
                <w:bCs/>
                <w:sz w:val="20"/>
                <w:szCs w:val="20"/>
              </w:rPr>
            </w:pPr>
            <w:r>
              <w:rPr>
                <w:bCs/>
                <w:sz w:val="20"/>
                <w:szCs w:val="20"/>
              </w:rPr>
              <w:t>25</w:t>
            </w:r>
          </w:p>
        </w:tc>
      </w:tr>
      <w:tr w:rsidR="004219F5" w:rsidRPr="00543EEC" w14:paraId="58DC5B8E" w14:textId="77777777" w:rsidTr="00CE155C">
        <w:tc>
          <w:tcPr>
            <w:tcW w:w="8275" w:type="dxa"/>
          </w:tcPr>
          <w:p w14:paraId="207257BC" w14:textId="77777777" w:rsidR="004219F5" w:rsidRPr="009472F7" w:rsidRDefault="004219F5" w:rsidP="007D430F">
            <w:pPr>
              <w:ind w:firstLine="337"/>
              <w:contextualSpacing/>
              <w:jc w:val="both"/>
              <w:rPr>
                <w:bCs/>
                <w:sz w:val="20"/>
                <w:szCs w:val="20"/>
              </w:rPr>
            </w:pPr>
            <w:r w:rsidRPr="009472F7">
              <w:rPr>
                <w:bCs/>
                <w:sz w:val="20"/>
                <w:szCs w:val="20"/>
              </w:rPr>
              <w:t>Procedure</w:t>
            </w:r>
          </w:p>
        </w:tc>
        <w:tc>
          <w:tcPr>
            <w:tcW w:w="635" w:type="dxa"/>
          </w:tcPr>
          <w:p w14:paraId="5D9C8663" w14:textId="77777777" w:rsidR="004219F5" w:rsidRPr="00543EEC" w:rsidRDefault="004219F5" w:rsidP="007D430F">
            <w:pPr>
              <w:contextualSpacing/>
              <w:jc w:val="both"/>
              <w:rPr>
                <w:bCs/>
                <w:sz w:val="20"/>
                <w:szCs w:val="20"/>
              </w:rPr>
            </w:pPr>
            <w:r>
              <w:rPr>
                <w:bCs/>
                <w:sz w:val="20"/>
                <w:szCs w:val="20"/>
              </w:rPr>
              <w:t>27</w:t>
            </w:r>
          </w:p>
        </w:tc>
      </w:tr>
      <w:tr w:rsidR="004219F5" w:rsidRPr="00543EEC" w14:paraId="519C9A8A" w14:textId="77777777" w:rsidTr="00CE155C">
        <w:tc>
          <w:tcPr>
            <w:tcW w:w="8275" w:type="dxa"/>
          </w:tcPr>
          <w:p w14:paraId="18B13D64" w14:textId="77777777" w:rsidR="004219F5" w:rsidRPr="009472F7" w:rsidRDefault="004219F5" w:rsidP="007D430F">
            <w:pPr>
              <w:contextualSpacing/>
              <w:jc w:val="both"/>
              <w:rPr>
                <w:bCs/>
                <w:sz w:val="20"/>
                <w:szCs w:val="20"/>
              </w:rPr>
            </w:pPr>
            <w:r w:rsidRPr="009472F7">
              <w:rPr>
                <w:bCs/>
                <w:sz w:val="20"/>
                <w:szCs w:val="20"/>
              </w:rPr>
              <w:t>R</w:t>
            </w:r>
            <w:r>
              <w:rPr>
                <w:bCs/>
                <w:sz w:val="20"/>
                <w:szCs w:val="20"/>
              </w:rPr>
              <w:t>e</w:t>
            </w:r>
            <w:r w:rsidRPr="009472F7">
              <w:rPr>
                <w:bCs/>
                <w:sz w:val="20"/>
                <w:szCs w:val="20"/>
              </w:rPr>
              <w:t>sults</w:t>
            </w:r>
          </w:p>
        </w:tc>
        <w:tc>
          <w:tcPr>
            <w:tcW w:w="635" w:type="dxa"/>
          </w:tcPr>
          <w:p w14:paraId="628CE0E5" w14:textId="77777777" w:rsidR="004219F5" w:rsidRPr="00543EEC" w:rsidRDefault="004219F5" w:rsidP="007D430F">
            <w:pPr>
              <w:contextualSpacing/>
              <w:jc w:val="both"/>
              <w:rPr>
                <w:bCs/>
                <w:sz w:val="20"/>
                <w:szCs w:val="20"/>
              </w:rPr>
            </w:pPr>
            <w:r>
              <w:rPr>
                <w:bCs/>
                <w:sz w:val="20"/>
                <w:szCs w:val="20"/>
              </w:rPr>
              <w:t>30</w:t>
            </w:r>
          </w:p>
        </w:tc>
      </w:tr>
      <w:tr w:rsidR="004219F5" w:rsidRPr="00543EEC" w14:paraId="5D270CBA" w14:textId="77777777" w:rsidTr="00CE155C">
        <w:tc>
          <w:tcPr>
            <w:tcW w:w="8275" w:type="dxa"/>
          </w:tcPr>
          <w:p w14:paraId="7FE188CE" w14:textId="77777777" w:rsidR="004219F5" w:rsidRPr="009472F7" w:rsidRDefault="004219F5" w:rsidP="007D430F">
            <w:pPr>
              <w:ind w:firstLine="337"/>
              <w:contextualSpacing/>
              <w:jc w:val="both"/>
              <w:rPr>
                <w:bCs/>
                <w:sz w:val="20"/>
                <w:szCs w:val="20"/>
              </w:rPr>
            </w:pPr>
            <w:r w:rsidRPr="009472F7">
              <w:rPr>
                <w:bCs/>
                <w:sz w:val="20"/>
                <w:szCs w:val="20"/>
              </w:rPr>
              <w:t>Statistical Analyses</w:t>
            </w:r>
          </w:p>
        </w:tc>
        <w:tc>
          <w:tcPr>
            <w:tcW w:w="635" w:type="dxa"/>
          </w:tcPr>
          <w:p w14:paraId="0A4A3D87" w14:textId="77777777" w:rsidR="004219F5" w:rsidRPr="00543EEC" w:rsidRDefault="004219F5" w:rsidP="007D430F">
            <w:pPr>
              <w:contextualSpacing/>
              <w:jc w:val="both"/>
              <w:rPr>
                <w:bCs/>
                <w:sz w:val="20"/>
                <w:szCs w:val="20"/>
              </w:rPr>
            </w:pPr>
            <w:r>
              <w:rPr>
                <w:bCs/>
                <w:sz w:val="20"/>
                <w:szCs w:val="20"/>
              </w:rPr>
              <w:t>30</w:t>
            </w:r>
          </w:p>
        </w:tc>
      </w:tr>
      <w:tr w:rsidR="004219F5" w:rsidRPr="00543EEC" w14:paraId="76027BFF" w14:textId="77777777" w:rsidTr="00CE155C">
        <w:tc>
          <w:tcPr>
            <w:tcW w:w="8275" w:type="dxa"/>
          </w:tcPr>
          <w:p w14:paraId="3E202D9D" w14:textId="77777777" w:rsidR="004219F5" w:rsidRPr="009472F7" w:rsidRDefault="004219F5" w:rsidP="007D430F">
            <w:pPr>
              <w:ind w:firstLine="337"/>
              <w:contextualSpacing/>
              <w:jc w:val="both"/>
              <w:rPr>
                <w:bCs/>
                <w:sz w:val="20"/>
                <w:szCs w:val="20"/>
              </w:rPr>
            </w:pPr>
            <w:r w:rsidRPr="009472F7">
              <w:rPr>
                <w:bCs/>
                <w:sz w:val="20"/>
                <w:szCs w:val="20"/>
              </w:rPr>
              <w:t>Descriptive Statistics</w:t>
            </w:r>
          </w:p>
        </w:tc>
        <w:tc>
          <w:tcPr>
            <w:tcW w:w="635" w:type="dxa"/>
          </w:tcPr>
          <w:p w14:paraId="7382A50B" w14:textId="77777777" w:rsidR="004219F5" w:rsidRPr="00543EEC" w:rsidRDefault="004219F5" w:rsidP="007D430F">
            <w:pPr>
              <w:contextualSpacing/>
              <w:jc w:val="both"/>
              <w:rPr>
                <w:bCs/>
                <w:sz w:val="20"/>
                <w:szCs w:val="20"/>
              </w:rPr>
            </w:pPr>
            <w:r>
              <w:rPr>
                <w:bCs/>
                <w:sz w:val="20"/>
                <w:szCs w:val="20"/>
              </w:rPr>
              <w:t>31</w:t>
            </w:r>
          </w:p>
        </w:tc>
      </w:tr>
      <w:tr w:rsidR="004219F5" w:rsidRPr="00543EEC" w14:paraId="00302DDE" w14:textId="77777777" w:rsidTr="00CE155C">
        <w:tc>
          <w:tcPr>
            <w:tcW w:w="8275" w:type="dxa"/>
          </w:tcPr>
          <w:p w14:paraId="585BE025" w14:textId="77777777" w:rsidR="004219F5" w:rsidRPr="009472F7" w:rsidRDefault="004219F5" w:rsidP="007D430F">
            <w:pPr>
              <w:ind w:firstLine="337"/>
              <w:contextualSpacing/>
              <w:jc w:val="both"/>
              <w:rPr>
                <w:bCs/>
                <w:sz w:val="20"/>
                <w:szCs w:val="20"/>
              </w:rPr>
            </w:pPr>
            <w:r w:rsidRPr="009472F7">
              <w:rPr>
                <w:bCs/>
                <w:sz w:val="20"/>
                <w:szCs w:val="20"/>
              </w:rPr>
              <w:t>RMGLMs</w:t>
            </w:r>
          </w:p>
        </w:tc>
        <w:tc>
          <w:tcPr>
            <w:tcW w:w="635" w:type="dxa"/>
          </w:tcPr>
          <w:p w14:paraId="57B2C4AE" w14:textId="77777777" w:rsidR="004219F5" w:rsidRPr="00543EEC" w:rsidRDefault="004219F5" w:rsidP="007D430F">
            <w:pPr>
              <w:contextualSpacing/>
              <w:jc w:val="both"/>
              <w:rPr>
                <w:bCs/>
                <w:sz w:val="20"/>
                <w:szCs w:val="20"/>
              </w:rPr>
            </w:pPr>
            <w:r>
              <w:rPr>
                <w:bCs/>
                <w:sz w:val="20"/>
                <w:szCs w:val="20"/>
              </w:rPr>
              <w:t>32</w:t>
            </w:r>
          </w:p>
        </w:tc>
      </w:tr>
      <w:tr w:rsidR="004219F5" w:rsidRPr="00543EEC" w14:paraId="7EA0A9E9" w14:textId="77777777" w:rsidTr="00CE155C">
        <w:tc>
          <w:tcPr>
            <w:tcW w:w="8275" w:type="dxa"/>
          </w:tcPr>
          <w:p w14:paraId="535C4B47" w14:textId="77777777" w:rsidR="004219F5" w:rsidRPr="009472F7" w:rsidRDefault="004219F5" w:rsidP="007D430F">
            <w:pPr>
              <w:ind w:firstLine="337"/>
              <w:contextualSpacing/>
              <w:jc w:val="both"/>
              <w:rPr>
                <w:bCs/>
                <w:sz w:val="20"/>
                <w:szCs w:val="20"/>
              </w:rPr>
            </w:pPr>
            <w:r w:rsidRPr="009472F7">
              <w:rPr>
                <w:bCs/>
                <w:sz w:val="20"/>
                <w:szCs w:val="20"/>
              </w:rPr>
              <w:t>Secondary Analyses</w:t>
            </w:r>
          </w:p>
        </w:tc>
        <w:tc>
          <w:tcPr>
            <w:tcW w:w="635" w:type="dxa"/>
          </w:tcPr>
          <w:p w14:paraId="16C0D463" w14:textId="77777777" w:rsidR="004219F5" w:rsidRPr="00543EEC" w:rsidRDefault="004219F5" w:rsidP="007D430F">
            <w:pPr>
              <w:contextualSpacing/>
              <w:jc w:val="both"/>
              <w:rPr>
                <w:bCs/>
                <w:sz w:val="20"/>
                <w:szCs w:val="20"/>
              </w:rPr>
            </w:pPr>
            <w:r>
              <w:rPr>
                <w:bCs/>
                <w:sz w:val="20"/>
                <w:szCs w:val="20"/>
              </w:rPr>
              <w:t>35</w:t>
            </w:r>
          </w:p>
        </w:tc>
      </w:tr>
      <w:tr w:rsidR="004219F5" w:rsidRPr="00543EEC" w14:paraId="034013AE" w14:textId="77777777" w:rsidTr="00CE155C">
        <w:tc>
          <w:tcPr>
            <w:tcW w:w="8275" w:type="dxa"/>
          </w:tcPr>
          <w:p w14:paraId="74A34893" w14:textId="77777777" w:rsidR="004219F5" w:rsidRPr="009472F7" w:rsidRDefault="004219F5" w:rsidP="007D430F">
            <w:pPr>
              <w:contextualSpacing/>
              <w:jc w:val="both"/>
              <w:rPr>
                <w:bCs/>
                <w:sz w:val="20"/>
                <w:szCs w:val="20"/>
              </w:rPr>
            </w:pPr>
            <w:r w:rsidRPr="009472F7">
              <w:rPr>
                <w:bCs/>
                <w:sz w:val="20"/>
                <w:szCs w:val="20"/>
              </w:rPr>
              <w:t>Discussion</w:t>
            </w:r>
          </w:p>
        </w:tc>
        <w:tc>
          <w:tcPr>
            <w:tcW w:w="635" w:type="dxa"/>
          </w:tcPr>
          <w:p w14:paraId="37243633" w14:textId="77777777" w:rsidR="004219F5" w:rsidRPr="00543EEC" w:rsidRDefault="004219F5" w:rsidP="007D430F">
            <w:pPr>
              <w:contextualSpacing/>
              <w:jc w:val="both"/>
              <w:rPr>
                <w:bCs/>
                <w:sz w:val="20"/>
                <w:szCs w:val="20"/>
              </w:rPr>
            </w:pPr>
            <w:r>
              <w:rPr>
                <w:bCs/>
                <w:sz w:val="20"/>
                <w:szCs w:val="20"/>
              </w:rPr>
              <w:t>37</w:t>
            </w:r>
          </w:p>
        </w:tc>
      </w:tr>
      <w:tr w:rsidR="004219F5" w:rsidRPr="00543EEC" w14:paraId="477CF8EB" w14:textId="77777777" w:rsidTr="00CE155C">
        <w:tc>
          <w:tcPr>
            <w:tcW w:w="8275" w:type="dxa"/>
          </w:tcPr>
          <w:p w14:paraId="4C3FA2D2" w14:textId="77777777" w:rsidR="004219F5" w:rsidRPr="009472F7" w:rsidRDefault="004219F5" w:rsidP="007D430F">
            <w:pPr>
              <w:ind w:firstLine="337"/>
              <w:contextualSpacing/>
              <w:jc w:val="both"/>
              <w:rPr>
                <w:bCs/>
                <w:sz w:val="20"/>
                <w:szCs w:val="20"/>
              </w:rPr>
            </w:pPr>
            <w:r w:rsidRPr="009472F7">
              <w:rPr>
                <w:bCs/>
                <w:sz w:val="20"/>
                <w:szCs w:val="20"/>
              </w:rPr>
              <w:t>Exercise Intensity and Cognition: Reinforcing What We Knew</w:t>
            </w:r>
          </w:p>
        </w:tc>
        <w:tc>
          <w:tcPr>
            <w:tcW w:w="635" w:type="dxa"/>
          </w:tcPr>
          <w:p w14:paraId="40563D5D" w14:textId="77777777" w:rsidR="004219F5" w:rsidRPr="00543EEC" w:rsidRDefault="004219F5" w:rsidP="007D430F">
            <w:pPr>
              <w:contextualSpacing/>
              <w:jc w:val="both"/>
              <w:rPr>
                <w:bCs/>
                <w:sz w:val="20"/>
                <w:szCs w:val="20"/>
              </w:rPr>
            </w:pPr>
            <w:r>
              <w:rPr>
                <w:bCs/>
                <w:sz w:val="20"/>
                <w:szCs w:val="20"/>
              </w:rPr>
              <w:t>37</w:t>
            </w:r>
          </w:p>
        </w:tc>
      </w:tr>
      <w:tr w:rsidR="004219F5" w:rsidRPr="00543EEC" w14:paraId="681549C1" w14:textId="77777777" w:rsidTr="00CE155C">
        <w:tc>
          <w:tcPr>
            <w:tcW w:w="8275" w:type="dxa"/>
          </w:tcPr>
          <w:p w14:paraId="20662AF0" w14:textId="77777777" w:rsidR="004219F5" w:rsidRPr="009472F7" w:rsidRDefault="004219F5" w:rsidP="007D430F">
            <w:pPr>
              <w:ind w:firstLine="337"/>
              <w:contextualSpacing/>
              <w:jc w:val="both"/>
              <w:rPr>
                <w:bCs/>
                <w:sz w:val="20"/>
                <w:szCs w:val="20"/>
              </w:rPr>
            </w:pPr>
            <w:r>
              <w:rPr>
                <w:bCs/>
                <w:sz w:val="20"/>
                <w:szCs w:val="20"/>
              </w:rPr>
              <w:t>Pain Catastrophizing: A Complex Modifier of Cognition During Exercise</w:t>
            </w:r>
          </w:p>
        </w:tc>
        <w:tc>
          <w:tcPr>
            <w:tcW w:w="635" w:type="dxa"/>
          </w:tcPr>
          <w:p w14:paraId="0A89EB51" w14:textId="77777777" w:rsidR="004219F5" w:rsidRPr="00543EEC" w:rsidRDefault="004219F5" w:rsidP="007D430F">
            <w:pPr>
              <w:contextualSpacing/>
              <w:jc w:val="both"/>
              <w:rPr>
                <w:bCs/>
                <w:sz w:val="20"/>
                <w:szCs w:val="20"/>
              </w:rPr>
            </w:pPr>
            <w:r>
              <w:rPr>
                <w:bCs/>
                <w:sz w:val="20"/>
                <w:szCs w:val="20"/>
              </w:rPr>
              <w:t>37</w:t>
            </w:r>
          </w:p>
        </w:tc>
      </w:tr>
      <w:tr w:rsidR="004219F5" w:rsidRPr="00543EEC" w14:paraId="1C17C6D9" w14:textId="77777777" w:rsidTr="00CE155C">
        <w:tc>
          <w:tcPr>
            <w:tcW w:w="8275" w:type="dxa"/>
          </w:tcPr>
          <w:p w14:paraId="13BB6E52" w14:textId="77777777" w:rsidR="004219F5" w:rsidRPr="009472F7" w:rsidRDefault="004219F5" w:rsidP="007D430F">
            <w:pPr>
              <w:ind w:firstLine="337"/>
              <w:contextualSpacing/>
              <w:jc w:val="both"/>
              <w:rPr>
                <w:bCs/>
                <w:sz w:val="20"/>
                <w:szCs w:val="20"/>
              </w:rPr>
            </w:pPr>
            <w:r>
              <w:rPr>
                <w:bCs/>
                <w:sz w:val="20"/>
                <w:szCs w:val="20"/>
              </w:rPr>
              <w:t>Limitations</w:t>
            </w:r>
            <w:r w:rsidRPr="009472F7">
              <w:rPr>
                <w:bCs/>
                <w:sz w:val="20"/>
                <w:szCs w:val="20"/>
              </w:rPr>
              <w:t xml:space="preserve"> and Future Directions</w:t>
            </w:r>
          </w:p>
        </w:tc>
        <w:tc>
          <w:tcPr>
            <w:tcW w:w="635" w:type="dxa"/>
          </w:tcPr>
          <w:p w14:paraId="18840746" w14:textId="77777777" w:rsidR="004219F5" w:rsidRPr="00543EEC" w:rsidRDefault="004219F5" w:rsidP="007D430F">
            <w:pPr>
              <w:contextualSpacing/>
              <w:jc w:val="both"/>
              <w:rPr>
                <w:bCs/>
                <w:sz w:val="20"/>
                <w:szCs w:val="20"/>
              </w:rPr>
            </w:pPr>
            <w:r>
              <w:rPr>
                <w:bCs/>
                <w:sz w:val="20"/>
                <w:szCs w:val="20"/>
              </w:rPr>
              <w:t>40</w:t>
            </w:r>
          </w:p>
        </w:tc>
      </w:tr>
      <w:tr w:rsidR="004219F5" w:rsidRPr="00543EEC" w14:paraId="0F2EE4BD" w14:textId="77777777" w:rsidTr="00CE155C">
        <w:tc>
          <w:tcPr>
            <w:tcW w:w="8275" w:type="dxa"/>
          </w:tcPr>
          <w:p w14:paraId="57343212" w14:textId="77777777" w:rsidR="004219F5" w:rsidRPr="009472F7" w:rsidRDefault="004219F5" w:rsidP="007D430F">
            <w:pPr>
              <w:ind w:firstLine="337"/>
              <w:contextualSpacing/>
              <w:jc w:val="both"/>
              <w:rPr>
                <w:bCs/>
                <w:sz w:val="20"/>
                <w:szCs w:val="20"/>
              </w:rPr>
            </w:pPr>
            <w:r>
              <w:rPr>
                <w:bCs/>
                <w:sz w:val="20"/>
                <w:szCs w:val="20"/>
              </w:rPr>
              <w:t>Conclusions</w:t>
            </w:r>
          </w:p>
        </w:tc>
        <w:tc>
          <w:tcPr>
            <w:tcW w:w="635" w:type="dxa"/>
          </w:tcPr>
          <w:p w14:paraId="0871C212" w14:textId="77777777" w:rsidR="004219F5" w:rsidRPr="00543EEC" w:rsidRDefault="004219F5" w:rsidP="007D430F">
            <w:pPr>
              <w:contextualSpacing/>
              <w:jc w:val="both"/>
              <w:rPr>
                <w:bCs/>
                <w:sz w:val="20"/>
                <w:szCs w:val="20"/>
              </w:rPr>
            </w:pPr>
            <w:r>
              <w:rPr>
                <w:bCs/>
                <w:sz w:val="20"/>
                <w:szCs w:val="20"/>
              </w:rPr>
              <w:t>47</w:t>
            </w:r>
          </w:p>
        </w:tc>
      </w:tr>
      <w:tr w:rsidR="004219F5" w14:paraId="642E7873" w14:textId="77777777" w:rsidTr="00CE155C">
        <w:tc>
          <w:tcPr>
            <w:tcW w:w="8275" w:type="dxa"/>
          </w:tcPr>
          <w:p w14:paraId="1509E2FB" w14:textId="77777777" w:rsidR="004219F5" w:rsidRDefault="004219F5" w:rsidP="007D430F">
            <w:pPr>
              <w:ind w:hanging="14"/>
              <w:contextualSpacing/>
              <w:jc w:val="both"/>
              <w:rPr>
                <w:bCs/>
                <w:sz w:val="20"/>
                <w:szCs w:val="20"/>
              </w:rPr>
            </w:pPr>
            <w:r>
              <w:rPr>
                <w:bCs/>
                <w:sz w:val="20"/>
                <w:szCs w:val="20"/>
              </w:rPr>
              <w:t>Appendix A-</w:t>
            </w:r>
            <w:r w:rsidRPr="00DB0B21">
              <w:rPr>
                <w:bCs/>
                <w:sz w:val="20"/>
                <w:szCs w:val="20"/>
              </w:rPr>
              <w:t>The Impact of Exercise Intensity (Heart Rate Reserve) on Hit Rate: Individual Plots</w:t>
            </w:r>
          </w:p>
        </w:tc>
        <w:tc>
          <w:tcPr>
            <w:tcW w:w="635" w:type="dxa"/>
          </w:tcPr>
          <w:p w14:paraId="37557321" w14:textId="77777777" w:rsidR="004219F5" w:rsidRDefault="004219F5" w:rsidP="007D430F">
            <w:pPr>
              <w:contextualSpacing/>
              <w:jc w:val="both"/>
              <w:rPr>
                <w:bCs/>
                <w:sz w:val="20"/>
                <w:szCs w:val="20"/>
              </w:rPr>
            </w:pPr>
            <w:r>
              <w:rPr>
                <w:bCs/>
                <w:sz w:val="20"/>
                <w:szCs w:val="20"/>
              </w:rPr>
              <w:t>74</w:t>
            </w:r>
          </w:p>
        </w:tc>
      </w:tr>
      <w:tr w:rsidR="004219F5" w14:paraId="1999725F" w14:textId="77777777" w:rsidTr="00CE155C">
        <w:tc>
          <w:tcPr>
            <w:tcW w:w="8275" w:type="dxa"/>
          </w:tcPr>
          <w:p w14:paraId="65CFCE35" w14:textId="77777777" w:rsidR="004219F5" w:rsidRDefault="004219F5" w:rsidP="007D430F">
            <w:pPr>
              <w:ind w:hanging="14"/>
              <w:contextualSpacing/>
              <w:jc w:val="both"/>
              <w:rPr>
                <w:bCs/>
                <w:sz w:val="20"/>
                <w:szCs w:val="20"/>
              </w:rPr>
            </w:pPr>
            <w:r>
              <w:rPr>
                <w:bCs/>
                <w:sz w:val="20"/>
                <w:szCs w:val="20"/>
              </w:rPr>
              <w:t>Appendix B-</w:t>
            </w:r>
            <w:r w:rsidRPr="00DB0B21">
              <w:rPr>
                <w:bCs/>
                <w:sz w:val="20"/>
                <w:szCs w:val="20"/>
              </w:rPr>
              <w:t xml:space="preserve">The Impact of Exercise Intensity (Heart Rate Reserve) on </w:t>
            </w:r>
            <w:r>
              <w:rPr>
                <w:bCs/>
                <w:sz w:val="20"/>
                <w:szCs w:val="20"/>
              </w:rPr>
              <w:t>Precision</w:t>
            </w:r>
            <w:r w:rsidRPr="00DB0B21">
              <w:rPr>
                <w:bCs/>
                <w:sz w:val="20"/>
                <w:szCs w:val="20"/>
              </w:rPr>
              <w:t>: Individual Plots</w:t>
            </w:r>
          </w:p>
        </w:tc>
        <w:tc>
          <w:tcPr>
            <w:tcW w:w="635" w:type="dxa"/>
          </w:tcPr>
          <w:p w14:paraId="7026BFD0" w14:textId="77777777" w:rsidR="004219F5" w:rsidRDefault="004219F5" w:rsidP="007D430F">
            <w:pPr>
              <w:contextualSpacing/>
              <w:jc w:val="both"/>
              <w:rPr>
                <w:bCs/>
                <w:sz w:val="20"/>
                <w:szCs w:val="20"/>
              </w:rPr>
            </w:pPr>
            <w:r>
              <w:rPr>
                <w:bCs/>
                <w:sz w:val="20"/>
                <w:szCs w:val="20"/>
              </w:rPr>
              <w:t>75</w:t>
            </w:r>
          </w:p>
        </w:tc>
      </w:tr>
    </w:tbl>
    <w:p w14:paraId="2AD5A127" w14:textId="77777777" w:rsidR="00875B49" w:rsidRDefault="00875B49" w:rsidP="00875B49">
      <w:pPr>
        <w:pBdr>
          <w:top w:val="nil"/>
          <w:left w:val="nil"/>
          <w:bottom w:val="nil"/>
          <w:right w:val="nil"/>
          <w:between w:val="nil"/>
        </w:pBdr>
        <w:tabs>
          <w:tab w:val="right" w:pos="9592"/>
        </w:tabs>
        <w:spacing w:before="12"/>
        <w:rPr>
          <w:color w:val="000000"/>
        </w:rPr>
      </w:pPr>
    </w:p>
    <w:p w14:paraId="13B0E77D" w14:textId="77777777" w:rsidR="00875B49" w:rsidRDefault="00875B49" w:rsidP="00875B49">
      <w:pPr>
        <w:pBdr>
          <w:top w:val="nil"/>
          <w:left w:val="nil"/>
          <w:bottom w:val="nil"/>
          <w:right w:val="nil"/>
          <w:between w:val="nil"/>
        </w:pBdr>
        <w:tabs>
          <w:tab w:val="right" w:pos="9592"/>
        </w:tabs>
        <w:spacing w:before="12"/>
        <w:rPr>
          <w:color w:val="000000"/>
        </w:rPr>
      </w:pPr>
    </w:p>
    <w:p w14:paraId="4E32D976" w14:textId="77777777" w:rsidR="00875B49" w:rsidRDefault="00875B49" w:rsidP="00875B49">
      <w:pPr>
        <w:pBdr>
          <w:top w:val="nil"/>
          <w:left w:val="nil"/>
          <w:bottom w:val="nil"/>
          <w:right w:val="nil"/>
          <w:between w:val="nil"/>
        </w:pBdr>
        <w:tabs>
          <w:tab w:val="right" w:pos="9592"/>
        </w:tabs>
        <w:spacing w:before="12"/>
        <w:rPr>
          <w:color w:val="000000"/>
        </w:rPr>
      </w:pPr>
    </w:p>
    <w:p w14:paraId="2A17BC7E" w14:textId="77777777" w:rsidR="00875B49" w:rsidRDefault="00875B49" w:rsidP="00875B49">
      <w:pPr>
        <w:pBdr>
          <w:top w:val="nil"/>
          <w:left w:val="nil"/>
          <w:bottom w:val="nil"/>
          <w:right w:val="nil"/>
          <w:between w:val="nil"/>
        </w:pBdr>
        <w:tabs>
          <w:tab w:val="right" w:pos="9592"/>
        </w:tabs>
        <w:spacing w:before="12"/>
        <w:rPr>
          <w:color w:val="000000"/>
        </w:rPr>
      </w:pPr>
    </w:p>
    <w:p w14:paraId="5404042E" w14:textId="007F5633" w:rsidR="00850348" w:rsidRPr="00850348" w:rsidRDefault="00850348" w:rsidP="00850348">
      <w:pPr>
        <w:spacing w:before="71"/>
        <w:jc w:val="center"/>
        <w:rPr>
          <w:b/>
        </w:rPr>
      </w:pPr>
      <w:r w:rsidRPr="00850348">
        <w:rPr>
          <w:b/>
        </w:rPr>
        <w:lastRenderedPageBreak/>
        <w:t>Abstract</w:t>
      </w:r>
    </w:p>
    <w:p w14:paraId="57CD56B7" w14:textId="77777777" w:rsidR="00951B63" w:rsidRDefault="00951B63" w:rsidP="00850348">
      <w:pPr>
        <w:spacing w:before="71"/>
        <w:jc w:val="center"/>
        <w:rPr>
          <w:bCs/>
        </w:rPr>
      </w:pPr>
    </w:p>
    <w:p w14:paraId="45C63BD4" w14:textId="50A3D83B" w:rsidR="00951B63" w:rsidRPr="00850348" w:rsidRDefault="00951B63" w:rsidP="00951B63">
      <w:pPr>
        <w:spacing w:before="71" w:line="480" w:lineRule="auto"/>
        <w:rPr>
          <w:bCs/>
        </w:rPr>
      </w:pPr>
      <w:r w:rsidRPr="00951B63">
        <w:rPr>
          <w:bCs/>
        </w:rPr>
        <w:t xml:space="preserve">The relationship between exercise and cognition has been extensively studied, with results varying based on factors such as the length, intensity, and modality of exercise and the timing, task, and domain of cognition under investigation. While studies evaluating concomitant exercise and cognition overwhelmingly indicate decrements in performance on executive function tasks at high intensities, there remains limited agreement on how individual differences or cognitions might affect the physiological processes linked to these declines. As such, the present prospective, within-subjects study sought to systematically examine the impact of pain catastrophizing, a variable known to impact attentional processes, on the relationship between exercise intensity and executive function. Following completion of a series of online questionnaires and familiarization procedures (Visit 1), eligible participants completed an executive function test, the Cedar OWAT, while simultaneously completing a  graded maximal exercise test on a treadmill (Visit 2). Results indicated significant decrements in executive function performance as exercise intensity increased, with pain catastrophizing interacting with exercise intensity to exert differential effects on hit rate and precision. In summary, the present study replicates previous findings demonstrating a significant negative relationship between exercise intensity and executive performance and offers initial evidence that higher levels of pain catastrophizing could contribute to complex alterations in cognitive performance under such conditions. These findings should be further explored in future studies, as they might hold </w:t>
      </w:r>
      <w:proofErr w:type="gramStart"/>
      <w:r w:rsidRPr="00951B63">
        <w:rPr>
          <w:bCs/>
        </w:rPr>
        <w:t>particular relevance</w:t>
      </w:r>
      <w:proofErr w:type="gramEnd"/>
      <w:r w:rsidRPr="00951B63">
        <w:rPr>
          <w:bCs/>
        </w:rPr>
        <w:t xml:space="preserve"> in settings in which maintaining peak cognitive abilities is crucial for effective decision-making, performance, and overall health.</w:t>
      </w:r>
    </w:p>
    <w:p w14:paraId="616BE75E" w14:textId="77777777" w:rsidR="00850348" w:rsidRPr="00850348" w:rsidRDefault="00850348" w:rsidP="00850348">
      <w:pPr>
        <w:spacing w:before="71"/>
        <w:jc w:val="center"/>
        <w:rPr>
          <w:bCs/>
        </w:rPr>
      </w:pPr>
    </w:p>
    <w:p w14:paraId="52E0EC6D" w14:textId="45022A77" w:rsidR="00875B49" w:rsidRDefault="009472F7" w:rsidP="00875B49">
      <w:pPr>
        <w:spacing w:before="71"/>
        <w:rPr>
          <w:bCs/>
          <w:color w:val="000000"/>
        </w:rPr>
        <w:sectPr w:rsidR="00875B49" w:rsidSect="008F6BAD">
          <w:footerReference w:type="default" r:id="rId17"/>
          <w:pgSz w:w="12240" w:h="15840"/>
          <w:pgMar w:top="1440" w:right="1440" w:bottom="1440" w:left="1440" w:header="0" w:footer="1085" w:gutter="0"/>
          <w:pgNumType w:fmt="lowerRoman" w:start="4"/>
          <w:cols w:space="720"/>
          <w:docGrid w:linePitch="326"/>
        </w:sectPr>
      </w:pPr>
      <w:r>
        <w:rPr>
          <w:b/>
        </w:rPr>
        <w:t>Keywords</w:t>
      </w:r>
      <w:r w:rsidR="00850348" w:rsidRPr="00850348">
        <w:rPr>
          <w:b/>
        </w:rPr>
        <w:t>:</w:t>
      </w:r>
      <w:r w:rsidR="004341F4">
        <w:rPr>
          <w:b/>
        </w:rPr>
        <w:t xml:space="preserve"> </w:t>
      </w:r>
      <w:r w:rsidR="004341F4" w:rsidRPr="004341F4">
        <w:rPr>
          <w:bCs/>
        </w:rPr>
        <w:t>executive function, exercise intensity, pain catastrophizin</w:t>
      </w:r>
      <w:r w:rsidR="00875B49">
        <w:rPr>
          <w:bCs/>
        </w:rPr>
        <w:t>g</w:t>
      </w:r>
    </w:p>
    <w:p w14:paraId="4A02B8A4" w14:textId="726ABDF0" w:rsidR="00674C06" w:rsidRDefault="00D06FD2" w:rsidP="00875B49">
      <w:pPr>
        <w:spacing w:before="71" w:line="480" w:lineRule="auto"/>
        <w:rPr>
          <w:b/>
        </w:rPr>
      </w:pPr>
      <w:r>
        <w:rPr>
          <w:b/>
        </w:rPr>
        <w:lastRenderedPageBreak/>
        <w:t>Exercise-Induced Cognitive Decline: Exploring the Role of Pain Catastrophizing</w:t>
      </w:r>
    </w:p>
    <w:p w14:paraId="6FF02128" w14:textId="751613E8" w:rsidR="00187849" w:rsidRDefault="0015010B" w:rsidP="00527F4D">
      <w:pPr>
        <w:spacing w:before="71" w:line="480" w:lineRule="auto"/>
        <w:jc w:val="center"/>
        <w:rPr>
          <w:b/>
          <w:color w:val="000000"/>
        </w:rPr>
      </w:pPr>
      <w:r>
        <w:rPr>
          <w:b/>
        </w:rPr>
        <w:t>Introduction</w:t>
      </w:r>
      <w:bookmarkStart w:id="1" w:name="_gjdgxs" w:colFirst="0" w:colLast="0"/>
      <w:bookmarkEnd w:id="1"/>
    </w:p>
    <w:p w14:paraId="1E0369E7" w14:textId="19585704" w:rsidR="001003B3" w:rsidRPr="00D91BA9" w:rsidRDefault="001003B3" w:rsidP="00D91BA9">
      <w:pPr>
        <w:pBdr>
          <w:top w:val="nil"/>
          <w:left w:val="nil"/>
          <w:bottom w:val="nil"/>
          <w:right w:val="nil"/>
          <w:between w:val="nil"/>
        </w:pBdr>
        <w:spacing w:line="480" w:lineRule="auto"/>
        <w:rPr>
          <w:b/>
          <w:bCs/>
          <w:color w:val="000000"/>
        </w:rPr>
      </w:pPr>
      <w:r w:rsidRPr="00FE2D69">
        <w:rPr>
          <w:b/>
          <w:bCs/>
          <w:color w:val="000000"/>
        </w:rPr>
        <w:t xml:space="preserve">Cognition During Exercise: </w:t>
      </w:r>
      <w:r>
        <w:rPr>
          <w:b/>
          <w:bCs/>
          <w:color w:val="000000"/>
        </w:rPr>
        <w:t>The Importance of Specificity</w:t>
      </w:r>
    </w:p>
    <w:p w14:paraId="6A34DD17" w14:textId="3D696ACC" w:rsidR="00187849" w:rsidRPr="00A315EC" w:rsidRDefault="00D06FD2" w:rsidP="00674C06">
      <w:pPr>
        <w:pBdr>
          <w:top w:val="nil"/>
          <w:left w:val="nil"/>
          <w:bottom w:val="nil"/>
          <w:right w:val="nil"/>
          <w:between w:val="nil"/>
        </w:pBdr>
        <w:spacing w:line="480" w:lineRule="auto"/>
        <w:ind w:firstLine="720"/>
        <w:rPr>
          <w:color w:val="000000"/>
        </w:rPr>
      </w:pPr>
      <w:r w:rsidRPr="00A315EC">
        <w:rPr>
          <w:color w:val="000000"/>
        </w:rPr>
        <w:t xml:space="preserve">The influence of exercise on cognition has been a topic of study for nearly half a century </w:t>
      </w:r>
      <w:r w:rsidR="00DC58DE">
        <w:rPr>
          <w:color w:val="000000"/>
        </w:rPr>
        <w:fldChar w:fldCharType="begin"/>
      </w:r>
      <w:r w:rsidR="00DC58DE">
        <w:rPr>
          <w:color w:val="000000"/>
        </w:rPr>
        <w:instrText xml:space="preserve"> ADDIN ZOTERO_ITEM CSL_CITATION {"citationID":"UFuba35Z","properties":{"formattedCitation":"(Tomporowski &amp; Ellis, 1986)","plainCitation":"(Tomporowski &amp; Ellis, 1986)","noteIndex":0},"citationItems":[{"id":4496,"uris":["http://zotero.org/users/3430614/items/NTX2TD9Y"],"itemData":{"id":4496,"type":"article-journal","abstract":"In a review of the literature on the effect of physical exercise on information processing and cognition, the studies were classified according to the intensity and duration of the exercise intervention. The studies were evaluated on the basis of current theories of information processing. Although several studies suggest that exercise produces short-term facilitative effects on mental tasks, the relation remains problematic. It is concluded that inconsistencies among studies are due to the failure of researchers to use a theory-based parametric approach to the issue. (61 ref) (PsycINFO Database Record (c) 2016 APA, all rights reserved)","container-title":"Psychological Bulletin","DOI":"10.1037/0033-2909.99.3.338","ISSN":"1939-1455","issue":"3","note":"publisher-place: US\npublisher: American Psychological Association","page":"338-346","source":"APA PsycNet","title":"Effects of exercise on cognitive processes: A review","title-short":"Effects of exercise on cognitive processes","volume":"99","author":[{"family":"Tomporowski","given":"Phillip D."},{"family":"Ellis","given":"Norman R."}],"issued":{"date-parts":[["1986"]]}}}],"schema":"https://github.com/citation-style-language/schema/raw/master/csl-citation.json"} </w:instrText>
      </w:r>
      <w:r w:rsidR="00DC58DE">
        <w:rPr>
          <w:color w:val="000000"/>
        </w:rPr>
        <w:fldChar w:fldCharType="separate"/>
      </w:r>
      <w:r w:rsidR="00DC58DE">
        <w:rPr>
          <w:noProof/>
          <w:color w:val="000000"/>
        </w:rPr>
        <w:t>(Tomporowski &amp; Ellis, 1986)</w:t>
      </w:r>
      <w:r w:rsidR="00DC58DE">
        <w:rPr>
          <w:color w:val="000000"/>
        </w:rPr>
        <w:fldChar w:fldCharType="end"/>
      </w:r>
      <w:r w:rsidR="00DC58DE">
        <w:rPr>
          <w:color w:val="000000"/>
        </w:rPr>
        <w:t xml:space="preserve">. </w:t>
      </w:r>
      <w:r w:rsidRPr="00A315EC">
        <w:rPr>
          <w:color w:val="000000"/>
        </w:rPr>
        <w:t>Although the subject has been extensively researched, the field is characterized in part by vast variations in methodology and theoretical frameworks. Studies have varied by factors such as general design (i.e., between versus within groups), exercise protocol (i.e., length, intensity, and modality), and application of cognitive testing (i.e., timing, task, and domain of cognition assessed).</w:t>
      </w:r>
    </w:p>
    <w:p w14:paraId="091298F2" w14:textId="307EFDD2" w:rsidR="00187849" w:rsidRDefault="00D06FD2" w:rsidP="00674C06">
      <w:pPr>
        <w:pBdr>
          <w:top w:val="nil"/>
          <w:left w:val="nil"/>
          <w:bottom w:val="nil"/>
          <w:right w:val="nil"/>
          <w:between w:val="nil"/>
        </w:pBdr>
        <w:spacing w:line="480" w:lineRule="auto"/>
        <w:ind w:firstLine="720"/>
        <w:rPr>
          <w:color w:val="000000"/>
        </w:rPr>
      </w:pPr>
      <w:r w:rsidRPr="00A315EC">
        <w:rPr>
          <w:color w:val="000000"/>
        </w:rPr>
        <w:t xml:space="preserve">Considering that variables such as length, intensity, and exercise modality vary widely in applied settings, it seems logical and prudent to systematically study how these variables may impact cognition under a wide range of circumstances. Although </w:t>
      </w:r>
      <w:r w:rsidR="00BA1780">
        <w:rPr>
          <w:color w:val="000000"/>
        </w:rPr>
        <w:t>many</w:t>
      </w:r>
      <w:r w:rsidRPr="00A315EC">
        <w:rPr>
          <w:color w:val="000000"/>
        </w:rPr>
        <w:t xml:space="preserve"> studies have explored targeted subsets of these variables, the inconsistency in experimental approaches has led to findings that, at first glance, appear somewhat discrepant. These disparities have made it challenging for researchers to make broad conclusions about the impact of exercise on cognition. However, a careful examination of the evidence suggests that the relationship between exercise and cognition is best understood when comparisons are narrowed according to factors such as the intensity and duration of exercise or the type or timing of cognitive testing.</w:t>
      </w:r>
    </w:p>
    <w:p w14:paraId="74AF435A" w14:textId="77777777" w:rsidR="001003B3" w:rsidRPr="001003B3" w:rsidRDefault="00A55F68" w:rsidP="001003B3">
      <w:pPr>
        <w:pBdr>
          <w:top w:val="nil"/>
          <w:left w:val="nil"/>
          <w:bottom w:val="nil"/>
          <w:right w:val="nil"/>
          <w:between w:val="nil"/>
        </w:pBdr>
        <w:spacing w:line="480" w:lineRule="auto"/>
        <w:rPr>
          <w:b/>
          <w:bCs/>
          <w:i/>
          <w:iCs/>
          <w:color w:val="000000"/>
        </w:rPr>
      </w:pPr>
      <w:r w:rsidRPr="001003B3">
        <w:rPr>
          <w:b/>
          <w:bCs/>
          <w:i/>
          <w:iCs/>
          <w:color w:val="000000"/>
        </w:rPr>
        <w:t xml:space="preserve">Executive Function </w:t>
      </w:r>
    </w:p>
    <w:p w14:paraId="636CBF18" w14:textId="21BE5931" w:rsidR="004E4450" w:rsidRDefault="00745465" w:rsidP="00951B63">
      <w:pPr>
        <w:widowControl w:val="0"/>
        <w:pBdr>
          <w:top w:val="nil"/>
          <w:left w:val="nil"/>
          <w:bottom w:val="nil"/>
          <w:right w:val="nil"/>
          <w:between w:val="nil"/>
        </w:pBdr>
        <w:spacing w:line="480" w:lineRule="auto"/>
        <w:ind w:firstLine="720"/>
        <w:rPr>
          <w:color w:val="000000"/>
        </w:rPr>
      </w:pPr>
      <w:r>
        <w:rPr>
          <w:color w:val="000000"/>
        </w:rPr>
        <w:t xml:space="preserve">In general, most studies seeking to describe the impact of physical activity on </w:t>
      </w:r>
      <w:r w:rsidR="00826C07">
        <w:rPr>
          <w:color w:val="000000"/>
        </w:rPr>
        <w:t>mental performance focus specifically on</w:t>
      </w:r>
      <w:r>
        <w:rPr>
          <w:color w:val="000000"/>
        </w:rPr>
        <w:t xml:space="preserve"> the </w:t>
      </w:r>
      <w:r w:rsidRPr="00A315EC">
        <w:rPr>
          <w:color w:val="000000"/>
        </w:rPr>
        <w:t>effortful, higher-order cognitive processes collectively referred to as executive function</w:t>
      </w:r>
      <w:r w:rsidR="00951B63">
        <w:rPr>
          <w:color w:val="000000"/>
        </w:rPr>
        <w:t xml:space="preserve"> </w:t>
      </w:r>
      <w:r w:rsidR="00DC58DE">
        <w:rPr>
          <w:color w:val="000000"/>
        </w:rPr>
        <w:fldChar w:fldCharType="begin"/>
      </w:r>
      <w:r w:rsidR="00DC58DE">
        <w:rPr>
          <w:color w:val="000000"/>
        </w:rPr>
        <w:instrText xml:space="preserve"> ADDIN ZOTERO_ITEM CSL_CITATION {"citationID":"gvb5AYMy","properties":{"formattedCitation":"(Diamond, 2013)","plainCitation":"(Diamond, 2013)","noteIndex":0},"citationItems":[{"id":1218,"uris":["http://zotero.org/users/3430614/items/X5Z482FY"],"itemData":{"id":1218,"type":"article-journal","abstract":"Executive functions (EFs) make possible mentally playing with ideas; taking the time to think before acting; meeting novel, unanticipated challenges; resisting temptations; and staying focused. Core EFs are inhibition [response inhibition (self-control—resisting temptations and resisting acting impulsively) and interference control (selective attention and cognitive inhibition)], working memory, and cognitive flexibility (including creatively thinking “outside the box,” seeing anything from different perspectives, and quickly and flexibly adapting to changed circumstances). The developmental progression and representative measures of each are discussed. Controversies are addressed (e.g., the relation between EFs and fluid intelligence, self-regulation, executive attention, and effortful control, and the relation between working memory and inhibition and attention). The importance of social, emotional, and physical health for cognitive health is discussed because stress, lack of sleep, loneliness, or lack of exercise each impair EFs. That EFs are trainable and can be improved with practice is addressed, including diverse methods tried thus far.","container-title":"Annual review of psychology","DOI":"10.1146/annurev-psych-113011-143750","ISSN":"0066-4308","journalAbbreviation":"Annu Rev Psychol","note":"PMID: 23020641\nPMCID: PMC4084861","page":"135-168","source":"PubMed Central","title":"Executive Functions","volume":"64","author":[{"family":"Diamond","given":"Adele"}],"issued":{"date-parts":[["2013"]]}}}],"schema":"https://github.com/citation-style-language/schema/raw/master/csl-citation.json"} </w:instrText>
      </w:r>
      <w:r w:rsidR="00DC58DE">
        <w:rPr>
          <w:color w:val="000000"/>
        </w:rPr>
        <w:fldChar w:fldCharType="separate"/>
      </w:r>
      <w:r w:rsidR="00DC58DE">
        <w:rPr>
          <w:noProof/>
          <w:color w:val="000000"/>
        </w:rPr>
        <w:t>(Diamond, 2013)</w:t>
      </w:r>
      <w:r w:rsidR="00DC58DE">
        <w:rPr>
          <w:color w:val="000000"/>
        </w:rPr>
        <w:fldChar w:fldCharType="end"/>
      </w:r>
      <w:r w:rsidR="00826C07">
        <w:rPr>
          <w:color w:val="000000"/>
        </w:rPr>
        <w:t xml:space="preserve">. </w:t>
      </w:r>
      <w:r w:rsidR="00035C16">
        <w:rPr>
          <w:color w:val="000000"/>
        </w:rPr>
        <w:t>E</w:t>
      </w:r>
      <w:r w:rsidR="00DC58DE">
        <w:rPr>
          <w:color w:val="000000"/>
        </w:rPr>
        <w:t>xecutive function</w:t>
      </w:r>
      <w:r w:rsidR="00035C16">
        <w:rPr>
          <w:color w:val="000000"/>
        </w:rPr>
        <w:t xml:space="preserve"> is comprised of a set of “core” mental processes, typically considered to be inhibition, working memory, and cognitive </w:t>
      </w:r>
      <w:r w:rsidR="00035C16">
        <w:rPr>
          <w:color w:val="000000"/>
        </w:rPr>
        <w:lastRenderedPageBreak/>
        <w:t>flexibility</w:t>
      </w:r>
      <w:r w:rsidR="00EB265B">
        <w:rPr>
          <w:color w:val="000000"/>
        </w:rPr>
        <w:t>,</w:t>
      </w:r>
      <w:r w:rsidR="00035C16">
        <w:rPr>
          <w:color w:val="000000"/>
        </w:rPr>
        <w:t xml:space="preserve"> that allow for </w:t>
      </w:r>
      <w:r w:rsidR="00EB265B">
        <w:rPr>
          <w:color w:val="000000"/>
        </w:rPr>
        <w:t xml:space="preserve">reasoning, </w:t>
      </w:r>
      <w:r w:rsidR="009472F7">
        <w:rPr>
          <w:color w:val="000000"/>
        </w:rPr>
        <w:t>problem-solving</w:t>
      </w:r>
      <w:r w:rsidR="00EB265B">
        <w:rPr>
          <w:color w:val="000000"/>
        </w:rPr>
        <w:t xml:space="preserve">, and regulation of emotion and attention. </w:t>
      </w:r>
      <w:r w:rsidR="004E4450">
        <w:rPr>
          <w:color w:val="000000"/>
        </w:rPr>
        <w:t>Efficient</w:t>
      </w:r>
      <w:r w:rsidR="00DC58DE">
        <w:rPr>
          <w:color w:val="000000"/>
        </w:rPr>
        <w:t xml:space="preserve"> executive function</w:t>
      </w:r>
      <w:r w:rsidR="004E4450">
        <w:rPr>
          <w:color w:val="000000"/>
        </w:rPr>
        <w:t xml:space="preserve"> is</w:t>
      </w:r>
      <w:r w:rsidR="00EB265B">
        <w:rPr>
          <w:color w:val="000000"/>
        </w:rPr>
        <w:t xml:space="preserve"> crucial for </w:t>
      </w:r>
      <w:r w:rsidR="00BA1780">
        <w:rPr>
          <w:color w:val="000000"/>
        </w:rPr>
        <w:t>effectively managing</w:t>
      </w:r>
      <w:r w:rsidR="00EB265B">
        <w:rPr>
          <w:color w:val="000000"/>
        </w:rPr>
        <w:t xml:space="preserve"> day-to-day tasks, including planning, prioritizing, and adapting to changing circumstances. </w:t>
      </w:r>
      <w:proofErr w:type="gramStart"/>
      <w:r w:rsidR="00EB265B">
        <w:rPr>
          <w:color w:val="000000"/>
        </w:rPr>
        <w:t>With this in mind, it</w:t>
      </w:r>
      <w:proofErr w:type="gramEnd"/>
      <w:r w:rsidR="00EB265B">
        <w:rPr>
          <w:color w:val="000000"/>
        </w:rPr>
        <w:t xml:space="preserve"> is perhaps unsurprising that high levels of </w:t>
      </w:r>
      <w:r w:rsidR="00DC58DE">
        <w:rPr>
          <w:color w:val="000000"/>
        </w:rPr>
        <w:t xml:space="preserve">executive </w:t>
      </w:r>
      <w:r w:rsidR="009472F7">
        <w:rPr>
          <w:color w:val="000000"/>
        </w:rPr>
        <w:t>function</w:t>
      </w:r>
      <w:r w:rsidR="00EB265B">
        <w:rPr>
          <w:color w:val="000000"/>
        </w:rPr>
        <w:t xml:space="preserve"> </w:t>
      </w:r>
      <w:r w:rsidR="00BA1780">
        <w:rPr>
          <w:color w:val="000000"/>
        </w:rPr>
        <w:t>are</w:t>
      </w:r>
      <w:r w:rsidR="00EB265B">
        <w:rPr>
          <w:color w:val="000000"/>
        </w:rPr>
        <w:t xml:space="preserve"> </w:t>
      </w:r>
      <w:r w:rsidR="0017472C">
        <w:rPr>
          <w:color w:val="000000"/>
        </w:rPr>
        <w:t>closely linked</w:t>
      </w:r>
      <w:r w:rsidR="00EB265B">
        <w:rPr>
          <w:color w:val="000000"/>
        </w:rPr>
        <w:t xml:space="preserve"> with success across nearly all domains</w:t>
      </w:r>
      <w:r w:rsidR="004E4450">
        <w:rPr>
          <w:color w:val="000000"/>
        </w:rPr>
        <w:t xml:space="preserve"> of life (Diamond, 2013)</w:t>
      </w:r>
      <w:r w:rsidR="00EB265B">
        <w:rPr>
          <w:color w:val="000000"/>
        </w:rPr>
        <w:t>.</w:t>
      </w:r>
      <w:r w:rsidR="00EB7650">
        <w:rPr>
          <w:color w:val="000000"/>
        </w:rPr>
        <w:t xml:space="preserve"> </w:t>
      </w:r>
      <w:r w:rsidR="003C5F2C">
        <w:rPr>
          <w:color w:val="000000"/>
        </w:rPr>
        <w:t>T</w:t>
      </w:r>
      <w:r w:rsidR="00EB7650">
        <w:rPr>
          <w:color w:val="000000"/>
        </w:rPr>
        <w:t>h</w:t>
      </w:r>
      <w:r w:rsidR="0017472C">
        <w:rPr>
          <w:color w:val="000000"/>
        </w:rPr>
        <w:t>e</w:t>
      </w:r>
      <w:r w:rsidR="00EB7650">
        <w:rPr>
          <w:color w:val="000000"/>
        </w:rPr>
        <w:t xml:space="preserve"> need for optimal levels of </w:t>
      </w:r>
      <w:r w:rsidR="003C5F2C">
        <w:rPr>
          <w:color w:val="000000"/>
        </w:rPr>
        <w:t>executive function</w:t>
      </w:r>
      <w:r w:rsidR="00EB7650">
        <w:rPr>
          <w:color w:val="000000"/>
        </w:rPr>
        <w:t xml:space="preserve"> </w:t>
      </w:r>
      <w:r w:rsidR="00C2618B">
        <w:rPr>
          <w:color w:val="000000"/>
        </w:rPr>
        <w:t>makes</w:t>
      </w:r>
      <w:r w:rsidR="00EB7650">
        <w:rPr>
          <w:color w:val="000000"/>
        </w:rPr>
        <w:t xml:space="preserve"> it an attractive </w:t>
      </w:r>
      <w:r w:rsidR="0017472C">
        <w:rPr>
          <w:color w:val="000000"/>
        </w:rPr>
        <w:t xml:space="preserve">target for experimental investigations, </w:t>
      </w:r>
      <w:r w:rsidR="00EB7650">
        <w:rPr>
          <w:color w:val="000000"/>
        </w:rPr>
        <w:t xml:space="preserve">as </w:t>
      </w:r>
      <w:r w:rsidR="009472F7">
        <w:rPr>
          <w:color w:val="000000"/>
        </w:rPr>
        <w:t xml:space="preserve">a </w:t>
      </w:r>
      <w:r w:rsidR="0017472C">
        <w:rPr>
          <w:color w:val="000000"/>
        </w:rPr>
        <w:t>better understanding</w:t>
      </w:r>
      <w:r w:rsidR="00EB7650">
        <w:rPr>
          <w:color w:val="000000"/>
        </w:rPr>
        <w:t xml:space="preserve"> </w:t>
      </w:r>
      <w:r w:rsidR="009472F7">
        <w:rPr>
          <w:color w:val="000000"/>
        </w:rPr>
        <w:t>of factors</w:t>
      </w:r>
      <w:r w:rsidR="00EB7650">
        <w:rPr>
          <w:color w:val="000000"/>
        </w:rPr>
        <w:t xml:space="preserve"> that might either degrade or enhance EF is </w:t>
      </w:r>
      <w:r w:rsidR="0017472C">
        <w:rPr>
          <w:color w:val="000000"/>
        </w:rPr>
        <w:t xml:space="preserve">of immense </w:t>
      </w:r>
      <w:r w:rsidR="00EB7650">
        <w:rPr>
          <w:color w:val="000000"/>
        </w:rPr>
        <w:t>ecological importa</w:t>
      </w:r>
      <w:r w:rsidR="0017472C">
        <w:rPr>
          <w:color w:val="000000"/>
        </w:rPr>
        <w:t>nce</w:t>
      </w:r>
      <w:r w:rsidR="00A56FF8">
        <w:rPr>
          <w:color w:val="000000"/>
        </w:rPr>
        <w:t xml:space="preserve"> in a broad range of applied settings</w:t>
      </w:r>
      <w:r w:rsidR="0017472C">
        <w:rPr>
          <w:color w:val="000000"/>
        </w:rPr>
        <w:t>.</w:t>
      </w:r>
      <w:r w:rsidR="00EB7650">
        <w:rPr>
          <w:color w:val="000000"/>
        </w:rPr>
        <w:t xml:space="preserve"> </w:t>
      </w:r>
    </w:p>
    <w:p w14:paraId="047FAC5E" w14:textId="6AC6F0F0" w:rsidR="005E3F70" w:rsidRPr="005E3F70" w:rsidRDefault="005A36E0" w:rsidP="005E3F70">
      <w:pPr>
        <w:pBdr>
          <w:top w:val="nil"/>
          <w:left w:val="nil"/>
          <w:bottom w:val="nil"/>
          <w:right w:val="nil"/>
          <w:between w:val="nil"/>
        </w:pBdr>
        <w:spacing w:line="480" w:lineRule="auto"/>
        <w:rPr>
          <w:b/>
          <w:bCs/>
          <w:i/>
          <w:iCs/>
          <w:color w:val="000000"/>
        </w:rPr>
      </w:pPr>
      <w:r>
        <w:rPr>
          <w:b/>
          <w:bCs/>
          <w:i/>
          <w:iCs/>
          <w:color w:val="000000"/>
        </w:rPr>
        <w:t xml:space="preserve">Exercise Intensity </w:t>
      </w:r>
    </w:p>
    <w:p w14:paraId="01A049AB" w14:textId="1EEDC060" w:rsidR="00187849" w:rsidRDefault="00A56FF8" w:rsidP="00674C06">
      <w:pPr>
        <w:pBdr>
          <w:top w:val="nil"/>
          <w:left w:val="nil"/>
          <w:bottom w:val="nil"/>
          <w:right w:val="nil"/>
          <w:between w:val="nil"/>
        </w:pBdr>
        <w:spacing w:line="480" w:lineRule="auto"/>
        <w:ind w:firstLine="720"/>
        <w:rPr>
          <w:color w:val="000000"/>
        </w:rPr>
      </w:pPr>
      <w:r>
        <w:rPr>
          <w:color w:val="000000"/>
        </w:rPr>
        <w:t xml:space="preserve">Although it is generally accepted that exercise impacts EF, the vast body of literature on the topic is characterized by </w:t>
      </w:r>
      <w:r w:rsidR="008B3D4A">
        <w:rPr>
          <w:color w:val="000000"/>
        </w:rPr>
        <w:t xml:space="preserve">significant </w:t>
      </w:r>
      <w:r>
        <w:rPr>
          <w:color w:val="000000"/>
        </w:rPr>
        <w:t xml:space="preserve">heterogeneity in findings.  </w:t>
      </w:r>
      <w:r w:rsidR="00D06FD2" w:rsidRPr="00A315EC">
        <w:rPr>
          <w:color w:val="000000"/>
        </w:rPr>
        <w:t xml:space="preserve">For example, there is a myriad of research indicating that chronic exercise is associated with enhancements in cognition </w:t>
      </w:r>
      <w:r w:rsidR="00DC58DE">
        <w:rPr>
          <w:color w:val="000000"/>
        </w:rPr>
        <w:fldChar w:fldCharType="begin"/>
      </w:r>
      <w:r w:rsidR="00DC58DE">
        <w:rPr>
          <w:color w:val="000000"/>
        </w:rPr>
        <w:instrText xml:space="preserve"> ADDIN ZOTERO_ITEM CSL_CITATION {"citationID":"HPtGOgsR","properties":{"formattedCitation":"(Etnier et al., 1997; Landrigan et al., 2020; Liu et al., 2020; Vazou et al., 2019)","plainCitation":"(Etnier et al., 1997; Landrigan et al., 2020; Liu et al., 2020; Vazou et al., 2019)","noteIndex":0},"citationItems":[{"id":4258,"uris":["http://zotero.org/users/3430614/items/H4FHITRF"],"itemData":{"id":4258,"type":"article-journal","abstract":"Nearly 200 studies have examined the impact that either acute or long-term exercise has upon cognition. Subsets of these studies have been reviewed using the traditional narrative method, and the common conclusion has been that the results are mixed. Therefore, a more comprehensive review is needed that includes all available studies and that provides a more objective and reproducible review process. Thus, a meta-analytic review was conducted that included all relevant studies with sufficient information for the calculation of effect size (N = 134). The overall effect size was 0.25, suggesting that exercise has a small positive effect on cognition. Examination of the moderator variables indicated that characteristics related to the exercise paradigm, the participants, the cognitive tests, and the quality of the study influence effect size. However, the most important finding was that as experimental rigor decreased, effect size increased. Therefore, more studies need to be conducted that emphasize experimental rigor.","container-title":"Journal of Sport and Exercise Psychology","DOI":"10.1123/jsep.19.3.249","ISSN":"0895-2779, 1543-2904","issue":"3","language":"en","page":"249-277","source":"DOI.org (Crossref)","title":"The Influence of Physical Fitness and Exercise upon Cognitive Functioning: A Meta-Analysis","title-short":"The Influence of Physical Fitness and Exercise upon Cognitive Functioning","volume":"19","author":[{"family":"Etnier","given":"Jennifer L."},{"family":"Salazar","given":"Walter"},{"family":"Landers","given":"Daniel M."},{"family":"Petruzzello","given":"Steven J."},{"family":"Han","given":"Myungwoo"},{"family":"Nowell","given":"Priscilla"}],"issued":{"date-parts":[["1997",9]]}}},{"id":4232,"uris":["http://zotero.org/users/3430614/items/RM4V4FME"],"itemData":{"id":4232,"type":"article-journal","abstract":"The health benefits of resistance exercises are well established; however, the effects of resistance training on cognition are not as well understood. The purpose of this meta-analysis was to evaluate the evidence of resistance exercise’s effects on cognition. A systematic search identified 24 studies that were included in the analyses. These articles ranged in the protocols utilized and in how they studied the effects of resistance training on cognition. Four primary analyses were carried out to assess the effects of resistance exercise on cognitive outcomes: (1) composite cognitive scores, (2) screening measures of cognitive impairment, (3) measures of executive functions, and (4) measures of working memory. Results revealed positive effects of resistance training on composite cognitive scores (SMD 0.71, 95% CI 0.30–1.12), screening measures of cognitive impairment (SMD 1.28, 95% CI 0.39–2.18), and executive functions (SMD 0.39, 95% CI 0.04–0.74), but no effect on measures of working memory (SMD 0.151, 95% CI − 0.21 to 0.51). High heterogeneity was observed in all analyses. Resistance training appears to have positive effects on cognition; however, future research will need to determine why the effects are so variable.","container-title":"Psychological Research","DOI":"10.1007/s00426-019-01145-x","journalAbbreviation":"Psychological Research","source":"ResearchGate","title":"Lifting cognition: a meta-analysis of effects of resistance exercise on cognition","title-short":"Lifting cognition","volume":"84","author":[{"family":"Landrigan","given":"Jon-Frederick"},{"family":"Bell","given":"Tyler"},{"family":"Crowe","given":"Michael"},{"family":"Clay","given":"Olivio"},{"family":"Mirman","given":"Daniel"}],"issued":{"date-parts":[["2020",7,1]]}}},{"id":4907,"uris":["http://zotero.org/users/3430614/items/4GUVYYQX"],"itemData":{"id":4907,"type":"article-journal","abstract":"&lt;p&gt;&lt;bold&gt;Background:&lt;/bold&gt; Physical exercises can affect executive function both acutely and chronically, with different mechanisms for each moment. Currently, only a few reviews have elaborated on the premise that different types of exercises have different mechanisms for improving executive function. Therefore, the primary purpose of our systematic review was to analyze the effects of acute and chronic exercises on executive function in children and adolescents.&lt;/p&gt;&lt;p&gt;&lt;bold&gt;Objective:&lt;/bold&gt; We identified acute and chronic exercise studies and randomized controlled trials (RCTs) of executive function in children and adolescents that reported overall effect, heterogeneity, and publication bias of acute and chronic exercises on executive function.&lt;/p&gt;&lt;p&gt;&lt;bold&gt;Methods:&lt;/bold&gt; We searched for RCTs of exercise interventions in children and adolescents from databases including PubMed, Web of Science, Scopus, The Cochrane Library, CNKI (China National Knowledge Infrastructure), and Wanfang, from January 1 2009 to December 31 2019. We performed methodological quality evaluations on the included literature using the Physiotherapy Evidence Database Scale (PEDro) and graded evidence with a meta-analysis using Stata 12.0 software.&lt;/p&gt;&lt;p&gt;&lt;bold&gt;Results:&lt;/bold&gt; In total, 36 RCTs were included (14 acute exercises, 22 chronic exercises); the overall results of the meta-analysis (4,577 students) indicated that acute exercises significantly improved working memory (standardized mean difference (SMD) = −0.72; 95% confidence interval (CI) −0.89 to −0.56; &lt;italic&gt;p&lt;/italic&gt; &amp;lt; 0.001), inhibitory control (SMD = −0.25; 95% CI −0.40 to −0.09; &lt;italic&gt;p&lt;/italic&gt; = 0.002), and cognitive flexibility (SMD = −0.34; 95% CI −0.55 to −0.14; &lt;italic&gt;p&lt;/italic&gt; &amp;lt; 0.005), whereas chronic exercises significantly improved working memory (SMD = −0.54; 95% CI −0.74 to −0.33; &lt;italic&gt;p&lt;/italic&gt; &amp;lt; 0.001), inhibitory control (SMD = −0.30; 95% CI −0.38 to −0.22; &lt;italic&gt;p&lt;/italic&gt; &amp;lt; 0.001), and cognitive flexibility (SMD = −0.34, 95 % CI −0.48 to −0.20, &lt;italic&gt;p&lt;/italic&gt; &amp;lt; 0.001).&lt;/p&gt;&lt;p&gt;&lt;bold&gt;Conclusion:&lt;/bold&gt; Acute and chronic exercises can effectively improve the executive function of children and adolescents. The effects on inhibitory control and cognitive flexibility are considered as small effect sizes, while the effects on working memory are considered as moderate effect size. Limited by the quantity and quality of the included studies, the above conclusions need to be verified with more high-quality studies.&lt;/p&gt;","container-title":"Frontiers in Psychology","DOI":"10.3389/fpsyg.2020.554915","ISSN":"1664-1078","journalAbbreviation":"Front. Psychol.","language":"English","note":"publisher: Frontiers","source":"Frontiers","title":"Effects of Acute and Chronic Exercises on Executive Function in Children and Adolescents: A Systemic Review and Meta-Analysis","title-short":"Effects of Acute and Chronic Exercises on Executive Function in Children and Adolescents","URL":"https://www-frontiersin-org.ezproxy.lib.ou.edu/journals/psychology/articles/10.3389/fpsyg.2020.554915/full","volume":"11","author":[{"family":"Liu","given":"Shijie"},{"family":"Yu","given":"Qian"},{"family":"Li","given":"Zaimin"},{"family":"Cunha","given":"Paolo Marcello"},{"family":"Zhang","given":"Yanjie"},{"family":"Kong","given":"Zhaowei"},{"family":"Lin","given":"Wang"},{"family":"Chen","given":"Sitong"},{"family":"Cai","given":"Yujun"}],"accessed":{"date-parts":[["2024",6,16]]},"issued":{"date-parts":[["2020",12,17]]}}},{"id":4246,"uris":["http://zotero.org/users/3430614/items/52QGYY6E"],"itemData":{"id":4246,"type":"article-journal","abstract":"A growing body of research indicates that physical activity (PA) positively impacts cognitive function in youth. However, not all forms of PA benefit cognition equally. The purpose of this review was to determine the effect of different types of chronic PA interventions on cognition in children and adolescents. A systematic search of electronic databases and examination of the reference lists of relevant studies resulted in the identification of 28 studies. Seven categories of PA were identified, based on all possible combinations of three types of PA (aerobic, motor skill, cognitively engaging), and four comparison groups (no treatment, academic, traditional physical education, aerobic). Effect sizes were calculated based on means and SDs at the post-test using Hedge’s g formula, which includes a correction for small sample bias. Each study was only entered once in each intervention-comparator category. Full data were provided from 21 studies (28 effect sizes; n=2042 intervention; n=2002 comparison group). Overall, chronic PA interventions had a significant small-to-moderate effect on cognition (0.46). Moderate significant positive effects were identified when PA interventions were compared to no treatment (0.86) or academic content (0.57). A non-significant effect was noted when PA interventions were compared to traditional physical education (0.09) or aerobic group (0.80). However, high heterogeneity in pooled effect sizes suggests that important differences in the qualitative characteristics of the PA intervention and comparison interventions may exist. Effect sizes based on comparisons between different types of PA interventions and comparison groups are discussed in order to identify possible directions for future investigations. We conclude that chronic PA interventions have a positive impact on cognitive function in youth, but more systematic research is needed in this area.","container-title":"International journal of sport and exercise psychology","DOI":"10.1080/1612197X.2016.1223423","ISSN":"1612-197X","issue":"2","journalAbbreviation":"Int J Sport Exerc Psychol","note":"PMID: 31289454\nPMCID: PMC6615761","page":"153-178","source":"PubMed Central","title":"More than one road leads to Rome: A narrative review and meta-analysis of physical activity intervention effects on cognition in youth","title-short":"More than one road leads to Rome","volume":"17","author":[{"family":"Vazou","given":"Spyridoula"},{"family":"Pesce","given":"Caterina"},{"family":"Lakes","given":"Kimberley"},{"family":"Smiley-Oyen","given":"Ann"}],"issued":{"date-parts":[["2019"]]}}}],"schema":"https://github.com/citation-style-language/schema/raw/master/csl-citation.json"} </w:instrText>
      </w:r>
      <w:r w:rsidR="00DC58DE">
        <w:rPr>
          <w:color w:val="000000"/>
        </w:rPr>
        <w:fldChar w:fldCharType="separate"/>
      </w:r>
      <w:r w:rsidR="00DC58DE">
        <w:rPr>
          <w:noProof/>
          <w:color w:val="000000"/>
        </w:rPr>
        <w:t>(Etnier et al., 1997; Landrigan et al., 2020; Liu et al., 2020; Vazou et al., 2019)</w:t>
      </w:r>
      <w:r w:rsidR="00DC58DE">
        <w:rPr>
          <w:color w:val="000000"/>
        </w:rPr>
        <w:fldChar w:fldCharType="end"/>
      </w:r>
      <w:r w:rsidR="00D06FD2" w:rsidRPr="00A315EC">
        <w:rPr>
          <w:color w:val="000000"/>
        </w:rPr>
        <w:t xml:space="preserve">, particularly in groups experiencing cognitive deficits </w:t>
      </w:r>
      <w:r w:rsidR="00DC58DE">
        <w:rPr>
          <w:color w:val="000000"/>
        </w:rPr>
        <w:fldChar w:fldCharType="begin"/>
      </w:r>
      <w:r w:rsidR="00DC58DE">
        <w:rPr>
          <w:color w:val="000000"/>
        </w:rPr>
        <w:instrText xml:space="preserve"> ADDIN ZOTERO_ITEM CSL_CITATION {"citationID":"FkCv34q1","properties":{"formattedCitation":"(Duchesne et al., 2015; Firth et al., 2016; Huang et al., 2019; Lu et al., 2023; Marino et al., 2023, p. 20; Nuechterlein et al., 2023; Yang et al., 2024)","plainCitation":"(Duchesne et al., 2015; Firth et al., 2016; Huang et al., 2019; Lu et al., 2023; Marino et al., 2023, p. 20; Nuechterlein et al., 2023; Yang et al., 2024)","noteIndex":0},"citationItems":[{"id":4272,"uris":["http://zotero.org/users/3430614/items/9RBHRPC6"],"itemData":{"id":4272,"type":"article-journal","abstract":"Background: Aerobic exercise training (AET) has been shown to provide health beneﬁts in individuals with Parkinson’s disease (PD). However, it is yet unknown to what extent AET also improves cognitive and procedural learning capacities, which ensure an optimal daily functioning. Objective: In the current study, we assessed the effects of a 3-month AET program on executive functions (EF), implicit motor sequence learning (MSL) capacity, as well as on different health-related outcome indicators. Methods: Twenty healthy controls (HC) and 19 early PD individuals participated in a supervised, high-intensity, stationary recumbent bike-training program (3 times/week for 12 weeks). Exercise prescription started at 20 min (+5 min/week up to 40 min) based on participant’s maximal aerobic power. Before and after AET, EF tests assessed participants’ inhibition and ﬂexibility functions, whereas implicit MSL capacity was evaluated using a version of the Serial Reaction Time Task. Results: The AET program was effective as indicated by signiﬁcant improvement in aerobic capacity in all participants. Most importantly, AET improved inhibition but not ﬂexibility, and motor learning skill, in both groups. Conclusion: Our results suggest that AET can be a valuable non-pharmacological intervention to promote physical ﬁtness in early PD, but also better cognitive and procedural functioning.","container-title":"Brain and Cognition","DOI":"10.1016/j.bandc.2015.07.005","ISSN":"02782626","journalAbbreviation":"Brain and Cognition","language":"en","page":"68-77","source":"DOI.org (Crossref)","title":"Enhancing both motor and cognitive functioning in Parkinson’s disease: Aerobic exercise as a rehabilitative intervention","title-short":"Enhancing both motor and cognitive functioning in Parkinson’s disease","volume":"99","author":[{"family":"Duchesne","given":"C."},{"family":"Lungu","given":"O."},{"family":"Nadeau","given":"A."},{"family":"Robillard","given":"M.E."},{"family":"Boré","given":"A."},{"family":"Bobeuf","given":"F."},{"family":"Lafontaine","given":"A.L."},{"family":"Gheysen","given":"F."},{"family":"Bherer","given":"L."},{"family":"Doyon","given":"J."}],"issued":{"date-parts":[["2015",10]]}}},{"id":4240,"uris":["http://zotero.org/users/3430614/items/GHJ4W83W"],"itemData":{"id":4240,"type":"article-journal","container-title":"Schizophrenia Bulletin","DOI":"10.1093/schbul/sbw115","ISSN":"0586-7614, 1745-1701","journalAbbreviation":"SCHBUL","language":"en","page":"sbw115","source":"DOI.org (Crossref)","title":"Aerobic Exercise Improves Cognitive Functioning in People With Schizophrenia: A Systematic Review and Meta-Analysis","title-short":"Aerobic Exercise Improves Cognitive Functioning in People With Schizophrenia","author":[{"family":"Firth","given":"Joseph"},{"family":"Stubbs","given":"Brendon"},{"family":"Rosenbaum","given":"Simon"},{"family":"Vancampfort","given":"Davy"},{"family":"Malchow","given":"Berend"},{"family":"Schuch","given":"Felipe"},{"family":"Elliott","given":"Rebecca"},{"family":"Nuechterlein","given":"Keith H."},{"family":"Yung","given":"Alison R."}],"issued":{"date-parts":[["2016",8,11]]}}},{"id":1347,"uris":["http://zotero.org/users/3430614/items/MSUX7JM5"],"itemData":{"id":1347,"type":"article-journal","abstract":"The present study investigated the effects of transcranial direct current stimulation (tDCS) using the Halo Sport device on repeated sprint cycling ability and on cognitive performance. In this triple-blind, randomized, sham-controlled study, nine physically active participants received either a placebo stimulation (Sham) or real stimulation (Halo) for 20 min. Participants then performed 5 × 6-s sprints interspersed with 24 s of active recovery on a cycle ergometer. Peak and mean power output were measured for each sprint. In addition, cognitive performance in terms of reaction time (RT) and accuracy (ACC) was assessed via Stroop test pre- and post-stimulation. There was a significant interaction for mean power output [F(4,32) = 2.98, P = 0.03]. A main treatment effect was observed in all of the repeated sprints apart from the initial one. Halo did not affect RT in either the congruent or incongruent condition but did increase ACC in the incongruent condition [F(1,8) = 10.56, P = 0.012]. These results suggest that tDCS with the Halo Sport system is able to enhance aspects of sprint cycling ability and cognitive performance.","container-title":"Frontiers in Physiology","DOI":"10.3389/fphys.2019.00118","ISSN":"1664-042X","journalAbbreviation":"Front Physiol","note":"PMID: 30837893\nPMCID: PMC6383107","source":"PubMed Central","title":"Transcranial Direct Current Stimulation With Halo Sport Enhances Repeated Sprint Cycling and Cognitive Performance","URL":"https://www.ncbi.nlm.nih.gov/pmc/articles/PMC6383107/","volume":"10","author":[{"family":"Huang","given":"Lingyan"},{"family":"Deng","given":"Yuqin"},{"family":"Zheng","given":"Xinyan"},{"family":"Liu","given":"Yu"}],"accessed":{"date-parts":[["2020",3,18]]},"issued":{"date-parts":[["2019",2,14]]}}},{"id":4916,"uris":["http://zotero.org/users/3430614/items/XCD6R5V7"],"itemData":{"id":4916,"type":"article-journal","abstract":"Physical exercise is of great significance for maintaining human health. Exercise can provide varying degrees of benefits to cognitive function at all stages of life cycle. Currently, with the aging of the world’s population and increase of life expectancy, cognitive dysfunction has gradually become a disease of high incidence, which is accompanied by neurodegenerative diseases in elderly individuals. Patients often exhibit memory loss, aphasia and weakening of orientation once diagnosed, and are unable to have a normal life. Cognitive dysfunction largely affects the physical and mental health, reduces the quality of life, and causes a great economic burden to the society. At present, most of the interventions are aimed to maintain the current cognitive level and delay deterioration of cognition. In contrast, exercise as a nonpharmacological therapy has great advantages in its nontoxicity, low cost and universal application. The molecular mechanisms underlying the effect of exercise on cognition are complex, and studies have been extensively centered on neural plasticity, the direct target of exercise in the brain. In addition, mitochondrial stability and energy metabolism are essential for brain status. Meanwhile, the organ-brain axis responds to exercise and induces release of cytokines related to cognition. In this review, we summarize the latest evidence on the molecular mechanisms underlying the effects of exercise on cognition, and point out directions for future research.","container-title":"Translational Neurodegeneration","DOI":"10.1186/s40035-023-00341-5","ISSN":"2047-9158","issue":"1","journalAbbreviation":"Transl Neurodegener","language":"en","page":"9","source":"Springer Link","title":"Recent advances on the molecular mechanisms of exercise-induced improvements of cognitive dysfunction","volume":"12","author":[{"family":"Lu","given":"Yi"},{"family":"Bu","given":"Fa-Qian"},{"family":"Wang","given":"Fang"},{"family":"Liu","given":"Li"},{"family":"Zhang","given":"Shuai"},{"family":"Wang","given":"Guan"},{"family":"Hu","given":"Xiu-Ying"}],"issued":{"date-parts":[["2023",2,27]]}}},{"id":4918,"uris":["http://zotero.org/users/3430614/items/QKBDZRCG"],"itemData":{"id":4918,"type":"article-journal","abstract":"Intensive physical activity improves motor functions in patients with Parkinson’s disease (PD) at early stages. However, the mechanisms underlying the beneficial effects of exercise on PD-associated neuronal alterations have not been fully clarified yet. Here, we tested the hypothesis that an intensive treadmill training program rescues alterations in striatal plasticity and early motor and cognitive deficits in rats receiving an intrastriatal injection of alpha-synuclein (α-syn) preformed fibrils. Improved motor control and visuospatial learning in active animals were associated with a recovery of dendritic spine density alterations and a lasting rescue of a physiological corticostriatal long-term potentiation (LTP). Pharmacological analyses of LTP show that modulations of N-methyl-d-aspartate receptors bearing GluN2B subunits and tropomyosin receptor kinase B, the main brain-derived neurotrophic factor receptor, are involved in these beneficial effects. We demonstrate that intensive exercise training has effects on the early plastic alterations induced by α-syn aggregates and reduces the spread of toxic α-syn species to other vulnerable brain areas.","container-title":"Science Advances","DOI":"10.1126/sciadv.adh1403","issue":"28","note":"publisher: American Association for the Advancement of Science","page":"eadh1403","source":"www-science-org.ezproxy.lib.ou.edu (Atypon)","title":"Intensive exercise ameliorates motor and cognitive symptoms in experimental Parkinson’s disease restoring striatal synaptic plasticity","volume":"9","author":[{"family":"Marino","given":"Gioia"},{"family":"Campanelli","given":"Federica"},{"family":"Natale","given":"Giuseppina"},{"family":"De Carluccio","given":"Maria"},{"family":"Servillo","given":"Federica"},{"family":"Ferrari","given":"Elena"},{"family":"Gardoni","given":"Fabrizio"},{"family":"Caristo","given":"Maria Emiliana"},{"family":"Picconi","given":"Barbara"},{"family":"Cardinale","given":"Antonella"},{"family":"Loffredo","given":"Vittorio"},{"family":"Crupi","given":"Francesco"},{"family":"De Leonibus","given":"Elvira"},{"family":"Viscomi","given":"Maria Teresa"},{"family":"Ghiglieri","given":"Veronica"},{"family":"Calabresi","given":"Paolo"}],"issued":{"date-parts":[["2023",7,14]]}},"locator":"20"},{"id":4915,"uris":["http://zotero.org/users/3430614/items/5KGZSV3S"],"itemData":{"id":4915,"type":"article-journal","container-title":"Psychological Medicine","ISSN":"0033-2917","issue":"10","journalAbbreviation":"Psychological Medicine","page":"4751-4761","title":"Aerobic exercise enhances cognitive training effects in first-episode schizophrenia: Randomized clinical trial demonstrates cognitive and functional gains","volume":"53","author":[{"family":"Nuechterlein","given":"Keith H"},{"family":"McEwen","given":"Sarah C"},{"family":"Ventura","given":"Joseph"},{"family":"Subotnik","given":"Kenneth L"},{"family":"Turner","given":"Luana R"},{"family":"Boucher","given":"Michael"},{"family":"Casaus","given":"Laurie R"},{"family":"Distler","given":"Margaret G"},{"family":"Hayata","given":"Jacqueline N"}],"issued":{"date-parts":[["2023"]]}}},{"id":4933,"uris":["http://zotero.org/users/3430614/items/9DIBX69X"],"itemData":{"id":4933,"type":"article-journal","abstract":"&lt;sec id=\"sec1\"&gt;&lt;title&gt;Objective&lt;/title&gt;&lt;p&gt;Aerobic exercise (AE) interventions are beginning to be used as an emerging adjunctive treatment modality in the treatment of children with Attention Deficit Hyperactivity Disorder (ADHD). However, to date, there is no substantial evidence to support the improved effects of aerobic exercise intervention in children with ADHD aged 6–12 years. This study aims to investigate the effect of aerobic exercise therapy on executive function in children with attention deficit hyperactivity disorder aged 6–12 years.&lt;/p&gt;&lt;/sec&gt;&lt;sec id=\"sec2\"&gt;&lt;title&gt;Method&lt;/title&gt;&lt;p&gt;We conducted a systematic review and meta-analysis using PubMed and Web of Science. The cut-off date was June 1, 2023. The aim was to assess the impact of aerobic exercise interventions on children with ADHD and all randomized controlled trials eligible for aerobic exercise interventions for children with ADHD were included. Nine randomized controlled trials were screened for eligibility for systematic evaluation, and the nine studies were assessed for risk of bias using the PEDro score and the GRADE Quality of Evidence Evaluation System for quality grading of outcome indicators. After testing for heterogeneity, a random-effects model was selected for analysis. Finally, meta-analyses and regression analyses were performed on the core functions (inhibitory control, cognitive flexibility, and working memory) and subgroups of the nine studies on executive function using Revman 5.4 and Stata 16.0.&lt;/p&gt;&lt;/sec&gt;&lt;sec id=\"sec3\"&gt;&lt;title&gt;Results&lt;/title&gt;&lt;p&gt;The risk of bias evaluation showed a mean PEDro score of 7.78, and of the nine studies, two were rated as having excellent methodological quality, while the remaining seven had a good level of evidence, and the GRADE evidence evaluation showed that the outcome indicators were all of moderate quality. Inhibitory control [SMD = 0.83,95% CI (0.37–1.29), Z = 3.51, &lt;italic&gt;&lt;italic&gt;p&lt;/italic&gt;&lt;/italic&gt; = 0.0005], cognitive flexibility [SMD = 0.65,95% CI (0.37–0.93), Z = 4.58, &lt;italic&gt;&lt;italic&gt;p&lt;/italic&gt;&lt;/italic&gt; &amp;lt; 0.00001], and working memory [SMD = 0.48,95% CI (0.02–0.95), Z = 2.03, &lt;italic&gt;p&lt;/italic&gt; = 0.04] were statistically significant, with effect sizes of moderate or higher; furthermore, in subgroup analyses type of intervention, duration, intensity, and medication use had different effects on inhibitory control and cognitive flexibility, and the combined IC, CF statistic found that a single category of aerobic exercise (&lt;italic&gt;&lt;italic&gt;β&lt;/italic&gt;&lt;/italic&gt; = 0.867, &lt;italic&gt;&lt;italic&gt;p&lt;/italic&gt;&lt;/italic&gt; &amp;lt; 0.001), moderate intensity (&lt;italic&gt;&lt;italic&gt;β&lt;/italic&gt;&lt;/italic&gt; = 0.928, &lt;italic&gt;&lt;italic&gt;p&lt;/italic&gt;&lt;/italic&gt; &amp;lt; 0.001), 6–12 weeks (β = 0.804, &lt;italic&gt;p&lt;/italic&gt; &amp;lt; 0.001), 60-90 min (&lt;italic&gt;&lt;italic&gt;β&lt;/italic&gt;&lt;/italic&gt; = 0.894, &lt;italic&gt;&lt;italic&gt;p&lt;/italic&gt;&lt;/italic&gt; &amp;lt; 0.001), and the use of medication (&lt;italic&gt;&lt;italic&gt;β&lt;/italic&gt;&lt;/italic&gt; = 1.202, &lt;italic&gt;&lt;italic&gt;p&lt;/italic&gt;&lt;/italic&gt; = 0.002) were better for overall improvement in EF.&lt;/p&gt;&lt;/sec&gt;&lt;sec id=\"sec4\"&gt;&lt;title&gt;Conclusion&lt;/title&gt;&lt;p&gt;Aerobic exercise therapy significantly improved executive functioning in children with ADHD, showing above moderate effect sizes especially in inhibitory control, cognitive flexibility, and working memory. Aerobic exercise therapy can be used as a reference in improving executive function in children with ADHD, but given the limitations of this study, it should be used with caution when applied in clinical settings.&lt;/p&gt;&lt;/sec&gt;","container-title":"Frontiers in Psychology","DOI":"10.3389/fpsyg.2024.1376354","ISSN":"1664-1078","journalAbbreviation":"Front. Psychol.","language":"English","note":"publisher: Frontiers","source":"Frontiers","title":"Effect of aerobic exercise on the improvement of executive function in children with attention deficit hyperactivity disorder: a systematic review and meta-analysis","title-short":"Effect of aerobic exercise on the improvement of executive function in children with attention deficit hyperactivity disorder","URL":"https://www.frontiersin.org/journals/psychology/articles/10.3389/fpsyg.2024.1376354/full","volume":"15","author":[{"family":"Yang","given":"Gao"},{"family":"Liu","given":"Qiang"},{"family":"Wang","given":"Wei"},{"family":"Liu","given":"Wei"},{"family":"Li","given":"Junfeng"}],"accessed":{"date-parts":[["2024",6,16]]},"issued":{"date-parts":[["2024",6,4]]}}}],"schema":"https://github.com/citation-style-language/schema/raw/master/csl-citation.json"} </w:instrText>
      </w:r>
      <w:r w:rsidR="00DC58DE">
        <w:rPr>
          <w:color w:val="000000"/>
        </w:rPr>
        <w:fldChar w:fldCharType="separate"/>
      </w:r>
      <w:r w:rsidR="00DC58DE">
        <w:rPr>
          <w:noProof/>
          <w:color w:val="000000"/>
        </w:rPr>
        <w:t>(Duchesne et al., 2015; Firth et al., 2016; Huang et al., 2019; Lu et al., 2023; Marino et al., 2023, p. 20; Nuechterlein et al., 2023; Yang et al., 2024)</w:t>
      </w:r>
      <w:r w:rsidR="00DC58DE">
        <w:rPr>
          <w:color w:val="000000"/>
        </w:rPr>
        <w:fldChar w:fldCharType="end"/>
      </w:r>
      <w:r w:rsidR="00D06FD2" w:rsidRPr="00A315EC">
        <w:rPr>
          <w:color w:val="000000"/>
        </w:rPr>
        <w:t xml:space="preserve"> or in aging populations</w:t>
      </w:r>
      <w:r w:rsidR="00374945">
        <w:rPr>
          <w:color w:val="000000"/>
        </w:rPr>
        <w:t xml:space="preserve"> </w:t>
      </w:r>
      <w:r w:rsidR="00DC58DE">
        <w:rPr>
          <w:color w:val="000000"/>
        </w:rPr>
        <w:fldChar w:fldCharType="begin"/>
      </w:r>
      <w:r w:rsidR="00374945">
        <w:rPr>
          <w:color w:val="000000"/>
        </w:rPr>
        <w:instrText xml:space="preserve"> ADDIN ZOTERO_ITEM CSL_CITATION {"citationID":"rmMAV08g","properties":{"formattedCitation":"(Bliss et al., 2021; Festa et al., 2023; Noguera et al., 2019; Shi et al., 2024; Xu et al., 2023; G. Zheng et al., 2016)","plainCitation":"(Bliss et al., 2021; Festa et al., 2023; Noguera et al., 2019; Shi et al., 2024; Xu et al., 2023; G. Zheng et al., 2016)","noteIndex":0},"citationItems":[{"id":4269,"uris":["http://zotero.org/users/3430614/items/FHI3XRLI"],"itemData":{"id":4269,"type":"article-journal","abstract":"Derangements in cerebrovascular structure and function can impair cognitive performance throughout ageing and in cardiometabolic disease states, thus increasing dementia risk. Modifiable lifestyle factors that cause a decline in cardiometabolic health, such as physical inactivity, exacerbate these changes beyond those that are associated with normal ageing. The purpose of this review was to examine cerebrovascular, cognitive and neuroanatomical adaptations to ageing and the potential benefits of exercise training on these outcomes in adults 50?years or older. We systematically searched for cross-sectional or intervention studies that included exercise (aerobic, resistance or multimodal) and its effect on cerebrovascular function, cognition and neuroanatomical adaptations in this age demographic. The included studies were tabulated and described narratively. Aerobic exercise training was the predominant focus of the studies identified; there were limited studies exploring the effects of resistance exercise training and multimodal training on cerebrovascular function and cognition. Collectively, the evidence indicated that exercise can improve cerebrovascular function, cognition and neuroplasticity through areas of the brain associated with executive function and memory in adults 50?years or older, irrespective of their health status. However, more research is required to ascertain the mechanisms of action.","container-title":"Journal of Cerebral Blood Flow &amp; Metabolism","DOI":"10.1177/0271678X20957807","ISSN":"0271-678X","issue":"3","journalAbbreviation":"J Cereb Blood Flow Metab","note":"publisher: SAGE Publications Ltd STM","page":"447-470","source":"SAGE Journals","title":"Benefits of exercise training on cerebrovascular and cognitive function in ageing","volume":"41","author":[{"family":"Bliss","given":"Edward S"},{"family":"Wong","given":"Rachel HX"},{"family":"Howe","given":"Peter RC"},{"family":"Mills","given":"Dean E"}],"issued":{"date-parts":[["2021",3,1]]}}},{"id":4911,"uris":["http://zotero.org/users/3430614/items/48A3R4P5"],"itemData":{"id":4911,"type":"article-journal","abstract":"While the physical improvements from exercise have been well documented over the years, the impact of physical activity on mental health has recently become an object of interest. Physical exercise improves cognition, particularly attention, memory, and executive functions. However, the mechanisms underlying these effects have yet to be fully understood. Consequently, we conducted a narrative literature review concerning the association between acute and chronic physical activity and cognition to provide an overview of exercise-induced benefits during the lifetime of a person. Most previous papers mainly reported exercise-related greater expression of neurotransmitter and neurotrophic factors. Recently, structural and functional magnetic resonance imaging techniques allowed for the detection of increased grey matter volumes for specific brain regions and substantial modifications in the default mode, frontoparietal, and dorsal attention networks following exercise. Here, we highlighted that physical activity induced significant changes in functional brain activation and cognitive performance in every age group and could counteract psychological disorders and neural decline. No particular age group gained better benefits from exercise, and a specific exercise type could generate better cognitive improvements for a selected target subject. Further research should develop appropriate intervention programs concerning age and comorbidity to achieve the most significant cognitive outcomes.","container-title":"Biomedicines","DOI":"10.3390/biomedicines11061765","ISSN":"2227-9059","issue":"6","language":"en","license":"http://creativecommons.org/licenses/by/3.0/","note":"number: 6\npublisher: Multidisciplinary Digital Publishing Institute","page":"1765","source":"www.mdpi.com","title":"Move Your Body, Boost Your Brain: The Positive Impact of Physical Activity on Cognition across All Age Groups","title-short":"Move Your Body, Boost Your Brain","volume":"11","author":[{"family":"Festa","given":"Felice"},{"family":"Medori","given":"Silvia"},{"family":"Macrì","given":"Monica"}],"issued":{"date-parts":[["2023",6]]}}},{"id":4156,"uris":["http://zotero.org/users/3430614/items/QNZVZAEZ"],"itemData":{"id":4156,"type":"article-journal","abstract":"Aerobic exercise is associated with changes in brain morphology and improvement of cognitive functions. Physical activity may be especially important after age 60 when cognitive decline is more pronounced. In this paper, the eﬀect of chronic practice of aerobic sports was studied in old adults by assessing their executive and mnesic functions, supported by frontal and temporal brain structures. Two groups were formed according to their age (60–69 and 70–79 years-old) including sportsmen (n = 23) and sedentary men (n = 24). Spatial memory and eﬃciency of attentional networks were measured, as well as general intelligence. Results showed that sportsmen outperformed sedentary participants in many of the tests employed. Thus their alerting, orienting and executive networks worked more eﬀectively in the ANT-I task for executive functions, and they were more accurate in the spatial memory task, displaying a better spatial orientation. Scores in other neuropsychological tasks followed the same tendency. These data support the protective eﬀect of aerobic exercise on cognitive functions.","container-title":"Experimental Gerontology","DOI":"10.1016/j.exger.2018.10.019","ISSN":"05315565","journalAbbreviation":"Experimental Gerontology","language":"en","page":"53-60","source":"DOI.org (Crossref)","title":"Ten years younger: Practice of chronic aerobic exercise improves attention and spatial memory functions in ageing","title-short":"Ten years younger","volume":"117","author":[{"family":"Noguera","given":"Carmen"},{"family":"Sánchez-Horcajo","given":"Rubén"},{"family":"Álvarez-Cazorla","given":"Dolores"},{"family":"Cimadevilla","given":"José Manuel"}],"issued":{"date-parts":[["2019",3]]}}},{"id":4982,"uris":["http://zotero.org/users/3430614/items/QCBG9DX8"],"itemData":{"id":4982,"type":"article-journal","abstract":"Background\nDespite existing studies showing that physical exercise improves cognitive function in older adults either concurrently or in a delayed manner, studies examining these associations simultaneously are rare. Additionally, the underlying mechanisms in these associations remain incompletely understood.\nObjective\nThis study explores the concurrent and delayed (two years later) associations between physical exercise and older adults’ cognitive function. This study also investigates the mediating roles of three negative physical, psychological, and social resources: limitations in daily abilities, depressive mood, and isolation from friends, as well as the moderating roles of cognitive reserve on these associations.\nDesign\nA cohort sample of 6646 Chinese older adults (Mean age = 69.28, SD = 7.03) is obtained from the 2016 and 2018 waves of the China Longitudinal Aging Social Survey. Regression analysis was employed to test the concurrent and delayed associations between physical exercise and cognitive function. The bootstrap method was utilized to examine the mediating roles of limitations in daily activities, depression mood, and isolation from friends. Interaction terms were generated to investigate the moderating roles of cognitive reserve.\nResults\nPhysical exercise presents concurrent and delayed positive associations with cognitive function. Limitations in daily activities, depressive mood and isolation from friends mediate the above associations. Moreover, cognitive reserve plays a significant role in buffering the concurrent and delayed negative links between depressive mood, isolation from friends, and cognitive function, with larger negative relationships observed for older adults with lower rather than higher levels of cognitive reserve.\nConclusions\nThis study validates the concurrent and delayed benefits of physical exercise on older adults’ cognitive function while elucidating the underlying mechanisms. These findings offer practical implications for health policies and intervention programs aimed at enhancing older adults’ cognitive function.","container-title":"Psychology of Sport and Exercise","DOI":"10.1016/j.psychsport.2024.102685","ISSN":"1469-0292","journalAbbreviation":"Psychology of Sport and Exercise","page":"102685","source":"ScienceDirect","title":"The benefits of physical exercise on older adults’ cognitive function: A cohort study exploring potential mechanisms","title-short":"The benefits of physical exercise on older adults’ cognitive function","volume":"74","author":[{"family":"Shi","given":"Jiaming"},{"family":"Jiang","given":"Chaoxin"},{"family":"Zhao","given":"Qi"}],"issued":{"date-parts":[["2024",9,1]]}}},{"id":4909,"uris":["http://zotero.org/users/3430614/items/GX3JUUFP"],"itemData":{"id":4909,"type":"article-journal","abstract":"Background: Physical exercise can slow down the decline of the cognitive function of the older adults, yet the review evidence is not conclusive. The purpose of this study was to compare the effects of aerobic and resistance training on cognitive ability. Methods: A computerized literature search was carried out using PubMed, Cochrane Library, Embase SCOPUS, Web of Science, CNKI (China National Knowledge Infrastructure), Wanfang, and VIP database to identify relevant articles from inception through to 1 October 2022. Based on a preliminary search of the database and the references cited, 10,338 records were identified. For the measured values of the research results, the standardized mean difference (SMD) and 95% confidence interval (CI) were used to synthesize the effect size. Results: Finally, 10 studies were included in this meta-analysis. Since the outcome indicators of each literature are different in evaluating the old cognitive ability, a subgroup analysis was performed on the included literature. The study of results suggests that aerobic or resistance training interventions significantly improved cognitive ability in older adults compared with control interventions with the Mini-Mental State Examination (MD 2.76; 95% CI 2.52 to 3.00), the Montreal Cognitive Assessment (MD 2.64; 95% CI 2.33 to 2.94), the Wechsler Adult Intelligence Scale (MD 2.86; 95% CI 2.25 to 3.47), the Wechsler Memory Scale (MD 9.33; 95% CI 7.12 to 11.54), the Wisconsin Card Sorting Test (MD 5.31; 95% CI 1.20 to 9.43), the Trail Making Tests (MD −8.94; 95% CI −9.81 to −8.07), and the Stroop Color and Word Test (MD −5.20; 95% CI −7.89 to −2.51). Conclusion: Physical exercise improved the cognitive function of the older adults in all mental states. To improve cognitive ability, this meta-analysis recommended that patients perform at least moderate-intensity aerobic exercise and resistance exercise on as many days as possible in the week to comply with current exercise guidelines while providing evidence for clinicians.","container-title":"International Journal of Environmental Research and Public Health","DOI":"10.3390/ijerph20021088","ISSN":"1660-4601","issue":"2","language":"en","license":"http://creativecommons.org/licenses/by/3.0/","note":"number: 2\npublisher: Multidisciplinary Digital Publishing Institute","page":"1088","source":"www.mdpi.com","title":"The Effects of Exercise for Cognitive Function in Older Adults: A Systematic Review and Meta-Analysis of Randomized Controlled Trials","title-short":"The Effects of Exercise for Cognitive Function in Older Adults","volume":"20","author":[{"family":"Xu","given":"Liya"},{"family":"Gu","given":"Hongyi"},{"family":"Cai","given":"Xiaowan"},{"family":"Zhang","given":"Yimin"},{"family":"Hou","given":"Xiao"},{"family":"Yu","given":"Jingjing"},{"family":"Sun","given":"Tingting"}],"issued":{"date-parts":[["2023",1]]}}},{"id":4243,"uris":["http://zotero.org/users/3430614/items/THC6ITAY"],"itemData":{"id":4243,"type":"article-journal","abstract":"Objective To evaluate the effect of aerobic exercise on cognitive function in people with mild cognitive impairment (MCI). Design Systematic review and meta-analysis of aerobic exercise intervention for cognitive function in older adults with MCI. Data sources PubMed, EMBASE, SinoMed, China National Knowledge Infrastructure (CNKI), Wanfang and Chinese Science and Technology Periodical (VIP) databases from their inception to 31 January 2015, the Cochrane Central Register of Controlled Trials (Cochrane Library, 2015, Issue 3) and the reference lists of all retrieved articles. Eligibility criteria Randomised controlled trials, older adults with MCI, aerobic exercises compared with no speciﬁc exercise intervention for global cognitive ability and any speciﬁc domains of cognition. Data synthesis Meta-analysis was conducted with RevMan V.5.3 software using the ﬁxed-effect model for the available data without signiﬁcant heterogeneity, or the random-effect model was used if appropriate.\nResults 11 studies were identiﬁed involving 1497 participants. Meta-analysis showed that aerobic exercise signiﬁcantly improved global cognitive ability (MiniMental State Examination (MMSE) scores: MD=0.98, 95% CI 0.5 to 1.45, p&lt;0.0001; Montreal Cognitive Assessment (MoCA) scores: MD=2.7, 95% CI 1.11 to 4.29, p=0.0009); weakly, positively improve memory (immediately recall: SMD=0.29, 95% CI 0.13 to 0.46, p=0.0005; delay recall: SMD=0.22, 95% CI 0.09 to 0.34, p=0.0005). No signiﬁcant improvement was found in other domains of cognition.\nConclusions Aerobic exercise led to an improvement in global cognitive ability and had a positive effect with a small effect size on memory in people with MCI. However, owing to the limitations of the included studies, these ﬁndings should be interpreted cautiously.","container-title":"British Journal of Sports Medicine","DOI":"10.1136/bjsports-2015-095699","ISSN":"0306-3674, 1473-0480","issue":"23","journalAbbreviation":"Br J Sports Med","language":"en","page":"1443-1450","source":"DOI.org (Crossref)","title":"Aerobic exercise ameliorates cognitive function in older adults with mild cognitive impairment: a systematic review and meta-analysis of randomised controlled trials","title-short":"Aerobic exercise ameliorates cognitive function in older adults with mild cognitive impairment","volume":"50","author":[{"family":"Zheng","given":"Guohua"},{"family":"Xia","given":"Rui"},{"family":"Zhou","given":"Wenji"},{"family":"Tao","given":"Jing"},{"family":"Chen","given":"Lidian"}],"issued":{"date-parts":[["2016",12]]}}}],"schema":"https://github.com/citation-style-language/schema/raw/master/csl-citation.json"} </w:instrText>
      </w:r>
      <w:r w:rsidR="00DC58DE">
        <w:rPr>
          <w:color w:val="000000"/>
        </w:rPr>
        <w:fldChar w:fldCharType="separate"/>
      </w:r>
      <w:r w:rsidR="00374945">
        <w:rPr>
          <w:noProof/>
          <w:color w:val="000000"/>
        </w:rPr>
        <w:t>(Bliss et al., 2021; Festa et al., 2023; Noguera et al., 2019; Shi et al., 2024; Xu et al., 2023; G. Zheng et al., 2016)</w:t>
      </w:r>
      <w:r w:rsidR="00DC58DE">
        <w:rPr>
          <w:color w:val="000000"/>
        </w:rPr>
        <w:fldChar w:fldCharType="end"/>
      </w:r>
      <w:r w:rsidR="00374945">
        <w:rPr>
          <w:color w:val="000000"/>
        </w:rPr>
        <w:t>.</w:t>
      </w:r>
      <w:r w:rsidR="009472F7">
        <w:rPr>
          <w:color w:val="000000"/>
        </w:rPr>
        <w:t xml:space="preserve"> </w:t>
      </w:r>
      <w:r w:rsidR="00D06FD2" w:rsidRPr="00A315EC">
        <w:rPr>
          <w:color w:val="000000"/>
        </w:rPr>
        <w:t>However, studies evaluating the impact of acute physical exertion on cognition are less clear-cut</w:t>
      </w:r>
      <w:r>
        <w:rPr>
          <w:color w:val="000000"/>
        </w:rPr>
        <w:t xml:space="preserve">, with some debate </w:t>
      </w:r>
      <w:r w:rsidR="00D06FD2" w:rsidRPr="00A315EC">
        <w:rPr>
          <w:color w:val="000000"/>
        </w:rPr>
        <w:t xml:space="preserve">as to whether exercise plays an inhibitory or facilitatory role </w:t>
      </w:r>
      <w:r w:rsidR="00374945">
        <w:rPr>
          <w:color w:val="000000"/>
        </w:rPr>
        <w:fldChar w:fldCharType="begin"/>
      </w:r>
      <w:r w:rsidR="00374945">
        <w:rPr>
          <w:color w:val="000000"/>
        </w:rPr>
        <w:instrText xml:space="preserve"> ADDIN ZOTERO_ITEM CSL_CITATION {"citationID":"0Eo6sJXl","properties":{"formattedCitation":"(K. Zheng et al., 2021)","plainCitation":"(K. Zheng et al., 2021)","noteIndex":0},"citationItems":[{"id":4066,"uris":["http://zotero.org/users/3430614/items/RHRIGVDB"],"itemData":{"id":4066,"type":"article-journal","abstract":"The purpose of the study was to systematically review the evidence on the effects of an acute bout of exercise on concurrent performance of core executive function (EF) during exercise in adults. Four electronic databases (i.e., PubMed, Web of Science, PsycINFO, and SportDiscus) were searched from inception dates to 30 December 2020. The literature searches were conducted using the combinations of two groups of relevant items related to exercise and executive function. Articles were limited to human studies in adults. The search process, study selection, data extraction, and study quality assessments were carried out independently by two researchers. A total of 4899 studies were identiﬁed. Twenty-two studies met our inclusion criteria. Of the 42 reported outcomes in the 22 studies, 13 (31%) of the 42 outcomes showed that core EF performance was enhanced during exercise and 14 (33%) found that core EF performance did not differ from control conditions. Fifteen (36%) found that core EF performance was impaired. Notably, improved EF performances tend to be observed during moderate-intensity exercise, whereas impaired EF performances were more likely to be observed at vigorous-high intensity. The review suggests mixed ﬁndings regarding the effects of an acute bout of exercise on concurrent performance of core EF. Exercise intensity seems to inﬂuence the effects. The underlying neural mechanisms remain to be elucidated.","container-title":"Brain Sciences","DOI":"10.3390/brainsci11101364","ISSN":"2076-3425","issue":"10","journalAbbreviation":"Brain Sciences","language":"en","page":"1364","source":"DOI.org (Crossref)","title":"Concurrent Performance of Executive Function during Acute Bouts of Exercise in Adults: A Systematic Review","title-short":"Concurrent Performance of Executive Function during Acute Bouts of Exercise in Adults","volume":"11","author":[{"family":"Zheng","given":"Kefeng"},{"family":"Zou","given":"Liye"},{"family":"Wei","given":"Gaoxia"},{"family":"Huang","given":"Tao"}],"issued":{"date-parts":[["2021",10,17]]}}}],"schema":"https://github.com/citation-style-language/schema/raw/master/csl-citation.json"} </w:instrText>
      </w:r>
      <w:r w:rsidR="00374945">
        <w:rPr>
          <w:color w:val="000000"/>
        </w:rPr>
        <w:fldChar w:fldCharType="separate"/>
      </w:r>
      <w:r w:rsidR="00374945">
        <w:rPr>
          <w:noProof/>
          <w:color w:val="000000"/>
        </w:rPr>
        <w:t>(K. Zheng et al., 2021)</w:t>
      </w:r>
      <w:r w:rsidR="00374945">
        <w:rPr>
          <w:color w:val="000000"/>
        </w:rPr>
        <w:fldChar w:fldCharType="end"/>
      </w:r>
      <w:r w:rsidR="00374945">
        <w:rPr>
          <w:color w:val="000000"/>
        </w:rPr>
        <w:t>.</w:t>
      </w:r>
    </w:p>
    <w:p w14:paraId="2715E93B" w14:textId="64CDABA8" w:rsidR="00187849" w:rsidRPr="00A315EC" w:rsidRDefault="009472F7" w:rsidP="00543EEC">
      <w:pPr>
        <w:widowControl w:val="0"/>
        <w:pBdr>
          <w:top w:val="nil"/>
          <w:left w:val="nil"/>
          <w:bottom w:val="nil"/>
          <w:right w:val="nil"/>
          <w:between w:val="nil"/>
        </w:pBdr>
        <w:spacing w:line="480" w:lineRule="auto"/>
        <w:ind w:firstLine="720"/>
        <w:rPr>
          <w:color w:val="000000"/>
        </w:rPr>
      </w:pPr>
      <w:r>
        <w:rPr>
          <w:color w:val="000000"/>
        </w:rPr>
        <w:t>On the one hand</w:t>
      </w:r>
      <w:r w:rsidR="00D06FD2" w:rsidRPr="00A315EC">
        <w:rPr>
          <w:color w:val="000000"/>
        </w:rPr>
        <w:t>, some studies have shown improvements in executive function with acute exercise</w:t>
      </w:r>
      <w:r w:rsidR="00374945">
        <w:rPr>
          <w:color w:val="000000"/>
        </w:rPr>
        <w:t xml:space="preserve"> </w:t>
      </w:r>
      <w:r w:rsidR="00374945">
        <w:rPr>
          <w:color w:val="000000"/>
        </w:rPr>
        <w:fldChar w:fldCharType="begin"/>
      </w:r>
      <w:r w:rsidR="0062449E">
        <w:rPr>
          <w:color w:val="000000"/>
        </w:rPr>
        <w:instrText xml:space="preserve"> ADDIN ZOTERO_ITEM CSL_CITATION {"citationID":"w7zW2G2z","properties":{"formattedCitation":"(Dodwell et al., 2018; Joyce et al., 2009; Komiyama et al., 2015, 2017; Lucas et al., 2012; Martins et al., 2013; Ogoh et al., 2014; Olson et al., 2016; Schmit et al., 2015)","plainCitation":"(Dodwell et al., 2018; Joyce et al., 2009; Komiyama et al., 2015, 2017; Lucas et al., 2012; Martins et al., 2013; Ogoh et al., 2014; Olson et al., 2016; Schmit et al., 2015)","noteIndex":0},"citationItems":[{"id":4182,"uris":["http://zotero.org/users/3430614/items/SXNX3Z4F"],"itemData":{"id":4182,"type":"article-journal","container-title":"British Journal of Psychology","DOI":"10.1111/bjop.12352","ISSN":"0007-1269, 2044-8295","issue":"2","journalAbbreviation":"Br J Psychol","language":"en","page":"400-427","source":"DOI.org (Crossref)","title":"Electroencephalographic evidence for improved visual working memory performance during standing and exercise","volume":"110","author":[{"family":"Dodwell","given":"Gordon"},{"family":"Müller","given":"Hermann J."},{"family":"Töllner","given":"Thomas"}],"issued":{"date-parts":[["2018"]]}}},{"id":4074,"uris":["http://zotero.org/users/3430614/items/N54GN3SK"],"itemData":{"id":4074,"type":"article-journal","abstract":"This research aimed to investigate the time course effect of a moderate steady-state exercise session on response execution and response inhibition using a stop-task paradigm. Ten participants performed a stop-signal task whilst cycling at a carefully controlled workload intensity (40% of maximal aerobic power), immediately following exercise and 30 min after exercise cessation. Results showed that moderate exercise enhances a subjects’ ability to execute responses under time pressure (shorter Go reaction time, RT without a change in accuracy) but also enhances a subjects’ ability to withhold ongoing motor responses (shorter stop-signal RT). The present outcomes reveal that the beneﬁcial effect of exercise is neither limited to motor response tasks, nor to cognitive tasks performed during exercise. Beneﬁcial effects of exercise remain present on both response execution and response inhibition performance for up to 52 min after exercise cessation.","container-title":"Brain and Cognition","DOI":"10.1016/j.bandc.2009.03.004","ISSN":"02782626","issue":"1","journalAbbreviation":"Brain and Cognition","language":"en","page":"14-19","source":"DOI.org (Crossref)","title":"The time course effect of moderate intensity exercise on response execution and response inhibition","volume":"71","author":[{"family":"Joyce","given":"Jennifer"},{"family":"Graydon","given":"Jan"},{"family":"McMorris","given":"Terry"},{"family":"Davranche","given":"Karen"}],"issued":{"date-parts":[["2009",10]]}}},{"id":4186,"uris":["http://zotero.org/users/3430614/items/KZ37AVRD"],"itemData":{"id":4186,"type":"article-journal","abstract":"It has been suggested that acute exercise improves cognitive function. However, little is known about how exercise under hypoxia affects cognitive function. The purpose of this study was to determine if hypoxia alters working memory and executive function during prolonged exercise. Sixteen participants performed cognitive tasks at rest and during exercise under normoxia and hypoxia [fraction of inspired oxygen (FIO2) = 0.15, corresponding to an altitude of approximately 2600 m]. The level of hypoxia was moderate. We used a combination of Spatial Delayed Response (Spatial DR) task and Go/No-Go (GNG) task, where spatial working memory and executive function are required. Working memory was assessed by the accuracy of the Spatial DR task, and executive function was assessed by the accuracy and reaction time in the GNG task. The participants cycled an ergometer for 30 min under normoxia and moderate hypoxia while keeping their heart rate (HR) at 140 beats/min. They performed the cognitive tasks 5 min and 23 min after their HR reached 140 beats/min. Moderate hypoxia did not alter the accuracy of the Spatial DR (P = 0.38) and GNG tasks (P = 0.14). In contrast, reaction time in the GNG task signiﬁcantly decreased during exercise relative to rest under normoxia and moderate hypoxia (P = 0.02). These results suggest that moderate hypoxia and resultant biological processes did not provide sufﬁcient stress to impair working memory and executive function during prolonged exercise. The beneﬁcial effects on speed of response appear to persist during prolonged exercise under moderate hypoxia.","container-title":"Physiology &amp; Behavior","DOI":"10.1016/j.physbeh.2014.11.057","ISSN":"00319384","journalAbbreviation":"Physiology &amp; Behavior","language":"en","page":"290-296","source":"DOI.org (Crossref)","title":"Does moderate hypoxia alter working memory and executive function during prolonged exercise?","volume":"139","author":[{"family":"Komiyama","given":"Takaaki"},{"family":"Sudo","given":"Mizuki"},{"family":"Higaki","given":"Yasuki"},{"family":"Kiyonaga","given":"Akira"},{"family":"Tanaka","given":"Hiroaki"},{"family":"Ando","given":"Soichi"}],"issued":{"date-parts":[["2015",2]]}}},{"id":4184,"uris":["http://zotero.org/users/3430614/items/55L2LTYF"],"itemData":{"id":4184,"type":"article-journal","container-title":"Scientific Reports","DOI":"10.1038/s41598-017-10332-y","ISSN":"2045-2322","issue":"1","journalAbbreviation":"Sci Rep","language":"en","page":"10000","source":"DOI.org (Crossref)","title":"Cognitive function during exercise under severe hypoxia","volume":"7","author":[{"family":"Komiyama","given":"Takaaki"},{"family":"Katayama","given":"Keisho"},{"family":"Sudo","given":"Mizuki"},{"family":"Ishida","given":"Koji"},{"family":"Higaki","given":"Yasuki"},{"family":"Ando","given":"Soichi"}],"issued":{"date-parts":[["2017",12]]}}},{"id":4188,"uris":["http://zotero.org/users/3430614/items/RNPZQXI7"],"itemData":{"id":4188,"type":"article-journal","abstract":"Regular exercise improves the age-related decline in cerebral blood ﬂow (CBF) and is associated with improved cognitive function; however, less is known about the direct relationship between CBF and cognitive function. We examined the inﬂuence of healthy aging on the capability of acute exercise to improve cognition, and whether exercise-induced improvements in cognition are related to CBF and cortical hemodynamics. Middle cerebral artery blood ﬂow velocity (MCAv; Doppler) and cortical hemodynamics (NIRS) were measured in 13 young (24 ± 5 y) and 9 older (62 ± 3 y) participants at rest and during cycling at 30% and 70% of heart rate range (HRR). Cognitive performance was assessed using a computer-adapted Stroop task (i.e., test of executive function cognition) at rest and during exercise. Average response times on the Stroop task were slower for the older compared to younger group for both simple and difﬁcult tasks (P b 0.01). Independent of age, difﬁcult-task response times improved during exercise (P b 0.01), with the improvement greater at 70% HRR exercise (P = 0.04 vs. 30% HRR). Higher MCAv was correlated with faster response times for simple and difﬁcult tasks at rest (R2 = 0.47 and R2 = 0.47, respectively), but this relation uncoupled progressively during exercise. Exercise-induced increases in MCAv were similar and unaltered during cognitive tasks for both age groups. In contrast, prefrontal cortical hemodynamic NIRS measures [oxyhemoglobin (O2Hb) and total hemoglobin (tHb)] were differentially affected by exercise intensity, age and cognitive task; e.g., there were smaller increases in [O2Hb] and [tHb] in the older group between exercise intensities (P b 0.05). These data indicate that: 1) Regardless of age, cognitive (executive) function is improved while exercising; 2) while MCAv is strongly related to cognition at rest, this relation becomes uncoupled during exercise, and 3) there is dissociation between global CBF and regional cortical oxygenation and NIRS blood volume markers during exercise and engagement of prefrontal cognition.","container-title":"Experimental Gerontology","DOI":"10.1016/j.exger.2011.12.002","ISSN":"05315565","issue":"8","journalAbbreviation":"Experimental Gerontology","language":"en","page":"541-551","source":"DOI.org (Crossref)","title":"Effect of age on exercise-induced alterations in cognitive executive function: Relationship to cerebral perfusion","title-short":"Effect of age on exercise-induced alterations in cognitive executive function","volume":"47","author":[{"family":"Lucas","given":"Samuel J.E."},{"family":"Ainslie","given":"Philip N."},{"family":"Murrell","given":"Carissa J."},{"family":"Thomas","given":"Kate N."},{"family":"Franz","given":"Elizabeth A."},{"family":"Cotter","given":"James D."}],"issued":{"date-parts":[["2012",8]]}}},{"id":4164,"uris":["http://zotero.org/users/3430614/items/PDD8II74"],"itemData":{"id":4164,"type":"article-journal","abstract":"Objectives: Although the effect of exercise on cognitive functioning has received considerable empirical and theoretical attention, the inﬂuence of concurrent exercise on complex cognitive function remains poorly understood. Our research was designed to investigate working memory during a bout of dynamic exercise. Design: An experimental design was used.\nMethods: In two experiments, we examined the impact of moderate intensity exercise on performance of a paced auditory serial addition task (Experiment 1, N ¼ 24) and a Sternberg task (Experiment 2, N ¼ 120). The tasks were performed at rest and while cycling at different power outputs.\nResults: We found that moderate intensity exercise increased the number of correct responses at medium-to-fast stimulus presentation rates during the paced auditory serial addition task and lowered the response latency slopes during the Sternberg task.\nConclusions: Our ﬁndings show that working memory is improved by dynamic exercise at moderate intensities and short duration.","container-title":"Psychology of Sport and Exercise","DOI":"10.1016/j.psychsport.2012.11.010","ISSN":"14690292","issue":"3","journalAbbreviation":"Psychology of Sport and Exercise","language":"en","page":"323-328","source":"DOI.org (Crossref)","title":"Moderate intensity exercise facilitates working memory","volume":"14","author":[{"family":"Martins","given":"Amadeu Quelha"},{"family":"Kavussanu","given":"Maria"},{"family":"Willoughby","given":"Adrian"},{"family":"Ring","given":"Christopher"}],"issued":{"date-parts":[["2013",5]]}}},{"id":4191,"uris":["http://zotero.org/users/3430614/items/BRRQ9NGQ"],"itemData":{"id":4191,"type":"article-journal","abstract":"No studies have identified the direct effect of changes in cerebral blood flow (CBF) on cognitive function at rest and during exercise. In this study, we manipulated CBF using hypercapnic gas to examine whether an increase in CBF improves cognitive function during prolonged exercise. The speed and the accuracy of cognitive function were assessed using the Stroop color-word test. After the Stroop test at rest, the subjects began exercising on a cycling ergometer in which the workload was increased by 0.5 kilopond every minute until a target heart rate of 140 beats/min was achieved. Then, the subjects continued to cycle at a constant rate for 50 min. At four time points during the exercise (0, 10, 20, 50 min), the subjects performed a Stroop test with and without hypercapnic respiratory gas (2.0% CO2), with a random order of the exposures in the two tests. Despite a decrease in the mean blood flow velocity in the middle cerebral artery (MCA Vmean), the reaction time for the Stroop test gradually decreased during the prolonged exercise without any loss of performance accuracy. In addition, the hypercapnia-induced increase in MCA Vmean produced neither changes in the reaction time nor error in the Stroop test during exercise. These findings suggest that the changes in CBF are unlikely to affect cognitive function during prolonged exercise. Thus, we conclude that improved cognitive function may be due to cerebral neural activation associated with exercise rather than global cerebral circulatory condition.","container-title":"Physiological Reports","DOI":"10.14814/phy2.12163","ISSN":"2051-817X","issue":"9","language":"en","note":"_eprint: https://physoc.onlinelibrary.wiley.com/doi/pdf/10.14814/phy2.12163","page":"e12163","source":"Wiley Online Library","title":"The effect of changes in cerebral blood flow on cognitive function during exercise","volume":"2","author":[{"family":"Ogoh","given":"Shigehiko"},{"family":"Tsukamoto","given":"Hayato"},{"family":"Hirasawa","given":"Ai"},{"family":"Hasegawa","given":"Hiroshi"},{"family":"Hirose","given":"Norikazu"},{"family":"Hashimoto","given":"Takeshi"}],"issued":{"date-parts":[["2014"]]}}},{"id":4195,"uris":["http://zotero.org/users/3430614/items/YK99J2PY"],"itemData":{"id":4195,"type":"article-journal","abstract":"The aim of this study was to examine neurophysiological and behavioral correlates of cognitive control elicited by a modiﬁed ﬂanker task while exercising at low and moderate intensities. A secondary aim was to examine cognitive control processes at several time points during an acute bout of exercise to determine whether cognition is selectively inﬂuenced by the duration of exercise. Twenty-seven healthy participants completed a modiﬁed version of the Eriksen ﬂanker task while exercising on a cycle ergometer at 40% and 60% VO2 peak and during a no-exercise seated control across three separate days. During task performance, continuous EEG was collected to assess neurocognitive function using the N2 and P3 event-related brain potentials (ERPs). Neurocognitive performance was assessed at 5, 15, and 25 min time points during steady-state exercise. Regardless of intensity, behavioral ﬁndings revealed impaired accuracy during both exercise conditions for the ﬂanker task trials that require greater cognitive control. However, faster reaction times were found during moderate-intensity exercise. Neuroelectric measures revealed increased N2 and P3 amplitudes during both exercise conditions relative to rest. Together, these ﬁndings suggest divergent effects of exercise on behavioral performance measures accompanied by an upregulation of cognitive control during aerobic exercise. These impairments are discussed in terms of dual-task paradigms and the transient hypofrontality theory.","container-title":"NeuroImage","DOI":"10.1016/j.neuroimage.2015.10.011","ISSN":"10538119","journalAbbreviation":"NeuroImage","language":"en","page":"171-180","source":"DOI.org (Crossref)","title":"Neurophysiological and behavioral correlates of cognitive control during low and moderate intensity exercise","volume":"131","author":[{"family":"Olson","given":"Ryan L."},{"family":"Chang","given":"Yu-Kai"},{"family":"Brush","given":"Christopher J."},{"family":"Kwok","given":"Andrea N."},{"family":"Gordon","given":"Valentina X."},{"family":"Alderman","given":"Brandon L."}],"issued":{"date-parts":[["2016",5]]}}},{"id":4148,"uris":["http://zotero.org/users/3430614/items/3P3FHI2E"],"itemData":{"id":4148,"type":"article-journal","abstract":"This study aimed at investigating concurrent changes in cognitive control and cerebral oxygenation (Cox) during steady intense exercise to volitional exhaustion. Fifteen participants were monitored using prefrontal near-infrared spectroscopy and electromyography of the thumb muscles during the completion of an Eriksen ﬂanker task completed either at rest (control condition) or while cycling at a strenuous intensity until exhaustion (exercise condition). Two time windows were matched between the conditions to distinguish a potential exercise-induced evolutive cognitive effect: an initial period and a terminal period. In the initial period, Cox remained unaltered and, contrary to theoretical predictions, exercise did not induce any deﬁcit in selective response inhibition. Rather, the drop-off of the delta curve as reaction time lengthened suggested enhanced efﬁciency of cognitive processes in the ﬁrst part of the exercise bout. Shortly before exhaustion, Cox values were severely reduced – though not characteristic of a hypofrontality state – while no sign of deﬁcit in selective response inhibition was observed. Despite this, individual’s susceptibility to making fast impulsive errors increased and less efﬁcient online correction of incorrect activation was observed near exhaustion. A negative correlation between Cox values and error rate was observed and is discussed in terms of cerebral resources redistribution.","container-title":"Neuropsychologia","DOI":"10.1016/j.neuropsychologia.2015.01.006","ISSN":"00283932","journalAbbreviation":"Neuropsychologia","language":"en","page":"71-81","source":"DOI.org (Crossref)","title":"Pushing to the limits: The dynamics of cognitive control during exhausting exercise","title-short":"Pushing to the limits","volume":"68","author":[{"family":"Schmit","given":"Cyril"},{"family":"Davranche","given":"Karen"},{"family":"Easthope","given":"Christopher S."},{"family":"Colson","given":"Serge S."},{"family":"Brisswalter","given":"Jeanick"},{"family":"Radel","given":"Rémi"}],"issued":{"date-parts":[["2015",2]]}}}],"schema":"https://github.com/citation-style-language/schema/raw/master/csl-citation.json"} </w:instrText>
      </w:r>
      <w:r w:rsidR="00374945">
        <w:rPr>
          <w:color w:val="000000"/>
        </w:rPr>
        <w:fldChar w:fldCharType="separate"/>
      </w:r>
      <w:r w:rsidR="0062449E">
        <w:rPr>
          <w:noProof/>
          <w:color w:val="000000"/>
        </w:rPr>
        <w:t>(Dodwell et al., 2018; Joyce et al., 2009; Komiyama et al., 2015, 2017; Lucas et al., 2012; Martins et al., 2013; Ogoh et al., 2014; Olson et al., 2016; Schmit et al., 2015)</w:t>
      </w:r>
      <w:r w:rsidR="00374945">
        <w:rPr>
          <w:color w:val="000000"/>
        </w:rPr>
        <w:fldChar w:fldCharType="end"/>
      </w:r>
      <w:r w:rsidR="001A5F33">
        <w:rPr>
          <w:color w:val="000000"/>
        </w:rPr>
        <w:t xml:space="preserve">. </w:t>
      </w:r>
      <w:r w:rsidR="005C49D2">
        <w:rPr>
          <w:color w:val="000000"/>
        </w:rPr>
        <w:t>Of the studies measuring cognitive performance concurrently with exercise,</w:t>
      </w:r>
      <w:r w:rsidR="00D06FD2" w:rsidRPr="00A315EC">
        <w:rPr>
          <w:color w:val="000000"/>
        </w:rPr>
        <w:t xml:space="preserve"> improvements in executive </w:t>
      </w:r>
      <w:r w:rsidR="00D06FD2" w:rsidRPr="00A315EC">
        <w:rPr>
          <w:color w:val="000000"/>
        </w:rPr>
        <w:lastRenderedPageBreak/>
        <w:t xml:space="preserve">function were </w:t>
      </w:r>
      <w:proofErr w:type="gramStart"/>
      <w:r w:rsidR="00D06FD2" w:rsidRPr="00A315EC">
        <w:rPr>
          <w:color w:val="000000"/>
        </w:rPr>
        <w:t>most commonly demonstrated</w:t>
      </w:r>
      <w:proofErr w:type="gramEnd"/>
      <w:r w:rsidR="00D06FD2" w:rsidRPr="00A315EC">
        <w:rPr>
          <w:color w:val="000000"/>
        </w:rPr>
        <w:t xml:space="preserve"> at moderate intensity levels (Joyce et al., 2009; Komiyama et al., 2015, 2017; Martins et al., 2013; </w:t>
      </w:r>
      <w:proofErr w:type="spellStart"/>
      <w:r w:rsidR="00D06FD2" w:rsidRPr="00A315EC">
        <w:rPr>
          <w:color w:val="000000"/>
        </w:rPr>
        <w:t>Ogoh</w:t>
      </w:r>
      <w:proofErr w:type="spellEnd"/>
      <w:r w:rsidR="00D06FD2" w:rsidRPr="00A315EC">
        <w:rPr>
          <w:color w:val="000000"/>
        </w:rPr>
        <w:t xml:space="preserve"> et al., 2014; Olson et al., 2016)</w:t>
      </w:r>
      <w:r w:rsidR="00035C16">
        <w:rPr>
          <w:color w:val="000000"/>
        </w:rPr>
        <w:t>, b</w:t>
      </w:r>
      <w:r w:rsidR="00035C16" w:rsidRPr="00A315EC">
        <w:rPr>
          <w:color w:val="000000"/>
        </w:rPr>
        <w:t>ased on the classifications of exercise intensity laid out by Norton et al. (2010)</w:t>
      </w:r>
      <w:r w:rsidR="00D06FD2" w:rsidRPr="00A315EC">
        <w:rPr>
          <w:color w:val="000000"/>
        </w:rPr>
        <w:t xml:space="preserve">. These findings support the supposition that </w:t>
      </w:r>
      <w:r w:rsidR="00694867">
        <w:rPr>
          <w:color w:val="000000"/>
        </w:rPr>
        <w:t xml:space="preserve">cognitive performance during </w:t>
      </w:r>
      <w:r w:rsidR="003D59E2">
        <w:rPr>
          <w:color w:val="000000"/>
        </w:rPr>
        <w:t>exercise</w:t>
      </w:r>
      <w:r w:rsidR="00D06FD2" w:rsidRPr="00A315EC">
        <w:rPr>
          <w:color w:val="000000"/>
        </w:rPr>
        <w:t xml:space="preserve"> follows an inverted-U pattern, by which moderate-intensity exercise will induce the most favorable cognitive enhancements</w:t>
      </w:r>
      <w:r w:rsidR="001A5F33">
        <w:rPr>
          <w:color w:val="000000"/>
        </w:rPr>
        <w:t xml:space="preserve"> </w:t>
      </w:r>
      <w:r w:rsidR="001A5F33">
        <w:rPr>
          <w:color w:val="000000"/>
        </w:rPr>
        <w:fldChar w:fldCharType="begin"/>
      </w:r>
      <w:r w:rsidR="001A5F33">
        <w:rPr>
          <w:color w:val="000000"/>
        </w:rPr>
        <w:instrText xml:space="preserve"> ADDIN ZOTERO_ITEM CSL_CITATION {"citationID":"FnlfjHXq","properties":{"formattedCitation":"(Chang et al., 2012)","plainCitation":"(Chang et al., 2012)","noteIndex":0},"citationItems":[{"id":4282,"uris":["http://zotero.org/users/3430614/items/DGTWHQSB"],"itemData":{"id":4282,"type":"article-journal","abstract":"There is a substantial body of literature related to the effects of a single session of exercise on cognitive performance. The premise underlying this research is that physiological changes in response to exercise have implications for cognitive function. This literature has been reviewed both narratively and meta-analytically and, although the research findings are mixed, researchers have generally concluded that there is a small positive effect. The purpose of this meta-analysis was to provide an updated comprehensive analysis of the extant literature on acute exercise and cognitive performance and to explore the effects of moderators that have implications for mechanisms of the effects. Searches of electronic databases and examinations of reference lists from relevant studies resulted in 79 studies meeting inclusion criteria. Consistent with past findings, analyses indicated that the overall effect was positive and small (g = 0.097 n = 1034). Positive and small effects were also found in all three acute exercise paradigms: during exercise (g = 0.101; 95% confidence interval [CI]; 0.041–0.160), immediately following exercise (g = 0.108; 95% CI; 0.069–0.147), and after a delay (g = 0.103; 95% CI; 0.035–0.170). Examination of potential moderators indicated that exercise duration, exercise intensity, type of cognitive performance assessed, and participant fitness were significant moderators. In conclusion, the effects of acute exercise on cognitive performance are generally small; however, larger effects are possible for particular cognitive outcomes and when specific exercise parameters are used.","container-title":"Brain Research","DOI":"10.1016/j.brainres.2012.02.068","ISSN":"00068993","journalAbbreviation":"Brain Research","language":"en","page":"87-101","source":"DOI.org (Crossref)","title":"The effects of acute exercise on cognitive performance: A meta-analysis","title-short":"The effects of acute exercise on cognitive performance","volume":"1453","author":[{"family":"Chang","given":"Y.K."},{"family":"Labban","given":"J.D."},{"family":"Gapin","given":"J.I."},{"family":"Etnier","given":"J.L."}],"issued":{"date-parts":[["2012",5]]}}}],"schema":"https://github.com/citation-style-language/schema/raw/master/csl-citation.json"} </w:instrText>
      </w:r>
      <w:r w:rsidR="001A5F33">
        <w:rPr>
          <w:color w:val="000000"/>
        </w:rPr>
        <w:fldChar w:fldCharType="separate"/>
      </w:r>
      <w:r w:rsidR="001A5F33">
        <w:rPr>
          <w:noProof/>
          <w:color w:val="000000"/>
        </w:rPr>
        <w:t>(Chang et al., 2012)</w:t>
      </w:r>
      <w:r w:rsidR="001A5F33">
        <w:rPr>
          <w:color w:val="000000"/>
        </w:rPr>
        <w:fldChar w:fldCharType="end"/>
      </w:r>
      <w:r w:rsidR="001A5F33">
        <w:rPr>
          <w:color w:val="000000"/>
        </w:rPr>
        <w:t xml:space="preserve">; </w:t>
      </w:r>
      <w:r w:rsidR="005C49D2">
        <w:rPr>
          <w:color w:val="000000"/>
        </w:rPr>
        <w:t>h</w:t>
      </w:r>
      <w:r w:rsidR="00D06FD2" w:rsidRPr="00A315EC">
        <w:rPr>
          <w:color w:val="000000"/>
        </w:rPr>
        <w:t xml:space="preserve">owever, </w:t>
      </w:r>
      <w:r w:rsidR="00DE2017" w:rsidRPr="00A315EC">
        <w:rPr>
          <w:color w:val="000000"/>
        </w:rPr>
        <w:t>these results are not equivocal, with an</w:t>
      </w:r>
      <w:r w:rsidR="00D06FD2" w:rsidRPr="00A315EC">
        <w:rPr>
          <w:color w:val="000000"/>
        </w:rPr>
        <w:t xml:space="preserve"> even larger number of studies </w:t>
      </w:r>
      <w:r w:rsidR="003D59E2">
        <w:rPr>
          <w:color w:val="000000"/>
        </w:rPr>
        <w:t>focused on</w:t>
      </w:r>
      <w:r w:rsidR="00D06FD2" w:rsidRPr="00A315EC">
        <w:rPr>
          <w:color w:val="000000"/>
        </w:rPr>
        <w:t xml:space="preserve"> moderate-intensity exercise and executive function </w:t>
      </w:r>
      <w:r w:rsidR="00DE2017" w:rsidRPr="00A315EC">
        <w:rPr>
          <w:color w:val="000000"/>
        </w:rPr>
        <w:t>returning</w:t>
      </w:r>
      <w:r w:rsidR="00D06FD2" w:rsidRPr="00A315EC">
        <w:rPr>
          <w:color w:val="000000"/>
        </w:rPr>
        <w:t xml:space="preserve"> non-significant results</w:t>
      </w:r>
      <w:r w:rsidR="001A5F33">
        <w:rPr>
          <w:color w:val="000000"/>
        </w:rPr>
        <w:t xml:space="preserve"> </w:t>
      </w:r>
      <w:r w:rsidR="001A5F33">
        <w:rPr>
          <w:color w:val="000000"/>
        </w:rPr>
        <w:fldChar w:fldCharType="begin"/>
      </w:r>
      <w:r w:rsidR="001A5F33">
        <w:rPr>
          <w:color w:val="000000"/>
        </w:rPr>
        <w:instrText xml:space="preserve"> ADDIN ZOTERO_ITEM CSL_CITATION {"citationID":"uM0cQxVX","properties":{"formattedCitation":"(Audiffren et al., 2009; Davranche &amp; McMorris, 2009; Joyce et al., 2014; Komiyama et al., 2015, 2017; Lambourne et al., 2010; McMorris et al., 2009; Pontifex &amp; Hillman, 2007; Smith et al., 2016; Stone et al., 2020; Wang et al., 2013)","plainCitation":"(Audiffren et al., 2009; Davranche &amp; McMorris, 2009; Joyce et al., 2014; Komiyama et al., 2015, 2017; Lambourne et al., 2010; McMorris et al., 2009; Pontifex &amp; Hillman, 2007; Smith et al., 2016; Stone et al., 2020; Wang et al., 2013)","noteIndex":0},"citationItems":[{"id":4150,"uris":["http://zotero.org/users/3430614/items/79ANYIKB"],"itemData":{"id":4150,"type":"article-journal","abstract":"The immediate and short-term aftereffects of a bout of aerobic exercise on young adults’ executive functions were assessed. Sixteen participants performed a Random Number Generation (RNG) task, which measured two aspects of executive function, before, during, and after ergometer cycling exercise. In a separate session, participants completed the same sequence of testing while seated on an ergometer without pedaling. Results suggest that aerobic exercise: (1) selectively inﬂuences RNG indices related to the ability to alternate ascending and descending runs throughout the entire exercise bout; (2) induces a shift to a less effortful number generation strategy, particularly during the ﬁrst few minutes of the exercise; and (3) has no signiﬁcant inﬂuence on RNG performance as soon as the exercise terminates. The strategic adjustments observed during the exercise are interpreted in the framework of Hockey’s [Hockey, G. R. J. (1997). Compensatory control in the regulation of human performance under stress and high workload: A cognitive–energetical framework. Biological Psychology, 45, 73–93.] compensatory control model and suggest that concurrent effortful processes induced by cycling exercise may draw upon available attention resources and inﬂuence executive processing.","container-title":"Acta Psychologica","DOI":"10.1016/j.actpsy.2009.06.008","ISSN":"00016918","issue":"1","journalAbbreviation":"Acta Psychologica","language":"en","page":"85-95","source":"DOI.org (Crossref)","title":"Acute aerobic exercise and information processing: Modulation of executive control in a Random Number Generation task","title-short":"Acute aerobic exercise and information processing","volume":"132","author":[{"family":"Audiffren","given":"Michel"},{"family":"Tomporowski","given":"Phillip D."},{"family":"Zagrodnik","given":"James"}],"issued":{"date-parts":[["2009",9]]}}},{"id":4134,"uris":["http://zotero.org/users/3430614/items/ISQTUZHW"],"itemData":{"id":4134,"type":"article-journal","abstract":"The main issue of this study was to determine whether cognitive control is affected by acute moderate exercise. Twelve participants [4 females (VO2 max = 42 ml/kg/min) and 8 males (VO2 max = 48 ml/kg/ min)] performed a Simon task while cycling at a carefully controlled workload intensity corresponding to their individual ventilatory threshold. The distribution-analytical technique and the delta plot analysis [Ridderinkhof, K. R. (2002). Activation and suppression in conﬂict tasks: Empirical clariﬁcation through distributional analyses. In W. Prinz &amp; B. Hommel (Eds.), Common mechanisms in perception and action. Attention and performance (Vol. 19, pp. 494–519). Oxford: Oxford University Press.] were used to assess the role of selective response inhibition in resolving response conﬂict. Results showed that cognitive processes appeared to be differently affected by acute moderate exercise. Reaction time results conﬁrmed that performance is better (faster without change in accuracy) when the cognitive task is performed simultaneously with exercise. Between-trial adjustments (post-conﬂict and post-error) highlighted that cognitive control adjustments are also fully efﬁcient during exercise. However, the effect of congruency (Simon effect) appeared to be more pronounced during exercise compared to rest which suggests that the response inhibition is deteriorated during exercise. The present ﬁndings suggest that acute moderate exercise differently affects some speciﬁc aspects of cognitive functions.","container-title":"Brain and Cognition","DOI":"10.1016/j.bandc.2008.12.001","ISSN":"02782626","issue":"3","journalAbbreviation":"Brain and Cognition","language":"en","page":"565-570","source":"DOI.org (Crossref)","title":"Specific effects of acute moderate exercise on cognitive control","volume":"69","author":[{"family":"Davranche","given":"Karen"},{"family":"McMorris","given":"Terry"}],"issued":{"date-parts":[["2009",4]]}}},{"id":4172,"uris":["http://zotero.org/users/3430614/items/57LL8BRT"],"itemData":{"id":4172,"type":"article-journal","abstract":"Purpose: This study aimed to investigate the influence of an acute bout of moderate exercise and examine the potential lasting improvements over time in young and old adults within the same experimental paradigm over a 2 hour testing period. The study was designed to assess the efficiency of selective control and the propensity to make fast impulsive reactions through the analyses of the percentage of correct responses (CAF) and the magnitude of the interference effect (delta curve) as a function of the latency of the response. D Methods: Twelve young (23±2 yrs) and 12 old (63±2 yrs) volunteers, performed the Simon task while cycling (30 minutes of cycling at 65% of age-predicted HRmax) and after exercise cessation E (post 5, post 35 and post 65 minutes).\nResults: Results showed that exercise did not alter cognitive control. The benefit on reaction time T performance was evident for both age groups and persisted after cessation for 15 to 20 minutes. Distributional analyses showed that younger people have a higher propensity to commit impulsive P errors during exercise, which was not evident in older adults. Older adults adopted more cautious E strategies, especially when the risk to commit an error was elevated. Despite the larger mean interference effect compared to younger adults, the pattern of the delta curves attests to the C existence of an efficient cognitive control in older people.\nConclusion: This study illustrates the effectiveness of distributional analyses and supports the idea C that exercise induced facilitation on cognitive performance can be realized across the lifespan.","container-title":"Medicine &amp; Science in Sports &amp; Exercise","DOI":"10.1249/MSS.0b013e3182a77980","ISSN":"0195-9131","issue":"3","language":"en","page":"630-639","source":"DOI.org (Crossref)","title":"The Simon Task and Aging: Does Acute Moderate Exercise Influence Cognitive Control?","title-short":"The Simon Task and Aging","volume":"46","author":[{"family":"Joyce","given":"Jennifer"},{"family":"Smyth","given":"Patrick J."},{"family":"Donnelly","given":"Alan E."},{"family":"Davranche","given":"Karen"}],"issued":{"date-parts":[["2014",3]]}}},{"id":4186,"uris":["http://zotero.org/users/3430614/items/KZ37AVRD"],"itemData":{"id":4186,"type":"article-journal","abstract":"It has been suggested that acute exercise improves cognitive function. However, little is known about how exercise under hypoxia affects cognitive function. The purpose of this study was to determine if hypoxia alters working memory and executive function during prolonged exercise. Sixteen participants performed cognitive tasks at rest and during exercise under normoxia and hypoxia [fraction of inspired oxygen (FIO2) = 0.15, corresponding to an altitude of approximately 2600 m]. The level of hypoxia was moderate. We used a combination of Spatial Delayed Response (Spatial DR) task and Go/No-Go (GNG) task, where spatial working memory and executive function are required. Working memory was assessed by the accuracy of the Spatial DR task, and executive function was assessed by the accuracy and reaction time in the GNG task. The participants cycled an ergometer for 30 min under normoxia and moderate hypoxia while keeping their heart rate (HR) at 140 beats/min. They performed the cognitive tasks 5 min and 23 min after their HR reached 140 beats/min. Moderate hypoxia did not alter the accuracy of the Spatial DR (P = 0.38) and GNG tasks (P = 0.14). In contrast, reaction time in the GNG task signiﬁcantly decreased during exercise relative to rest under normoxia and moderate hypoxia (P = 0.02). These results suggest that moderate hypoxia and resultant biological processes did not provide sufﬁcient stress to impair working memory and executive function during prolonged exercise. The beneﬁcial effects on speed of response appear to persist during prolonged exercise under moderate hypoxia.","container-title":"Physiology &amp; Behavior","DOI":"10.1016/j.physbeh.2014.11.057","ISSN":"00319384","journalAbbreviation":"Physiology &amp; Behavior","language":"en","page":"290-296","source":"DOI.org (Crossref)","title":"Does moderate hypoxia alter working memory and executive function during prolonged exercise?","volume":"139","author":[{"family":"Komiyama","given":"Takaaki"},{"family":"Sudo","given":"Mizuki"},{"family":"Higaki","given":"Yasuki"},{"family":"Kiyonaga","given":"Akira"},{"family":"Tanaka","given":"Hiroaki"},{"family":"Ando","given":"Soichi"}],"issued":{"date-parts":[["2015",2]]}}},{"id":4184,"uris":["http://zotero.org/users/3430614/items/55L2LTYF"],"itemData":{"id":4184,"type":"article-journal","container-title":"Scientific Reports","DOI":"10.1038/s41598-017-10332-y","ISSN":"2045-2322","issue":"1","journalAbbreviation":"Sci Rep","language":"en","page":"10000","source":"DOI.org (Crossref)","title":"Cognitive function during exercise under severe hypoxia","volume":"7","author":[{"family":"Komiyama","given":"Takaaki"},{"family":"Katayama","given":"Keisho"},{"family":"Sudo","given":"Mizuki"},{"family":"Ishida","given":"Koji"},{"family":"Higaki","given":"Yasuki"},{"family":"Ando","given":"Soichi"}],"issued":{"date-parts":[["2017",12]]}}},{"id":4166,"uris":["http://zotero.org/users/3430614/items/3BJ739R9"],"itemData":{"id":4166,"type":"article-journal","container-title":"Medicine &amp; Science in Sports &amp; Exercise","DOI":"10.1249/MSS.0b013e3181cbee11","ISSN":"0195-9131","issue":"7","language":"en","page":"1396-1402","source":"DOI.org (Crossref)","title":"Effects of Acute Exercise on Sensory and Executive Processing Tasks","volume":"42","author":[{"family":"Lambourne","given":"Kate"},{"family":"Audiffren","given":"Michel"},{"family":"Tomporowski","given":"Phillip D."}],"issued":{"date-parts":[["2010",7]]}}},{"id":4453,"uris":["http://zotero.org/users/3430614/items/5DW6L6SJ"],"itemData":{"id":4453,"type":"article-journal","abstract":"The purposes of this study were to examine the effect of acute incremental exercise on the performance of a central executive task; the responses of the sympathoadrenal system (SAS) and hypothalamic-pituitary-adrenal axis (HPAA) during exercise, while simultaneously carrying out the central executive task; and the ability of Δ plasma concentrations of epinephrine, norepinephrine, adrenocorticotropin hormone (ACTH) and cortisol to predict Δ performance on the central executive task. Subjects undertook a flanker task at rest and during exercise at 50% and 80% maximum aerobic power (MAP). SAS and HPAA activity were measured pre- and post-treatment by plasma concentrations of catecholamines, and cortisol and ACTH, respectively. Reaction time (RT) and number of errors for congruent and incongruent trials on the flanker task showed significant main effects with performance at 80% MAP higher than in the other conditions. RT post-correct responses were significantly faster than RT post-error at rest and 50% MAP but not at 80%. Pre- and post-treatment catecholamines showed a main effect of exercise with a linear increase. Post-treatment ACTH concentrations at 80% MAP were significantly greater than in the other conditions. Δ epinephrine and ACTH combined were significant predictors of Δ RT and Δ norepinephrine was a significant predictor of Δ number of errors. It was concluded that exercise must be at a high intensity to affect performance on the flanker task. Both the SAS and HPAA appear to play a role in the exercise–cognition interaction.","container-title":"International Journal of Psychophysiology","DOI":"10.1016/j.ijpsycho.2009.05.004","ISSN":"0167-8760","issue":"3","journalAbbreviation":"International Journal of Psychophysiology","language":"en","page":"334-340","source":"ScienceDirect","title":"Acute incremental exercise, performance of a central executive task, and sympathoadrenal system and hypothalamic-pituitary-adrenal axis activity","volume":"73","author":[{"family":"McMorris","given":"Terry"},{"family":"Davranche","given":"Karen"},{"family":"Jones","given":"Glenys"},{"family":"Hall","given":"Ben"},{"family":"Corbett","given":"Jo"},{"family":"Minter","given":"Charles"}],"issued":{"date-parts":[["2009",9,1]]}}},{"id":4197,"uris":["http://zotero.org/users/3430614/items/7X3TPBN6"],"itemData":{"id":4197,"type":"article-journal","abstract":"Objective: This study examined the eﬀects of in-task, moderate-intensity aerobic exercise on neuroelectric and behavioral indices of interference control, one component of executive control.\nMethods: Forty-one participants completed a V_ O2 max test to determine maximal heart rate (HR). On a separate day, event-related brain potentials and task performance were measured during the counterbalanced conditions of upright cycling at 60% of maximal HR and rest while performing congruent and incongruent trials of a ﬂanker task.\nResults: Exercise resulted in reduced response accuracy for incongruent trials relative to rest; an eﬀect not found for congruent trials. Decreased N1 amplitude was observed during exercise at parietal sites and globally for N2. Exercise also resulted in increased amplitude for the P2 at frontal and central sites, and for the P3 at frontal and lateral sites. Further, longer N2 and P3 latencies were observed during exercise relative to rest.\nConclusion: These ﬁndings suggest that the need to allocate attentional resources toward the large-scale bodily movements inherent in exercise may relate to ineﬃciency of neural resource allocation, resulting in decreased interference control. Signiﬁcance: These data indicate general and selective exercise-induced decrements in cognitive processing while performing acute aerobic exercise. Ó 2006 International Federation of Clinical Neurophysiology. Published by Elsevier Ireland Ltd. All rights reserved.","container-title":"Clinical Neurophysiology","DOI":"10.1016/j.clinph.2006.09.029","ISSN":"13882457","issue":"3","journalAbbreviation":"Clinical Neurophysiology","language":"en","page":"570-580","source":"DOI.org (Crossref)","title":"Neuroelectric and behavioral indices of interference control during acute cycling","volume":"118","author":[{"family":"Pontifex","given":"Matthew B."},{"family":"Hillman","given":"Charles H."}],"issued":{"date-parts":[["2007",3]]}}},{"id":4202,"uris":["http://zotero.org/users/3430614/items/VQET33J3"],"itemData":{"id":4202,"type":"article-journal","abstract":"This study examined the effect of short duration, moderate and high-intensity exercise on a Go/NoGo task. Fifteen, habitually active (9 females and 6 males aged 28 ± 5 years) agreed to participate in the study and cognitive performance was measured in three sessions lasting 10 min each, performed at three different exercise intensities: rest, moderate and high. Results indicated significant exercise intensity main effects for reaction time (RT) (p = 0.01), the omission error rate (p = 0.027) and the decision error rate (p = 0.011), with significantly longer RTs during high intensity exercise compared to moderate intensity exercise (p = 0.039) and rest (p = 0.023). Mean ± SE of RT (ms) was 395.8 ± 9.1, 396.3 ± 9.1 and 433.5 ± 16.1 for rest, moderate and high intensity exercise, respectively. This pattern was replicated for the error rate with a significantly higher omission error and decision error rate during high intensity exercise compared to moderate intensity exercise (p = 0.003) and rest (p = 0.001). Mean ± SE of omission errors (%) was 0.88 ± 0.23, 0.8 ± 0.23 and 1.8 ± 0.46% for rest, moderate and high intensity exercise, respectively. Likewise, mean ± SE of decision errors (%) was 0.73 ± 0.24, 0.73 ± 0.21 and 1.8 ± 0.31 for rest, moderate and high intensity exercise, respectively. The present study’s results suggest that 10 min workout at high intensity impairs RT performances in habitually active adults compared to rest or moderate intensity exercise.","container-title":"Journal of Human Kinetics","DOI":"10.1515/hukin-2015-0167","ISSN":"1640-5544","journalAbbreviation":"J Hum Kinet","note":"PMID: 28149365\nPMCID: PMC5260547","page":"27-35","source":"PubMed Central","title":"The effect of exercise intensity on cognitive performance during short duration treadmill running","volume":"51","author":[{"family":"Smith","given":"Mike"},{"family":"Tallis","given":"Jason"},{"family":"Miller","given":"Amanda"},{"family":"Clarke","given":"Neil D."},{"family":"Guimarães-Ferreira","given":"Lucas"},{"family":"Duncan","given":"Michael J."}],"issued":{"date-parts":[["2016",7,2]]}}},{"id":4064,"uris":["http://zotero.org/users/3430614/items/92P8HBZ5"],"itemData":{"id":4064,"type":"article-journal","abstract":"The executive functioning aspect of cognition was evaluated during graded exercise in Reserve Officers’ Training Corps cadets. Executive function declined at exercise intensities of ≥80% of heart rate reserve. The decline in executive function was coupled with declines in the oxygenation of the prefrontal cortex, the brain region responsible for executive functioning. These data define the executive function-exercise intensity relationship and provide evidence supporting the reticular activation hypofrontality theory as a model of cognitive change.\n          , \n            Military performance depends on high-level cognition, specifically executive function (EF), while simultaneously performing strenuous exercise. However, most studies examine cognitive performance following, not during, exercise. Therefore, our aim was to examine the relationship between EF and exercise intensity. Following familiarization, 13 Reserve Officers’ Training Corp cadets (age = 19.6 ± 2 yr, five women) completed a graded exercise test (GxT) and two executive function exercise tests (EFETs) separated by a duration of ≥24 h. The EFET was a combined iPad-based EF test (Cedar Operator Workload Assessment Tool) and GxT. Heart rate (HR) and prefrontal cortex (PFC) oxygenation [near-infrared spectroscopy (NIRS)] were continuously recorded. The EF score was analyzed for accuracy of responses (%hit rate). Heart rate reserve was calculated to normalize exercise intensity (%HRR). For PFC oxygenation recordings, NIRS variables were used to calculate the tissue saturation index (%TSI). Data from EFET trials were averaged into a singular response. The %hit rate declined at heart rate reserves (HRRs) of ≥80%, reaching nadir at 100% HRR (74.09 ± 10.63%, P &lt; 0.01). The tissue saturation index (TSI) followed a similar pattern, declining at ≥70% of HRR and at a greater rate during EFET compared with during GxT ( P &lt; 0.01), reaching a nadir in both conditions at 100% HRR (60.39 ± 2.94 vs. 63.13 ± 3.16%, P &lt; 0.01). Therefore, EF decline is dependent on exercise intensity, as is %TSI. These data suggest that reductions in EF during high-intensity exercise are at least in part related to attenuated PFC oxygenation. Thus, interventions that improve PFC oxygenation may improve combined exercise and EF performance.\n            NEW &amp; NOTEWORTHY The executive functioning aspect of cognition was evaluated during graded exercise in Reserve Officers’ Training Corps cadets. Executive function declined at exercise intensities of ≥80% of heart rate reserve. The decline in executive function was coupled with declines in the oxygenation of the prefrontal cortex, the brain region responsible for executive functioning. These data define the executive function-exercise intensity relationship and provide evidence supporting the reticular activation hypofrontality theory as a model of cognitive change.","container-title":"Journal of Applied Physiology","DOI":"10.1152/japplphysiol.00483.2020","ISSN":"8750-7587, 1522-1601","issue":"4","journalAbbreviation":"Journal of Applied Physiology","language":"en","page":"846-854","source":"DOI.org (Crossref)","title":"Understanding cognitive performance during exercise in Reserve Officers’ Training Corps: establishing the executive function-exercise intensity relationship","title-short":"Understanding cognitive performance during exercise in Reserve Officers’ Training Corps","volume":"129","author":[{"family":"Stone","given":"Brandon L."},{"family":"Beneda-Bender","given":"Madison"},{"family":"McCollum","given":"Duncan L."},{"family":"Sun","given":"Jongjoo"},{"family":"Shelley","given":"Joseph H."},{"family":"Ashley","given":"John D."},{"family":"Fuenzalida","given":"Eugenia"},{"family":"Kellawan","given":"J. Mikhail"}],"issued":{"date-parts":[["2020",10,1]]}}},{"id":4206,"uris":["http://zotero.org/users/3430614/items/BWRZFZ8V"],"itemData":{"id":4206,"type":"article-journal","abstract":"This study was designed to examine the modulation of executive functions during acute exercise and to determine whether exercise intensity moderates this relationship. Eighty college-aged adults were recruited and randomly assigned into one of the four following groups: control, 30%, 50%, and 80% heart rate reserve. The Wisconsin Card Sorting Test (WCST) was administered during each intervention. The results indicated that the majority of the WCST performances were impaired in the high exercise intensity group relative to those of the other three groups, whereas similar performance rates were maintained in the low- and moderateintensity groups. These findings suggest that transient hypofrontality occurs during high-intensity exercise, but not during low- and moderate-intensity exercises. Future research aimed at employing the dual-mode theory, and applying the reticular-activating hypofrontality model is recommended to further the current knowledge.","container-title":"Journal of Sport and Exercise Psychology","DOI":"10.1123/jsep.35.4.358","ISSN":"0895-2779, 1543-2904","issue":"4","language":"en","page":"358-367","source":"DOI.org (Crossref)","title":"Executive Function During Acute Exercise: The Role of Exercise Intensity","title-short":"Executive Function During Acute Exercise","volume":"35","author":[{"family":"Wang","given":"Chun-Chih"},{"family":"Chu","given":"Chien-Heng"},{"family":"Chu","given":"I-Hua"},{"family":"Chan","given":"Kuei-Hui"},{"family":"Chang","given":"Yu-Kai"}],"issued":{"date-parts":[["2013",8]]}}}],"schema":"https://github.com/citation-style-language/schema/raw/master/csl-citation.json"} </w:instrText>
      </w:r>
      <w:r w:rsidR="001A5F33">
        <w:rPr>
          <w:color w:val="000000"/>
        </w:rPr>
        <w:fldChar w:fldCharType="separate"/>
      </w:r>
      <w:r w:rsidR="001A5F33">
        <w:rPr>
          <w:noProof/>
          <w:color w:val="000000"/>
        </w:rPr>
        <w:t>(Audiffren et al., 2009; Davranche &amp; McMorris, 2009; Joyce et al., 2014; Komiyama et al., 2015, 2017; Lambourne et al., 2010; McMorris et al., 2009; Pontifex &amp; Hillman, 2007; Smith et al., 2016; Stone et al., 2020; Wang et al., 2013)</w:t>
      </w:r>
      <w:r w:rsidR="001A5F33">
        <w:rPr>
          <w:color w:val="000000"/>
        </w:rPr>
        <w:fldChar w:fldCharType="end"/>
      </w:r>
      <w:r w:rsidR="001A5F33">
        <w:rPr>
          <w:color w:val="000000"/>
        </w:rPr>
        <w:t>.</w:t>
      </w:r>
    </w:p>
    <w:p w14:paraId="12C82D29" w14:textId="515A9A12" w:rsidR="0089236D" w:rsidRPr="00A315EC" w:rsidRDefault="00D06FD2" w:rsidP="009472F7">
      <w:pPr>
        <w:widowControl w:val="0"/>
        <w:pBdr>
          <w:top w:val="nil"/>
          <w:left w:val="nil"/>
          <w:bottom w:val="nil"/>
          <w:right w:val="nil"/>
          <w:between w:val="nil"/>
        </w:pBdr>
        <w:spacing w:line="480" w:lineRule="auto"/>
        <w:ind w:firstLine="720"/>
        <w:rPr>
          <w:color w:val="000000"/>
        </w:rPr>
      </w:pPr>
      <w:r w:rsidRPr="00A315EC">
        <w:rPr>
          <w:color w:val="000000"/>
        </w:rPr>
        <w:t>EF enhancement has also been reported during vigorous-intensity exercise</w:t>
      </w:r>
      <w:r w:rsidR="001A5F33">
        <w:rPr>
          <w:color w:val="000000"/>
        </w:rPr>
        <w:t xml:space="preserve"> </w:t>
      </w:r>
      <w:r w:rsidR="001A5F33">
        <w:rPr>
          <w:color w:val="000000"/>
        </w:rPr>
        <w:fldChar w:fldCharType="begin"/>
      </w:r>
      <w:r w:rsidR="001A5F33">
        <w:rPr>
          <w:color w:val="000000"/>
        </w:rPr>
        <w:instrText xml:space="preserve"> ADDIN ZOTERO_ITEM CSL_CITATION {"citationID":"lfS2GAOr","properties":{"formattedCitation":"(Dodwell et al., 2018; Lucas et al., 2012; Schmit et al., 2015)","plainCitation":"(Dodwell et al., 2018; Lucas et al., 2012; Schmit et al., 2015)","noteIndex":0},"citationItems":[{"id":4182,"uris":["http://zotero.org/users/3430614/items/SXNX3Z4F"],"itemData":{"id":4182,"type":"article-journal","container-title":"British Journal of Psychology","DOI":"10.1111/bjop.12352","ISSN":"0007-1269, 2044-8295","issue":"2","journalAbbreviation":"Br J Psychol","language":"en","page":"400-427","source":"DOI.org (Crossref)","title":"Electroencephalographic evidence for improved visual working memory performance during standing and exercise","volume":"110","author":[{"family":"Dodwell","given":"Gordon"},{"family":"Müller","given":"Hermann J."},{"family":"Töllner","given":"Thomas"}],"issued":{"date-parts":[["2018"]]}}},{"id":4188,"uris":["http://zotero.org/users/3430614/items/RNPZQXI7"],"itemData":{"id":4188,"type":"article-journal","abstract":"Regular exercise improves the age-related decline in cerebral blood ﬂow (CBF) and is associated with improved cognitive function; however, less is known about the direct relationship between CBF and cognitive function. We examined the inﬂuence of healthy aging on the capability of acute exercise to improve cognition, and whether exercise-induced improvements in cognition are related to CBF and cortical hemodynamics. Middle cerebral artery blood ﬂow velocity (MCAv; Doppler) and cortical hemodynamics (NIRS) were measured in 13 young (24 ± 5 y) and 9 older (62 ± 3 y) participants at rest and during cycling at 30% and 70% of heart rate range (HRR). Cognitive performance was assessed using a computer-adapted Stroop task (i.e., test of executive function cognition) at rest and during exercise. Average response times on the Stroop task were slower for the older compared to younger group for both simple and difﬁcult tasks (P b 0.01). Independent of age, difﬁcult-task response times improved during exercise (P b 0.01), with the improvement greater at 70% HRR exercise (P = 0.04 vs. 30% HRR). Higher MCAv was correlated with faster response times for simple and difﬁcult tasks at rest (R2 = 0.47 and R2 = 0.47, respectively), but this relation uncoupled progressively during exercise. Exercise-induced increases in MCAv were similar and unaltered during cognitive tasks for both age groups. In contrast, prefrontal cortical hemodynamic NIRS measures [oxyhemoglobin (O2Hb) and total hemoglobin (tHb)] were differentially affected by exercise intensity, age and cognitive task; e.g., there were smaller increases in [O2Hb] and [tHb] in the older group between exercise intensities (P b 0.05). These data indicate that: 1) Regardless of age, cognitive (executive) function is improved while exercising; 2) while MCAv is strongly related to cognition at rest, this relation becomes uncoupled during exercise, and 3) there is dissociation between global CBF and regional cortical oxygenation and NIRS blood volume markers during exercise and engagement of prefrontal cognition.","container-title":"Experimental Gerontology","DOI":"10.1016/j.exger.2011.12.002","ISSN":"05315565","issue":"8","journalAbbreviation":"Experimental Gerontology","language":"en","page":"541-551","source":"DOI.org (Crossref)","title":"Effect of age on exercise-induced alterations in cognitive executive function: Relationship to cerebral perfusion","title-short":"Effect of age on exercise-induced alterations in cognitive executive function","volume":"47","author":[{"family":"Lucas","given":"Samuel J.E."},{"family":"Ainslie","given":"Philip N."},{"family":"Murrell","given":"Carissa J."},{"family":"Thomas","given":"Kate N."},{"family":"Franz","given":"Elizabeth A."},{"family":"Cotter","given":"James D."}],"issued":{"date-parts":[["2012",8]]}}},{"id":4148,"uris":["http://zotero.org/users/3430614/items/3P3FHI2E"],"itemData":{"id":4148,"type":"article-journal","abstract":"This study aimed at investigating concurrent changes in cognitive control and cerebral oxygenation (Cox) during steady intense exercise to volitional exhaustion. Fifteen participants were monitored using prefrontal near-infrared spectroscopy and electromyography of the thumb muscles during the completion of an Eriksen ﬂanker task completed either at rest (control condition) or while cycling at a strenuous intensity until exhaustion (exercise condition). Two time windows were matched between the conditions to distinguish a potential exercise-induced evolutive cognitive effect: an initial period and a terminal period. In the initial period, Cox remained unaltered and, contrary to theoretical predictions, exercise did not induce any deﬁcit in selective response inhibition. Rather, the drop-off of the delta curve as reaction time lengthened suggested enhanced efﬁciency of cognitive processes in the ﬁrst part of the exercise bout. Shortly before exhaustion, Cox values were severely reduced – though not characteristic of a hypofrontality state – while no sign of deﬁcit in selective response inhibition was observed. Despite this, individual’s susceptibility to making fast impulsive errors increased and less efﬁcient online correction of incorrect activation was observed near exhaustion. A negative correlation between Cox values and error rate was observed and is discussed in terms of cerebral resources redistribution.","container-title":"Neuropsychologia","DOI":"10.1016/j.neuropsychologia.2015.01.006","ISSN":"00283932","journalAbbreviation":"Neuropsychologia","language":"en","page":"71-81","source":"DOI.org (Crossref)","title":"Pushing to the limits: The dynamics of cognitive control during exhausting exercise","title-short":"Pushing to the limits","volume":"68","author":[{"family":"Schmit","given":"Cyril"},{"family":"Davranche","given":"Karen"},{"family":"Easthope","given":"Christopher S."},{"family":"Colson","given":"Serge S."},{"family":"Brisswalter","given":"Jeanick"},{"family":"Radel","given":"Rémi"}],"issued":{"date-parts":[["2015",2]]}}}],"schema":"https://github.com/citation-style-language/schema/raw/master/csl-citation.json"} </w:instrText>
      </w:r>
      <w:r w:rsidR="001A5F33">
        <w:rPr>
          <w:color w:val="000000"/>
        </w:rPr>
        <w:fldChar w:fldCharType="separate"/>
      </w:r>
      <w:r w:rsidR="001A5F33">
        <w:rPr>
          <w:noProof/>
          <w:color w:val="000000"/>
        </w:rPr>
        <w:t>(Dodwell et al., 2018; Lucas et al., 2012; Schmit et al., 2015)</w:t>
      </w:r>
      <w:r w:rsidR="001A5F33">
        <w:rPr>
          <w:color w:val="000000"/>
        </w:rPr>
        <w:fldChar w:fldCharType="end"/>
      </w:r>
      <w:r w:rsidR="001A5F33">
        <w:rPr>
          <w:color w:val="000000"/>
        </w:rPr>
        <w:t xml:space="preserve">. </w:t>
      </w:r>
      <w:proofErr w:type="spellStart"/>
      <w:r w:rsidR="00704281">
        <w:rPr>
          <w:color w:val="000000"/>
        </w:rPr>
        <w:t>Schmit</w:t>
      </w:r>
      <w:proofErr w:type="spellEnd"/>
      <w:r w:rsidR="00704281">
        <w:rPr>
          <w:color w:val="000000"/>
        </w:rPr>
        <w:t xml:space="preserve"> and colleagues (2015) utilized a </w:t>
      </w:r>
      <w:r w:rsidR="00ED4E7F">
        <w:rPr>
          <w:color w:val="000000"/>
        </w:rPr>
        <w:t>Flanker task</w:t>
      </w:r>
      <w:r w:rsidR="00704281">
        <w:rPr>
          <w:color w:val="000000"/>
        </w:rPr>
        <w:t xml:space="preserve"> </w:t>
      </w:r>
      <w:r w:rsidR="00BA1780">
        <w:rPr>
          <w:color w:val="000000"/>
        </w:rPr>
        <w:t>to</w:t>
      </w:r>
      <w:r w:rsidR="00ED4E7F">
        <w:rPr>
          <w:color w:val="000000"/>
        </w:rPr>
        <w:t xml:space="preserve"> evaluate the impact of </w:t>
      </w:r>
      <w:r w:rsidR="009472F7">
        <w:rPr>
          <w:color w:val="000000"/>
        </w:rPr>
        <w:t>steady-state</w:t>
      </w:r>
      <w:r w:rsidR="00ED4E7F">
        <w:rPr>
          <w:color w:val="000000"/>
        </w:rPr>
        <w:t xml:space="preserve"> cycling at 85% to exhaustion on </w:t>
      </w:r>
      <w:r w:rsidR="002870B5">
        <w:rPr>
          <w:color w:val="000000"/>
        </w:rPr>
        <w:t>inhibitory control.</w:t>
      </w:r>
      <w:r w:rsidR="00BA1780">
        <w:rPr>
          <w:color w:val="000000"/>
        </w:rPr>
        <w:t xml:space="preserve"> Notably</w:t>
      </w:r>
      <w:r w:rsidR="002870B5">
        <w:rPr>
          <w:color w:val="000000"/>
        </w:rPr>
        <w:t>, the average duration of exercise was about 7 minutes. Results indicated an initial significant boost in reaction time, which remained unaltered</w:t>
      </w:r>
      <w:r w:rsidR="00091B97">
        <w:rPr>
          <w:color w:val="000000"/>
        </w:rPr>
        <w:t xml:space="preserve"> into the final stages of exercise</w:t>
      </w:r>
      <w:r w:rsidR="009472F7">
        <w:rPr>
          <w:color w:val="000000"/>
        </w:rPr>
        <w:t>. However</w:t>
      </w:r>
      <w:r w:rsidR="00091B97">
        <w:rPr>
          <w:color w:val="000000"/>
        </w:rPr>
        <w:t xml:space="preserve">, </w:t>
      </w:r>
      <w:r w:rsidR="009472F7">
        <w:rPr>
          <w:color w:val="000000"/>
        </w:rPr>
        <w:t xml:space="preserve">the </w:t>
      </w:r>
      <w:r w:rsidR="00091B97">
        <w:rPr>
          <w:color w:val="000000"/>
        </w:rPr>
        <w:t xml:space="preserve">propensity to make impulsive errors was increased near exhaustion. </w:t>
      </w:r>
      <w:r w:rsidR="002870B5">
        <w:rPr>
          <w:color w:val="000000"/>
        </w:rPr>
        <w:t xml:space="preserve"> </w:t>
      </w:r>
      <w:r w:rsidR="0053798E">
        <w:rPr>
          <w:color w:val="000000"/>
        </w:rPr>
        <w:t>Do</w:t>
      </w:r>
      <w:r w:rsidR="007B1B18">
        <w:rPr>
          <w:color w:val="000000"/>
        </w:rPr>
        <w:t>dw</w:t>
      </w:r>
      <w:r w:rsidR="0053798E">
        <w:rPr>
          <w:color w:val="000000"/>
        </w:rPr>
        <w:t xml:space="preserve">ell et al. (2019) also utilized a biking condition, but exercise intensity was maintained at 65% and compared to a treadmill walking condition. While active conditions were designed to allow for cardiovascular exertion, authors noted that treadmill pace and bike resistance levels were chosen based on previous literature </w:t>
      </w:r>
      <w:r w:rsidR="00BA1780">
        <w:rPr>
          <w:color w:val="000000"/>
        </w:rPr>
        <w:t>to</w:t>
      </w:r>
      <w:r w:rsidR="0053798E">
        <w:rPr>
          <w:color w:val="000000"/>
        </w:rPr>
        <w:t xml:space="preserve"> maintain subject comfort (beyond increases in heart rate). </w:t>
      </w:r>
      <w:r w:rsidR="00EA0C9E">
        <w:rPr>
          <w:color w:val="000000"/>
        </w:rPr>
        <w:t>Performance on a retro-cue working memory task was facilitated in both cycling and treadmill compared to control conditions</w:t>
      </w:r>
      <w:r w:rsidR="00393DE6">
        <w:rPr>
          <w:color w:val="000000"/>
        </w:rPr>
        <w:t>;</w:t>
      </w:r>
      <w:r w:rsidR="00EA0C9E">
        <w:rPr>
          <w:color w:val="000000"/>
        </w:rPr>
        <w:t xml:space="preserve"> </w:t>
      </w:r>
      <w:r w:rsidR="0089236D">
        <w:rPr>
          <w:color w:val="000000"/>
        </w:rPr>
        <w:t xml:space="preserve">however, this </w:t>
      </w:r>
      <w:r w:rsidR="005146C7">
        <w:rPr>
          <w:color w:val="000000"/>
        </w:rPr>
        <w:t xml:space="preserve">finding was significantly impacted by postural factors, with authors postulating that upright orientation, compared to seated conditions, </w:t>
      </w:r>
      <w:r w:rsidR="005146C7">
        <w:rPr>
          <w:color w:val="000000"/>
        </w:rPr>
        <w:lastRenderedPageBreak/>
        <w:t>might play an independent role on cognitive performance.</w:t>
      </w:r>
    </w:p>
    <w:p w14:paraId="606571B0" w14:textId="34EA36C1" w:rsidR="00DE2017" w:rsidRPr="00A315EC" w:rsidRDefault="00694867" w:rsidP="009472F7">
      <w:pPr>
        <w:widowControl w:val="0"/>
        <w:pBdr>
          <w:top w:val="nil"/>
          <w:left w:val="nil"/>
          <w:bottom w:val="nil"/>
          <w:right w:val="nil"/>
          <w:between w:val="nil"/>
        </w:pBdr>
        <w:spacing w:line="480" w:lineRule="auto"/>
        <w:ind w:firstLine="720"/>
        <w:rPr>
          <w:color w:val="000000"/>
        </w:rPr>
      </w:pPr>
      <w:r>
        <w:rPr>
          <w:color w:val="000000"/>
        </w:rPr>
        <w:t>In contrast</w:t>
      </w:r>
      <w:r w:rsidR="00DE2017" w:rsidRPr="00A315EC">
        <w:rPr>
          <w:color w:val="000000"/>
        </w:rPr>
        <w:t>, a larger portion of the research evaluating th</w:t>
      </w:r>
      <w:r w:rsidR="00745465">
        <w:rPr>
          <w:color w:val="000000"/>
        </w:rPr>
        <w:t xml:space="preserve">is relationship </w:t>
      </w:r>
      <w:r w:rsidR="00DE2017" w:rsidRPr="00A315EC">
        <w:rPr>
          <w:color w:val="000000"/>
        </w:rPr>
        <w:t>indicates that</w:t>
      </w:r>
      <w:r>
        <w:rPr>
          <w:color w:val="000000"/>
        </w:rPr>
        <w:t xml:space="preserve"> acute</w:t>
      </w:r>
      <w:r w:rsidR="00DE2017" w:rsidRPr="00A315EC">
        <w:rPr>
          <w:color w:val="000000"/>
        </w:rPr>
        <w:t xml:space="preserve"> exercise</w:t>
      </w:r>
      <w:r>
        <w:rPr>
          <w:color w:val="000000"/>
        </w:rPr>
        <w:t xml:space="preserve">—particularly </w:t>
      </w:r>
      <w:r w:rsidR="009472F7">
        <w:rPr>
          <w:color w:val="000000"/>
        </w:rPr>
        <w:t>high-intensity</w:t>
      </w:r>
      <w:r>
        <w:rPr>
          <w:color w:val="000000"/>
        </w:rPr>
        <w:t xml:space="preserve"> exercise—</w:t>
      </w:r>
      <w:r w:rsidR="00DE2017" w:rsidRPr="00A315EC">
        <w:rPr>
          <w:color w:val="000000"/>
        </w:rPr>
        <w:t xml:space="preserve">is associated with </w:t>
      </w:r>
      <w:r>
        <w:rPr>
          <w:color w:val="000000"/>
        </w:rPr>
        <w:t xml:space="preserve">concomitant </w:t>
      </w:r>
      <w:r w:rsidR="00DE2017" w:rsidRPr="00A315EC">
        <w:rPr>
          <w:color w:val="000000"/>
        </w:rPr>
        <w:t>decrements in performance on EF tasks</w:t>
      </w:r>
      <w:r w:rsidR="007B1B18">
        <w:rPr>
          <w:color w:val="000000"/>
        </w:rPr>
        <w:t xml:space="preserve"> </w:t>
      </w:r>
      <w:r w:rsidR="007B1B18">
        <w:rPr>
          <w:color w:val="000000"/>
        </w:rPr>
        <w:fldChar w:fldCharType="begin"/>
      </w:r>
      <w:r w:rsidR="00996563">
        <w:rPr>
          <w:color w:val="000000"/>
        </w:rPr>
        <w:instrText xml:space="preserve"> ADDIN ZOTERO_ITEM CSL_CITATION {"citationID":"raiou4mt","properties":{"formattedCitation":"(Audiffren et al., 2009; Davranche &amp; McMorris, 2009; Del Giorno et al., 2010; Dietrich &amp; Sparling, 2004; Komiyama et al., 2019; McMorris et al., 2009; Olson et al., 2016, 2016; Pontifex &amp; Hillman, 2007; Smith et al., 2016; Wang et al., 2013, p. 201)","plainCitation":"(Audiffren et al., 2009; Davranche &amp; McMorris, 2009; Del Giorno et al., 2010; Dietrich &amp; Sparling, 2004; Komiyama et al., 2019; McMorris et al., 2009; Olson et al., 2016, 2016; Pontifex &amp; Hillman, 2007; Smith et al., 2016; Wang et al., 2013, p. 201)","dontUpdate":true,"noteIndex":0},"citationItems":[{"id":4150,"uris":["http://zotero.org/users/3430614/items/79ANYIKB"],"itemData":{"id":4150,"type":"article-journal","abstract":"The immediate and short-term aftereffects of a bout of aerobic exercise on young adults’ executive functions were assessed. Sixteen participants performed a Random Number Generation (RNG) task, which measured two aspects of executive function, before, during, and after ergometer cycling exercise. In a separate session, participants completed the same sequence of testing while seated on an ergometer without pedaling. Results suggest that aerobic exercise: (1) selectively inﬂuences RNG indices related to the ability to alternate ascending and descending runs throughout the entire exercise bout; (2) induces a shift to a less effortful number generation strategy, particularly during the ﬁrst few minutes of the exercise; and (3) has no signiﬁcant inﬂuence on RNG performance as soon as the exercise terminates. The strategic adjustments observed during the exercise are interpreted in the framework of Hockey’s [Hockey, G. R. J. (1997). Compensatory control in the regulation of human performance under stress and high workload: A cognitive–energetical framework. Biological Psychology, 45, 73–93.] compensatory control model and suggest that concurrent effortful processes induced by cycling exercise may draw upon available attention resources and inﬂuence executive processing.","container-title":"Acta Psychologica","DOI":"10.1016/j.actpsy.2009.06.008","ISSN":"00016918","issue":"1","journalAbbreviation":"Acta Psychologica","language":"en","page":"85-95","source":"DOI.org (Crossref)","title":"Acute aerobic exercise and information processing: Modulation of executive control in a Random Number Generation task","title-short":"Acute aerobic exercise and information processing","volume":"132","author":[{"family":"Audiffren","given":"Michel"},{"family":"Tomporowski","given":"Phillip D."},{"family":"Zagrodnik","given":"James"}],"issued":{"date-parts":[["2009",9]]}}},{"id":4134,"uris":["http://zotero.org/users/3430614/items/ISQTUZHW"],"itemData":{"id":4134,"type":"article-journal","abstract":"The main issue of this study was to determine whether cognitive control is affected by acute moderate exercise. Twelve participants [4 females (VO2 max = 42 ml/kg/min) and 8 males (VO2 max = 48 ml/kg/ min)] performed a Simon task while cycling at a carefully controlled workload intensity corresponding to their individual ventilatory threshold. The distribution-analytical technique and the delta plot analysis [Ridderinkhof, K. R. (2002). Activation and suppression in conﬂict tasks: Empirical clariﬁcation through distributional analyses. In W. Prinz &amp; B. Hommel (Eds.), Common mechanisms in perception and action. Attention and performance (Vol. 19, pp. 494–519). Oxford: Oxford University Press.] were used to assess the role of selective response inhibition in resolving response conﬂict. Results showed that cognitive processes appeared to be differently affected by acute moderate exercise. Reaction time results conﬁrmed that performance is better (faster without change in accuracy) when the cognitive task is performed simultaneously with exercise. Between-trial adjustments (post-conﬂict and post-error) highlighted that cognitive control adjustments are also fully efﬁcient during exercise. However, the effect of congruency (Simon effect) appeared to be more pronounced during exercise compared to rest which suggests that the response inhibition is deteriorated during exercise. The present ﬁndings suggest that acute moderate exercise differently affects some speciﬁc aspects of cognitive functions.","container-title":"Brain and Cognition","DOI":"10.1016/j.bandc.2008.12.001","ISSN":"02782626","issue":"3","journalAbbreviation":"Brain and Cognition","language":"en","page":"565-570","source":"DOI.org (Crossref)","title":"Specific effects of acute moderate exercise on cognitive control","volume":"69","author":[{"family":"Davranche","given":"Karen"},{"family":"McMorris","given":"Terry"}],"issued":{"date-parts":[["2009",4]]}}},{"id":4176,"uris":["http://zotero.org/users/3430614/items/PGCSA8DJ"],"itemData":{"id":4176,"type":"article-journal","abstract":"The purpose of this study was to test the transient hypofrontality theory (Dietrich, 2003) by examining the influence of exercise intensity on executive control processes during and following submaximal exercise. Thirty participants (13 female) exercised for 30 min at ventilatory threshold (VT) or at 75% of VT. The Contingent Continuous Performance Task (CPT) and Wisconsin Card Sorting Test (WCST) were used as measures of executive control. They were administered before, during, immediately following, and 20 min after exercise. An increase in false alarms and unique errors (p ≤ .05) occurred during both conditions. False alarms for the CPT and total and perseverative errors for the WCST remained elevated immediately following exercise at VT, but not at exercise below VT (p ≤ .01). The decreased executive control function during exercise can be explained by the transient hypofrontality theory. Following VT, executive control performance remained poor possibly owing to an additional amount of time the brain needs to return to homeostasis following intense exercise.","container-title":"Journal of Sport and Exercise Psychology","DOI":"10.1123/jsep.32.3.312","ISSN":"0895-2779, 1543-2904","issue":"3","language":"en","page":"312-323","source":"DOI.org (Crossref)","title":"Cognitive Function During Acute Exercise: A Test of the Transient Hypofrontality Theory","title-short":"Cognitive Function During Acute Exercise","volume":"32","author":[{"family":"Del Giorno","given":"Jacqueline M."},{"family":"Hall","given":"Eric E."},{"family":"O’Leary","given":"Kevin C."},{"family":"Bixby","given":"Walter R."},{"family":"Miller","given":"Paul C."}],"issued":{"date-parts":[["2010",6]]}}},{"id":4144,"uris":["http://zotero.org/users/3430614/items/JYMTRS6N"],"itemData":{"id":4144,"type":"article-journal","abstract":"Two experiments are reported that examine the possibility that exercise selectively inﬂuences diﬀerent types of cognition. To our knowledge, these experiments represent the ﬁrst attempt to study higher-cognitive processes during exercise. Theoretical thinking was guided by the transient hypofrontality hypothesis. In both experiments, athletes who exercised at a sustained, moderate pace were compared to sedentary controls on two neuropsychological tests, one that is generally regarded as heavily dependent on prefrontal cognition and one that is relatively insensitive to prefrontal operation. Results showed that during exercise performance on tests demanding prefrontal-dependent cognition was impaired, while at the same time, cognitive processes requiring little prefrontal activity were unaﬀected.","container-title":"Brain and Cognition","DOI":"10.1016/j.bandc.2004.03.002","ISSN":"02782626","issue":"3","journalAbbreviation":"Brain and Cognition","language":"en","page":"516-524","source":"DOI.org (Crossref)","title":"Endurance exercise selectively impairs prefrontal-dependent cognition","volume":"55","author":[{"family":"Dietrich","given":"Arne"},{"family":"Sparling","given":"Phillip B"}],"issued":{"date-parts":[["2004",8]]}}},{"id":4162,"uris":["http://zotero.org/users/3430614/items/FV55NFDX"],"itemData":{"id":4162,"type":"article-journal","container-title":"Medicine &amp; Science in Sports &amp; Exercise","DOI":"10.1249/MSS.0000000000002183","ISSN":"1530-0315, 0195-9131","issue":"3","language":"en","page":"561-568","source":"DOI.org (Crossref)","title":"Cognitive Impairment during High-Intensity Exercise: Influence of Cerebral Blood Flow","title-short":"Cognitive Impairment during High-Intensity Exercise","volume":"52","author":[{"family":"Komiyama","given":"Takaaki"},{"family":"Tanoue","given":"Yukiya"},{"family":"Sudo","given":"Mizuki"},{"family":"Costello","given":"Joseph T."},{"family":"Uehara","given":"Yoshinari"},{"family":"Higaki","given":"Yasuki"},{"family":"Ando","given":"Soichi"}],"issued":{"date-parts":[["2019"]]}}},{"id":4453,"uris":["http://zotero.org/users/3430614/items/5DW6L6SJ"],"itemData":{"id":4453,"type":"article-journal","abstract":"The purposes of this study were to examine the effect of acute incremental exercise on the performance of a central executive task; the responses of the sympathoadrenal system (SAS) and hypothalamic-pituitary-adrenal axis (HPAA) during exercise, while simultaneously carrying out the central executive task; and the ability of Δ plasma concentrations of epinephrine, norepinephrine, adrenocorticotropin hormone (ACTH) and cortisol to predict Δ performance on the central executive task. Subjects undertook a flanker task at rest and during exercise at 50% and 80% maximum aerobic power (MAP). SAS and HPAA activity were measured pre- and post-treatment by plasma concentrations of catecholamines, and cortisol and ACTH, respectively. Reaction time (RT) and number of errors for congruent and incongruent trials on the flanker task showed significant main effects with performance at 80% MAP higher than in the other conditions. RT post-correct responses were significantly faster than RT post-error at rest and 50% MAP but not at 80%. Pre- and post-treatment catecholamines showed a main effect of exercise with a linear increase. Post-treatment ACTH concentrations at 80% MAP were significantly greater than in the other conditions. Δ epinephrine and ACTH combined were significant predictors of Δ RT and Δ norepinephrine was a significant predictor of Δ number of errors. It was concluded that exercise must be at a high intensity to affect performance on the flanker task. Both the SAS and HPAA appear to play a role in the exercise–cognition interaction.","container-title":"International Journal of Psychophysiology","DOI":"10.1016/j.ijpsycho.2009.05.004","ISSN":"0167-8760","issue":"3","journalAbbreviation":"International Journal of Psychophysiology","language":"en","page":"334-340","source":"ScienceDirect","title":"Acute incremental exercise, performance of a central executive task, and sympathoadrenal system and hypothalamic-pituitary-adrenal axis activity","volume":"73","author":[{"family":"McMorris","given":"Terry"},{"family":"Davranche","given":"Karen"},{"family":"Jones","given":"Glenys"},{"family":"Hall","given":"Ben"},{"family":"Corbett","given":"Jo"},{"family":"Minter","given":"Charles"}],"issued":{"date-parts":[["2009",9,1]]}}},{"id":4195,"uris":["http://zotero.org/users/3430614/items/YK99J2PY"],"itemData":{"id":4195,"type":"article-journal","abstract":"The aim of this study was to examine neurophysiological and behavioral correlates of cognitive control elicited by a modiﬁed ﬂanker task while exercising at low and moderate intensities. A secondary aim was to examine cognitive control processes at several time points during an acute bout of exercise to determine whether cognition is selectively inﬂuenced by the duration of exercise. Twenty-seven healthy participants completed a modiﬁed version of the Eriksen ﬂanker task while exercising on a cycle ergometer at 40% and 60% VO2 peak and during a no-exercise seated control across three separate days. During task performance, continuous EEG was collected to assess neurocognitive function using the N2 and P3 event-related brain potentials (ERPs). Neurocognitive performance was assessed at 5, 15, and 25 min time points during steady-state exercise. Regardless of intensity, behavioral ﬁndings revealed impaired accuracy during both exercise conditions for the ﬂanker task trials that require greater cognitive control. However, faster reaction times were found during moderate-intensity exercise. Neuroelectric measures revealed increased N2 and P3 amplitudes during both exercise conditions relative to rest. Together, these ﬁndings suggest divergent effects of exercise on behavioral performance measures accompanied by an upregulation of cognitive control during aerobic exercise. These impairments are discussed in terms of dual-task paradigms and the transient hypofrontality theory.","container-title":"NeuroImage","DOI":"10.1016/j.neuroimage.2015.10.011","ISSN":"10538119","journalAbbreviation":"NeuroImage","language":"en","page":"171-180","source":"DOI.org (Crossref)","title":"Neurophysiological and behavioral correlates of cognitive control during low and moderate intensity exercise","volume":"131","author":[{"family":"Olson","given":"Ryan L."},{"family":"Chang","given":"Yu-Kai"},{"family":"Brush","given":"Christopher J."},{"family":"Kwok","given":"Andrea N."},{"family":"Gordon","given":"Valentina X."},{"family":"Alderman","given":"Brandon L."}],"issued":{"date-parts":[["2016",5]]}}},{"id":4195,"uris":["http://zotero.org/users/3430614/items/YK99J2PY"],"itemData":{"id":4195,"type":"article-journal","abstract":"The aim of this study was to examine neurophysiological and behavioral correlates of cognitive control elicited by a modiﬁed ﬂanker task while exercising at low and moderate intensities. A secondary aim was to examine cognitive control processes at several time points during an acute bout of exercise to determine whether cognition is selectively inﬂuenced by the duration of exercise. Twenty-seven healthy participants completed a modiﬁed version of the Eriksen ﬂanker task while exercising on a cycle ergometer at 40% and 60% VO2 peak and during a no-exercise seated control across three separate days. During task performance, continuous EEG was collected to assess neurocognitive function using the N2 and P3 event-related brain potentials (ERPs). Neurocognitive performance was assessed at 5, 15, and 25 min time points during steady-state exercise. Regardless of intensity, behavioral ﬁndings revealed impaired accuracy during both exercise conditions for the ﬂanker task trials that require greater cognitive control. However, faster reaction times were found during moderate-intensity exercise. Neuroelectric measures revealed increased N2 and P3 amplitudes during both exercise conditions relative to rest. Together, these ﬁndings suggest divergent effects of exercise on behavioral performance measures accompanied by an upregulation of cognitive control during aerobic exercise. These impairments are discussed in terms of dual-task paradigms and the transient hypofrontality theory.","container-title":"NeuroImage","DOI":"10.1016/j.neuroimage.2015.10.011","ISSN":"10538119","journalAbbreviation":"NeuroImage","language":"en","page":"171-180","source":"DOI.org (Crossref)","title":"Neurophysiological and behavioral correlates of cognitive control during low and moderate intensity exercise","volume":"131","author":[{"family":"Olson","given":"Ryan L."},{"family":"Chang","given":"Yu-Kai"},{"family":"Brush","given":"Christopher J."},{"family":"Kwok","given":"Andrea N."},{"family":"Gordon","given":"Valentina X."},{"family":"Alderman","given":"Brandon L."}],"issued":{"date-parts":[["2016",5]]}}},{"id":4197,"uris":["http://zotero.org/users/3430614/items/7X3TPBN6"],"itemData":{"id":4197,"type":"article-journal","abstract":"Objective: This study examined the eﬀects of in-task, moderate-intensity aerobic exercise on neuroelectric and behavioral indices of interference control, one component of executive control.\nMethods: Forty-one participants completed a V_ O2 max test to determine maximal heart rate (HR). On a separate day, event-related brain potentials and task performance were measured during the counterbalanced conditions of upright cycling at 60% of maximal HR and rest while performing congruent and incongruent trials of a ﬂanker task.\nResults: Exercise resulted in reduced response accuracy for incongruent trials relative to rest; an eﬀect not found for congruent trials. Decreased N1 amplitude was observed during exercise at parietal sites and globally for N2. Exercise also resulted in increased amplitude for the P2 at frontal and central sites, and for the P3 at frontal and lateral sites. Further, longer N2 and P3 latencies were observed during exercise relative to rest.\nConclusion: These ﬁndings suggest that the need to allocate attentional resources toward the large-scale bodily movements inherent in exercise may relate to ineﬃciency of neural resource allocation, resulting in decreased interference control. Signiﬁcance: These data indicate general and selective exercise-induced decrements in cognitive processing while performing acute aerobic exercise. Ó 2006 International Federation of Clinical Neurophysiology. Published by Elsevier Ireland Ltd. All rights reserved.","container-title":"Clinical Neurophysiology","DOI":"10.1016/j.clinph.2006.09.029","ISSN":"13882457","issue":"3","journalAbbreviation":"Clinical Neurophysiology","language":"en","page":"570-580","source":"DOI.org (Crossref)","title":"Neuroelectric and behavioral indices of interference control during acute cycling","volume":"118","author":[{"family":"Pontifex","given":"Matthew B."},{"family":"Hillman","given":"Charles H."}],"issued":{"date-parts":[["2007",3]]}}},{"id":4202,"uris":["http://zotero.org/users/3430614/items/VQET33J3"],"itemData":{"id":4202,"type":"article-journal","abstract":"This study examined the effect of short duration, moderate and high-intensity exercise on a Go/NoGo task. Fifteen, habitually active (9 females and 6 males aged 28 ± 5 years) agreed to participate in the study and cognitive performance was measured in three sessions lasting 10 min each, performed at three different exercise intensities: rest, moderate and high. Results indicated significant exercise intensity main effects for reaction time (RT) (p = 0.01), the omission error rate (p = 0.027) and the decision error rate (p = 0.011), with significantly longer RTs during high intensity exercise compared to moderate intensity exercise (p = 0.039) and rest (p = 0.023). Mean ± SE of RT (ms) was 395.8 ± 9.1, 396.3 ± 9.1 and 433.5 ± 16.1 for rest, moderate and high intensity exercise, respectively. This pattern was replicated for the error rate with a significantly higher omission error and decision error rate during high intensity exercise compared to moderate intensity exercise (p = 0.003) and rest (p = 0.001). Mean ± SE of omission errors (%) was 0.88 ± 0.23, 0.8 ± 0.23 and 1.8 ± 0.46% for rest, moderate and high intensity exercise, respectively. Likewise, mean ± SE of decision errors (%) was 0.73 ± 0.24, 0.73 ± 0.21 and 1.8 ± 0.31 for rest, moderate and high intensity exercise, respectively. The present study’s results suggest that 10 min workout at high intensity impairs RT performances in habitually active adults compared to rest or moderate intensity exercise.","container-title":"Journal of Human Kinetics","DOI":"10.1515/hukin-2015-0167","ISSN":"1640-5544","journalAbbreviation":"J Hum Kinet","note":"PMID: 28149365\nPMCID: PMC5260547","page":"27-35","source":"PubMed Central","title":"The effect of exercise intensity on cognitive performance during short duration treadmill running","volume":"51","author":[{"family":"Smith","given":"Mike"},{"family":"Tallis","given":"Jason"},{"family":"Miller","given":"Amanda"},{"family":"Clarke","given":"Neil D."},{"family":"Guimarães-Ferreira","given":"Lucas"},{"family":"Duncan","given":"Michael J."}],"issued":{"date-parts":[["2016",7,2]]}}},{"id":4206,"uris":["http://zotero.org/users/3430614/items/BWRZFZ8V"],"itemData":{"id":4206,"type":"article-journal","abstract":"This study was designed to examine the modulation of executive functions during acute exercise and to determine whether exercise intensity moderates this relationship. Eighty college-aged adults were recruited and randomly assigned into one of the four following groups: control, 30%, 50%, and 80% heart rate reserve. The Wisconsin Card Sorting Test (WCST) was administered during each intervention. The results indicated that the majority of the WCST performances were impaired in the high exercise intensity group relative to those of the other three groups, whereas similar performance rates were maintained in the low- and moderateintensity groups. These findings suggest that transient hypofrontality occurs during high-intensity exercise, but not during low- and moderate-intensity exercises. Future research aimed at employing the dual-mode theory, and applying the reticular-activating hypofrontality model is recommended to further the current knowledge.","container-title":"Journal of Sport and Exercise Psychology","DOI":"10.1123/jsep.35.4.358","ISSN":"0895-2779, 1543-2904","issue":"4","language":"en","page":"358-367","source":"DOI.org (Crossref)","title":"Executive Function During Acute Exercise: The Role of Exercise Intensity","title-short":"Executive Function During Acute Exercise","volume":"35","author":[{"family":"Wang","given":"Chun-Chih"},{"family":"Chu","given":"Chien-Heng"},{"family":"Chu","given":"I-Hua"},{"family":"Chan","given":"Kuei-Hui"},{"family":"Chang","given":"Yu-Kai"}],"issued":{"date-parts":[["2013",8]]}},"locator":"201"}],"schema":"https://github.com/citation-style-language/schema/raw/master/csl-citation.json"} </w:instrText>
      </w:r>
      <w:r w:rsidR="007B1B18">
        <w:rPr>
          <w:color w:val="000000"/>
        </w:rPr>
        <w:fldChar w:fldCharType="separate"/>
      </w:r>
      <w:r w:rsidR="00BD260D">
        <w:rPr>
          <w:noProof/>
          <w:color w:val="000000"/>
        </w:rPr>
        <w:t>(Audiffren et al., 2009; Davranche &amp; McMorris, 2009; Del Giorno et al., 2010; Dietrich &amp; Sparling, 2004; Komiyama et al., 2019; McMorris et al., 2009; Olson et al., 2016, 2016; Pontifex &amp; Hillman, 2007; Smith et al., 2016; Stone, 2020; Wang et al., 2013)</w:t>
      </w:r>
      <w:r w:rsidR="007B1B18">
        <w:rPr>
          <w:color w:val="000000"/>
        </w:rPr>
        <w:fldChar w:fldCharType="end"/>
      </w:r>
      <w:r w:rsidR="00BD260D">
        <w:rPr>
          <w:color w:val="000000"/>
        </w:rPr>
        <w:t>.</w:t>
      </w:r>
      <w:r w:rsidR="00DE2017" w:rsidRPr="00A315EC">
        <w:rPr>
          <w:color w:val="000000"/>
        </w:rPr>
        <w:t xml:space="preserve"> E</w:t>
      </w:r>
      <w:r w:rsidR="00BD260D">
        <w:rPr>
          <w:color w:val="000000"/>
        </w:rPr>
        <w:t>xecutive function</w:t>
      </w:r>
      <w:r w:rsidR="00DE2017" w:rsidRPr="00A315EC">
        <w:rPr>
          <w:color w:val="000000"/>
        </w:rPr>
        <w:t xml:space="preserve"> attrition is most commonly associated with moderate (</w:t>
      </w:r>
      <w:proofErr w:type="spellStart"/>
      <w:r w:rsidR="00DE2017" w:rsidRPr="00A315EC">
        <w:rPr>
          <w:color w:val="000000"/>
        </w:rPr>
        <w:t>Audiffren</w:t>
      </w:r>
      <w:proofErr w:type="spellEnd"/>
      <w:r w:rsidR="00DE2017" w:rsidRPr="00A315EC">
        <w:rPr>
          <w:color w:val="000000"/>
        </w:rPr>
        <w:t xml:space="preserve"> et al., 2009; </w:t>
      </w:r>
      <w:proofErr w:type="spellStart"/>
      <w:r w:rsidR="00DE2017" w:rsidRPr="00A315EC">
        <w:rPr>
          <w:color w:val="000000"/>
        </w:rPr>
        <w:t>Davranche</w:t>
      </w:r>
      <w:proofErr w:type="spellEnd"/>
      <w:r w:rsidR="00DE2017" w:rsidRPr="00A315EC">
        <w:rPr>
          <w:color w:val="000000"/>
        </w:rPr>
        <w:t xml:space="preserve"> &amp; McMorris, 2009; Del </w:t>
      </w:r>
      <w:proofErr w:type="spellStart"/>
      <w:r w:rsidR="00DE2017" w:rsidRPr="00A315EC">
        <w:rPr>
          <w:color w:val="000000"/>
        </w:rPr>
        <w:t>Giorno</w:t>
      </w:r>
      <w:proofErr w:type="spellEnd"/>
      <w:r w:rsidR="00DE2017" w:rsidRPr="00A315EC">
        <w:rPr>
          <w:color w:val="000000"/>
        </w:rPr>
        <w:t xml:space="preserve"> et al., 2010; Olson et al., 2016; Pontifex &amp; Hillman, 2007) to vigorous exercise (Dietrich &amp; Sparling, 2004; Komiyama et al., 2019; McMorris et al., 2009; Smith et al., 2016; Stone et al., 2020; Wang et al., 2013</w:t>
      </w:r>
      <w:r>
        <w:rPr>
          <w:color w:val="000000"/>
        </w:rPr>
        <w:t xml:space="preserve">), though some studies have also </w:t>
      </w:r>
      <w:r w:rsidR="00EB2832">
        <w:rPr>
          <w:color w:val="000000"/>
        </w:rPr>
        <w:t>revealed</w:t>
      </w:r>
      <w:r w:rsidR="00EB2832" w:rsidRPr="00A315EC">
        <w:rPr>
          <w:color w:val="000000"/>
        </w:rPr>
        <w:t xml:space="preserve"> </w:t>
      </w:r>
      <w:r w:rsidR="00DE2017" w:rsidRPr="00A315EC">
        <w:rPr>
          <w:color w:val="000000"/>
        </w:rPr>
        <w:t xml:space="preserve">declines in </w:t>
      </w:r>
      <w:r w:rsidR="00BD260D">
        <w:rPr>
          <w:color w:val="000000"/>
        </w:rPr>
        <w:t>executive function</w:t>
      </w:r>
      <w:r w:rsidR="00DE2017" w:rsidRPr="00A315EC">
        <w:rPr>
          <w:color w:val="000000"/>
        </w:rPr>
        <w:t xml:space="preserve"> have also been </w:t>
      </w:r>
      <w:r w:rsidR="00EB2832">
        <w:rPr>
          <w:color w:val="000000"/>
        </w:rPr>
        <w:t>demonstrated</w:t>
      </w:r>
      <w:r w:rsidR="00DE2017" w:rsidRPr="00A315EC">
        <w:rPr>
          <w:color w:val="000000"/>
        </w:rPr>
        <w:t xml:space="preserve"> during light-intensity exercise (Del </w:t>
      </w:r>
      <w:proofErr w:type="spellStart"/>
      <w:r w:rsidR="00DE2017" w:rsidRPr="00A315EC">
        <w:rPr>
          <w:color w:val="000000"/>
        </w:rPr>
        <w:t>Giorno</w:t>
      </w:r>
      <w:proofErr w:type="spellEnd"/>
      <w:r w:rsidR="00DE2017" w:rsidRPr="00A315EC">
        <w:rPr>
          <w:color w:val="000000"/>
        </w:rPr>
        <w:t xml:space="preserve"> et al., 2010; Olson et al., 2016).</w:t>
      </w:r>
    </w:p>
    <w:p w14:paraId="53052028" w14:textId="442C417E" w:rsidR="005C49D2" w:rsidRDefault="00694867" w:rsidP="00CE75E1">
      <w:pPr>
        <w:widowControl w:val="0"/>
        <w:pBdr>
          <w:top w:val="nil"/>
          <w:left w:val="nil"/>
          <w:bottom w:val="nil"/>
          <w:right w:val="nil"/>
          <w:between w:val="nil"/>
        </w:pBdr>
        <w:spacing w:line="480" w:lineRule="auto"/>
        <w:ind w:firstLine="720"/>
        <w:rPr>
          <w:color w:val="000000"/>
        </w:rPr>
      </w:pPr>
      <w:r>
        <w:rPr>
          <w:color w:val="000000"/>
        </w:rPr>
        <w:t xml:space="preserve">When comparing the findings of the studies </w:t>
      </w:r>
      <w:r w:rsidR="00D06FD2" w:rsidRPr="00A315EC">
        <w:rPr>
          <w:color w:val="000000"/>
        </w:rPr>
        <w:t>citing improvements in performance during “vigorous” exercise</w:t>
      </w:r>
      <w:r>
        <w:rPr>
          <w:color w:val="000000"/>
        </w:rPr>
        <w:t xml:space="preserve"> to those demonstrating decline</w:t>
      </w:r>
      <w:r w:rsidR="00D06FD2" w:rsidRPr="00A315EC">
        <w:rPr>
          <w:color w:val="000000"/>
        </w:rPr>
        <w:t xml:space="preserve">, </w:t>
      </w:r>
      <w:r>
        <w:rPr>
          <w:color w:val="000000"/>
        </w:rPr>
        <w:t xml:space="preserve">it becomes apparent that </w:t>
      </w:r>
      <w:r w:rsidR="00D06FD2" w:rsidRPr="00A315EC">
        <w:rPr>
          <w:color w:val="000000"/>
        </w:rPr>
        <w:t xml:space="preserve">only </w:t>
      </w:r>
      <w:r w:rsidR="003D59E2">
        <w:rPr>
          <w:color w:val="000000"/>
        </w:rPr>
        <w:t xml:space="preserve">the study conducted by </w:t>
      </w:r>
      <w:proofErr w:type="spellStart"/>
      <w:r w:rsidR="003D59E2">
        <w:rPr>
          <w:color w:val="000000"/>
        </w:rPr>
        <w:t>Schmit</w:t>
      </w:r>
      <w:proofErr w:type="spellEnd"/>
      <w:r w:rsidR="003D59E2">
        <w:rPr>
          <w:color w:val="000000"/>
        </w:rPr>
        <w:t xml:space="preserve"> and colleagues</w:t>
      </w:r>
      <w:r w:rsidR="00D06FD2" w:rsidRPr="00A315EC">
        <w:rPr>
          <w:color w:val="000000"/>
        </w:rPr>
        <w:t xml:space="preserve"> </w:t>
      </w:r>
      <w:r w:rsidR="009E39E4">
        <w:rPr>
          <w:color w:val="000000"/>
        </w:rPr>
        <w:t xml:space="preserve">(2015) </w:t>
      </w:r>
      <w:r w:rsidR="00D06FD2" w:rsidRPr="00A315EC">
        <w:rPr>
          <w:color w:val="000000"/>
        </w:rPr>
        <w:t>was conducted at an intensity comparable to the level at which decrements became significant (i.e., 80% HRR) in the study conducted in 2020 by Stone et al.</w:t>
      </w:r>
      <w:r w:rsidR="009E39E4">
        <w:rPr>
          <w:color w:val="000000"/>
        </w:rPr>
        <w:t xml:space="preserve"> </w:t>
      </w:r>
      <w:r w:rsidR="00D06FD2" w:rsidRPr="00A315EC">
        <w:rPr>
          <w:color w:val="000000"/>
        </w:rPr>
        <w:t xml:space="preserve">This is a potentially meaningful consideration, as Stone </w:t>
      </w:r>
      <w:r w:rsidR="00EB2832">
        <w:rPr>
          <w:color w:val="000000"/>
        </w:rPr>
        <w:t xml:space="preserve">and colleagues </w:t>
      </w:r>
      <w:r w:rsidR="00D06FD2" w:rsidRPr="00A315EC">
        <w:rPr>
          <w:color w:val="000000"/>
        </w:rPr>
        <w:t xml:space="preserve">(2020) </w:t>
      </w:r>
      <w:r w:rsidR="009472F7">
        <w:rPr>
          <w:color w:val="000000"/>
        </w:rPr>
        <w:t>remain</w:t>
      </w:r>
      <w:r w:rsidR="00D06FD2" w:rsidRPr="00A315EC">
        <w:rPr>
          <w:color w:val="000000"/>
        </w:rPr>
        <w:t xml:space="preserve"> the only published study to have monitored executive function </w:t>
      </w:r>
      <w:r>
        <w:rPr>
          <w:color w:val="000000"/>
        </w:rPr>
        <w:t xml:space="preserve">continuously </w:t>
      </w:r>
      <w:r w:rsidR="00D06FD2" w:rsidRPr="00A315EC">
        <w:rPr>
          <w:color w:val="000000"/>
        </w:rPr>
        <w:t>across exercise intensity instead of asking participants to maintain a specific intensity for the duration of exercise or measuring cognition at set</w:t>
      </w:r>
      <w:r>
        <w:rPr>
          <w:color w:val="000000"/>
        </w:rPr>
        <w:t>, discrete</w:t>
      </w:r>
      <w:r w:rsidR="00D06FD2" w:rsidRPr="00A315EC">
        <w:rPr>
          <w:color w:val="000000"/>
        </w:rPr>
        <w:t xml:space="preserve"> intervals. </w:t>
      </w:r>
      <w:r w:rsidR="003D59E2">
        <w:rPr>
          <w:color w:val="000000"/>
        </w:rPr>
        <w:t>Likewise</w:t>
      </w:r>
      <w:r w:rsidR="00D06FD2" w:rsidRPr="00A315EC">
        <w:rPr>
          <w:color w:val="000000"/>
        </w:rPr>
        <w:t xml:space="preserve">, the investigations conducted by Lucas et al. (2012) and </w:t>
      </w:r>
      <w:proofErr w:type="spellStart"/>
      <w:r w:rsidR="00D06FD2" w:rsidRPr="00A315EC">
        <w:rPr>
          <w:color w:val="000000"/>
        </w:rPr>
        <w:t>Schmit</w:t>
      </w:r>
      <w:proofErr w:type="spellEnd"/>
      <w:r w:rsidR="00D06FD2" w:rsidRPr="00A315EC">
        <w:rPr>
          <w:color w:val="000000"/>
        </w:rPr>
        <w:t xml:space="preserve"> et al. (2015) involved an exercise of relatively short duration, with time spent at vigorous intensities totaling less than ten minutes</w:t>
      </w:r>
      <w:r w:rsidR="00091B97">
        <w:rPr>
          <w:color w:val="000000"/>
        </w:rPr>
        <w:t>.</w:t>
      </w:r>
      <w:r>
        <w:rPr>
          <w:color w:val="000000"/>
        </w:rPr>
        <w:t xml:space="preserve"> </w:t>
      </w:r>
      <w:r w:rsidR="00091B97">
        <w:rPr>
          <w:color w:val="000000"/>
        </w:rPr>
        <w:t>G</w:t>
      </w:r>
      <w:r w:rsidR="002870B5">
        <w:rPr>
          <w:color w:val="000000"/>
        </w:rPr>
        <w:t>iven that Schmidt et al. (</w:t>
      </w:r>
      <w:r w:rsidR="00091B97">
        <w:rPr>
          <w:color w:val="000000"/>
        </w:rPr>
        <w:t xml:space="preserve">2015) noted a steep, though non-significant, decrease in cognitive control immediately prior to </w:t>
      </w:r>
      <w:r w:rsidR="00091B97">
        <w:rPr>
          <w:color w:val="000000"/>
        </w:rPr>
        <w:lastRenderedPageBreak/>
        <w:t xml:space="preserve">test cessation, it is reasonable to consider that results might have reached significance had </w:t>
      </w:r>
      <w:r w:rsidR="00BA1780">
        <w:rPr>
          <w:color w:val="000000"/>
        </w:rPr>
        <w:t xml:space="preserve">the </w:t>
      </w:r>
      <w:r w:rsidR="00091B97">
        <w:rPr>
          <w:color w:val="000000"/>
        </w:rPr>
        <w:t xml:space="preserve">duration of exercise been longer; this supposition is strengthened by linear decreases in cerebral oxygenation measured by </w:t>
      </w:r>
      <w:proofErr w:type="spellStart"/>
      <w:r w:rsidR="007D2212">
        <w:rPr>
          <w:color w:val="000000"/>
        </w:rPr>
        <w:t>f</w:t>
      </w:r>
      <w:r w:rsidR="00091B97">
        <w:rPr>
          <w:color w:val="000000"/>
        </w:rPr>
        <w:t>NIRS</w:t>
      </w:r>
      <w:proofErr w:type="spellEnd"/>
      <w:r w:rsidR="00091B97">
        <w:rPr>
          <w:color w:val="000000"/>
        </w:rPr>
        <w:t xml:space="preserve"> throughout exercise</w:t>
      </w:r>
      <w:r w:rsidR="00FF05D6">
        <w:rPr>
          <w:color w:val="000000"/>
        </w:rPr>
        <w:t xml:space="preserve"> (Schmidt, 2015)</w:t>
      </w:r>
      <w:r w:rsidR="00091B97">
        <w:rPr>
          <w:color w:val="000000"/>
        </w:rPr>
        <w:t xml:space="preserve">.  Likewise, while </w:t>
      </w:r>
      <w:r w:rsidR="00D06FD2" w:rsidRPr="00A315EC">
        <w:rPr>
          <w:color w:val="000000"/>
        </w:rPr>
        <w:t>Dodwell et al. (2018) did not report the time span of exercise, the intensity did not exceed 65% HRR, which was well below the onset of decline demonstrated by Stone et al. (2020).</w:t>
      </w:r>
      <w:r w:rsidR="006B33BC">
        <w:rPr>
          <w:color w:val="000000"/>
        </w:rPr>
        <w:t xml:space="preserve"> </w:t>
      </w:r>
      <w:r w:rsidR="00CE75E1">
        <w:rPr>
          <w:color w:val="000000"/>
        </w:rPr>
        <w:t xml:space="preserve">It </w:t>
      </w:r>
      <w:r w:rsidR="00D06FD2" w:rsidRPr="00A315EC">
        <w:rPr>
          <w:color w:val="000000"/>
        </w:rPr>
        <w:t xml:space="preserve">is important to consider that </w:t>
      </w:r>
      <w:r w:rsidR="003D59E2">
        <w:rPr>
          <w:color w:val="000000"/>
        </w:rPr>
        <w:t xml:space="preserve">these </w:t>
      </w:r>
      <w:r w:rsidR="00D06FD2" w:rsidRPr="00A315EC">
        <w:rPr>
          <w:color w:val="000000"/>
        </w:rPr>
        <w:t>differences in experimental paradigms are almost certainly responsible for the marked differences between these three studies and the numerous others demonstrating degradation of EF at high intensities</w:t>
      </w:r>
      <w:r>
        <w:rPr>
          <w:color w:val="000000"/>
        </w:rPr>
        <w:t xml:space="preserve"> when measured concomitantly with exercise</w:t>
      </w:r>
      <w:r w:rsidR="00D06FD2" w:rsidRPr="00A315EC">
        <w:rPr>
          <w:color w:val="000000"/>
        </w:rPr>
        <w:t>.</w:t>
      </w:r>
    </w:p>
    <w:p w14:paraId="16C9E2BB" w14:textId="77777777" w:rsidR="00E37559" w:rsidRDefault="00F763CE" w:rsidP="005A36E0">
      <w:pPr>
        <w:pBdr>
          <w:top w:val="nil"/>
          <w:left w:val="nil"/>
          <w:bottom w:val="nil"/>
          <w:right w:val="nil"/>
          <w:between w:val="nil"/>
        </w:pBdr>
        <w:spacing w:before="1" w:line="480" w:lineRule="auto"/>
        <w:ind w:firstLine="720"/>
        <w:jc w:val="both"/>
        <w:rPr>
          <w:color w:val="000000"/>
        </w:rPr>
      </w:pPr>
      <w:r>
        <w:rPr>
          <w:color w:val="000000"/>
        </w:rPr>
        <w:t xml:space="preserve">Significantly, the supposition that cognition will suffer during </w:t>
      </w:r>
      <w:r w:rsidR="00BA1780">
        <w:rPr>
          <w:color w:val="000000"/>
        </w:rPr>
        <w:t>high-intensity</w:t>
      </w:r>
      <w:r>
        <w:rPr>
          <w:color w:val="000000"/>
        </w:rPr>
        <w:t xml:space="preserve"> exercise is underpinned by sound theoretical backing. Specifically, these findings align</w:t>
      </w:r>
      <w:r w:rsidR="0042298D" w:rsidRPr="00A315EC">
        <w:rPr>
          <w:color w:val="000000"/>
        </w:rPr>
        <w:t xml:space="preserve"> with theoretical positions modeling aspects of cognition as belonging to a limited resources system </w:t>
      </w:r>
      <w:r w:rsidR="00BD260D">
        <w:rPr>
          <w:color w:val="000000"/>
        </w:rPr>
        <w:fldChar w:fldCharType="begin"/>
      </w:r>
      <w:r w:rsidR="00BD260D">
        <w:rPr>
          <w:color w:val="000000"/>
        </w:rPr>
        <w:instrText xml:space="preserve"> ADDIN ZOTERO_ITEM CSL_CITATION {"citationID":"R6muJAN7","properties":{"formattedCitation":"(Gailliot, 2008; Matthews, 2009; Matthews et al., 2000; Wickens et al., 2015)","plainCitation":"(Gailliot, 2008; Matthews, 2009; Matthews et al., 2000; Wickens et al., 2015)","noteIndex":0},"citationItems":[{"id":4422,"uris":["http://zotero.org/users/3430614/items/G8D2RHVG"],"itemData":{"id":4422,"type":"article-journal","abstract":"Past work suggests that executive functioning relies on glucose as a depletable energy, such that executive functioning uses a relatively large amount of glucose and is impaired when glucose is low. Glucose from the bloodstream is one energy source for the brain, and glucose stored in the brain as glycogen is another. A review of the literature on glycogen suggests that executive functioning uses it in much the same way as glucose, such that executive functioning uses glycogen and is impaired when glycogen is low. Findings on stress, physical persistence, glucose tolerance, diabetes, sleep, heat, and other topics provide general support for this view.","container-title":"Perspectives on Psychological Science","DOI":"10.1111/j.1745-6924.2008.00077.x","ISSN":"1745-6916","issue":"4","journalAbbreviation":"Perspect Psychol Sci","note":"publisher: SAGE Publications Inc","page":"245-263","source":"SAGE Journals","title":"Unlocking the Energy Dynamics of Executive Functioning: Linking Executive Functioning to Brain Glycogen","title-short":"Unlocking the Energy Dynamics of Executive Functioning","volume":"3","author":[{"family":"Gailliot","given":"Matthew T."}],"issued":{"date-parts":[["2008",7,1]]}}},{"id":4387,"uris":["http://zotero.org/users/3430614/items/NZDJCNIX"],"itemData":{"id":4387,"type":"chapter","container-title":"The Cambridge Handbook of Personality psychology","ISBN":"1-108-27122-7","page":"400-426","publisher":"Cambridge University Press","title":"Personality and Performance: Cognitive Processes and Models","author":[{"family":"Matthews","given":"Gerald"}],"issued":{"date-parts":[["2009"]]}}},{"id":688,"uris":["http://zotero.org/users/3430614/items/U94NZC42"],"itemData":{"id":688,"type":"book","publisher":"Psychology Press","source":"Google Scholar","title":"Human performance: Cognition, stress, and individual differences","title-short":"Human performance","author":[{"family":"Matthews","given":"Gerald"},{"family":"Davies","given":"D. Roy"},{"family":"Stammers","given":"Rob B."},{"family":"Westerman","given":"Steve J."}],"issued":{"date-parts":[["2000"]]}}},{"id":4388,"uris":["http://zotero.org/users/3430614/items/75YJ87NF"],"itemData":{"id":4388,"type":"article-journal","ISSN":"1315665174","note":"publisher: Psychology Press","title":"Engineering Psychology and Human Performance","author":[{"family":"Wickens","given":"Christopher D"},{"family":"Hollands","given":"Justin G"},{"family":"Banbury","given":"Simon"},{"family":"Parasuraman","given":"Raja"}],"issued":{"date-parts":[["2015"]]}}}],"schema":"https://github.com/citation-style-language/schema/raw/master/csl-citation.json"} </w:instrText>
      </w:r>
      <w:r w:rsidR="00BD260D">
        <w:rPr>
          <w:color w:val="000000"/>
        </w:rPr>
        <w:fldChar w:fldCharType="separate"/>
      </w:r>
      <w:r w:rsidR="00BD260D">
        <w:rPr>
          <w:noProof/>
          <w:color w:val="000000"/>
        </w:rPr>
        <w:t>(Gailliot, 2008; Matthews, 2009; Matthews et al., 2000; Wickens et al., 2015)</w:t>
      </w:r>
      <w:r w:rsidR="00BD260D">
        <w:rPr>
          <w:color w:val="000000"/>
        </w:rPr>
        <w:fldChar w:fldCharType="end"/>
      </w:r>
      <w:r w:rsidR="00BD260D">
        <w:rPr>
          <w:color w:val="000000"/>
        </w:rPr>
        <w:t>.</w:t>
      </w:r>
      <w:r w:rsidR="00BA1780">
        <w:rPr>
          <w:color w:val="000000"/>
        </w:rPr>
        <w:t xml:space="preserve"> </w:t>
      </w:r>
      <w:r w:rsidR="0042298D" w:rsidRPr="00A315EC">
        <w:rPr>
          <w:color w:val="000000"/>
        </w:rPr>
        <w:t>This perspective posits that individuals have a bounded capacity to meet cognitive demands, and performance decrements occur when the task demands exceed the available resources. This perspective is strengthened by the physiological evidence that the brain operates using a finite supply of energy</w:t>
      </w:r>
      <w:r w:rsidR="00BD260D">
        <w:rPr>
          <w:color w:val="000000"/>
        </w:rPr>
        <w:t xml:space="preserve"> </w:t>
      </w:r>
      <w:r w:rsidR="00BD260D">
        <w:rPr>
          <w:color w:val="000000"/>
        </w:rPr>
        <w:fldChar w:fldCharType="begin"/>
      </w:r>
      <w:r w:rsidR="00BD260D">
        <w:rPr>
          <w:color w:val="000000"/>
        </w:rPr>
        <w:instrText xml:space="preserve"> ADDIN ZOTERO_ITEM CSL_CITATION {"citationID":"kkogC7Uc","properties":{"formattedCitation":"(Attwell &amp; Laughlin, 2001; Bruckmaier et al., 2020; Lennie, 2003)","plainCitation":"(Attwell &amp; Laughlin, 2001; Bruckmaier et al., 2020; Lennie, 2003)","noteIndex":0},"citationItems":[{"id":4412,"uris":["http://zotero.org/users/3430614/items/L2AMUIJ8"],"itemData":{"id":4412,"type":"article-journal","abstract":"Anatomic and physiologic data are used to analyze the energy expenditure on different components of excitatory signaling in the grey matter of rodent brain. Action potentials and postsynaptic effects of glutamate are predicted to consume much of the energy (47% and 34%, respectively), with the resting potential consuming a smaller amount (13%), and glutamate recycling using only 3%. Energy usage depends strongly on action potential rate?an increase in activity of 1 action potential/cortical neuron/s will raise oxygen consumption by 145 mL/100 g grey matter/h. The energy expended on signaling is a large fraction of the total energy used by the brain; this favors the use of energy efficient neural codes and wiring patterns. Our estimates of energy usage predict the use of distributed codes, with ≤15% of neurons simultaneously active, to reduce energy consumption and allow greater computing power from a fixed number of neurons. Functional magnetic resonance imaging signals are likely to be dominated by changes in energy usage associated with synaptic currents and action potential propagation.","container-title":"Journal of Cerebral Blood Flow &amp; Metabolism","DOI":"10.1097/00004647-200110000-00001","ISSN":"0271-678X","issue":"10","journalAbbreviation":"J Cereb Blood Flow Metab","note":"publisher: SAGE Publications Ltd STM","page":"1133-1145","source":"SAGE Journals","title":"An Energy Budget for Signaling in the Grey Matter of the Brain","volume":"21","author":[{"family":"Attwell","given":"David"},{"family":"Laughlin","given":"Simon B."}],"issued":{"date-parts":[["2001",10,1]]}}},{"id":4411,"uris":["http://zotero.org/users/3430614/items/KEFNBIBS"],"itemData":{"id":4411,"type":"article-journal","container-title":"The Journal of Neuroscience","DOI":"10.1523/JNEUROSCI.2368-19.2020","ISSN":"0270-6474, 1529-2401","issue":"35","journalAbbreviation":"J. Neurosci.","language":"en","page":"6801-6811","source":"DOI.org (Crossref)","title":"Attention and Capacity Limits in Perception: A Cellular Metabolism Account","title-short":"Attention and Capacity Limits in Perception","volume":"40","author":[{"family":"Bruckmaier","given":"Merit"},{"family":"Tachtsidis","given":"Ilias"},{"family":"Phan","given":"Phong"},{"family":"Lavie","given":"Nilli"}],"issued":{"date-parts":[["2020",8,26]]}}},{"id":4415,"uris":["http://zotero.org/users/3430614/items/3BQCMDUE"],"itemData":{"id":4415,"type":"article-journal","abstract":"Electrophysiological recordings show that individual neurons in cortex are strongly activated when engaged in appropriate tasks, but they tell us little about how many neurons might be engaged by a task, which is important to know if we are to understand how cortex encodes information. For human cortex, I estimate the cost of individual spikes, then, from the known energy consumption of cortex, I establish how many neurons can be active concurrently. The cost of a single spike is high, and this severely limits, possibly to fewer than 1%, the number of neurons that can be substantially active concurrently. The high cost of spikes requires the brain not only to use representational codes that rely on very few active neurons, but also to allocate its energy resources flexibly among cortical regions according to task demand. The latter constraint explains the investment in local control of hemodynamics, exploited by functional magnetic resonance imaging, and the need for mechanisms of selective attention.","container-title":"Current Biology","DOI":"10.1016/S0960-9822(03)00135-0","ISSN":"09609822","issue":"6","journalAbbreviation":"Current Biology","language":"en","page":"493-497","source":"DOI.org (Crossref)","title":"The Cost of Cortical Computation","volume":"13","author":[{"family":"Lennie","given":"Peter"}],"issued":{"date-parts":[["2003",3]]}}}],"schema":"https://github.com/citation-style-language/schema/raw/master/csl-citation.json"} </w:instrText>
      </w:r>
      <w:r w:rsidR="00BD260D">
        <w:rPr>
          <w:color w:val="000000"/>
        </w:rPr>
        <w:fldChar w:fldCharType="separate"/>
      </w:r>
      <w:r w:rsidR="00BD260D">
        <w:rPr>
          <w:noProof/>
          <w:color w:val="000000"/>
        </w:rPr>
        <w:t>(Attwell &amp; Laughlin, 2001; Bruckmaier et al., 2020; Lennie, 2003)</w:t>
      </w:r>
      <w:r w:rsidR="00BD260D">
        <w:rPr>
          <w:color w:val="000000"/>
        </w:rPr>
        <w:fldChar w:fldCharType="end"/>
      </w:r>
      <w:r w:rsidR="00BD260D">
        <w:rPr>
          <w:color w:val="000000"/>
        </w:rPr>
        <w:t xml:space="preserve">. </w:t>
      </w:r>
      <w:r w:rsidR="0042298D" w:rsidRPr="00A315EC">
        <w:rPr>
          <w:color w:val="000000"/>
        </w:rPr>
        <w:t>Thus, the more energetically expensive a task, the fewer resources available for processing or attending to concurrent tasks or additional environmental stimuli.</w:t>
      </w:r>
      <w:r w:rsidR="0042298D">
        <w:rPr>
          <w:color w:val="000000"/>
        </w:rPr>
        <w:t xml:space="preserve"> </w:t>
      </w:r>
    </w:p>
    <w:p w14:paraId="299CAB1D" w14:textId="37B7872F" w:rsidR="005A36E0" w:rsidRDefault="0042298D" w:rsidP="005A36E0">
      <w:pPr>
        <w:pBdr>
          <w:top w:val="nil"/>
          <w:left w:val="nil"/>
          <w:bottom w:val="nil"/>
          <w:right w:val="nil"/>
          <w:between w:val="nil"/>
        </w:pBdr>
        <w:spacing w:before="1" w:line="480" w:lineRule="auto"/>
        <w:ind w:firstLine="720"/>
        <w:jc w:val="both"/>
        <w:rPr>
          <w:color w:val="000000"/>
        </w:rPr>
      </w:pPr>
      <w:r>
        <w:rPr>
          <w:color w:val="000000"/>
        </w:rPr>
        <w:t>Due to the effortful nature of EF, activation and utilization of the EF systems, compared to the cognitive processes considered to be automatic or unconscious, are more energetically costly</w:t>
      </w:r>
      <w:r w:rsidR="00F763CE">
        <w:rPr>
          <w:color w:val="000000"/>
        </w:rPr>
        <w:t xml:space="preserve"> </w:t>
      </w:r>
      <w:r w:rsidR="00BD260D">
        <w:rPr>
          <w:color w:val="000000"/>
        </w:rPr>
        <w:fldChar w:fldCharType="begin"/>
      </w:r>
      <w:r w:rsidR="00BD260D">
        <w:rPr>
          <w:color w:val="000000"/>
        </w:rPr>
        <w:instrText xml:space="preserve"> ADDIN ZOTERO_ITEM CSL_CITATION {"citationID":"wbIRoLna","properties":{"formattedCitation":"(Gailliot, 2008; Tomasi et al., 2013)","plainCitation":"(Gailliot, 2008; Tomasi et al., 2013)","noteIndex":0},"citationItems":[{"id":4422,"uris":["http://zotero.org/users/3430614/items/G8D2RHVG"],"itemData":{"id":4422,"type":"article-journal","abstract":"Past work suggests that executive functioning relies on glucose as a depletable energy, such that executive functioning uses a relatively large amount of glucose and is impaired when glucose is low. Glucose from the bloodstream is one energy source for the brain, and glucose stored in the brain as glycogen is another. A review of the literature on glycogen suggests that executive functioning uses it in much the same way as glucose, such that executive functioning uses glycogen and is impaired when glycogen is low. Findings on stress, physical persistence, glucose tolerance, diabetes, sleep, heat, and other topics provide general support for this view.","container-title":"Perspectives on Psychological Science","DOI":"10.1111/j.1745-6924.2008.00077.x","ISSN":"1745-6916","issue":"4","journalAbbreviation":"Perspect Psychol Sci","note":"publisher: SAGE Publications Inc","page":"245-263","source":"SAGE Journals","title":"Unlocking the Energy Dynamics of Executive Functioning: Linking Executive Functioning to Brain Glycogen","title-short":"Unlocking the Energy Dynamics of Executive Functioning","volume":"3","author":[{"family":"Gailliot","given":"Matthew T."}],"issued":{"date-parts":[["2008",7,1]]}}},{"id":4946,"uris":["http://zotero.org/users/3430614/items/EP95TCWY"],"itemData":{"id":4946,"type":"article-journal","abstract":"The brain's functional connectivity is complex, has high energetic cost, and requires efficient use of glucose, the brain's main energy source. It has been proposed that regions with a high degree of functional connectivity are energy efficient and can minimize consumption of glucose. However, the relationship between functional connectivity and energy consumption in the brain is poorly understood. To address this neglect, here we propose a simple model for the energy demands of brain functional connectivity, which we tested with positron emission tomography and MRI in 54 healthy volunteers at rest. Higher glucose metabolism was associated with proportionally larger MRI signal amplitudes, and a higher degree of connectivity was associated with nonlinear increases in metabolism, supporting our hypothesis for the energy efficiency of the connectivity hubs. Basal metabolism (in the absence of connectivity) accounted for 30% of brain glucose utilization, which suggests that the spontaneous brain activity accounts for 70% of the energy consumed by the brain. The energy efficiency of the connectivity hubs was higher for ventral precuneus, cerebellum, and subcortical hubs than for cortical hubs. The higher energy demands of brain communication that hinges upon higher connectivity could render brain hubs more vulnerable to deficits in energy delivery or utilization and help explain their sensitivity to neurodegenerative conditions, such as Alzheimer’s disease.","container-title":"Proceedings of the National Academy of Sciences","DOI":"10.1073/pnas.1303346110","issue":"33","note":"publisher: Proceedings of the National Academy of Sciences","page":"13642-13647","source":"pnas.org (Atypon)","title":"Energetic cost of brain functional connectivity","volume":"110","author":[{"family":"Tomasi","given":"Dardo"},{"family":"Wang","given":"Gene-Jack"},{"family":"Volkow","given":"Nora D."}],"issued":{"date-parts":[["2013",8,13]]}}}],"schema":"https://github.com/citation-style-language/schema/raw/master/csl-citation.json"} </w:instrText>
      </w:r>
      <w:r w:rsidR="00BD260D">
        <w:rPr>
          <w:color w:val="000000"/>
        </w:rPr>
        <w:fldChar w:fldCharType="separate"/>
      </w:r>
      <w:r w:rsidR="00BD260D">
        <w:rPr>
          <w:noProof/>
          <w:color w:val="000000"/>
        </w:rPr>
        <w:t>(Gailliot, 2008; Tomasi et al., 2013)</w:t>
      </w:r>
      <w:r w:rsidR="00BD260D">
        <w:rPr>
          <w:color w:val="000000"/>
        </w:rPr>
        <w:fldChar w:fldCharType="end"/>
      </w:r>
      <w:r w:rsidR="00BD260D">
        <w:rPr>
          <w:color w:val="000000"/>
        </w:rPr>
        <w:t xml:space="preserve">. </w:t>
      </w:r>
      <w:r w:rsidRPr="00A315EC">
        <w:rPr>
          <w:color w:val="000000"/>
        </w:rPr>
        <w:t>Notably, exercise exact</w:t>
      </w:r>
      <w:r w:rsidR="00FF05D6">
        <w:rPr>
          <w:color w:val="000000"/>
        </w:rPr>
        <w:t>s</w:t>
      </w:r>
      <w:r w:rsidRPr="00A315EC">
        <w:rPr>
          <w:color w:val="000000"/>
        </w:rPr>
        <w:t xml:space="preserve"> heavy bioenergetic tolls, </w:t>
      </w:r>
      <w:r w:rsidR="00FF05D6">
        <w:rPr>
          <w:color w:val="000000"/>
        </w:rPr>
        <w:t>and the idea that</w:t>
      </w:r>
      <w:r w:rsidRPr="00A315EC">
        <w:rPr>
          <w:color w:val="000000"/>
        </w:rPr>
        <w:t xml:space="preserve"> the competition of these processes has been speculated to underlie the </w:t>
      </w:r>
      <w:r w:rsidR="00BA1780">
        <w:rPr>
          <w:color w:val="000000"/>
        </w:rPr>
        <w:t>tradeoffs</w:t>
      </w:r>
      <w:r w:rsidRPr="00A315EC">
        <w:rPr>
          <w:color w:val="000000"/>
        </w:rPr>
        <w:t xml:space="preserve"> between </w:t>
      </w:r>
      <w:r w:rsidRPr="00A315EC">
        <w:rPr>
          <w:color w:val="000000"/>
        </w:rPr>
        <w:lastRenderedPageBreak/>
        <w:t xml:space="preserve">cognition and maintenance of exercise at high intensities </w:t>
      </w:r>
      <w:r w:rsidR="00FF05D6">
        <w:rPr>
          <w:color w:val="000000"/>
        </w:rPr>
        <w:t xml:space="preserve">has received empirical support </w:t>
      </w:r>
      <w:r w:rsidRPr="00A315EC">
        <w:rPr>
          <w:color w:val="000000"/>
        </w:rPr>
        <w:t xml:space="preserve">(Dietrich &amp; </w:t>
      </w:r>
      <w:proofErr w:type="spellStart"/>
      <w:r w:rsidRPr="00A315EC">
        <w:rPr>
          <w:color w:val="000000"/>
        </w:rPr>
        <w:t>Audiffren</w:t>
      </w:r>
      <w:proofErr w:type="spellEnd"/>
      <w:r w:rsidRPr="00A315EC">
        <w:rPr>
          <w:color w:val="000000"/>
        </w:rPr>
        <w:t>, 2011; Stone et al., 2020).</w:t>
      </w:r>
    </w:p>
    <w:p w14:paraId="5C8174C0" w14:textId="22826356" w:rsidR="005A36E0" w:rsidRPr="00FF05D6" w:rsidRDefault="00FF05D6" w:rsidP="00FF05D6">
      <w:pPr>
        <w:pBdr>
          <w:top w:val="nil"/>
          <w:left w:val="nil"/>
          <w:bottom w:val="nil"/>
          <w:right w:val="nil"/>
          <w:between w:val="nil"/>
        </w:pBdr>
        <w:spacing w:before="1" w:line="480" w:lineRule="auto"/>
        <w:jc w:val="both"/>
        <w:rPr>
          <w:b/>
          <w:bCs/>
          <w:i/>
          <w:iCs/>
          <w:color w:val="000000"/>
        </w:rPr>
      </w:pPr>
      <w:r>
        <w:rPr>
          <w:b/>
          <w:bCs/>
          <w:i/>
          <w:iCs/>
          <w:color w:val="000000"/>
        </w:rPr>
        <w:t>Variations in During and Post-Exercise Task Administration</w:t>
      </w:r>
    </w:p>
    <w:p w14:paraId="30007B2C" w14:textId="7E65CD6A" w:rsidR="00C32B78" w:rsidRDefault="00E752FE" w:rsidP="00E752FE">
      <w:pPr>
        <w:widowControl w:val="0"/>
        <w:pBdr>
          <w:top w:val="nil"/>
          <w:left w:val="nil"/>
          <w:bottom w:val="nil"/>
          <w:right w:val="nil"/>
          <w:between w:val="nil"/>
        </w:pBdr>
        <w:spacing w:line="480" w:lineRule="auto"/>
        <w:ind w:firstLine="720"/>
        <w:rPr>
          <w:color w:val="000000"/>
        </w:rPr>
      </w:pPr>
      <w:r>
        <w:rPr>
          <w:color w:val="000000"/>
        </w:rPr>
        <w:t>The timing of cognitive task administration must also be considered</w:t>
      </w:r>
      <w:r w:rsidR="00FA4DB9">
        <w:rPr>
          <w:color w:val="000000"/>
        </w:rPr>
        <w:t xml:space="preserve"> in addition to intensity when differentiating between studies focused on the impact of acute exercise. While a</w:t>
      </w:r>
      <w:r w:rsidR="00410E17">
        <w:rPr>
          <w:color w:val="000000"/>
        </w:rPr>
        <w:t xml:space="preserve"> relatively recent</w:t>
      </w:r>
      <w:r w:rsidR="00FA4DB9">
        <w:rPr>
          <w:color w:val="000000"/>
        </w:rPr>
        <w:t xml:space="preserve"> meta-analysis conducted by</w:t>
      </w:r>
      <w:r w:rsidR="00BD260D">
        <w:rPr>
          <w:color w:val="000000"/>
        </w:rPr>
        <w:t xml:space="preserve"> </w:t>
      </w:r>
      <w:r w:rsidR="00BD260D">
        <w:rPr>
          <w:color w:val="000000"/>
        </w:rPr>
        <w:fldChar w:fldCharType="begin"/>
      </w:r>
      <w:r w:rsidR="00996563">
        <w:rPr>
          <w:color w:val="000000"/>
        </w:rPr>
        <w:instrText xml:space="preserve"> ADDIN ZOTERO_ITEM CSL_CITATION {"citationID":"vIsuG7ST","properties":{"formattedCitation":"(Moreau &amp; Chou, 2019)","plainCitation":"(Moreau &amp; Chou, 2019)","dontUpdate":true,"noteIndex":0},"citationItems":[{"id":4249,"uris":["http://zotero.org/users/3430614/items/NCXWQU8A"],"itemData":{"id":4249,"type":"article-journal","abstract":"High-intensity exercise has recently emerged as a potent alternative to aerobic regimens, with ramifications for health and brain function. As part of this trend, single sessions of intense exercise have been proposed as powerful, noninvasive means for transiently enhancing cognition. However, findings in this field remain mixed, and a thorough synthesis of the evidence is lacking. Here, we synthesized the literature in a meta-analysis of the acute effect of high-intensity exercise on executive function. We included a total of 1,177 participants and 147 effect sizes across 28 studies and found a small facilitating effect (d = 0.24) of high-intensity exercise on executive function. However, this effect was significant only compared with rest (d = 0.34); it was not significant when high-intensity exercise was compared with low-to-moderate intensity exercise (d = 0.07). This suggests that intense and moderate exercise affect executive function in a comparable manner. We tested a number of moderators that together explained a significant proportion of the between-studies variance. Overall, our findings indicate that high-intensity cardiovascular exercise might be a viable alternative for eliciting acute cognitive gains. We discuss the potential of this line of research, identify a number of challenges and limitations it faces, and propose applications to individuals, society, and policies.","container-title":"Perspectives on Psychological Science","DOI":"10.1177/1745691619850568","ISSN":"1745-6916","issue":"5","journalAbbreviation":"Perspect Psychol Sci","note":"publisher: SAGE Publications Inc","page":"734-764","source":"SAGE Journals","title":"The Acute Effect of High-Intensity Exercise on Executive Function: A Meta-Analysis","title-short":"The Acute Effect of High-Intensity Exercise on Executive Function","volume":"14","author":[{"family":"Moreau","given":"David"},{"family":"Chou","given":"Edward"}],"issued":{"date-parts":[["2019",9,1]]}}}],"schema":"https://github.com/citation-style-language/schema/raw/master/csl-citation.json"} </w:instrText>
      </w:r>
      <w:r w:rsidR="00BD260D">
        <w:rPr>
          <w:color w:val="000000"/>
        </w:rPr>
        <w:fldChar w:fldCharType="separate"/>
      </w:r>
      <w:r w:rsidR="00BD260D">
        <w:rPr>
          <w:noProof/>
          <w:color w:val="000000"/>
        </w:rPr>
        <w:t>Moreau and Chou (2019)</w:t>
      </w:r>
      <w:r w:rsidR="00BD260D">
        <w:rPr>
          <w:color w:val="000000"/>
        </w:rPr>
        <w:fldChar w:fldCharType="end"/>
      </w:r>
      <w:r w:rsidR="00FA4DB9">
        <w:rPr>
          <w:color w:val="000000"/>
        </w:rPr>
        <w:t xml:space="preserve"> lent some support for cognitive enhancement with vigorous acute exercise, it is important to note that their inclusion criteria stipulated that executive function tasks be administered </w:t>
      </w:r>
      <w:r w:rsidR="00FA4DB9" w:rsidRPr="00FF05D6">
        <w:rPr>
          <w:i/>
          <w:iCs/>
          <w:color w:val="000000"/>
        </w:rPr>
        <w:t>after</w:t>
      </w:r>
      <w:r w:rsidR="00FA4DB9">
        <w:rPr>
          <w:color w:val="000000"/>
        </w:rPr>
        <w:t xml:space="preserve"> the bout of exercise, with a primary study hypothesis centering on cognitive performance at least one minute following exercise cessation.</w:t>
      </w:r>
      <w:r w:rsidR="001F1CE6">
        <w:rPr>
          <w:color w:val="000000"/>
        </w:rPr>
        <w:t xml:space="preserve"> </w:t>
      </w:r>
    </w:p>
    <w:p w14:paraId="6F88FD4C" w14:textId="0CB0C06C" w:rsidR="00B779DD" w:rsidRDefault="00035C16" w:rsidP="00E752FE">
      <w:pPr>
        <w:widowControl w:val="0"/>
        <w:pBdr>
          <w:top w:val="nil"/>
          <w:left w:val="nil"/>
          <w:bottom w:val="nil"/>
          <w:right w:val="nil"/>
          <w:between w:val="nil"/>
        </w:pBdr>
        <w:spacing w:line="480" w:lineRule="auto"/>
        <w:ind w:firstLine="720"/>
        <w:rPr>
          <w:color w:val="000000"/>
        </w:rPr>
      </w:pPr>
      <w:r>
        <w:rPr>
          <w:color w:val="000000"/>
        </w:rPr>
        <w:t xml:space="preserve">Although these </w:t>
      </w:r>
      <w:r w:rsidR="001F1CE6">
        <w:rPr>
          <w:color w:val="000000"/>
        </w:rPr>
        <w:t xml:space="preserve">findings, which corroborate the results of Chang and colleagues (2012), </w:t>
      </w:r>
      <w:r w:rsidR="003D48FA">
        <w:rPr>
          <w:color w:val="000000"/>
        </w:rPr>
        <w:t xml:space="preserve">appear to support a small enhancement of exercise </w:t>
      </w:r>
      <w:r w:rsidR="00C32B78">
        <w:rPr>
          <w:color w:val="000000"/>
        </w:rPr>
        <w:t>of</w:t>
      </w:r>
      <w:r w:rsidR="003D48FA">
        <w:rPr>
          <w:color w:val="000000"/>
        </w:rPr>
        <w:t xml:space="preserve"> cognition</w:t>
      </w:r>
      <w:r w:rsidR="00C32B78">
        <w:rPr>
          <w:color w:val="000000"/>
        </w:rPr>
        <w:t xml:space="preserve"> in the acute post-exercise period</w:t>
      </w:r>
      <w:r w:rsidR="003D48FA">
        <w:rPr>
          <w:color w:val="000000"/>
        </w:rPr>
        <w:t xml:space="preserve">, it is important to consider that this finding in no way negates the studies demonstrating </w:t>
      </w:r>
      <w:r w:rsidR="00C32B78">
        <w:rPr>
          <w:color w:val="000000"/>
        </w:rPr>
        <w:t>significant</w:t>
      </w:r>
      <w:r w:rsidR="003D48FA">
        <w:rPr>
          <w:color w:val="000000"/>
        </w:rPr>
        <w:t xml:space="preserve"> decrements in executive function </w:t>
      </w:r>
      <w:r w:rsidR="003D48FA" w:rsidRPr="00FF05D6">
        <w:rPr>
          <w:i/>
          <w:iCs/>
          <w:color w:val="000000"/>
        </w:rPr>
        <w:t>during</w:t>
      </w:r>
      <w:r w:rsidR="003D48FA">
        <w:rPr>
          <w:color w:val="000000"/>
        </w:rPr>
        <w:t xml:space="preserve"> exercise. Given the proposed mechanisms by which vigorous activity induces cognitive decline, it is reasonable to consider that the cessation of exercise </w:t>
      </w:r>
      <w:r w:rsidR="003C3255">
        <w:rPr>
          <w:color w:val="000000"/>
        </w:rPr>
        <w:t xml:space="preserve">would allow for </w:t>
      </w:r>
      <w:r w:rsidR="00C32B78">
        <w:rPr>
          <w:color w:val="000000"/>
        </w:rPr>
        <w:t xml:space="preserve">a decreased drain on the mental and physiological resources </w:t>
      </w:r>
      <w:r w:rsidR="00BA1780">
        <w:rPr>
          <w:color w:val="000000"/>
        </w:rPr>
        <w:t>previously</w:t>
      </w:r>
      <w:r w:rsidR="00C32B78">
        <w:rPr>
          <w:color w:val="000000"/>
        </w:rPr>
        <w:t xml:space="preserve"> utilized to sustain </w:t>
      </w:r>
      <w:r w:rsidR="00BA1780">
        <w:rPr>
          <w:color w:val="000000"/>
        </w:rPr>
        <w:t>high-intensity</w:t>
      </w:r>
      <w:r w:rsidR="00C32B78">
        <w:rPr>
          <w:color w:val="000000"/>
        </w:rPr>
        <w:t xml:space="preserve"> movement.</w:t>
      </w:r>
      <w:r w:rsidR="00516B35">
        <w:rPr>
          <w:color w:val="000000"/>
        </w:rPr>
        <w:t xml:space="preserve"> </w:t>
      </w:r>
    </w:p>
    <w:p w14:paraId="175EC73C" w14:textId="367139D2" w:rsidR="003442EC" w:rsidRDefault="00516B35" w:rsidP="006B7E0F">
      <w:pPr>
        <w:widowControl w:val="0"/>
        <w:pBdr>
          <w:top w:val="nil"/>
          <w:left w:val="nil"/>
          <w:bottom w:val="nil"/>
          <w:right w:val="nil"/>
          <w:between w:val="nil"/>
        </w:pBdr>
        <w:spacing w:line="480" w:lineRule="auto"/>
        <w:ind w:firstLine="720"/>
        <w:rPr>
          <w:color w:val="000000"/>
        </w:rPr>
      </w:pPr>
      <w:r>
        <w:rPr>
          <w:color w:val="000000"/>
        </w:rPr>
        <w:t xml:space="preserve">For example, research indicates that </w:t>
      </w:r>
      <w:r w:rsidR="00D45768">
        <w:rPr>
          <w:color w:val="000000"/>
        </w:rPr>
        <w:t xml:space="preserve">initial </w:t>
      </w:r>
      <w:r>
        <w:rPr>
          <w:color w:val="000000"/>
        </w:rPr>
        <w:t xml:space="preserve">heart rate recovery in the immediate post-exercise period is rapid, particularly in healthy adult populations; this </w:t>
      </w:r>
      <w:r w:rsidR="00D45768">
        <w:rPr>
          <w:color w:val="000000"/>
        </w:rPr>
        <w:t xml:space="preserve">initial steep decrease in heart rate signals the transition back toward physiological homeostasis </w:t>
      </w:r>
      <w:r w:rsidR="005A36E0">
        <w:rPr>
          <w:color w:val="000000"/>
        </w:rPr>
        <w:t xml:space="preserve">via </w:t>
      </w:r>
      <w:r>
        <w:rPr>
          <w:color w:val="000000"/>
        </w:rPr>
        <w:t xml:space="preserve">both gradual decreases of sympathetic </w:t>
      </w:r>
      <w:r w:rsidR="00D45768">
        <w:rPr>
          <w:color w:val="000000"/>
        </w:rPr>
        <w:t>activation</w:t>
      </w:r>
      <w:r>
        <w:rPr>
          <w:color w:val="000000"/>
        </w:rPr>
        <w:t xml:space="preserve"> and reactivation of parasympathetic control</w:t>
      </w:r>
      <w:r w:rsidR="00BD260D">
        <w:rPr>
          <w:color w:val="000000"/>
        </w:rPr>
        <w:t xml:space="preserve"> </w:t>
      </w:r>
      <w:r w:rsidR="00BD260D">
        <w:rPr>
          <w:color w:val="000000"/>
        </w:rPr>
        <w:fldChar w:fldCharType="begin"/>
      </w:r>
      <w:r w:rsidR="00240A92">
        <w:rPr>
          <w:color w:val="000000"/>
        </w:rPr>
        <w:instrText xml:space="preserve"> ADDIN ZOTERO_ITEM CSL_CITATION {"citationID":"70TtjgjD","properties":{"formattedCitation":"(Borresen &amp; Lambert, 2008; Coote, 2010; Pe\\uc0\\u231{}anha et al., 2014)","plainCitation":"(Borresen &amp; Lambert, 2008; Coote, 2010; Peçanha et al., 2014)","noteIndex":0},"citationItems":[{"id":4992,"uris":["http://zotero.org/users/3430614/items/FASKSFJ4"],"itemData":{"id":4992,"type":"article-journal","abstract":"Endurance training decreases resting and submaximal heart rate, while maximum heart rate may decrease slightly or remain unchanged after training. The effect of endurance training on various indices of heart rate variability remains inconclusive. This may be due to the use of inconsistent analysis methodologies and different training programmes that make it difficult to compare the results of various studies and thus reach a consensus on the specific training effects on heart rate variability. Heart rate recovery after exercise involves a coordinated interaction of parasympathetic re-activation and sympathetic withdrawal. It has been shown that a delayed heart rate recovery is a strong predictor of mortality. Conversely, endurance-trained athletes have an accelerated heart rate recovery after exercise. Since the autonomic nervous system is interlinked with many other physiological systems, the responsiveness of the autonomic nervous system in maintaining homeostasis may provide useful information about the functional adaptations of the body. This review investigates the potential of using heart rate recovery as a measure of training-induced disturbances in autonomic control, which may provide useful information for training prescription.","container-title":"Sports Medicine","DOI":"10.2165/00007256-200838080-00002","ISSN":"1179-2035","issue":"8","journalAbbreviation":"Sports Med","language":"en","page":"633-646","source":"Springer Link","title":"Autonomic Control of Heart Rate during and after Exercise","volume":"38","author":[{"family":"Borresen","given":"Jill"},{"family":"Lambert","given":"Michael I."}],"issued":{"date-parts":[["2008",8,1]]}}},{"id":4950,"uris":["http://zotero.org/users/3430614/items/LFJR7EKS"],"itemData":{"id":4950,"type":"article-journal","abstract":"The Olympic biathlon is a very demanding physical event that requires high oxygen delivery, good cross-country skiing skills and skilful use of a rifle. Like all high-performance endurance athletes, high cardiac vagal tone is a characteristic and extends the range over which cardiac output can increase. In the biathlete, however, the enhanced vagal control of the heart also allows a strategy for better control of stability needed for accurately firing a rifle at the end of each lap of the race. The role of endurance training, central command, reflexes from muscle, and of the carotid-cardiac baroreceptor reflex in changing vagal tone during intense exercise and recovery is discussed.","container-title":"Experimental Physiology","DOI":"10.1113/expphysiol.2009.047548","ISSN":"1469-445X","issue":"3","journalAbbreviation":"Exp Physiol","language":"eng","note":"PMID: 19837772","page":"431-440","source":"PubMed","title":"Recovery of heart rate following intense dynamic exercise","volume":"95","author":[{"family":"Coote","given":"John H."}],"issued":{"date-parts":[["2010",3]]}}},{"id":4996,"uris":["http://zotero.org/users/3430614/items/IJBJ3UXR"],"itemData":{"id":4996,"type":"article-journal","abstract":"Cardiovascular disease (CVD) is the primary cause of mortality worldwide. Cardiac autonomic dysfunction seems to be related to the genesis of several CVDs and is also linked to the increased risk of mortality in CVD patients. The quantification of heart rate decrement after exercise – known as heart rate recovery (HRR) – is a simple tool for assessing cardiac autonomic activity in healthy and CVD patients. Furthermore, since The Cleveland Clinic studies, HRR has also been used as a powerful index for predicting mortality. For these reasons, in recent years, the scientific community has been interested in proposing methods and protocols to investigate HRR and understand its underlying mechanisms. The aim of this review is to discuss current knowledge about HRR, including its potential primary and secondary physiological determinants, as well as its role in predicting mortality. Published data show that HRR can be modelled by an exponential curve, with a fast and a slow decay component. HRR may be influenced by population and exercise characteristics. The fast component mainly seems to be dictated by the cardiac parasympathetic reactivation, probably promoted by the deactivation of central command and mechanoreflex inputs immediately after exercise cessation. On the other hand, the slow phase of HRR may be determined by cardiac sympathetic withdrawal, possibly via the deactivation of metaboreflex and thermoregulatory mechanisms. All these pathways seem to be impaired in CVD, helping to explain the slower HRR in such patients and the increased rate of mortality in individuals who present a slower HRR.","container-title":"Clinical Physiology and Functional Imaging","DOI":"10.1111/cpf.12102","ISSN":"1475-097X","issue":"5","language":"en","license":"© 2013 Scandinavian Society of Clinical Physiology and Nuclear Medicine. Published by John Wiley &amp; Sons Ltd","note":"_eprint: https://onlinelibrary.wiley.com/doi/pdf/10.1111/cpf.12102","page":"327-339","source":"Wiley Online Library","title":"Heart rate recovery: autonomic determinants, methods of assessment and association with mortality and cardiovascular diseases","title-short":"Heart rate recovery","volume":"34","author":[{"family":"Peçanha","given":"Tiago"},{"family":"Silva-Júnior","given":"Natan Daniel"},{"family":"Forjaz","given":"Cláudia Lúcia de Moraes"}],"issued":{"date-parts":[["2014"]]}}}],"schema":"https://github.com/citation-style-language/schema/raw/master/csl-citation.json"} </w:instrText>
      </w:r>
      <w:r w:rsidR="00BD260D">
        <w:rPr>
          <w:color w:val="000000"/>
        </w:rPr>
        <w:fldChar w:fldCharType="separate"/>
      </w:r>
      <w:r w:rsidR="00240A92" w:rsidRPr="00240A92">
        <w:rPr>
          <w:color w:val="000000"/>
        </w:rPr>
        <w:t>(Borresen &amp; Lambert, 2008; Coote, 2010; Peçanha et al., 2014)</w:t>
      </w:r>
      <w:r w:rsidR="00BD260D">
        <w:rPr>
          <w:color w:val="000000"/>
        </w:rPr>
        <w:fldChar w:fldCharType="end"/>
      </w:r>
      <w:r w:rsidR="00240A92">
        <w:rPr>
          <w:color w:val="000000"/>
        </w:rPr>
        <w:t xml:space="preserve">. </w:t>
      </w:r>
      <w:r w:rsidR="00AB04B4">
        <w:rPr>
          <w:color w:val="000000"/>
        </w:rPr>
        <w:t>While it is understood that energy demands remain elevated following exercise</w:t>
      </w:r>
      <w:r w:rsidR="00240A92">
        <w:rPr>
          <w:color w:val="000000"/>
        </w:rPr>
        <w:t xml:space="preserve"> </w:t>
      </w:r>
      <w:r w:rsidR="00240A92">
        <w:rPr>
          <w:color w:val="000000"/>
        </w:rPr>
        <w:fldChar w:fldCharType="begin"/>
      </w:r>
      <w:r w:rsidR="00996563">
        <w:rPr>
          <w:color w:val="000000"/>
        </w:rPr>
        <w:instrText xml:space="preserve"> ADDIN ZOTERO_ITEM CSL_CITATION {"citationID":"iu99QCJy","properties":{"formattedCitation":"(B\\uc0\\u248{}rsheim &amp; Bahr, 2003; POWERS &amp; JACKSON, 2008)","plainCitation":"(Børsheim &amp; Bahr, 2003; POWERS &amp; JACKSON, 2008)","dontUpdate":true,"noteIndex":0},"citationItems":[{"id":4957,"uris":["http://zotero.org/users/3430614/items/RWUGNWWZ"],"itemData":{"id":4957,"type":"article-journal","abstract":"In the recovery period after exercise there is an increase in oxygen uptake termed the ‘excess post-exercise oxygen consumption’ (EPOC), consisting of a rapid and a prolonged component. While some studies have shown that EPOC may last for several hours after exercise, others have concluded that EPOC is transient and minimal. The conflicting results may be resolved if differences in exercise intensity and duration are considered, since this may affect the metabolic processes underlying EPOC. Accordingly, the absence of a sustained EPOC after exercise seems to be a consistent finding in studies with low exercise intensity and/or duration. The magnitude of EPOC after aerobic exercise clearly depends on both the duration and intensity of exercise. A curvilinear relationship between the magnitude of EPOC and the intensity of the exercise bout has been found, whereas the relationship between exercise duration and EPOC magnitude appears to be more linear, especially at higher intensities.\nDifferences in exercise mode may potentially contribute to the discrepant findings of EPOC magnitude and duration. Studies with sufficient exercise challenges are needed to determine whether various aerobic exercise modes affect EPOC differently. The relationships between the intensity and duration of resistance exercise and the magnitude and duration of EPOC have not been determined, but a more prolonged and substantial EPOC has been found after hardversus moderate-resistance exercise. Thus, the intensity of resistance exercise seems to be of importance for EPOC.\nLastly, training status and sex may also potentially influence EPOC magnitude, but this may be problematic to determine. Still, it appears that trained individuals have a more rapid return of post-exercise metabolism to resting levels after exercising at either the same relative or absolute work rate; however, studies after more strenuous exercise bouts are needed. It is not determined if there is a sex effect on EPOC.\nFinally, while some of the mechanisms underlying the more rapid EPOC are well known (replenishment of oxygen stores, adenosine triphosphate/creatine phosphate resynthesis, lactate removal, and increased body temperature, circulation and ventilation), less is known about the mechanisms underlying the prolonged EPOC component. A sustained increased circulation, ventilation and body temperature may contribute, but the cost of this is low. An increased rate of triglyceride/fatty acid cycling and a shift from carbohydrate to fat as substrate source are of importance for the prolonged EPOC component after exhaustive aerobic exercise. Little is known about the mechanisms underlying EPOC after resistance exercise.","container-title":"Sports medicine (Auckland, N.Z.)","DOI":"10.2165/00007256-200333140-00002","journalAbbreviation":"Sports medicine (Auckland, N.Z.)","page":"1037-60","source":"ResearchGate","title":"Effect of Exercise Intensity, Duration and Mode on Post-Exercise Oxygen Consumption","volume":"33","author":[{"family":"Børsheim","given":"Elisabet"},{"family":"Bahr","given":"Roald"}],"issued":{"date-parts":[["2003",2,1]]}}},{"id":4960,"uris":["http://zotero.org/users/3430614/items/NGC84YGD"],"itemData":{"id":4960,"type":"article-journal","abstract":"The first suggestion that physical exercise results in free radical-mediated damage to tissues appeared in 1978, and the past three decades have resulted in a large growth of knowledge regarding exercise and oxidative stress. Although the sources of oxidant production during exercise continue to be debated, it is now well established that both resting and contracting skeletal muscles produce reactive oxygen species and reactive nitrogen species. Importantly, intense and prolonged exercise can result in oxidative damage to both proteins and lipids in the contracting myocytes. Furthermore, oxidants can modulate a number of cell signaling pathways and regulate the expression of multiple genes in eukaryotic cells. This oxidant-mediated change in gene expression involves changes at transcriptional, mRNA stability, and signal transduction levels. Furthermore, numerous products associated with oxidant-modulated genes have been identified and include antioxidant enzymes, stress proteins, DNA repair proteins, and mitochondrial electron transport proteins. Interestingly, low and physiological levels of reactive oxygen species are required for normal force production in skeletal muscle, but high levels of reactive oxygen species promote contractile dysfunction resulting in muscle weakness and fatigue. Ongoing research continues to probe the mechanisms by which oxidants influence skeletal muscle contractile properties and to explore interventions capable of protecting muscle from oxidant-mediated dysfunction.","container-title":"Physiological reviews","DOI":"10.1152/physrev.00031.2007","ISSN":"0031-9333","issue":"4","journalAbbreviation":"Physiol Rev","note":"PMID: 18923182\nPMCID: PMC2909187","page":"1243-1276","source":"PubMed Central","title":"Exercise-Induced Oxidative Stress: Cellular Mechanisms and Impact on Muscle Force Production","title-short":"Exercise-Induced Oxidative Stress","volume":"88","author":[{"family":"POWERS","given":"SCOTT K."},{"family":"JACKSON","given":"MALCOLM J."}],"issued":{"date-parts":[["2008",10]]}}}],"schema":"https://github.com/citation-style-language/schema/raw/master/csl-citation.json"} </w:instrText>
      </w:r>
      <w:r w:rsidR="00240A92">
        <w:rPr>
          <w:color w:val="000000"/>
        </w:rPr>
        <w:fldChar w:fldCharType="separate"/>
      </w:r>
      <w:r w:rsidR="00240A92" w:rsidRPr="00240A92">
        <w:rPr>
          <w:color w:val="000000"/>
        </w:rPr>
        <w:t>(Børsheim &amp; Bahr, 2003; P</w:t>
      </w:r>
      <w:r w:rsidR="00240A92">
        <w:rPr>
          <w:color w:val="000000"/>
        </w:rPr>
        <w:t>owers</w:t>
      </w:r>
      <w:r w:rsidR="00240A92" w:rsidRPr="00240A92">
        <w:rPr>
          <w:color w:val="000000"/>
        </w:rPr>
        <w:t xml:space="preserve"> &amp; J</w:t>
      </w:r>
      <w:r w:rsidR="00240A92">
        <w:rPr>
          <w:color w:val="000000"/>
        </w:rPr>
        <w:t>ackson</w:t>
      </w:r>
      <w:r w:rsidR="00240A92" w:rsidRPr="00240A92">
        <w:rPr>
          <w:color w:val="000000"/>
        </w:rPr>
        <w:t>, 2008)</w:t>
      </w:r>
      <w:r w:rsidR="00240A92">
        <w:rPr>
          <w:color w:val="000000"/>
        </w:rPr>
        <w:fldChar w:fldCharType="end"/>
      </w:r>
      <w:r w:rsidR="00240A92">
        <w:rPr>
          <w:color w:val="000000"/>
        </w:rPr>
        <w:t>,</w:t>
      </w:r>
      <w:r w:rsidR="00AB04B4">
        <w:rPr>
          <w:color w:val="000000"/>
        </w:rPr>
        <w:t xml:space="preserve"> these </w:t>
      </w:r>
      <w:r w:rsidR="00AB04B4">
        <w:rPr>
          <w:color w:val="000000"/>
        </w:rPr>
        <w:lastRenderedPageBreak/>
        <w:t xml:space="preserve">levels are still </w:t>
      </w:r>
      <w:r w:rsidR="008E12F3">
        <w:rPr>
          <w:color w:val="000000"/>
        </w:rPr>
        <w:t>far lower</w:t>
      </w:r>
      <w:r w:rsidR="00AB04B4">
        <w:rPr>
          <w:color w:val="000000"/>
        </w:rPr>
        <w:t xml:space="preserve"> </w:t>
      </w:r>
      <w:r w:rsidR="008E12F3">
        <w:rPr>
          <w:color w:val="000000"/>
        </w:rPr>
        <w:t>than</w:t>
      </w:r>
      <w:r w:rsidR="00AB04B4">
        <w:rPr>
          <w:color w:val="000000"/>
        </w:rPr>
        <w:t xml:space="preserve"> the immediate </w:t>
      </w:r>
      <w:r w:rsidR="008E12F3">
        <w:rPr>
          <w:color w:val="000000"/>
        </w:rPr>
        <w:t>metabolic resources</w:t>
      </w:r>
      <w:r w:rsidR="00AB04B4">
        <w:rPr>
          <w:color w:val="000000"/>
        </w:rPr>
        <w:t xml:space="preserve"> required to </w:t>
      </w:r>
      <w:r w:rsidR="008E12F3">
        <w:rPr>
          <w:color w:val="000000"/>
        </w:rPr>
        <w:t>continue</w:t>
      </w:r>
      <w:r w:rsidR="00AB04B4">
        <w:rPr>
          <w:color w:val="000000"/>
        </w:rPr>
        <w:t xml:space="preserve"> high</w:t>
      </w:r>
      <w:r w:rsidR="008E12F3">
        <w:rPr>
          <w:color w:val="000000"/>
        </w:rPr>
        <w:t>-</w:t>
      </w:r>
      <w:r w:rsidR="00AB04B4">
        <w:rPr>
          <w:color w:val="000000"/>
        </w:rPr>
        <w:t>intensity exercise</w:t>
      </w:r>
      <w:r w:rsidR="001F77A2">
        <w:rPr>
          <w:color w:val="000000"/>
        </w:rPr>
        <w:t xml:space="preserve">, both due to decreases in the mental and physiological demands associated with </w:t>
      </w:r>
      <w:r w:rsidR="00BA1780">
        <w:rPr>
          <w:color w:val="000000"/>
        </w:rPr>
        <w:t>high-intensity</w:t>
      </w:r>
      <w:r w:rsidR="001F77A2">
        <w:rPr>
          <w:color w:val="000000"/>
        </w:rPr>
        <w:t xml:space="preserve"> exercise </w:t>
      </w:r>
      <w:r w:rsidR="00240A92">
        <w:rPr>
          <w:color w:val="000000"/>
        </w:rPr>
        <w:fldChar w:fldCharType="begin"/>
      </w:r>
      <w:r w:rsidR="00240A92">
        <w:rPr>
          <w:color w:val="000000"/>
        </w:rPr>
        <w:instrText xml:space="preserve"> ADDIN ZOTERO_ITEM CSL_CITATION {"citationID":"la1oJUNc","properties":{"formattedCitation":"(Dalsgaard et al., 2003)","plainCitation":"(Dalsgaard et al., 2003)","noteIndex":0},"citationItems":[{"id":4419,"uris":["http://zotero.org/users/3430614/items/VHNR3RTB"],"itemData":{"id":4419,"type":"article-journal","abstract":"Maximal exercise reduces the cerebral metabolic ratio (O2/(glucose + 1/2lactate)) to &lt; 4 from a resting value close to 6, and only part of this decrease is explained by the ‘intent’ to exercise. This study evaluated whether sensory stimulation of brain by muscle ischaemia would reduce the cerebral metabolic ratio. In 10 healthy human subjects the cerebral arterial-venous differences (a-v differences) for O2, glucose and lactate were assessed before, during and after three bouts of 10 min cycling with equal workload: (1) control exercise at light intensity, (2) exercise that elicited a high rating of perceived exertion due to a 100 mmHg thigh cuff, and (3) exercise followed by 5 min of post-exercise muscle ischaemia that increased blood pressure by </w:instrText>
      </w:r>
      <w:r w:rsidR="00240A92">
        <w:rPr>
          <w:rFonts w:ascii="Cambria Math" w:hAnsi="Cambria Math" w:cs="Cambria Math"/>
          <w:color w:val="000000"/>
        </w:rPr>
        <w:instrText>∼</w:instrText>
      </w:r>
      <w:r w:rsidR="00240A92">
        <w:rPr>
          <w:color w:val="000000"/>
        </w:rPr>
        <w:instrText xml:space="preserve"> 20%. Control exercise did not significantly affect the a-v differences. However, during the recovery from exercise with thigh cuffs the cerebral metabolic ratio decreased from a resting value of 5.4 ± 0.2 to 4.0 ± 0.4 (mean ±s.e.m.. P &lt; 0.05) as a discrete lactate efflux from the brain at rest shifted to a slight uptake. Also, following post-exercise muscle ischaemia, the cerebral metabolic ratio decreased to 4.5 ± 0.3 (P &lt; 0.05). The results support the hypothesis that during exercise, cerebral metabolism is influenced both by the mental effort to exercise and by sensory input from skeletal muscles.","container-title":"Experimental Physiology","DOI":"10.1113/eph8802469","ISSN":"1469-445X","issue":"2","language":"en","note":"_eprint: https://physoc.onlinelibrary.wiley.com/doi/pdf/10.1113/eph8802469","page":"297-302","source":"Wiley Online Library","title":"Cerebral Metabolism is Influenced by Muscle Ischaemia During Exercise in Humans","volume":"88","author":[{"family":"Dalsgaard","given":"Mads K."},{"family":"Nybo","given":"Lars"},{"family":"Cai","given":"Yan"},{"family":"Secher","given":"Niels H."}],"issued":{"date-parts":[["2003"]]}}}],"schema":"https://github.com/citation-style-language/schema/raw/master/csl-citation.json"} </w:instrText>
      </w:r>
      <w:r w:rsidR="00240A92">
        <w:rPr>
          <w:color w:val="000000"/>
        </w:rPr>
        <w:fldChar w:fldCharType="separate"/>
      </w:r>
      <w:r w:rsidR="00240A92">
        <w:rPr>
          <w:noProof/>
          <w:color w:val="000000"/>
        </w:rPr>
        <w:t>(Dalsgaard et al., 2003)</w:t>
      </w:r>
      <w:r w:rsidR="00240A92">
        <w:rPr>
          <w:color w:val="000000"/>
        </w:rPr>
        <w:fldChar w:fldCharType="end"/>
      </w:r>
      <w:r w:rsidR="00240A92">
        <w:rPr>
          <w:color w:val="000000"/>
        </w:rPr>
        <w:t>.</w:t>
      </w:r>
      <w:r w:rsidR="006B7E0F">
        <w:rPr>
          <w:color w:val="000000"/>
        </w:rPr>
        <w:t xml:space="preserve"> Similarly, the discomfort associated with maximal exercise begins to subside when exercise is halted</w:t>
      </w:r>
      <w:r w:rsidR="00BA1780">
        <w:rPr>
          <w:color w:val="000000"/>
        </w:rPr>
        <w:t>,</w:t>
      </w:r>
      <w:r w:rsidR="006B7E0F">
        <w:rPr>
          <w:color w:val="000000"/>
        </w:rPr>
        <w:t xml:space="preserve"> considering </w:t>
      </w:r>
      <w:r w:rsidR="006B7E0F" w:rsidRPr="00A315EC">
        <w:rPr>
          <w:color w:val="000000"/>
        </w:rPr>
        <w:t>pain</w:t>
      </w:r>
      <w:r w:rsidR="006B7E0F">
        <w:rPr>
          <w:color w:val="000000"/>
        </w:rPr>
        <w:t xml:space="preserve"> and discomfort </w:t>
      </w:r>
      <w:r w:rsidR="00BA1780">
        <w:rPr>
          <w:color w:val="000000"/>
        </w:rPr>
        <w:t>have</w:t>
      </w:r>
      <w:r w:rsidR="006B7E0F">
        <w:rPr>
          <w:color w:val="000000"/>
        </w:rPr>
        <w:t xml:space="preserve"> also been shown to</w:t>
      </w:r>
      <w:r w:rsidR="006B7E0F" w:rsidRPr="00A315EC">
        <w:rPr>
          <w:color w:val="000000"/>
        </w:rPr>
        <w:t xml:space="preserve"> interfere with cognitive performance</w:t>
      </w:r>
      <w:r w:rsidR="00240A92">
        <w:rPr>
          <w:color w:val="000000"/>
        </w:rPr>
        <w:t xml:space="preserve"> </w:t>
      </w:r>
      <w:r w:rsidR="00240A92">
        <w:rPr>
          <w:color w:val="000000"/>
        </w:rPr>
        <w:fldChar w:fldCharType="begin"/>
      </w:r>
      <w:r w:rsidR="00240A92">
        <w:rPr>
          <w:color w:val="000000"/>
        </w:rPr>
        <w:instrText xml:space="preserve"> ADDIN ZOTERO_ITEM CSL_CITATION {"citationID":"qQ40sc9c","properties":{"formattedCitation":"(Lier et al., 2022)","plainCitation":"(Lier et al., 2022)","noteIndex":0},"citationItems":[{"id":4345,"uris":["http://zotero.org/users/3430614/items/HYF96H9U"],"itemData":{"id":4345,"type":"article-journal","abstract":"Objectives The interaction between pain and cognition includes a concurrent negative effect of pain on cognitive performance and an analgesic effect of cognitive distraction on pain experience. The purpose of this exploratory study was to investigate the role of pain intensity and task complexity on this interaction. Methods Two experiments were conducted in healthy volunteers. In both experiments, participants completed 3 conditions: a pain only condition (consisting of the cold pressor test), a cognition only condition (consisting of the cognitive task) and a combined condition (concurrent administration of the cold pressor and cognitive task). In experiment I, participants performed one out of three possible tasks that differed in cognitive load (low, medium, high). In experiment II the parameters of the pain stimulus, induced by a cold pressor test, were adapted and only the high load cognitive task was employed. Pain scores, reaction times, and accuracy rates were recorded. Results In experiment I, cognitive distraction significantly decreased pain scores, irrespective of the cognitive load of the task. Pain did not affect cognitive performance. In experiment II, pain diminished accuracy rates. No effect of cognitive distraction on pain was observed. Individual characteristics did not noticeably influence the interaction between pain and cognition. Conclusions The results of this study suggest a two-way interaction, however no evidence for a simultaneous bidirectional relationship was found. Cognitive distraction successfully reduces pain, up until a certain point where this relationship is reversed, and pain starts to interfere with cognitive performance. This may imply that priorities shift at a certain pain-threshold, however further research should confirm this hypothesis. This study could contribute to further understanding of cognitive mechanisms related to pain perception.","container-title":"Scandinavian Journal of Pain","DOI":"10.1515/sjpain-2021-0119","ISSN":"1877-8879","issue":"2","language":"en","note":"publisher: De Gruyter","page":"385-395","source":"www-degruyter-com.ezproxy.lib.ou.edu","title":"The interaction between pain and cognition: on the roles of task complexity and pain intensity","title-short":"The interaction between pain and cognition","volume":"22","author":[{"family":"Lier","given":"Elisabeth J."},{"family":"Rijn","given":"Clementina M.","dropping-particle":"van"},{"family":"Vries","given":"Marjan","dropping-particle":"de"},{"family":"Goor","given":"Harry","dropping-particle":"van"},{"family":"Oosterman","given":"Joukje M."}],"issued":{"date-parts":[["2022",4,1]]}}}],"schema":"https://github.com/citation-style-language/schema/raw/master/csl-citation.json"} </w:instrText>
      </w:r>
      <w:r w:rsidR="00240A92">
        <w:rPr>
          <w:color w:val="000000"/>
        </w:rPr>
        <w:fldChar w:fldCharType="separate"/>
      </w:r>
      <w:r w:rsidR="00240A92">
        <w:rPr>
          <w:noProof/>
          <w:color w:val="000000"/>
        </w:rPr>
        <w:t>(Lier et al., 2022)</w:t>
      </w:r>
      <w:r w:rsidR="00240A92">
        <w:rPr>
          <w:color w:val="000000"/>
        </w:rPr>
        <w:fldChar w:fldCharType="end"/>
      </w:r>
      <w:r w:rsidR="00240A92">
        <w:rPr>
          <w:color w:val="000000"/>
        </w:rPr>
        <w:t xml:space="preserve">, </w:t>
      </w:r>
      <w:r w:rsidR="006B7E0F">
        <w:rPr>
          <w:color w:val="000000"/>
        </w:rPr>
        <w:t>with these deficits becoming</w:t>
      </w:r>
      <w:r w:rsidR="006B7E0F" w:rsidRPr="00A315EC">
        <w:rPr>
          <w:color w:val="000000"/>
        </w:rPr>
        <w:t xml:space="preserve"> particularly salient when the degree of resources needed to accomplish the cognitive task </w:t>
      </w:r>
      <w:r w:rsidR="00BA1780">
        <w:rPr>
          <w:color w:val="000000"/>
        </w:rPr>
        <w:t>is</w:t>
      </w:r>
      <w:r w:rsidR="006B7E0F" w:rsidRPr="00A315EC">
        <w:rPr>
          <w:color w:val="000000"/>
        </w:rPr>
        <w:t xml:space="preserve"> high</w:t>
      </w:r>
      <w:r w:rsidR="00240A92">
        <w:rPr>
          <w:color w:val="000000"/>
        </w:rPr>
        <w:t xml:space="preserve"> </w:t>
      </w:r>
      <w:r w:rsidR="00240A92">
        <w:rPr>
          <w:color w:val="000000"/>
        </w:rPr>
        <w:fldChar w:fldCharType="begin"/>
      </w:r>
      <w:r w:rsidR="00240A92">
        <w:rPr>
          <w:color w:val="000000"/>
        </w:rPr>
        <w:instrText xml:space="preserve"> ADDIN ZOTERO_ITEM CSL_CITATION {"citationID":"PncUmxKD","properties":{"formattedCitation":"(Wagenaar-Tison et al., 2022)","plainCitation":"(Wagenaar-Tison et al., 2022)","noteIndex":0},"citationItems":[{"id":4461,"uris":["http://zotero.org/users/3430614/items/4PLBTBWQ"],"itemData":{"id":4461,"type":"article-journal","abstract":"Top–down processes allow the selection and prioritization of information by limiting attentional capture by distractors, and these mechanisms depend on task demands such as working memory (WM) load. However, bottom–up processes give salient stimuli a stronger neuronal representation and provoke attentional capture. The aim of this study was to examine the effect of salient nociceptive stimuli on WM while manipulating task demands. Twenty-one healthy participants performed a change detection task during which they had to determine whether 2 successive visual arrays were different or the same. Task demands were modulated by manipulating the WM load (set size included 2 or 4 objects to recall) and by the correspondence between the 2 successive visual arrays (change vs no change). Innocuous stimuli (control) or nociceptive stimuli (distractors) were delivered during the delay period between the 2 visual arrays. Contralateral delay activity and laser-evoked potentials were recorded to examine neural markers of visual WM and nociceptive processes. Nociceptive stimuli decreased WM performance depending on task demands (all P &lt; 0.05). Moreover, compared with control stimuli, nociceptive stimuli abolished the increase in contralateral delay activity amplitude for set size 4 vs set size 2 (P = 0.04). Consistent with these results, laser-evoked potential amplitude was not decreased when task demands were high (P = 0.5). These findings indicate that WM may shield cognition from nociceptive stimuli, but nociceptive stimuli disrupt WM and alter task performance when cognitive resources become insufficient to process all task-relevant information.","container-title":"PAIN","DOI":"10.1097/j.pain.0000000000002517","ISSN":"0304-3959","issue":"7","language":"en-US","page":"1335–1345","source":"journals-lww-com.ezproxy.lib.ou.edu","title":"Disruption of working memory and contralateral delay activity by nociceptive stimuli is modulated by task demands","volume":"163","author":[{"family":"Wagenaar-Tison","given":"Alice"},{"family":"Deldar","given":"Zoha"},{"family":"Northon","given":"Stéphane"},{"family":"Brisson","given":"Benoit"},{"family":"Blanchette","given":"Isabelle"},{"family":"Piché","given":"Mathieu"}],"issued":{"date-parts":[["2022",7]]}}}],"schema":"https://github.com/citation-style-language/schema/raw/master/csl-citation.json"} </w:instrText>
      </w:r>
      <w:r w:rsidR="00240A92">
        <w:rPr>
          <w:color w:val="000000"/>
        </w:rPr>
        <w:fldChar w:fldCharType="separate"/>
      </w:r>
      <w:r w:rsidR="00240A92">
        <w:rPr>
          <w:noProof/>
          <w:color w:val="000000"/>
        </w:rPr>
        <w:t>(Wagenaar-Tison et al., 2022)</w:t>
      </w:r>
      <w:r w:rsidR="00240A92">
        <w:rPr>
          <w:color w:val="000000"/>
        </w:rPr>
        <w:fldChar w:fldCharType="end"/>
      </w:r>
      <w:r w:rsidR="00240A92">
        <w:rPr>
          <w:color w:val="000000"/>
        </w:rPr>
        <w:t xml:space="preserve">, </w:t>
      </w:r>
      <w:r w:rsidR="006B7E0F">
        <w:rPr>
          <w:color w:val="000000"/>
        </w:rPr>
        <w:t xml:space="preserve">the uncomfortable nature of </w:t>
      </w:r>
      <w:r w:rsidR="00BA1780">
        <w:rPr>
          <w:color w:val="000000"/>
        </w:rPr>
        <w:t xml:space="preserve">the </w:t>
      </w:r>
      <w:r w:rsidR="006B7E0F">
        <w:rPr>
          <w:color w:val="000000"/>
        </w:rPr>
        <w:t>exercise is likely to elicit differential effects at high intensity compared to even to the few minutes following exercise.</w:t>
      </w:r>
    </w:p>
    <w:p w14:paraId="3308843C" w14:textId="4817DD7A" w:rsidR="00B779DD" w:rsidRDefault="00BA1780" w:rsidP="001F77A2">
      <w:pPr>
        <w:widowControl w:val="0"/>
        <w:pBdr>
          <w:top w:val="nil"/>
          <w:left w:val="nil"/>
          <w:bottom w:val="nil"/>
          <w:right w:val="nil"/>
          <w:between w:val="nil"/>
        </w:pBdr>
        <w:spacing w:line="480" w:lineRule="auto"/>
        <w:ind w:firstLine="720"/>
        <w:rPr>
          <w:color w:val="000000"/>
        </w:rPr>
      </w:pPr>
      <w:r>
        <w:rPr>
          <w:color w:val="000000"/>
        </w:rPr>
        <w:t>Considering</w:t>
      </w:r>
      <w:r w:rsidR="00B779DD">
        <w:rPr>
          <w:color w:val="000000"/>
        </w:rPr>
        <w:t xml:space="preserve"> </w:t>
      </w:r>
      <w:r w:rsidR="001F1CE6">
        <w:rPr>
          <w:color w:val="000000"/>
        </w:rPr>
        <w:t xml:space="preserve">the sound physiological principles </w:t>
      </w:r>
      <w:r>
        <w:rPr>
          <w:color w:val="000000"/>
        </w:rPr>
        <w:t>that</w:t>
      </w:r>
      <w:r w:rsidR="001F1CE6">
        <w:rPr>
          <w:color w:val="000000"/>
        </w:rPr>
        <w:t xml:space="preserve"> could account for </w:t>
      </w:r>
      <w:r w:rsidR="001F77A2">
        <w:rPr>
          <w:color w:val="000000"/>
        </w:rPr>
        <w:t>the consistent differences in conclusions regarding executive function measured during versus immediately following acute bouts of vigorous activity</w:t>
      </w:r>
      <w:r w:rsidR="005B5CFC">
        <w:rPr>
          <w:color w:val="000000"/>
        </w:rPr>
        <w:t xml:space="preserve">, </w:t>
      </w:r>
      <w:r w:rsidR="001F1CE6">
        <w:rPr>
          <w:color w:val="000000"/>
        </w:rPr>
        <w:t>it is logical to consider the impact of acute bouts of exercise during and following exercise separately.</w:t>
      </w:r>
      <w:r w:rsidR="00516B35">
        <w:rPr>
          <w:color w:val="000000"/>
        </w:rPr>
        <w:t xml:space="preserve"> </w:t>
      </w:r>
    </w:p>
    <w:p w14:paraId="4B6A472C" w14:textId="65531918" w:rsidR="006D7111" w:rsidRPr="009472F7" w:rsidRDefault="006D7111" w:rsidP="009472F7">
      <w:pPr>
        <w:widowControl w:val="0"/>
        <w:pBdr>
          <w:top w:val="nil"/>
          <w:left w:val="nil"/>
          <w:bottom w:val="nil"/>
          <w:right w:val="nil"/>
          <w:between w:val="nil"/>
        </w:pBdr>
        <w:spacing w:line="480" w:lineRule="auto"/>
        <w:rPr>
          <w:b/>
          <w:bCs/>
          <w:i/>
          <w:iCs/>
          <w:color w:val="000000"/>
        </w:rPr>
      </w:pPr>
      <w:r w:rsidRPr="006D7111">
        <w:rPr>
          <w:b/>
          <w:bCs/>
          <w:i/>
          <w:iCs/>
          <w:color w:val="000000"/>
        </w:rPr>
        <w:t>Identifying</w:t>
      </w:r>
      <w:r w:rsidRPr="009472F7">
        <w:rPr>
          <w:b/>
          <w:bCs/>
          <w:i/>
          <w:iCs/>
          <w:color w:val="000000"/>
        </w:rPr>
        <w:t xml:space="preserve"> Patterns and Drawing Conclusions</w:t>
      </w:r>
    </w:p>
    <w:p w14:paraId="4DF690DB" w14:textId="7CCC55F1" w:rsidR="00FA4DB9" w:rsidRDefault="00B779DD" w:rsidP="009472F7">
      <w:pPr>
        <w:widowControl w:val="0"/>
        <w:pBdr>
          <w:top w:val="nil"/>
          <w:left w:val="nil"/>
          <w:bottom w:val="nil"/>
          <w:right w:val="nil"/>
          <w:between w:val="nil"/>
        </w:pBdr>
        <w:spacing w:line="480" w:lineRule="auto"/>
        <w:ind w:firstLine="720"/>
        <w:rPr>
          <w:color w:val="000000"/>
        </w:rPr>
      </w:pPr>
      <w:r>
        <w:rPr>
          <w:color w:val="000000"/>
        </w:rPr>
        <w:t>The</w:t>
      </w:r>
      <w:r w:rsidR="00A81F2C" w:rsidRPr="00A315EC">
        <w:rPr>
          <w:color w:val="000000"/>
        </w:rPr>
        <w:t xml:space="preserve"> extant research in this domain points to a complex and heterogen</w:t>
      </w:r>
      <w:r w:rsidR="00EB2832">
        <w:rPr>
          <w:color w:val="000000"/>
        </w:rPr>
        <w:t>e</w:t>
      </w:r>
      <w:r w:rsidR="00A81F2C" w:rsidRPr="00A315EC">
        <w:rPr>
          <w:color w:val="000000"/>
        </w:rPr>
        <w:t xml:space="preserve">ous relationship between exercise and cognition impacted by </w:t>
      </w:r>
      <w:r w:rsidR="009D3A62">
        <w:rPr>
          <w:color w:val="000000"/>
        </w:rPr>
        <w:t>multiple factors</w:t>
      </w:r>
      <w:r w:rsidR="00A81F2C" w:rsidRPr="00A315EC">
        <w:rPr>
          <w:color w:val="000000"/>
        </w:rPr>
        <w:t xml:space="preserve">, including </w:t>
      </w:r>
      <w:r w:rsidR="007F4787">
        <w:rPr>
          <w:color w:val="000000"/>
        </w:rPr>
        <w:t xml:space="preserve">the </w:t>
      </w:r>
      <w:r w:rsidR="00A81F2C" w:rsidRPr="00A315EC">
        <w:rPr>
          <w:color w:val="000000"/>
        </w:rPr>
        <w:t xml:space="preserve">nature of the exercise under investigation, aspects of the cognitive task, and individual differences of the participants. </w:t>
      </w:r>
      <w:r w:rsidR="00FA4DB9">
        <w:rPr>
          <w:color w:val="000000"/>
        </w:rPr>
        <w:t xml:space="preserve">When </w:t>
      </w:r>
      <w:r w:rsidR="00DE3A3C">
        <w:rPr>
          <w:color w:val="000000"/>
        </w:rPr>
        <w:t xml:space="preserve">critically examined based on </w:t>
      </w:r>
      <w:r w:rsidR="001F1CE6">
        <w:rPr>
          <w:color w:val="000000"/>
        </w:rPr>
        <w:t>the aforementioned factors</w:t>
      </w:r>
      <w:r w:rsidR="00FA4DB9">
        <w:rPr>
          <w:color w:val="000000"/>
        </w:rPr>
        <w:t xml:space="preserve">, a few primary conclusions </w:t>
      </w:r>
      <w:r w:rsidR="00DE3A3C">
        <w:rPr>
          <w:color w:val="000000"/>
        </w:rPr>
        <w:t xml:space="preserve">about the acute exercise and cognition relationship </w:t>
      </w:r>
      <w:r w:rsidR="00FA4DB9">
        <w:rPr>
          <w:color w:val="000000"/>
        </w:rPr>
        <w:t>can be made:</w:t>
      </w:r>
    </w:p>
    <w:p w14:paraId="6E5FE20B" w14:textId="0F8352BE" w:rsidR="00FA4DB9" w:rsidRDefault="007F4787" w:rsidP="00FA4DB9">
      <w:pPr>
        <w:pStyle w:val="ListParagraph"/>
        <w:numPr>
          <w:ilvl w:val="0"/>
          <w:numId w:val="3"/>
        </w:numPr>
        <w:pBdr>
          <w:top w:val="nil"/>
          <w:left w:val="nil"/>
          <w:bottom w:val="nil"/>
          <w:right w:val="nil"/>
          <w:between w:val="nil"/>
        </w:pBdr>
        <w:spacing w:before="1" w:line="480" w:lineRule="auto"/>
        <w:jc w:val="both"/>
        <w:rPr>
          <w:color w:val="000000"/>
        </w:rPr>
      </w:pPr>
      <w:r>
        <w:rPr>
          <w:color w:val="000000"/>
        </w:rPr>
        <w:t>Executive function enhancement</w:t>
      </w:r>
      <w:r w:rsidR="00DE3A3C">
        <w:rPr>
          <w:color w:val="000000"/>
        </w:rPr>
        <w:t xml:space="preserve"> may </w:t>
      </w:r>
      <w:r>
        <w:rPr>
          <w:color w:val="000000"/>
        </w:rPr>
        <w:t>occur</w:t>
      </w:r>
      <w:r w:rsidR="00DE3A3C">
        <w:rPr>
          <w:color w:val="000000"/>
        </w:rPr>
        <w:t xml:space="preserve"> during low-moderate intensity exercises under some conditions and following </w:t>
      </w:r>
      <w:r>
        <w:rPr>
          <w:color w:val="000000"/>
        </w:rPr>
        <w:t>high-intensity</w:t>
      </w:r>
      <w:r w:rsidR="00DE3A3C">
        <w:rPr>
          <w:color w:val="000000"/>
        </w:rPr>
        <w:t xml:space="preserve"> exercise</w:t>
      </w:r>
      <w:r w:rsidR="001F1CE6">
        <w:rPr>
          <w:color w:val="000000"/>
        </w:rPr>
        <w:t xml:space="preserve"> when testing occurs at least </w:t>
      </w:r>
      <w:r>
        <w:rPr>
          <w:color w:val="000000"/>
        </w:rPr>
        <w:t>one</w:t>
      </w:r>
      <w:r w:rsidR="009D3A62">
        <w:rPr>
          <w:color w:val="000000"/>
        </w:rPr>
        <w:t xml:space="preserve"> </w:t>
      </w:r>
      <w:r>
        <w:rPr>
          <w:color w:val="000000"/>
        </w:rPr>
        <w:t>minute</w:t>
      </w:r>
      <w:r w:rsidR="001F1CE6">
        <w:rPr>
          <w:color w:val="000000"/>
        </w:rPr>
        <w:t xml:space="preserve"> following cessation</w:t>
      </w:r>
      <w:r w:rsidR="00DE3A3C">
        <w:rPr>
          <w:color w:val="000000"/>
        </w:rPr>
        <w:t>.</w:t>
      </w:r>
    </w:p>
    <w:p w14:paraId="166CAB82" w14:textId="0F3E5C73" w:rsidR="00FA4DB9" w:rsidRDefault="007F4787" w:rsidP="00D91BA9">
      <w:pPr>
        <w:pStyle w:val="ListParagraph"/>
        <w:numPr>
          <w:ilvl w:val="0"/>
          <w:numId w:val="3"/>
        </w:numPr>
        <w:pBdr>
          <w:top w:val="nil"/>
          <w:left w:val="nil"/>
          <w:bottom w:val="nil"/>
          <w:right w:val="nil"/>
          <w:between w:val="nil"/>
        </w:pBdr>
        <w:spacing w:before="1" w:line="480" w:lineRule="auto"/>
        <w:jc w:val="both"/>
        <w:rPr>
          <w:color w:val="000000"/>
        </w:rPr>
      </w:pPr>
      <w:r>
        <w:rPr>
          <w:color w:val="000000"/>
        </w:rPr>
        <w:lastRenderedPageBreak/>
        <w:t>Executive function degradation is</w:t>
      </w:r>
      <w:r w:rsidR="00DE3A3C">
        <w:rPr>
          <w:color w:val="000000"/>
        </w:rPr>
        <w:t xml:space="preserve"> likely present during </w:t>
      </w:r>
      <w:r>
        <w:rPr>
          <w:color w:val="000000"/>
        </w:rPr>
        <w:t>high-intensity</w:t>
      </w:r>
      <w:r w:rsidR="00DE3A3C">
        <w:rPr>
          <w:color w:val="000000"/>
        </w:rPr>
        <w:t xml:space="preserve"> exercise</w:t>
      </w:r>
      <w:r w:rsidR="00886F89">
        <w:rPr>
          <w:color w:val="000000"/>
        </w:rPr>
        <w:t xml:space="preserve">, particularly at intensities above 80% </w:t>
      </w:r>
      <w:r w:rsidR="001F1CE6">
        <w:rPr>
          <w:color w:val="000000"/>
        </w:rPr>
        <w:t>whe</w:t>
      </w:r>
      <w:r w:rsidR="00886F89">
        <w:rPr>
          <w:color w:val="000000"/>
        </w:rPr>
        <w:t>n cognition is measured concomitantly with exercise.</w:t>
      </w:r>
    </w:p>
    <w:p w14:paraId="7E583A30" w14:textId="167A512B" w:rsidR="00187849" w:rsidRDefault="00B55E15" w:rsidP="00674C06">
      <w:pPr>
        <w:pBdr>
          <w:top w:val="nil"/>
          <w:left w:val="nil"/>
          <w:bottom w:val="nil"/>
          <w:right w:val="nil"/>
          <w:between w:val="nil"/>
        </w:pBdr>
        <w:spacing w:before="1" w:line="480" w:lineRule="auto"/>
        <w:ind w:firstLine="720"/>
        <w:jc w:val="both"/>
        <w:rPr>
          <w:color w:val="000000"/>
        </w:rPr>
      </w:pPr>
      <w:r>
        <w:rPr>
          <w:color w:val="000000"/>
        </w:rPr>
        <w:t xml:space="preserve">While additional research must be conducted to further delineate the impact of exercise on discrete domains of executive function and variations in findings based on </w:t>
      </w:r>
      <w:r w:rsidR="007F4787">
        <w:rPr>
          <w:color w:val="000000"/>
        </w:rPr>
        <w:t xml:space="preserve">the </w:t>
      </w:r>
      <w:r>
        <w:rPr>
          <w:color w:val="000000"/>
        </w:rPr>
        <w:t>type of exercise under investigation, these conclusions provide a starting point from which to begin applying the basic science investigations of exercise and cognition to more applied questions in specific settings</w:t>
      </w:r>
      <w:r w:rsidR="00393DE6">
        <w:rPr>
          <w:color w:val="000000"/>
        </w:rPr>
        <w:t>. However, this process comes</w:t>
      </w:r>
      <w:r>
        <w:rPr>
          <w:color w:val="000000"/>
        </w:rPr>
        <w:t xml:space="preserve"> with the caveat </w:t>
      </w:r>
      <w:r w:rsidR="007F4787">
        <w:rPr>
          <w:color w:val="000000"/>
        </w:rPr>
        <w:t xml:space="preserve">that </w:t>
      </w:r>
      <w:r w:rsidR="00A81F2C" w:rsidRPr="00A315EC">
        <w:rPr>
          <w:color w:val="000000"/>
        </w:rPr>
        <w:t xml:space="preserve">researchers </w:t>
      </w:r>
      <w:r w:rsidR="0042298D">
        <w:rPr>
          <w:color w:val="000000"/>
        </w:rPr>
        <w:t xml:space="preserve">must ensure their experimental parameters adequately mirror the demands and conditions of the environments to which they </w:t>
      </w:r>
      <w:r w:rsidR="007F4787">
        <w:rPr>
          <w:color w:val="000000"/>
        </w:rPr>
        <w:t>seek</w:t>
      </w:r>
      <w:r w:rsidR="0042298D">
        <w:rPr>
          <w:color w:val="000000"/>
        </w:rPr>
        <w:t xml:space="preserve"> to inform </w:t>
      </w:r>
      <w:r w:rsidR="00A81F2C" w:rsidRPr="00A315EC">
        <w:rPr>
          <w:color w:val="000000"/>
        </w:rPr>
        <w:t xml:space="preserve">and </w:t>
      </w:r>
      <w:r w:rsidR="0042298D">
        <w:rPr>
          <w:color w:val="000000"/>
        </w:rPr>
        <w:t xml:space="preserve">appropriately </w:t>
      </w:r>
      <w:r w:rsidR="00A81F2C" w:rsidRPr="00A315EC">
        <w:rPr>
          <w:color w:val="000000"/>
        </w:rPr>
        <w:t xml:space="preserve">acknowledge the circumstances to which their results can </w:t>
      </w:r>
      <w:r>
        <w:rPr>
          <w:color w:val="000000"/>
        </w:rPr>
        <w:t>be extrapolated</w:t>
      </w:r>
      <w:r w:rsidR="00A81F2C" w:rsidRPr="00A315EC">
        <w:rPr>
          <w:color w:val="000000"/>
        </w:rPr>
        <w:t xml:space="preserve">. </w:t>
      </w:r>
      <w:r w:rsidR="0042298D">
        <w:rPr>
          <w:color w:val="000000"/>
        </w:rPr>
        <w:t xml:space="preserve">For example, applying results demonstrating enhancements in cognition in the minutes following exercise will likely not adequately provide insight for settings </w:t>
      </w:r>
      <w:r w:rsidR="007F4787">
        <w:rPr>
          <w:color w:val="000000"/>
        </w:rPr>
        <w:t>where cognition is vital amid extreme exertion</w:t>
      </w:r>
      <w:r w:rsidR="0042298D">
        <w:rPr>
          <w:color w:val="000000"/>
        </w:rPr>
        <w:t>.</w:t>
      </w:r>
    </w:p>
    <w:p w14:paraId="3122D2C3" w14:textId="20EF1942" w:rsidR="00715FD5" w:rsidRPr="009472F7" w:rsidRDefault="00D91BA9" w:rsidP="009472F7">
      <w:pPr>
        <w:pBdr>
          <w:top w:val="nil"/>
          <w:left w:val="nil"/>
          <w:bottom w:val="nil"/>
          <w:right w:val="nil"/>
          <w:between w:val="nil"/>
        </w:pBdr>
        <w:spacing w:before="1" w:line="480" w:lineRule="auto"/>
        <w:jc w:val="both"/>
        <w:rPr>
          <w:b/>
          <w:bCs/>
          <w:i/>
          <w:iCs/>
          <w:color w:val="000000"/>
        </w:rPr>
      </w:pPr>
      <w:r>
        <w:rPr>
          <w:b/>
          <w:bCs/>
          <w:i/>
          <w:iCs/>
          <w:color w:val="000000"/>
        </w:rPr>
        <w:t xml:space="preserve">Mitigating Cognitive Decline: </w:t>
      </w:r>
      <w:r w:rsidR="00715FD5" w:rsidRPr="009472F7">
        <w:rPr>
          <w:b/>
          <w:bCs/>
          <w:i/>
          <w:iCs/>
          <w:color w:val="000000"/>
        </w:rPr>
        <w:t>Relevance to Applied Settings</w:t>
      </w:r>
      <w:r w:rsidR="005E3F70">
        <w:rPr>
          <w:b/>
          <w:bCs/>
          <w:i/>
          <w:iCs/>
          <w:color w:val="000000"/>
        </w:rPr>
        <w:t xml:space="preserve">. </w:t>
      </w:r>
    </w:p>
    <w:p w14:paraId="19BD340F" w14:textId="2B006178" w:rsidR="00187849" w:rsidRPr="00A315EC" w:rsidRDefault="00D06FD2" w:rsidP="00713B04">
      <w:pPr>
        <w:widowControl w:val="0"/>
        <w:pBdr>
          <w:top w:val="nil"/>
          <w:left w:val="nil"/>
          <w:bottom w:val="nil"/>
          <w:right w:val="nil"/>
          <w:between w:val="nil"/>
        </w:pBdr>
        <w:spacing w:line="480" w:lineRule="auto"/>
        <w:ind w:firstLine="720"/>
        <w:rPr>
          <w:color w:val="000000"/>
        </w:rPr>
      </w:pPr>
      <w:r w:rsidRPr="00A315EC">
        <w:rPr>
          <w:color w:val="000000"/>
        </w:rPr>
        <w:t xml:space="preserve">Research evaluating </w:t>
      </w:r>
      <w:r w:rsidR="00FD3338">
        <w:rPr>
          <w:color w:val="000000"/>
        </w:rPr>
        <w:t>executive function</w:t>
      </w:r>
      <w:r w:rsidR="00FD3338" w:rsidRPr="00A315EC">
        <w:rPr>
          <w:color w:val="000000"/>
        </w:rPr>
        <w:t xml:space="preserve"> </w:t>
      </w:r>
      <w:r w:rsidRPr="00A315EC">
        <w:rPr>
          <w:color w:val="000000"/>
        </w:rPr>
        <w:t xml:space="preserve">during exercise is important for anyone frequently engaging in </w:t>
      </w:r>
      <w:r w:rsidR="007F4787">
        <w:rPr>
          <w:color w:val="000000"/>
        </w:rPr>
        <w:t>vigorous</w:t>
      </w:r>
      <w:r w:rsidR="00FD3338">
        <w:rPr>
          <w:color w:val="000000"/>
        </w:rPr>
        <w:t xml:space="preserve"> </w:t>
      </w:r>
      <w:r w:rsidRPr="00A315EC">
        <w:rPr>
          <w:color w:val="000000"/>
        </w:rPr>
        <w:t xml:space="preserve">physical activity. Similarly, the demonstrated declines in </w:t>
      </w:r>
      <w:r w:rsidR="00240A92">
        <w:rPr>
          <w:color w:val="000000"/>
        </w:rPr>
        <w:t xml:space="preserve">executive function </w:t>
      </w:r>
      <w:r w:rsidRPr="00A315EC">
        <w:rPr>
          <w:color w:val="000000"/>
        </w:rPr>
        <w:t xml:space="preserve">are particularly troublesome for individuals employed in professions </w:t>
      </w:r>
      <w:r w:rsidR="007F4787">
        <w:rPr>
          <w:color w:val="000000"/>
        </w:rPr>
        <w:t>where</w:t>
      </w:r>
      <w:r w:rsidRPr="00A315EC">
        <w:rPr>
          <w:color w:val="000000"/>
        </w:rPr>
        <w:t xml:space="preserve"> the need to maintain a high cognitive function is often coupled with intense physical exertion. Such fields include professional athletics, first responder teams, and the military. Optimal cognitive and physical performance is particularly crucial for members of safety-sensitive occupations, as they are often expected to make swift assessments and decisions under extreme pressure. In these settings, performance reductions in reaction time, inhibitory control, working memory, or cognitive flexibility could result in catastrophic consequences. Optimal performance </w:t>
      </w:r>
      <w:r w:rsidRPr="00A315EC">
        <w:rPr>
          <w:color w:val="000000"/>
        </w:rPr>
        <w:lastRenderedPageBreak/>
        <w:t>is often crucial not only for operational success but also for preventing casualties.</w:t>
      </w:r>
    </w:p>
    <w:p w14:paraId="5BBF162A" w14:textId="77777777" w:rsidR="00107B03" w:rsidRPr="00A315EC" w:rsidRDefault="00D06FD2" w:rsidP="00EB26EA">
      <w:pPr>
        <w:widowControl w:val="0"/>
        <w:pBdr>
          <w:top w:val="nil"/>
          <w:left w:val="nil"/>
          <w:bottom w:val="nil"/>
          <w:right w:val="nil"/>
          <w:between w:val="nil"/>
        </w:pBdr>
        <w:spacing w:before="71" w:line="480" w:lineRule="auto"/>
        <w:rPr>
          <w:b/>
          <w:bCs/>
        </w:rPr>
      </w:pPr>
      <w:r w:rsidRPr="00A315EC">
        <w:rPr>
          <w:b/>
          <w:bCs/>
        </w:rPr>
        <w:t>Identifying Target Variables: The Potential Role of Pain Catastrophizing</w:t>
      </w:r>
    </w:p>
    <w:p w14:paraId="6428ED84" w14:textId="361E187B" w:rsidR="00187849" w:rsidRPr="00A315EC" w:rsidRDefault="00D06FD2" w:rsidP="009472F7">
      <w:pPr>
        <w:widowControl w:val="0"/>
        <w:pBdr>
          <w:top w:val="nil"/>
          <w:left w:val="nil"/>
          <w:bottom w:val="nil"/>
          <w:right w:val="nil"/>
          <w:between w:val="nil"/>
        </w:pBdr>
        <w:spacing w:before="71" w:line="480" w:lineRule="auto"/>
        <w:ind w:firstLine="720"/>
        <w:rPr>
          <w:color w:val="000000"/>
        </w:rPr>
      </w:pPr>
      <w:r w:rsidRPr="00A315EC">
        <w:rPr>
          <w:color w:val="000000"/>
        </w:rPr>
        <w:t xml:space="preserve">While several studies have established a link between vigorous exercise and </w:t>
      </w:r>
      <w:r w:rsidR="002E4F11">
        <w:rPr>
          <w:color w:val="000000"/>
        </w:rPr>
        <w:t>executive function</w:t>
      </w:r>
      <w:r w:rsidR="002E4F11" w:rsidRPr="00A315EC">
        <w:rPr>
          <w:color w:val="000000"/>
        </w:rPr>
        <w:t xml:space="preserve"> </w:t>
      </w:r>
      <w:r w:rsidRPr="00A315EC">
        <w:rPr>
          <w:color w:val="000000"/>
        </w:rPr>
        <w:t>degradation, further research is needed to understand better what variables might interact with or mediate the relationship between exercise and cognition. Ultimately, the goal is to identify viable variables that may be targeted to help buffer exercise-related cognitive decline.</w:t>
      </w:r>
    </w:p>
    <w:p w14:paraId="112CD70B" w14:textId="0821529C" w:rsidR="00187849" w:rsidRPr="00A315EC" w:rsidRDefault="00D06FD2" w:rsidP="00674C06">
      <w:pPr>
        <w:pBdr>
          <w:top w:val="nil"/>
          <w:left w:val="nil"/>
          <w:bottom w:val="nil"/>
          <w:right w:val="nil"/>
          <w:between w:val="nil"/>
        </w:pBdr>
        <w:spacing w:line="480" w:lineRule="auto"/>
        <w:ind w:firstLine="720"/>
        <w:rPr>
          <w:color w:val="000000"/>
        </w:rPr>
      </w:pPr>
      <w:r w:rsidRPr="00A315EC">
        <w:rPr>
          <w:color w:val="000000"/>
        </w:rPr>
        <w:t xml:space="preserve">One method of identifying potential mediators and moderators is exploring the causes of individual variation across the variables in question. Studying individual differences is crucial in developing theoretically sound explanations for potential mediation or moderation models, thus advancing plausible intervention strategies </w:t>
      </w:r>
      <w:r w:rsidR="002E4F11">
        <w:rPr>
          <w:color w:val="000000"/>
        </w:rPr>
        <w:fldChar w:fldCharType="begin"/>
      </w:r>
      <w:r w:rsidR="002E4F11">
        <w:rPr>
          <w:color w:val="000000"/>
        </w:rPr>
        <w:instrText xml:space="preserve"> ADDIN ZOTERO_ITEM CSL_CITATION {"citationID":"D2V8NunR","properties":{"formattedCitation":"(Beaujean, 2008)","plainCitation":"(Beaujean, 2008)","noteIndex":0},"citationItems":[{"id":5002,"uris":["http://zotero.org/users/3430614/items/94XW73YM"],"itemData":{"id":5002,"type":"chapter","ISBN":"978-1-4129-4065-8","note":"DOI: 10.4135/9781412995627.d33","page":"422-442","title":"Mediation, Moderation, and the Study of Individual Differences","author":[{"family":"Beaujean","given":"Alexander"}],"issued":{"date-parts":[["2008",1,1]]}}}],"schema":"https://github.com/citation-style-language/schema/raw/master/csl-citation.json"} </w:instrText>
      </w:r>
      <w:r w:rsidR="002E4F11">
        <w:rPr>
          <w:color w:val="000000"/>
        </w:rPr>
        <w:fldChar w:fldCharType="separate"/>
      </w:r>
      <w:r w:rsidR="002E4F11">
        <w:rPr>
          <w:noProof/>
          <w:color w:val="000000"/>
        </w:rPr>
        <w:t>(Beaujean, 2008)</w:t>
      </w:r>
      <w:r w:rsidR="002E4F11">
        <w:rPr>
          <w:color w:val="000000"/>
        </w:rPr>
        <w:fldChar w:fldCharType="end"/>
      </w:r>
      <w:r w:rsidR="002E4F11">
        <w:rPr>
          <w:color w:val="000000"/>
        </w:rPr>
        <w:t>.</w:t>
      </w:r>
      <w:r w:rsidRPr="00A315EC">
        <w:rPr>
          <w:color w:val="000000"/>
        </w:rPr>
        <w:t xml:space="preserve"> The use of mediation and moderation models to study early intervention programs is well-established</w:t>
      </w:r>
      <w:r w:rsidR="002E4F11">
        <w:rPr>
          <w:color w:val="000000"/>
        </w:rPr>
        <w:t xml:space="preserve"> </w:t>
      </w:r>
      <w:r w:rsidR="002E4F11">
        <w:rPr>
          <w:color w:val="000000"/>
        </w:rPr>
        <w:fldChar w:fldCharType="begin"/>
      </w:r>
      <w:r w:rsidR="002E4F11">
        <w:rPr>
          <w:color w:val="000000"/>
        </w:rPr>
        <w:instrText xml:space="preserve"> ADDIN ZOTERO_ITEM CSL_CITATION {"citationID":"CbipLlD9","properties":{"formattedCitation":"(Breitborde et al., 2010)","plainCitation":"(Breitborde et al., 2010)","noteIndex":0},"citationItems":[{"id":4379,"uris":["http://zotero.org/users/3430614/items/M2MIUJ2A"],"itemData":{"id":4379,"type":"article-journal","abstract":"Aim: The goal of this paper is to provide clarification with regard to the nature of mediator and moderator variables and the statistical methods used to test for the existence of these variables. Particular attention will be devoted to discussing the ways in which the identification of mediator and moderator variables may help to advance the field of early intervention in psychiatry. Methods: We completed a literature review of the methodological strategies used to test for mediator and moderator variables. Results: Although several tests for mediator variables are currently available, recent evaluations suggest that tests which directly evaluate the indirect effect are superior. With regard to moderator variables, two approaches (‘pick-a-point’ and regions of significance) are available, and we provide guidelines with regard to how researchers can determine which approach may be most appropriate to use for their specific study. Finally, we discuss how to evaluate the clinical importance of mediator and moderator relationships as well as the methodology to calculate statistical power for tests of mediation and moderation. Conclusion: Further exploration of mediator and moderator variables may provide valuable information with regard to interventions provided early in the course of a psychiatric illness.","container-title":"Early Intervention in Psychiatry","DOI":"10.1111/j.1751-7893.2010.00177.x","ISSN":"1751-7893","issue":"2","language":"en","note":"_eprint: https://onlinelibrary.wiley.com/doi/pdf/10.1111/j.1751-7893.2010.00177.x","page":"143-152","source":"Wiley Online Library","title":"Mediators and moderators in early intervention research","volume":"4","author":[{"family":"Breitborde","given":"Nicholas J. K."},{"family":"Srihari","given":"Vinod H."},{"family":"Pollard","given":"Jessica M."},{"family":"Addington","given":"Donald N."},{"family":"Woods","given":"Scott W."}],"issued":{"date-parts":[["2010"]]}}}],"schema":"https://github.com/citation-style-language/schema/raw/master/csl-citation.json"} </w:instrText>
      </w:r>
      <w:r w:rsidR="002E4F11">
        <w:rPr>
          <w:color w:val="000000"/>
        </w:rPr>
        <w:fldChar w:fldCharType="separate"/>
      </w:r>
      <w:r w:rsidR="002E4F11">
        <w:rPr>
          <w:noProof/>
          <w:color w:val="000000"/>
        </w:rPr>
        <w:t>(Breitborde et al., 2010)</w:t>
      </w:r>
      <w:r w:rsidR="002E4F11">
        <w:rPr>
          <w:color w:val="000000"/>
        </w:rPr>
        <w:fldChar w:fldCharType="end"/>
      </w:r>
      <w:r w:rsidR="002E4F11">
        <w:rPr>
          <w:color w:val="000000"/>
        </w:rPr>
        <w:t xml:space="preserve">. </w:t>
      </w:r>
      <w:r w:rsidRPr="00A315EC">
        <w:rPr>
          <w:color w:val="000000"/>
        </w:rPr>
        <w:t xml:space="preserve">Several validated statistical methods are designed to pinpoint potential targets for buffers and applied solutions as an attractive option </w:t>
      </w:r>
      <w:r w:rsidR="002E4F11">
        <w:rPr>
          <w:color w:val="000000"/>
        </w:rPr>
        <w:fldChar w:fldCharType="begin"/>
      </w:r>
      <w:r w:rsidR="002E4F11">
        <w:rPr>
          <w:color w:val="000000"/>
        </w:rPr>
        <w:instrText xml:space="preserve"> ADDIN ZOTERO_ITEM CSL_CITATION {"citationID":"KOPCjmG7","properties":{"formattedCitation":"(Breitborde et al., 2010; Hayes &amp; Rockwood, 2017; Hopwood, 2007)","plainCitation":"(Breitborde et al., 2010; Hayes &amp; Rockwood, 2017; Hopwood, 2007)","noteIndex":0},"citationItems":[{"id":4379,"uris":["http://zotero.org/users/3430614/items/M2MIUJ2A"],"itemData":{"id":4379,"type":"article-journal","abstract":"Aim: The goal of this paper is to provide clarification with regard to the nature of mediator and moderator variables and the statistical methods used to test for the existence of these variables. Particular attention will be devoted to discussing the ways in which the identification of mediator and moderator variables may help to advance the field of early intervention in psychiatry. Methods: We completed a literature review of the methodological strategies used to test for mediator and moderator variables. Results: Although several tests for mediator variables are currently available, recent evaluations suggest that tests which directly evaluate the indirect effect are superior. With regard to moderator variables, two approaches (‘pick-a-point’ and regions of significance) are available, and we provide guidelines with regard to how researchers can determine which approach may be most appropriate to use for their specific study. Finally, we discuss how to evaluate the clinical importance of mediator and moderator relationships as well as the methodology to calculate statistical power for tests of mediation and moderation. Conclusion: Further exploration of mediator and moderator variables may provide valuable information with regard to interventions provided early in the course of a psychiatric illness.","container-title":"Early Intervention in Psychiatry","DOI":"10.1111/j.1751-7893.2010.00177.x","ISSN":"1751-7893","issue":"2","language":"en","note":"_eprint: https://onlinelibrary.wiley.com/doi/pdf/10.1111/j.1751-7893.2010.00177.x","page":"143-152","source":"Wiley Online Library","title":"Mediators and moderators in early intervention research","volume":"4","author":[{"family":"Breitborde","given":"Nicholas J. K."},{"family":"Srihari","given":"Vinod H."},{"family":"Pollard","given":"Jessica M."},{"family":"Addington","given":"Donald N."},{"family":"Woods","given":"Scott W."}],"issued":{"date-parts":[["2010"]]}}},{"id":4382,"uris":["http://zotero.org/users/3430614/items/ZTBW7IF4"],"itemData":{"id":4382,"type":"article-journal","abstract":"There have been numerous treatments in the clinical research literature about various design, analysis, and interpretation considerations when testing hypotheses about mechanisms and contingencies of effects, popularly known as mediation and moderation analysis. In this paper we address the practice of mediation and moderation analysis using linear regression in the pages of Behaviour Research and Therapy and offer some observations and recommendations, debunk some popular myths, describe some new advances, and provide an example of mediation, moderation, and their integration as conditional process analysis using the PROCESS macro for SPSS and SAS. Our goal is to nudge clinical researchers away from historically significant but increasingly old school approaches toward modifications, revisions, and extensions that characterize more modern thinking about the analysis of the mechanisms and contingencies of effects.","collection-title":"Best Practice Guidelines for Modern Statistical Methods in Applied Clinical Research","container-title":"Behaviour Research and Therapy","DOI":"10.1016/j.brat.2016.11.001","ISSN":"0005-7967","journalAbbreviation":"Behaviour Research and Therapy","language":"en","page":"39-57","source":"ScienceDirect","title":"Regression-based statistical mediation and moderation analysis in clinical research: Observations, recommendations, and implementation","title-short":"Regression-based statistical mediation and moderation analysis in clinical research","volume":"98","author":[{"family":"Hayes","given":"Andrew F."},{"family":"Rockwood","given":"Nicholas J."}],"issued":{"date-parts":[["2017",11,1]]}}},{"id":4377,"uris":["http://zotero.org/users/3430614/items/NFDQE6RF"],"itemData":{"id":4377,"type":"article-journal","abstract":"Second-generation early intervention research typically involves the specification of multivariate relations between interventions, outcomes, and other variables. Moderation and mediation involve variables or sets of variables that influence relations between interventions and outcomes. Following the framework of Baron and Kenny's (1986) seminal paper, this paper differentiates moderation and mediation conceptually and methodologically. Four cases of moderation defined by the scale of predictor and moderator variable scales are described, and several design and statistical issues associated with testing mediation are discussed. Use of structural equation modeling is proposed to address some of the difficulties in testing moderation and mediation effects. A hypothetical early intervention data set is used to discuss and demonstrate the use of structural equation modeling for examining moderation and mediation.","container-title":"Journal of Early Intervention","DOI":"10.1177/105381510702900305","ISSN":"1053-8151","issue":"3","journalAbbreviation":"Journal of Early Intervention","note":"publisher: SAGE Publications Inc","page":"262-272","source":"SAGE Journals","title":"Moderation and Mediation in Structural Equation Modeling: Applications for Early Intervention Research","title-short":"Moderation and Mediation in Structural Equation Modeling","volume":"29","author":[{"family":"Hopwood","given":"Christopher J."}],"issued":{"date-parts":[["2007",4,1]]}}}],"schema":"https://github.com/citation-style-language/schema/raw/master/csl-citation.json"} </w:instrText>
      </w:r>
      <w:r w:rsidR="002E4F11">
        <w:rPr>
          <w:color w:val="000000"/>
        </w:rPr>
        <w:fldChar w:fldCharType="separate"/>
      </w:r>
      <w:r w:rsidR="002E4F11">
        <w:rPr>
          <w:noProof/>
          <w:color w:val="000000"/>
        </w:rPr>
        <w:t>(Breitborde et al., 2010; Hayes &amp; Rockwood, 2017; Hopwood, 2007)</w:t>
      </w:r>
      <w:r w:rsidR="002E4F11">
        <w:rPr>
          <w:color w:val="000000"/>
        </w:rPr>
        <w:fldChar w:fldCharType="end"/>
      </w:r>
      <w:r w:rsidR="002E4F11">
        <w:rPr>
          <w:color w:val="000000"/>
        </w:rPr>
        <w:t>.</w:t>
      </w:r>
    </w:p>
    <w:p w14:paraId="2685F65D" w14:textId="6A519E65" w:rsidR="000D1630" w:rsidRDefault="00D06FD2" w:rsidP="00713B04">
      <w:pPr>
        <w:widowControl w:val="0"/>
        <w:pBdr>
          <w:top w:val="nil"/>
          <w:left w:val="nil"/>
          <w:bottom w:val="nil"/>
          <w:right w:val="nil"/>
          <w:between w:val="nil"/>
        </w:pBdr>
        <w:spacing w:line="480" w:lineRule="auto"/>
        <w:ind w:firstLine="720"/>
        <w:rPr>
          <w:color w:val="000000"/>
        </w:rPr>
      </w:pPr>
      <w:proofErr w:type="gramStart"/>
      <w:r w:rsidRPr="00A315EC">
        <w:rPr>
          <w:color w:val="000000"/>
        </w:rPr>
        <w:t>With this in mind, working</w:t>
      </w:r>
      <w:proofErr w:type="gramEnd"/>
      <w:r w:rsidRPr="00A315EC">
        <w:rPr>
          <w:color w:val="000000"/>
        </w:rPr>
        <w:t xml:space="preserve"> to explain what characteristics might make specific individuals more resistant or susceptible to cognitive decline during exercise compared to others is a reasonable endeavor. </w:t>
      </w:r>
      <w:r w:rsidR="00832A60">
        <w:rPr>
          <w:color w:val="000000"/>
        </w:rPr>
        <w:t>Importantly</w:t>
      </w:r>
      <w:r w:rsidRPr="00A315EC">
        <w:rPr>
          <w:color w:val="000000"/>
        </w:rPr>
        <w:t xml:space="preserve">, there </w:t>
      </w:r>
      <w:r w:rsidR="009E39E4">
        <w:rPr>
          <w:color w:val="000000"/>
        </w:rPr>
        <w:t xml:space="preserve">do </w:t>
      </w:r>
      <w:r w:rsidRPr="00A315EC">
        <w:rPr>
          <w:color w:val="000000"/>
        </w:rPr>
        <w:t xml:space="preserve">seem to be individual differences in the level of cognitive decline experienced by individuals during high-intensity exercise. While Stone et al. (2020) demonstrated significant decreases across participants in executive function as exercise intensity, measured as heart rate reserve (HRR%), approached 80% and above, there was variation in the exact onset of decline between participants. This is consistent with a wide array of research indicating that considerable individual differences exist between cognitive performance and other variables reported to produce decrements in cognition, such as fatigue, </w:t>
      </w:r>
      <w:r w:rsidRPr="00A315EC">
        <w:rPr>
          <w:color w:val="000000"/>
        </w:rPr>
        <w:lastRenderedPageBreak/>
        <w:t>stress, or changes in workload (Matthews, 2009; Matthews et al., 2000, 2012).</w:t>
      </w:r>
      <w:r w:rsidR="00B67FAA" w:rsidRPr="00A315EC">
        <w:rPr>
          <w:color w:val="000000"/>
        </w:rPr>
        <w:t xml:space="preserve"> </w:t>
      </w:r>
    </w:p>
    <w:p w14:paraId="5B0FD6EB" w14:textId="0788F720" w:rsidR="000D4EB8" w:rsidRPr="00EB26EA" w:rsidRDefault="000D4EB8" w:rsidP="0042022B">
      <w:pPr>
        <w:pBdr>
          <w:top w:val="nil"/>
          <w:left w:val="nil"/>
          <w:bottom w:val="nil"/>
          <w:right w:val="nil"/>
          <w:between w:val="nil"/>
        </w:pBdr>
        <w:spacing w:line="480" w:lineRule="auto"/>
        <w:rPr>
          <w:b/>
          <w:bCs/>
          <w:i/>
          <w:iCs/>
          <w:color w:val="000000"/>
        </w:rPr>
      </w:pPr>
      <w:r w:rsidRPr="00EB26EA">
        <w:rPr>
          <w:b/>
          <w:bCs/>
          <w:i/>
          <w:iCs/>
          <w:color w:val="000000"/>
        </w:rPr>
        <w:t>Pain Catastrophizing</w:t>
      </w:r>
      <w:r w:rsidR="0042022B" w:rsidRPr="00EB26EA">
        <w:rPr>
          <w:b/>
          <w:bCs/>
          <w:i/>
          <w:iCs/>
          <w:color w:val="000000"/>
        </w:rPr>
        <w:t xml:space="preserve"> Defined</w:t>
      </w:r>
    </w:p>
    <w:p w14:paraId="49CE6162" w14:textId="0C01F66F" w:rsidR="00B67FAA" w:rsidRPr="00A315EC" w:rsidRDefault="00B67FAA" w:rsidP="000D4EB8">
      <w:pPr>
        <w:widowControl w:val="0"/>
        <w:pBdr>
          <w:top w:val="nil"/>
          <w:left w:val="nil"/>
          <w:bottom w:val="nil"/>
          <w:right w:val="nil"/>
          <w:between w:val="nil"/>
        </w:pBdr>
        <w:spacing w:line="480" w:lineRule="auto"/>
        <w:ind w:firstLine="720"/>
        <w:contextualSpacing/>
        <w:rPr>
          <w:color w:val="000000"/>
        </w:rPr>
      </w:pPr>
      <w:r w:rsidRPr="00A315EC">
        <w:rPr>
          <w:color w:val="000000"/>
        </w:rPr>
        <w:t>Given the theoretical underpinnings of the relationship between exercise and cognitive decline,</w:t>
      </w:r>
      <w:r w:rsidR="00FA1287" w:rsidRPr="00A315EC">
        <w:rPr>
          <w:color w:val="000000"/>
        </w:rPr>
        <w:t xml:space="preserve"> it is logical to prioritize assessing</w:t>
      </w:r>
      <w:r w:rsidRPr="00A315EC">
        <w:rPr>
          <w:color w:val="000000"/>
        </w:rPr>
        <w:t xml:space="preserve"> </w:t>
      </w:r>
      <w:r w:rsidR="004F06A1">
        <w:rPr>
          <w:color w:val="000000"/>
        </w:rPr>
        <w:t>factors</w:t>
      </w:r>
      <w:r w:rsidR="00FA1287" w:rsidRPr="00A315EC">
        <w:rPr>
          <w:color w:val="000000"/>
        </w:rPr>
        <w:t xml:space="preserve"> associated with aberrations in attention</w:t>
      </w:r>
      <w:r w:rsidR="000D4EB8">
        <w:rPr>
          <w:color w:val="000000"/>
        </w:rPr>
        <w:t xml:space="preserve">, as such variables </w:t>
      </w:r>
      <w:r w:rsidR="00FA1287" w:rsidRPr="00A315EC">
        <w:rPr>
          <w:color w:val="000000"/>
        </w:rPr>
        <w:t>might</w:t>
      </w:r>
      <w:r w:rsidRPr="00A315EC">
        <w:rPr>
          <w:color w:val="000000"/>
        </w:rPr>
        <w:t xml:space="preserve"> </w:t>
      </w:r>
      <w:r w:rsidR="00FA1287" w:rsidRPr="00A315EC">
        <w:rPr>
          <w:color w:val="000000"/>
        </w:rPr>
        <w:t>subsequently</w:t>
      </w:r>
      <w:r w:rsidRPr="00A315EC">
        <w:rPr>
          <w:color w:val="000000"/>
        </w:rPr>
        <w:t xml:space="preserve"> predispose</w:t>
      </w:r>
      <w:r w:rsidR="000D4EB8">
        <w:rPr>
          <w:color w:val="000000"/>
        </w:rPr>
        <w:t xml:space="preserve"> individuals to</w:t>
      </w:r>
      <w:r w:rsidRPr="00A315EC">
        <w:rPr>
          <w:color w:val="000000"/>
        </w:rPr>
        <w:t xml:space="preserve"> </w:t>
      </w:r>
      <w:r w:rsidR="00FA1287" w:rsidRPr="00A315EC">
        <w:rPr>
          <w:color w:val="000000"/>
        </w:rPr>
        <w:t>increased</w:t>
      </w:r>
      <w:r w:rsidRPr="00A315EC">
        <w:rPr>
          <w:color w:val="000000"/>
        </w:rPr>
        <w:t xml:space="preserve"> depletion of finitely available neural resources during vigorous activity or mentally challenging tasks</w:t>
      </w:r>
      <w:r w:rsidR="000D4EB8">
        <w:rPr>
          <w:color w:val="000000"/>
        </w:rPr>
        <w:t xml:space="preserve">. </w:t>
      </w:r>
      <w:r w:rsidR="004F06A1">
        <w:rPr>
          <w:color w:val="000000"/>
        </w:rPr>
        <w:t>Individual differences in</w:t>
      </w:r>
      <w:r w:rsidR="00E862B3">
        <w:rPr>
          <w:color w:val="000000"/>
        </w:rPr>
        <w:t xml:space="preserve"> responses to </w:t>
      </w:r>
      <w:r w:rsidR="004F06A1">
        <w:rPr>
          <w:color w:val="000000"/>
        </w:rPr>
        <w:t>discomfort</w:t>
      </w:r>
      <w:r w:rsidR="00E862B3">
        <w:rPr>
          <w:color w:val="000000"/>
        </w:rPr>
        <w:t xml:space="preserve"> </w:t>
      </w:r>
      <w:r w:rsidR="004F06A1">
        <w:rPr>
          <w:color w:val="000000"/>
        </w:rPr>
        <w:t>also serve as a reaso</w:t>
      </w:r>
      <w:r w:rsidR="00153D97">
        <w:rPr>
          <w:color w:val="000000"/>
        </w:rPr>
        <w:t>na</w:t>
      </w:r>
      <w:r w:rsidR="004F06A1">
        <w:rPr>
          <w:color w:val="000000"/>
        </w:rPr>
        <w:t>ble starting point when</w:t>
      </w:r>
      <w:r w:rsidR="00153D97">
        <w:rPr>
          <w:color w:val="000000"/>
        </w:rPr>
        <w:t xml:space="preserve"> considering</w:t>
      </w:r>
      <w:r w:rsidR="004F06A1">
        <w:rPr>
          <w:color w:val="000000"/>
        </w:rPr>
        <w:t xml:space="preserve"> potential interacting constructs, </w:t>
      </w:r>
      <w:r w:rsidR="00153D97">
        <w:rPr>
          <w:color w:val="000000"/>
        </w:rPr>
        <w:t>as such differences are</w:t>
      </w:r>
      <w:r w:rsidR="004F06A1">
        <w:rPr>
          <w:color w:val="000000"/>
        </w:rPr>
        <w:t xml:space="preserve"> </w:t>
      </w:r>
      <w:r w:rsidR="00E862B3">
        <w:rPr>
          <w:color w:val="000000"/>
        </w:rPr>
        <w:t>both</w:t>
      </w:r>
      <w:r w:rsidR="004F06A1">
        <w:rPr>
          <w:color w:val="000000"/>
        </w:rPr>
        <w:t xml:space="preserve"> </w:t>
      </w:r>
      <w:r w:rsidR="00E862B3">
        <w:rPr>
          <w:color w:val="000000"/>
        </w:rPr>
        <w:t>well</w:t>
      </w:r>
      <w:r w:rsidR="005C3A28">
        <w:rPr>
          <w:color w:val="000000"/>
        </w:rPr>
        <w:t>-</w:t>
      </w:r>
      <w:r w:rsidR="004F06A1">
        <w:rPr>
          <w:color w:val="000000"/>
        </w:rPr>
        <w:t xml:space="preserve">demonstrated empirically and </w:t>
      </w:r>
      <w:r w:rsidR="00153D97">
        <w:rPr>
          <w:color w:val="000000"/>
        </w:rPr>
        <w:t xml:space="preserve">of </w:t>
      </w:r>
      <w:proofErr w:type="gramStart"/>
      <w:r w:rsidR="00153D97">
        <w:rPr>
          <w:color w:val="000000"/>
        </w:rPr>
        <w:t>particular relevance</w:t>
      </w:r>
      <w:proofErr w:type="gramEnd"/>
      <w:r w:rsidR="00153D97">
        <w:rPr>
          <w:color w:val="000000"/>
        </w:rPr>
        <w:t xml:space="preserve"> </w:t>
      </w:r>
      <w:r w:rsidR="005C3A28">
        <w:rPr>
          <w:color w:val="000000"/>
        </w:rPr>
        <w:t>in light of</w:t>
      </w:r>
      <w:r w:rsidR="00153D97">
        <w:rPr>
          <w:color w:val="000000"/>
        </w:rPr>
        <w:t xml:space="preserve"> the often-uncomfortable nature of exercising at high intensities</w:t>
      </w:r>
      <w:r w:rsidR="00E862B3">
        <w:rPr>
          <w:color w:val="000000"/>
        </w:rPr>
        <w:t xml:space="preserve">. </w:t>
      </w:r>
      <w:proofErr w:type="gramStart"/>
      <w:r w:rsidR="00E862B3">
        <w:rPr>
          <w:color w:val="000000"/>
        </w:rPr>
        <w:t xml:space="preserve">With this in mind, </w:t>
      </w:r>
      <w:r w:rsidR="004F06A1">
        <w:rPr>
          <w:color w:val="000000"/>
        </w:rPr>
        <w:t>p</w:t>
      </w:r>
      <w:r w:rsidRPr="00A315EC">
        <w:rPr>
          <w:color w:val="000000"/>
        </w:rPr>
        <w:t>ain</w:t>
      </w:r>
      <w:proofErr w:type="gramEnd"/>
      <w:r w:rsidRPr="00A315EC">
        <w:rPr>
          <w:color w:val="000000"/>
        </w:rPr>
        <w:t xml:space="preserve"> catastrophizing, a construct increasingly recognized as</w:t>
      </w:r>
      <w:r w:rsidR="004C0AE9">
        <w:rPr>
          <w:color w:val="000000"/>
        </w:rPr>
        <w:t xml:space="preserve"> significantly</w:t>
      </w:r>
      <w:r w:rsidRPr="00A315EC">
        <w:rPr>
          <w:color w:val="000000"/>
        </w:rPr>
        <w:t xml:space="preserve"> impacting </w:t>
      </w:r>
      <w:r w:rsidR="004F06A1">
        <w:rPr>
          <w:color w:val="000000"/>
        </w:rPr>
        <w:t xml:space="preserve">both attentional processes relating to pain, as well as </w:t>
      </w:r>
      <w:r w:rsidRPr="00A315EC">
        <w:rPr>
          <w:color w:val="000000"/>
        </w:rPr>
        <w:t xml:space="preserve">a number of important health-related outcomes, </w:t>
      </w:r>
      <w:r w:rsidR="000D4EB8">
        <w:rPr>
          <w:color w:val="000000"/>
        </w:rPr>
        <w:t xml:space="preserve">likely </w:t>
      </w:r>
      <w:r w:rsidR="00FA410A" w:rsidRPr="00A315EC">
        <w:rPr>
          <w:color w:val="000000"/>
        </w:rPr>
        <w:t>fits this description</w:t>
      </w:r>
      <w:r w:rsidRPr="00A315EC">
        <w:rPr>
          <w:color w:val="000000"/>
        </w:rPr>
        <w:t xml:space="preserve">. </w:t>
      </w:r>
    </w:p>
    <w:p w14:paraId="50B544A0" w14:textId="5B351CF6" w:rsidR="00674C06" w:rsidRPr="00A315EC" w:rsidRDefault="00FD16EF" w:rsidP="000D4EB8">
      <w:pPr>
        <w:pStyle w:val="NormalWeb"/>
        <w:widowControl w:val="0"/>
        <w:spacing w:before="0" w:beforeAutospacing="0" w:after="0" w:afterAutospacing="0" w:line="480" w:lineRule="auto"/>
        <w:ind w:firstLine="720"/>
        <w:contextualSpacing/>
        <w:rPr>
          <w:color w:val="000000"/>
        </w:rPr>
      </w:pPr>
      <w:r w:rsidRPr="00A315EC">
        <w:rPr>
          <w:color w:val="000000"/>
        </w:rPr>
        <w:t xml:space="preserve">Although </w:t>
      </w:r>
      <w:r w:rsidR="006C4F6B" w:rsidRPr="00A315EC">
        <w:rPr>
          <w:color w:val="000000"/>
        </w:rPr>
        <w:t>“</w:t>
      </w:r>
      <w:r w:rsidRPr="00A315EC">
        <w:rPr>
          <w:color w:val="000000"/>
        </w:rPr>
        <w:t>catastrophizing</w:t>
      </w:r>
      <w:r w:rsidR="006C4F6B" w:rsidRPr="00A315EC">
        <w:rPr>
          <w:color w:val="000000"/>
        </w:rPr>
        <w:t>”</w:t>
      </w:r>
      <w:r w:rsidRPr="00A315EC">
        <w:rPr>
          <w:color w:val="000000"/>
        </w:rPr>
        <w:t xml:space="preserve"> has most commonly been discussed in relation to pain, its original conceptualization was </w:t>
      </w:r>
      <w:r w:rsidR="00674C06" w:rsidRPr="00A315EC">
        <w:rPr>
          <w:color w:val="000000"/>
        </w:rPr>
        <w:t>broader</w:t>
      </w:r>
      <w:r w:rsidRPr="00A315EC">
        <w:rPr>
          <w:color w:val="000000"/>
        </w:rPr>
        <w:t xml:space="preserve">, </w:t>
      </w:r>
      <w:r w:rsidR="00674C06" w:rsidRPr="00A315EC">
        <w:rPr>
          <w:color w:val="000000"/>
        </w:rPr>
        <w:t>used to describe</w:t>
      </w:r>
      <w:r w:rsidRPr="00A315EC">
        <w:rPr>
          <w:color w:val="000000"/>
        </w:rPr>
        <w:t xml:space="preserve"> the tendency to hold unfounded </w:t>
      </w:r>
      <w:r w:rsidR="00674C06" w:rsidRPr="00A315EC">
        <w:rPr>
          <w:color w:val="000000"/>
        </w:rPr>
        <w:t xml:space="preserve">and </w:t>
      </w:r>
      <w:r w:rsidRPr="00A315EC">
        <w:rPr>
          <w:color w:val="000000"/>
        </w:rPr>
        <w:t xml:space="preserve">fatalistic outlooks on any possible future event </w:t>
      </w:r>
      <w:r w:rsidR="00590DA8">
        <w:rPr>
          <w:color w:val="000000"/>
        </w:rPr>
        <w:fldChar w:fldCharType="begin"/>
      </w:r>
      <w:r w:rsidR="00590DA8">
        <w:rPr>
          <w:color w:val="000000"/>
        </w:rPr>
        <w:instrText xml:space="preserve"> ADDIN ZOTERO_ITEM CSL_CITATION {"citationID":"GxGQrpXw","properties":{"formattedCitation":"(Beck et al., 1985; Ellis, 1962)","plainCitation":"(Beck et al., 1985; Ellis, 1962)","noteIndex":0},"citationItems":[{"id":4901,"uris":["http://zotero.org/users/3430614/items/CYC4DQ2B"],"itemData":{"id":4901,"type":"book","abstract":"In this book, Aaron T. Beck and his two colleagues show how the basic concepts of cognitive therapy, used successfully for many years in treating depression, are also highly effective in treating people who suffer from anxiety and phobias. The widely acclaimed \"father of cognitive psychotherapy\" presents a new preface to this gold-standard book on anxiety disorders. (PsycInfo Database Record (c) 2022 APA, all rights reserved)","collection-title":"Anxiety disorders and phobias: A cognitive perspective.","event-place":"New York,  NY,  US","ISBN":"0-465-00587-X","note":"page: xxxvi, 343","number-of-pages":"xxxvi, 343","publisher":"Basic Books/Hachette Book Group","publisher-place":"New York,  NY,  US","title":"Anxiety disorders and phobias: A cognitive perspective.","author":[{"family":"Beck","given":"Aaron T."},{"family":"Emery","given":"Gary"},{"family":"Greenberg","given":"Ruth L."}],"issued":{"date-parts":[["1985"]]}}},{"id":4899,"uris":["http://zotero.org/users/3430614/items/RMJ9VAA8"],"itemData":{"id":4899,"type":"book","abstract":"Integrating both previously published and new material, \"the pages of this book… outline the theory of rational-emotive psychotherapy… [and] present the clinician with some of the main clinical applications.\" Included are papers on: the origin, principles, theoretical considerations, objections to, and limitations of rational-emotive psychotherapy; comparisons with other forms of treatment; and its individual and group use with a variety of clinical and marital problems. (17-p. bibliogr.) (PsycINFO Database Record (c) 2016 APA, all rights reserved)","collection-title":"Reason and emotion in psychotherapy","event-place":"Oxford, England","note":"page: 442","number-of-pages":"442","publisher":"Lyle Stuart","publisher-place":"Oxford, England","source":"APA PsycNet","title":"Reason and emotion in psychotherapy","author":[{"family":"Ellis","given":"Albert"}],"issued":{"date-parts":[["1962"]]}}}],"schema":"https://github.com/citation-style-language/schema/raw/master/csl-citation.json"} </w:instrText>
      </w:r>
      <w:r w:rsidR="00590DA8">
        <w:rPr>
          <w:color w:val="000000"/>
        </w:rPr>
        <w:fldChar w:fldCharType="separate"/>
      </w:r>
      <w:r w:rsidR="00590DA8">
        <w:rPr>
          <w:noProof/>
          <w:color w:val="000000"/>
        </w:rPr>
        <w:t>(Beck et al., 1985; Ellis, 1962)</w:t>
      </w:r>
      <w:r w:rsidR="00590DA8">
        <w:rPr>
          <w:color w:val="000000"/>
        </w:rPr>
        <w:fldChar w:fldCharType="end"/>
      </w:r>
      <w:r w:rsidR="00590DA8">
        <w:rPr>
          <w:color w:val="000000"/>
        </w:rPr>
        <w:t>.</w:t>
      </w:r>
      <w:r w:rsidRPr="00A315EC">
        <w:rPr>
          <w:color w:val="000000"/>
        </w:rPr>
        <w:t xml:space="preserve"> This construct was later narrowed to apply specifically to thoughts and feelings related to pain, with pain catastrophizing defined as “an exaggerated negative mental set brought to bear during actual or anticipated pain experience” </w:t>
      </w:r>
      <w:r w:rsidR="00590DA8">
        <w:rPr>
          <w:color w:val="000000"/>
        </w:rPr>
        <w:fldChar w:fldCharType="begin"/>
      </w:r>
      <w:r w:rsidR="00590DA8">
        <w:rPr>
          <w:color w:val="000000"/>
        </w:rPr>
        <w:instrText xml:space="preserve"> ADDIN ZOTERO_ITEM CSL_CITATION {"citationID":"N2XgblJw","properties":{"formattedCitation":"(Sullivan et al., 1995)","plainCitation":"(Sullivan et al., 1995)","noteIndex":0},"citationItems":[{"id":4305,"uris":["http://zotero.org/users/3430614/items/K3IQ6IUG"],"itemData":{"id":4305,"type":"article-journal","abstract":"In Study I, the Pain Catastrophizing Scale (PCS) was administered to 425 undergraduates. Analyses yielded a three component solution comprising (a) rumination, (b) magnification, and (c) helplessness. In Study 2, 30 undergraduate participants were classified as catastrophizers (n = 15) or noncatastrophizers (n = 15) on the basis of their PCS scores and participated in a cold pressor procedure. Catastrophizers reported significantly more negative pain-related thoughts, greater emotional distress, and greater pain intensity than noncatastrophizers. Study 3 examined the relation between PCS scores, negative pain-related thoughts, and distress in 28 individuals undergoing an aversive electrodiagnostic medical procedure. Catastrophizers reported more negative pain-related thoughts, more emotional distress, and more pain than noncatastrophizers. Study 4 examined the relation between the PCS and measures of depression, trait anxiety, negative affectivity, and fear of pain. Analyses revealed moderate correlations among these measures, but only the PCS contributed significant unique variance to the prediction of pain intensity. (PsycINFO Database Record (c) 2016 APA, all rights reserved)","container-title":"Psychological Assessment","DOI":"10.1037/1040-3590.7.4.524","ISSN":"1939-134X","issue":"4","note":"publisher-place: US\npublisher: American Psychological Association","page":"524-532","source":"APA PsycNet","title":"The Pain Catastrophizing Scale: Development and validation","title-short":"The Pain Catastrophizing Scale","volume":"7","author":[{"family":"Sullivan","given":"Michael J. L."},{"family":"Bishop","given":"Scott R."},{"family":"Pivik","given":"Jayne"}],"issued":{"date-parts":[["1995"]]}}}],"schema":"https://github.com/citation-style-language/schema/raw/master/csl-citation.json"} </w:instrText>
      </w:r>
      <w:r w:rsidR="00590DA8">
        <w:rPr>
          <w:color w:val="000000"/>
        </w:rPr>
        <w:fldChar w:fldCharType="separate"/>
      </w:r>
      <w:r w:rsidR="00590DA8">
        <w:rPr>
          <w:noProof/>
          <w:color w:val="000000"/>
        </w:rPr>
        <w:t>(Sullivan et al., 1995)</w:t>
      </w:r>
      <w:r w:rsidR="00590DA8">
        <w:rPr>
          <w:color w:val="000000"/>
        </w:rPr>
        <w:fldChar w:fldCharType="end"/>
      </w:r>
      <w:r w:rsidR="00590DA8">
        <w:rPr>
          <w:color w:val="000000"/>
        </w:rPr>
        <w:t>.</w:t>
      </w:r>
      <w:r w:rsidRPr="00A315EC">
        <w:rPr>
          <w:color w:val="000000"/>
        </w:rPr>
        <w:t xml:space="preserve"> Although some researchers have critiqued the utility of and the </w:t>
      </w:r>
      <w:r w:rsidR="00674C06" w:rsidRPr="00A315EC">
        <w:rPr>
          <w:color w:val="000000"/>
        </w:rPr>
        <w:t>theoretical</w:t>
      </w:r>
      <w:r w:rsidRPr="00A315EC">
        <w:rPr>
          <w:color w:val="000000"/>
        </w:rPr>
        <w:t xml:space="preserve"> framework for this definition</w:t>
      </w:r>
      <w:r w:rsidR="006C4F6B" w:rsidRPr="00A315EC">
        <w:rPr>
          <w:color w:val="000000"/>
        </w:rPr>
        <w:t xml:space="preserve"> </w:t>
      </w:r>
      <w:r w:rsidR="00590DA8">
        <w:rPr>
          <w:color w:val="000000"/>
        </w:rPr>
        <w:fldChar w:fldCharType="begin"/>
      </w:r>
      <w:r w:rsidR="00590DA8">
        <w:rPr>
          <w:color w:val="000000"/>
        </w:rPr>
        <w:instrText xml:space="preserve"> ADDIN ZOTERO_ITEM CSL_CITATION {"citationID":"o85XbmUM","properties":{"formattedCitation":"(Crombez et al., 2020; Leung, 2012; Petrini &amp; Arendt-Nielsen, 2020)","plainCitation":"(Crombez et al., 2020; Leung, 2012; Petrini &amp; Arendt-Nielsen, 2020)","noteIndex":0},"citationItems":[{"id":4557,"uris":["http://zotero.org/users/3430614/items/PKJ7EFMF"],"itemData":{"id":4557,"type":"article-journal","abstract":"BACKGROUND: Concerns have been raised about whether self-report measures of pain catastrophizing reflect the construct as defined in the cognitive-behavioral literature. We investigated the content of these self-report measures; that is, whether items assess the construct 'pain catastrophizing' and not other theoretical constructs (i.e., related constructs or pain outcomes) using the discriminant content validity method.\nMETHOD: Items (n = 58) of six pain catastrophizing measures were complemented with items (n = 34) from questionnaires measuring pain-related worrying, vigilance, pain severity, distress, and disability. Via an online survey, 94 participants rated to what extent each item was relevant for assessing pain catastrophizing, defined as \"to view or present pain or pain-related problems as considerably worse than they actually are\" and other relevant constructs (pain-related worrying, vigilance, pain severity, distress, and disability).\nRESULTS: Data were analyzed using Bayesian hierarchical models. The results revealed that the items from pain-related worrying, vigilance, pain severity, distress, and disability questionnaires were distinctively related to their respective constructs. This was not observed for the items from the pain catastrophizing questionnaires. The content of the pain catastrophizing measures was equally well, or even better, captured by pain-related worrying or pain-related distress.\nCONCLUSION: Based upon current findings, a recommendation may be to develop a novel pain catastrophizing questionnaire. However, we argue that pain catastrophizing cannot be assessed by self-report questionnaires. Pain catastrophizing requires contextual information, and expert judgment, which cannot be provided by self-report questionnaires. We argue for a person-centered approach, and propose to rename 'pain catastrophizing' measures in line with what is better measured: 'pain-related worrying'.","container-title":"PeerJ","DOI":"10.7717/peerj.8643","ISSN":"2167-8359","journalAbbreviation":"PeerJ","language":"eng","note":"PMID: 32181053\nPMCID: PMC7060750","page":"e8643","source":"PubMed","title":"Let's talk about pain catastrophizing measures: an item content analysis","title-short":"Let's talk about pain catastrophizing measures","volume":"8","author":[{"family":"Crombez","given":"Geert"},{"family":"De Paepe","given":"Annick L."},{"family":"Veirman","given":"Elke"},{"family":"Eccleston","given":"Christopher"},{"family":"Verleysen","given":"Gregory"},{"family":"Van Ryckeghem","given":"Dimitri M. L."}],"issued":{"date-parts":[["2020"]]}}},{"id":4276,"uris":["http://zotero.org/users/3430614/items/BWSTMMYE"],"itemData":{"id":4276,"type":"article-journal","container-title":"Indian Journal of Psychological Medicine","DOI":"10.4103/0253-7176.106012","ISSN":"0253-7176","issue":"3","journalAbbreviation":"Indian Journal of Psychological Medicine","note":"publisher: SAGE Publications India","page":"204-217","source":"SAGE Journals","title":"Pain Catastrophizing: An Updated Review","title-short":"Pain Catastrophizing","volume":"34","author":[{"family":"Leung","given":"Lawrence"}],"issued":{"date-parts":[["2012",7,1]]}}},{"id":4298,"uris":["http://zotero.org/users/3430614/items/V8MLLTWJ"],"itemData":{"id":4298,"type":"article-journal","abstract":"The present narrative review addresses issues concerning the defining criteria and conceptual underpinnings of pain catastrophizing. To date, the concept of pain catastrophizing has been extensively used in many clinical and experimental contexts and it is considered as one of the most important psychological correlate of pain chronicity and disability. Although its extensive use, we are still facing important problems related to its defining criteria and conceptual understanding. At present, there is no general theoretical agreement of what catastrophizing really is. The lack of a consensus on its definition and conceptual issues has important consequences on the choice of the pain management approaches, defining and identifying problems, and promoting novel research. Clinical and research work in absence of a common theoretical ground is often trivial. It is very surprising that clinical and experimental work has grown extensively in the past years, without a common ground in the form of a clear definition of pain catastrophizing and overview of its conceptual basis. Improving the efficacy and efficiency of pan catastrophizing related treatments requires an understanding of the theoretical construct. So far, most interventions have only demonstrated modest effects in reducing pain catastrophizing. Therefore, clarifying the construct may be an important precursor for developing more targeted and effective interventions, thereby easing some of the burden related to this aspect of pain. In our review, we have extracted and de-constructed common elements that emerge from different theoretical models with the aim to understand the concept of catastrophizing, which components can be modulated by psychological interventions, and the general role in pain processing. The analysis of the literature has indicated essential key elements to explain pain catastrophizing: emotional regulation, catastrophic worry (as repetitive negative thinking), rumination, behavioral inhibition and behavioral activation (BIS/BAS) systems, and interoceptive sensitivity. The present paper attempts to integrate these key elements with the aim to re-compose and unify the concept within a modern biopsychosocial interpretation of catastrophizing.","container-title":"Frontiers in Psychology","ISSN":"1664-1078","source":"Frontiers","title":"Understanding Pain Catastrophizing: Putting Pieces Together","title-short":"Understanding Pain Catastrophizing","URL":"https://www.frontiersin.org/article/10.3389/fpsyg.2020.603420","volume":"11","author":[{"family":"Petrini","given":"Laura"},{"family":"Arendt-Nielsen","given":"Lars"}],"accessed":{"date-parts":[["2022",4,10]]},"issued":{"date-parts":[["2020"]]}}}],"schema":"https://github.com/citation-style-language/schema/raw/master/csl-citation.json"} </w:instrText>
      </w:r>
      <w:r w:rsidR="00590DA8">
        <w:rPr>
          <w:color w:val="000000"/>
        </w:rPr>
        <w:fldChar w:fldCharType="separate"/>
      </w:r>
      <w:r w:rsidR="00590DA8">
        <w:rPr>
          <w:noProof/>
          <w:color w:val="000000"/>
        </w:rPr>
        <w:t>(Crombez et al., 2020; Leung, 2012; Petrini &amp; Arendt-Nielsen, 2020)</w:t>
      </w:r>
      <w:r w:rsidR="00590DA8">
        <w:rPr>
          <w:color w:val="000000"/>
        </w:rPr>
        <w:fldChar w:fldCharType="end"/>
      </w:r>
      <w:r w:rsidR="00590DA8">
        <w:rPr>
          <w:color w:val="000000"/>
        </w:rPr>
        <w:t xml:space="preserve">, </w:t>
      </w:r>
      <w:r w:rsidRPr="00A315EC">
        <w:rPr>
          <w:color w:val="000000"/>
        </w:rPr>
        <w:t xml:space="preserve">it has been the primary conceptualization for the vast majority of research in this domain since its initial description </w:t>
      </w:r>
      <w:r w:rsidR="00775993">
        <w:rPr>
          <w:color w:val="000000"/>
        </w:rPr>
        <w:t xml:space="preserve">and has allowed for a transdiagnostic </w:t>
      </w:r>
      <w:r w:rsidR="004D30DB">
        <w:rPr>
          <w:color w:val="000000"/>
        </w:rPr>
        <w:t xml:space="preserve">biopsychosocial </w:t>
      </w:r>
      <w:r w:rsidR="00775993">
        <w:rPr>
          <w:color w:val="000000"/>
        </w:rPr>
        <w:t xml:space="preserve">approach to pain and </w:t>
      </w:r>
      <w:r w:rsidR="004D30DB">
        <w:rPr>
          <w:color w:val="000000"/>
        </w:rPr>
        <w:t xml:space="preserve">pain-related outcomes </w:t>
      </w:r>
      <w:r w:rsidR="00590DA8">
        <w:rPr>
          <w:color w:val="000000"/>
        </w:rPr>
        <w:fldChar w:fldCharType="begin"/>
      </w:r>
      <w:r w:rsidR="004F7470">
        <w:rPr>
          <w:color w:val="000000"/>
        </w:rPr>
        <w:instrText xml:space="preserve"> ADDIN ZOTERO_ITEM CSL_CITATION {"citationID":"qIXvJVSH","properties":{"formattedCitation":"(Gellatly &amp; Beck, 2016; Simic et al., 2024; Sullivan &amp; Tripp, 2024)","plainCitation":"(Gellatly &amp; Beck, 2016; Simic et al., 2024; Sullivan &amp; Tripp, 2024)","noteIndex":0},"citationItems":[{"id":5003,"uris":["http://zotero.org/users/3430614/items/8VVWIDNX"],"itemData":{"id":5003,"type":"article-journal","abstract":"Since the description of catastrophizing by Ellis (Reason and emotion in psychotherapy. Lyle Stuart, Oxford, 1962) as a general factor in psychopathology, numerous studies have explored this construct and its association with many common disorders. This paper investigates the role of catastrophic thinking across psychiatric disorders. We conducted a comprehensive review of the literature on the role of catastrophic beliefs as a predictor and correlate of psychopathological disorders including panic, phobia, health anxiety, obsessive–compulsive disorder, posttraumatic stress disorder, pain, and traumatic brain injury. The literature suggests that catastrophic thinking has been demonstrated to play a role in a wide variety of disorders and has been a focal point for prevention and psychotherapeutic intervention. While the process of catastrophic thinking is transdiagnostic, content is unique for each disorder. We propose a model for the catastrophic cycle and discuss the utility of including catastrophic beliefs in an alternative diagnostic scheme based on cognitive theory. We offer recommendations for prevention and psychotherapeutic interventions that have targeted catastrophic thinking and led to improvement in each particular disorder. We conclude with recommendations for further research on the role of mediation, as well further investigation of disorders such as psychosis and irritable bowel syndrome, which emerging evidence suggests may be related to catastrophic beliefs.","container-title":"Cognitive Therapy and Research","DOI":"10.1007/s10608-016-9763-3","ISSN":"1573-2819","issue":"4","journalAbbreviation":"Cogn Ther Res","language":"en","page":"441-452","source":"Springer Link","title":"Catastrophic Thinking: A Transdiagnostic Process Across Psychiatric Disorders","title-short":"Catastrophic Thinking","volume":"40","author":[{"family":"Gellatly","given":"Resham"},{"family":"Beck","given":"Aaron T."}],"issued":{"date-parts":[["2016",8,1]]}}},{"id":4804,"uris":["http://zotero.org/users/3430614/items/8P4LXQNL"],"itemData":{"id":4804,"type":"article-journal","abstract":"The perception of pain is strongly influenced by various social, emotional, and cognitive factors. A psychological variable which has consistently been shown to exert its influence on pain is a cognitive process referred to as pain catastrophizing. Numerous studies have found it to be a strong predictor of pain intensity and disability across different clinical populations. It signifies a maladaptive response to pain marked by an exaggerated negative assessment, magnification of symptoms related to pain, and, in general, a tendency to experience marked pain-related worry, as well as experiencing feelings of helplessness when it comes to dealing with pain. Pain catastrophizing has been correlated to many adverse pain-related outcomes, including poor treatment response, unsatisfactory quality of life, and high disability related to both acute and chronic pain. Furthermore, there has been consistent evidence in support of a correlation between pain catastrophizing and mental health disorders, such as anxiety and depression. In this review, we aim to provide a comprehensive overview of the current state of knowledge regarding pain catastrophizing, with special emphasis on its clinical significance, and emerging treatment modalities which target it.","container-title":"Neurology International","DOI":"10.3390/neurolint16030036","ISSN":"2035-8377","issue":"3","language":"en","license":"http://creativecommons.org/licenses/by/3.0/","note":"number: 3\npublisher: Multidisciplinary Digital Publishing Institute","page":"483-501","source":"www.mdpi.com","title":"Pain Catastrophizing: How Far Have We Come","title-short":"Pain Catastrophizing","volume":"16","author":[{"family":"Simic","given":"Katarina"},{"family":"Savic","given":"Boris"},{"family":"Knezevic","given":"Nebojsa Nick"}],"issued":{"date-parts":[["2024",6]]}}},{"id":5005,"uris":["http://zotero.org/users/3430614/items/BW9SSLXV"],"itemData":{"id":5005,"type":"article-journal","abstract":"Recent reports have pointed to problems with the term “pain catastrophizing.” Critiques of the term pain catastrophizing have come from several sources including individuals with chronic pain, advocates for individuals with chronic pain, and pain scholars. Reports indicate that the term has been used to dismiss the medical basis of pain complaints, to question the authenticity of pain complaints, and to blame individuals with pain for their pain condition. In this paper, we advance the position that the problems prompting calls to rename the construct of pain catastrophizing have little to do with the term, and as such, changing the term will do little to solve these problems. We argue that continued calls for changing or deleting the term pain catastrophizing will only divert attention away from some fundamental flaws in how individuals with pain conditions are assessed and treated. Some of these fundamental flaws have their roots in the inadequate training of health and allied health professionals in evidence-based models of pain, in the use of psychological assessment and intervention tools for the clinical management of pain, and in gender equity and antiracism. Critiques that pain scholars have leveled against the defining, operational, and conceptual bases of pain catastrophizing are also addressed. Arguments for reconceptualizing pain catastrophizing as a worry-related construct are discussed. Recommendations are made for remediation of the problems that have contributed to calls to rename the term pain catastrophizing.\nPerspective\nThe issues prompting calls to rename the construct of pain catastrophizing have their roots in fundamental flaws in how individuals with pain are assessed and treated. Efforts to address these problems will require more than a simple change in terminology.","container-title":"The Journal of Pain","DOI":"10.1016/j.jpain.2023.07.004","ISSN":"1526-5900","issue":"3","journalAbbreviation":"The Journal of Pain","page":"575-587","source":"ScienceDirect","title":"Pain Catastrophizing: Controversies, Misconceptions and Future Directions","title-short":"Pain Catastrophizing","volume":"25","author":[{"family":"Sullivan","given":"Michael J. L."},{"family":"Tripp","given":"Dean A."}],"issued":{"date-parts":[["2024",3,1]]}}}],"schema":"https://github.com/citation-style-language/schema/raw/master/csl-citation.json"} </w:instrText>
      </w:r>
      <w:r w:rsidR="00590DA8">
        <w:rPr>
          <w:color w:val="000000"/>
        </w:rPr>
        <w:fldChar w:fldCharType="separate"/>
      </w:r>
      <w:r w:rsidR="004F7470">
        <w:rPr>
          <w:noProof/>
          <w:color w:val="000000"/>
        </w:rPr>
        <w:t>(Gellatly &amp; Beck, 2016; Simic et al., 2024; Sullivan &amp; Tripp, 2024)</w:t>
      </w:r>
      <w:r w:rsidR="00590DA8">
        <w:rPr>
          <w:color w:val="000000"/>
        </w:rPr>
        <w:fldChar w:fldCharType="end"/>
      </w:r>
      <w:r w:rsidR="00590DA8">
        <w:rPr>
          <w:color w:val="000000"/>
        </w:rPr>
        <w:t>.</w:t>
      </w:r>
      <w:r w:rsidRPr="00A315EC">
        <w:rPr>
          <w:color w:val="000000"/>
        </w:rPr>
        <w:t xml:space="preserve"> </w:t>
      </w:r>
    </w:p>
    <w:p w14:paraId="74778B43" w14:textId="1FC05B7C" w:rsidR="00E37559" w:rsidRDefault="00674C06" w:rsidP="009472F7">
      <w:pPr>
        <w:pStyle w:val="NormalWeb"/>
        <w:widowControl w:val="0"/>
        <w:spacing w:before="0" w:beforeAutospacing="0" w:after="0" w:afterAutospacing="0" w:line="480" w:lineRule="auto"/>
        <w:ind w:firstLine="720"/>
        <w:rPr>
          <w:color w:val="000000"/>
        </w:rPr>
      </w:pPr>
      <w:r w:rsidRPr="00A315EC">
        <w:rPr>
          <w:color w:val="000000"/>
        </w:rPr>
        <w:lastRenderedPageBreak/>
        <w:t>Importantly, p</w:t>
      </w:r>
      <w:r w:rsidR="00FD16EF" w:rsidRPr="00A315EC">
        <w:rPr>
          <w:color w:val="000000"/>
        </w:rPr>
        <w:t xml:space="preserve">ain catastrophizing has been extensively explored and has been </w:t>
      </w:r>
      <w:r w:rsidR="00153D97" w:rsidRPr="00A315EC">
        <w:rPr>
          <w:color w:val="000000"/>
        </w:rPr>
        <w:t xml:space="preserve">consistently </w:t>
      </w:r>
      <w:r w:rsidR="00FD16EF" w:rsidRPr="00A315EC">
        <w:rPr>
          <w:color w:val="000000"/>
        </w:rPr>
        <w:t xml:space="preserve">demonstrated </w:t>
      </w:r>
      <w:r w:rsidR="00E37559">
        <w:rPr>
          <w:color w:val="000000"/>
        </w:rPr>
        <w:t>to be</w:t>
      </w:r>
      <w:r w:rsidR="00FD16EF" w:rsidRPr="00A315EC">
        <w:rPr>
          <w:color w:val="000000"/>
        </w:rPr>
        <w:t xml:space="preserve"> one of the most </w:t>
      </w:r>
      <w:r w:rsidR="00FD3338">
        <w:rPr>
          <w:color w:val="000000"/>
        </w:rPr>
        <w:t xml:space="preserve">robust psychological predictors of increased adversity related to </w:t>
      </w:r>
      <w:r w:rsidR="00FD3338" w:rsidRPr="00484E79">
        <w:rPr>
          <w:color w:val="000000"/>
        </w:rPr>
        <w:t>the pain ex</w:t>
      </w:r>
      <w:r w:rsidR="00FD3338" w:rsidRPr="009472F7">
        <w:rPr>
          <w:color w:val="000000"/>
        </w:rPr>
        <w:t>perience</w:t>
      </w:r>
      <w:r w:rsidR="00590DA8">
        <w:rPr>
          <w:color w:val="000000"/>
        </w:rPr>
        <w:t xml:space="preserve"> </w:t>
      </w:r>
      <w:r w:rsidR="00590DA8">
        <w:rPr>
          <w:color w:val="000000"/>
        </w:rPr>
        <w:fldChar w:fldCharType="begin"/>
      </w:r>
      <w:r w:rsidR="00BE325A">
        <w:rPr>
          <w:color w:val="000000"/>
        </w:rPr>
        <w:instrText xml:space="preserve"> ADDIN ZOTERO_ITEM CSL_CITATION {"citationID":"LTBL1cmj","properties":{"formattedCitation":"(K. M. Edwards et al., 2006; Sullivan et al., 2001; Sullivan &amp; Tripp, 2024; Traxler et al., 2019; Weissman-Fogel et al., 2008)","plainCitation":"(K. M. Edwards et al., 2006; Sullivan et al., 2001; Sullivan &amp; Tripp, 2024; Traxler et al., 2019; Weissman-Fogel et al., 2008)","noteIndex":0},"citationItems":[{"id":1734,"uris":["http://zotero.org/users/3430614/items/ZV3QJFAL"],"itemData":{"id":1734,"type":"article-journal","abstract":"Animal studies have shown that an acute stressor in close temporal proximity to immune challenge can enhance the response to\ndelayed-type hypersensitivity and antibody response to vaccination. The current study examined the eVects of acute exercise or mental\nstress prior to inXuenza vaccination on the subsequent antibody response to each of the three viral strains. Sixty young healthy\nadults (31 men, 29 women) were randomly allocated to one of three task conditions: dynamic exercise, mental stress, or control. After\nan initial baseline, participants completed their allocated 45min task and then received the inXuenza vaccine. Plasma cortisol and\ninterleukin-6 were determined at the end of baseline, after the task, and after 60 min recovery. Antibody titres were measured prevaccination\nand at 4 weeks and 20 weeks post-vaccination follow-ups. For the A/Panama strain, women in both the exercise and\nmental stress conditions showed higher antibody titres at both 4 and 20 weeks than those in the control condition, while men\nresponded similarly in all conditions. Interleukin-6 at +60min recovery was found to be a signiWcant predictor of subsequent A/Panama\nantibody response in women. In line with animal research, the current study provides preliminary evidence that acute stress can\nenhance the antibody response to vaccination in humans.","container-title":"Brain, Behavior, and Immunity","DOI":"10.1016/0889-1591(87)90001-8","ISSN":"08891591","issue":"1","journalAbbreviation":"Brain, Behavior, and Immunity","language":"en","page":"1-6","source":"DOI.org (Crossref)","title":"Acute Stress Exposure Prior to Influenza Vaccination Enhances Antibody Response in Women","volume":"1","author":[{"family":"Edwards","given":"Kate M."},{"family":"Burns","given":"Victoria E."},{"family":"Reynolds","given":"Tracy"},{"family":"Douglas","given":"Carroll"},{"family":"Drayson","given":"Mark"},{"family":"Ring","given":"Christopher"}],"issued":{"date-parts":[["2006"]]}}},{"id":4553,"uris":["http://zotero.org/users/3430614/items/S6M8FWDK"],"itemData":{"id":4553,"type":"article-journal","abstract":"The tendency to “catastrophize” during painful stimulation contributes to more intense pain experience and increased emotional distress. Catastrophizing has been broadly conceived as an exaggerated negative “mental set” brought to bear during painful experiences. Although findings have been consistent in showing a relation between catastrophizing and pain, research in this area has proceeded in the relative absence of a guiding theoretical framework. This article reviews the literature on the relation between catastrophizing and pain and examines the relative strengths and limitations of different theoretical models that could be advanced to account for the pattern of available findings. The article evaluates the explanatory power of a schema activation model, an appraisal model, an attention model, and a communal coping model of pain perception. It is suggested that catastrophizing might best be viewed from the perspective of hierarchical levels of analysis, where social factors and social goals may play a role in the development and maintenance of catastrophizing, whereas appraisal-related processes may point to the mechanisms that link catastrophizing to pain experience. Directions for future research are suggested.","container-title":"The Clinical Journal of Pain","DOI":"10.1097/00002508-200103000-00008","ISSN":"0749-8047","issue":"1","journalAbbreviation":"The Clinical Journal of Pain","language":"en","page":"52-64","source":"DOI.org (Crossref)","title":"Theoretical Perspectives on the Relation Between Catastrophizing and Pain:","title-short":"Theoretical Perspectives on the Relation Between Catastrophizing and Pain","volume":"17","author":[{"family":"Sullivan","given":"Michael J. L."},{"family":"Thorn","given":"Beverly"},{"family":"Haythornthwaite","given":"Jennifer A."},{"family":"Keefe","given":"Francis"},{"family":"Martin","given":"Michelle"},{"family":"Bradley","given":"Laurence A."},{"family":"Lefebvre","given":"John C."}],"issued":{"date-parts":[["2001",3]]}}},{"id":5005,"uris":["http://zotero.org/users/3430614/items/BW9SSLXV"],"itemData":{"id":5005,"type":"article-journal","abstract":"Recent reports have pointed to problems with the term “pain catastrophizing.” Critiques of the term pain catastrophizing have come from several sources including individuals with chronic pain, advocates for individuals with chronic pain, and pain scholars. Reports indicate that the term has been used to dismiss the medical basis of pain complaints, to question the authenticity of pain complaints, and to blame individuals with pain for their pain condition. In this paper, we advance the position that the problems prompting calls to rename the construct of pain catastrophizing have little to do with the term, and as such, changing the term will do little to solve these problems. We argue that continued calls for changing or deleting the term pain catastrophizing will only divert attention away from some fundamental flaws in how individuals with pain conditions are assessed and treated. Some of these fundamental flaws have their roots in the inadequate training of health and allied health professionals in evidence-based models of pain, in the use of psychological assessment and intervention tools for the clinical management of pain, and in gender equity and antiracism. Critiques that pain scholars have leveled against the defining, operational, and conceptual bases of pain catastrophizing are also addressed. Arguments for reconceptualizing pain catastrophizing as a worry-related construct are discussed. Recommendations are made for remediation of the problems that have contributed to calls to rename the term pain catastrophizing.\nPerspective\nThe issues prompting calls to rename the construct of pain catastrophizing have their roots in fundamental flaws in how individuals with pain are assessed and treated. Efforts to address these problems will require more than a simple change in terminology.","container-title":"The Journal of Pain","DOI":"10.1016/j.jpain.2023.07.004","ISSN":"1526-5900","issue":"3","journalAbbreviation":"The Journal of Pain","page":"575-587","source":"ScienceDirect","title":"Pain Catastrophizing: Controversies, Misconceptions and Future Directions","title-short":"Pain Catastrophizing","volume":"25","author":[{"family":"Sullivan","given":"Michael J. L."},{"family":"Tripp","given":"Dean A."}],"issued":{"date-parts":[["2024",3,1]]}}},{"id":5008,"uris":["http://zotero.org/users/3430614/items/RW8GN4MB"],"itemData":{"id":5008,"type":"article-journal","abstract":"Background\nPrevious studies found evidence that dispositional optimism is related to lower pain sensitivity. Recent findings suggest that temporarily increasing optimism by means of imagining a positive future may also have pain‐alleviating effects.\n\nObjectives\nThe present experiment was designed to investigate conditioned pain modulation (CPM) as a potential underlying mechanism of this pain‐alleviating effect of induced optimism.\n\nMethods\nFor this purpose, 45 healthy participants were randomized into an optimistic or neutral imagery condition. Additionally, participants completed questionnaires on dispositional optimism, pain catastrophizing and pain expectations. CPM was assessed by delivering a series of five heat pain stimuli on the nondominant hand before and during immersion of the dominant hand in water of 5°C for 70 s.\n\nResults\nA clear CPM effect was found, that is heat pain reports were lower during simultaneous cold water stimulation. Although the optimism manipulation successfully increased optimism, it did not affect pain ratings or CPM. Post hoc analyses indicated that dispositional optimism was not associated with the magnitude of CPM, but pain catastrophizing and pain expectations did significantly correlate with the CPM effect.\n\nConclusion\nPain‐specific but not general cognitions appear to influence endogenous pain modulation.\n\nSignificance\nConditioned pain modulation is not the underlying mechanism of the pain‐alleviating effects of induced optimism. However, pain‐specific cognitions including pain catastrophizing and pain expectations affect endogenous pain modulation which should be taken into account in treatment and CPM research.","container-title":"European Journal of Pain (London, England)","DOI":"10.1002/ejp.1294","ISSN":"1090-3801","issue":"1","journalAbbreviation":"Eur J Pain","note":"PMID: 30074678\nPMCID: PMC6585813","page":"150-159","source":"PubMed Central","title":"General versus pain‐specific cognitions: Pain catastrophizing but not optimism influences conditioned pain modulation","title-short":"General versus pain‐specific cognitions","volume":"23","author":[{"family":"Traxler","given":"Juliane"},{"family":"Hanssen","given":"Marjolein M."},{"family":"Lautenbacher","given":"Stefan"},{"family":"Ottawa","given":"Fabian"},{"family":"Peters","given":"Madelon L."}],"issued":{"date-parts":[["2019",1]]}}},{"id":5011,"uris":["http://zotero.org/users/3430614/items/77SF5F6E"],"itemData":{"id":5011,"type":"article-journal","abstract":"The multidimensional experience of pain is thought to be partially influenced by the pain modulation system as well as by individual psychological components. Recent studies demonstrated possible common neural network mediating both domains. The present study examined the relationships between pain perception, pain modulation, and catastrophizing in healthy subjects. Forty-eight participants (29 females and 19 males) completed the pain catastrophizing scale (PCS) and underwent psychophysical tests in order to evaluate the modulation of pain, using the diffuse noxious inhibitory control (DNIC) paradigm. Contact heat pain (47.0°C applied for 1 min), which was used as the “test” stimulation, was applied before and after a physical effort that induces pain (repeated squeezing of a hand grip device), which was used as a “conditioning” stimulus. Numeric pain scale intensities (NPS, 0–10) were evaluated four times during each of two separate consecutive runs of heat stimulation. Results showed a significant positive correlation of PCS with heat pain (r = 0.48, p &lt; 0.0005) and with muscle pain (r = 0.31, p = 0.03). In addition, significant negative correlations were found between PCS and DNIC effect (r = −0.34, p = 0.02). Moreover, once catastrophizing was entered into the regression analysis, the previously significant effect of gender was no longer found. In conclusion, individuals with high catastrophizing levels demonstrated higher pain intensities and lower effects of DNIC indicating that catastrophizing might have a significant impact on pain perception via an association with pain modulation.","container-title":"Experimental Brain Research","DOI":"10.1007/s00221-007-1206-7","ISSN":"1432-1106","issue":"1","journalAbbreviation":"Exp Brain Res","language":"en","page":"79-85","source":"Springer Link","title":"Effects of catastrophizing on pain perception and pain modulation","volume":"186","author":[{"family":"Weissman-Fogel","given":"Irit"},{"family":"Sprecher","given":"Elliot"},{"family":"Pud","given":"Dorit"}],"issued":{"date-parts":[["2008",3,1]]}}}],"schema":"https://github.com/citation-style-language/schema/raw/master/csl-citation.json"} </w:instrText>
      </w:r>
      <w:r w:rsidR="00590DA8">
        <w:rPr>
          <w:color w:val="000000"/>
        </w:rPr>
        <w:fldChar w:fldCharType="separate"/>
      </w:r>
      <w:r w:rsidR="00BE325A">
        <w:rPr>
          <w:noProof/>
          <w:color w:val="000000"/>
        </w:rPr>
        <w:t>(K. M. Edwards et al., 2006; Sullivan et al., 2001; Sullivan &amp; Tripp, 2024; Traxler et al., 2019; Weissman-Fogel et al., 2008)</w:t>
      </w:r>
      <w:r w:rsidR="00590DA8">
        <w:rPr>
          <w:color w:val="000000"/>
        </w:rPr>
        <w:fldChar w:fldCharType="end"/>
      </w:r>
      <w:r w:rsidR="00FD16EF" w:rsidRPr="00A315EC">
        <w:rPr>
          <w:color w:val="000000"/>
        </w:rPr>
        <w:t>.</w:t>
      </w:r>
      <w:r w:rsidR="00B17579">
        <w:rPr>
          <w:color w:val="000000"/>
        </w:rPr>
        <w:t xml:space="preserve"> </w:t>
      </w:r>
      <w:r w:rsidR="00153D97">
        <w:rPr>
          <w:color w:val="000000"/>
        </w:rPr>
        <w:t>Individuals endorsing higher levels of pain catastrophizing are more likely to</w:t>
      </w:r>
      <w:r w:rsidR="00153D97" w:rsidRPr="00153D97">
        <w:rPr>
          <w:color w:val="000000"/>
        </w:rPr>
        <w:t xml:space="preserve"> experience chronic pain</w:t>
      </w:r>
      <w:r w:rsidR="00153D97">
        <w:rPr>
          <w:color w:val="000000"/>
        </w:rPr>
        <w:t xml:space="preserve"> </w:t>
      </w:r>
      <w:r w:rsidR="00153D97">
        <w:rPr>
          <w:color w:val="000000"/>
        </w:rPr>
        <w:fldChar w:fldCharType="begin"/>
      </w:r>
      <w:r w:rsidR="0068523D">
        <w:rPr>
          <w:color w:val="000000"/>
        </w:rPr>
        <w:instrText xml:space="preserve"> ADDIN ZOTERO_ITEM CSL_CITATION {"citationID":"uLYErgOQ","properties":{"formattedCitation":"(Fisher et al., 2018; Martinez-Calderon et al., 2019)","plainCitation":"(Fisher et al., 2018; Martinez-Calderon et al., 2019)","noteIndex":0},"citationItems":[{"id":4295,"uris":["http://zotero.org/users/3430614/items/YQULZR2S"],"itemData":{"id":4295,"type":"article-journal","abstract":"To conduct a systematic review of pain anxiety, pain catastrophizing, and fear of pain measures psychometrically established in youth with chronic pain. The review addresses three specific aims: (1) to identify measures used in youth with chronic pain, summarizing their content, psychometric properties, and use; (2) to use evidence-based assessment criteria to rate each measure according to the Society of Pediatric Psychology (SPP) guidelines; (3) to pool data across studies for meta-analysis of shared variance in psychometric performance in relation to the primary outcomes of pain intensity, disability, generalized anxiety, and depression.We searched Medline, Embase, PsycINFO, and relevant literature for possible studies to include. We identified measures studied in youth with chronic pain that assessed pain anxiety, pain catastrophizing, or fear of pain and extracted the item-level content. Study and participant characteristics, and correlation data were extracted for summary and meta-analysis, and measures were rated using the SPP evidence-based assessment criteria.Fifty-four studies (84 papers) met the inclusion criteria, including seven relevant measures: one assessed pain anxiety, three pain catastrophizing, and three fear of pain. Overall, five measures were rated as “well established.” We conducted meta-analyses on four measures with available data. We found significant positive correlations with the variables pain intensity, disability, generalized anxiety, and depression.Seven measures are available to assess pain anxiety, pain catastrophizing, and fear of pain in young people with chronic pain, and most are well established. We present implications for practice and directions for future research.","container-title":"Journal of Pediatric Psychology","DOI":"10.1093/jpepsy/jsx103","ISSN":"0146-8693","issue":"3","journalAbbreviation":"Journal of Pediatric Psychology","page":"314-325","source":"Silverchair","title":"Assessment of Pain Anxiety, Pain Catastrophizing, and Fear of Pain in Children and Adolescents With Chronic Pain: A Systematic Review and Meta-Analysis","title-short":"Assessment of Pain Anxiety, Pain Catastrophizing, and Fear of Pain in Children and Adolescents With Chronic Pain","volume":"43","author":[{"family":"Fisher","given":"Emma"},{"family":"Heathcote","given":"Lauren C"},{"family":"Eccleston","given":"Christopher"},{"family":"Simons","given":"Laura E"},{"family":"Palermo","given":"Tonya M"}],"issued":{"date-parts":[["2018",4,1]]}}},{"id":4293,"uris":["http://zotero.org/users/3430614/items/VBXTIDH2"],"itemData":{"id":4293,"type":"article-journal","abstract":"Objectives: \n        Pain catastrophizing (PC) is the most consistent psychosocial factor predicting of adjustment to chronic pain and may contribute to the development and long-term maintenance of chronic pain. The aim of this review was systematically review and critically appraise the concurrent and longitudinal associations between PC and both pain intensity and disability in individuals with chronic musculoskeletal pain (CMP).\n        Materials and Methods: \n        An electronic search of PubMed, Scopus, AMED, CINAHL, PsycINFO, and PubPsych databases, as well as gray literature, was undertaken from inception until September 2018. Cross-sectional and longitudinal studies reporting on the associations between measures of PC, pain intensity, and disability were selected for review.\n        Results: \n        A total of 85 observational studies (92% cross-sectional) were included, with a total sample of 13,628 participants with CMP. Very low-quality evidence (based on the GRADE criteria) indicated that higher levels of PC were often, but not always, significantly associated with and prospectively predicted both chronic pain intensity and disability. Heterogeneity was large after conducting multiple meta-analyses.\n        Discussion: \n        Despite the very low quality of the available evidence, the general consistency of the findings highlights the potential role that PC may play in delaying recovery from CMP. Research that uses higher quality study designs and procedures would allow for more definitive conclusions regarding the impact of PC on pain and function.","container-title":"The Clinical Journal of Pain","DOI":"10.1097/AJP.0000000000000676","ISSN":"0749-8047","issue":"3","language":"en-US","page":"279–293","source":"journals-lww-com.ezproxy.lib.ou.edu","title":"Pain Catastrophizing and Function In Individuals With Chronic Musculoskeletal Pain: A Systematic Review and Meta-Analysis","title-short":"Pain Catastrophizing and Function In Individuals With Chronic Musculoskeletal Pain","volume":"35","author":[{"family":"Martinez-Calderon","given":"Javier"},{"family":"Jensen","given":"Mark P."},{"family":"Morales-Asencio","given":"Jose M."},{"family":"Luque-Suarez","given":"Alejandro"}],"issued":{"date-parts":[["2019",3]]}}}],"schema":"https://github.com/citation-style-language/schema/raw/master/csl-citation.json"} </w:instrText>
      </w:r>
      <w:r w:rsidR="00153D97">
        <w:rPr>
          <w:color w:val="000000"/>
        </w:rPr>
        <w:fldChar w:fldCharType="separate"/>
      </w:r>
      <w:r w:rsidR="0068523D">
        <w:rPr>
          <w:noProof/>
          <w:color w:val="000000"/>
        </w:rPr>
        <w:t>(Fisher et al., 2018; Martinez-Calderon et al., 2019)</w:t>
      </w:r>
      <w:r w:rsidR="00153D97">
        <w:rPr>
          <w:color w:val="000000"/>
        </w:rPr>
        <w:fldChar w:fldCharType="end"/>
      </w:r>
      <w:r w:rsidR="00153D97" w:rsidRPr="00153D97">
        <w:rPr>
          <w:color w:val="000000"/>
        </w:rPr>
        <w:t xml:space="preserve">, opioid misuse </w:t>
      </w:r>
      <w:r w:rsidR="0068523D">
        <w:rPr>
          <w:color w:val="000000"/>
        </w:rPr>
        <w:fldChar w:fldCharType="begin"/>
      </w:r>
      <w:r w:rsidR="0068523D">
        <w:rPr>
          <w:color w:val="000000"/>
        </w:rPr>
        <w:instrText xml:space="preserve"> ADDIN ZOTERO_ITEM CSL_CITATION {"citationID":"p7s6sOa0","properties":{"formattedCitation":"(Arteta et al., 2016)","plainCitation":"(Arteta et al., 2016)","noteIndex":0},"citationItems":[{"id":4290,"uris":["http://zotero.org/users/3430614/items/2PG9LAE2"],"itemData":{"id":4290,"type":"article-journal","abstract":"Objective. We investigated the extent to which anxiety and depression mediate the relationship between pain catastrophizing and the risk of prescription opioid misuse in chronic pain patients. Methods. 215 patients with chronic occupational musculoskeletal disorders completed self-report measures upon admission to a functional restorational program. A bootstrap multivariate regression analysis was conducted to assess how depression and anxiety mediated the relationship between pain catastrophizing and prescription opioid misuse.Results. Catastrophizing, anxiety, and depression predicted higher risk for prescription opioid misuse. Furthermore, anxiety and depression acted as mediators while controlling for the effects of gender and age. Finally, it was found that the effects of catastrophizing on risk for prescription opioid misuse were completely eliminated by those of depression.Conclusion. Due to the partially independent relationship of anxiety and catastrophizing, it is recommended that treatments for chronic pain patients employ techniques addressing both behaviors. The relationship between depression and catastrophizing requires more research since it was observed that their effects were confounded.","container-title":"Pain Medicine","DOI":"10.1111/pme.12886","ISSN":"1526-2375","issue":"2","journalAbbreviation":"Pain Medicine","page":"295-303","source":"Silverchair","title":"Evaluation of How Depression and Anxiety Mediate the Relationship Between Pain Catastrophizing and Prescription Opioid Misuse in a Chronic Pain Population","volume":"17","author":[{"family":"Arteta","given":"Javier"},{"family":"Cobos","given":"Briana"},{"family":"Hu","given":"Yueqin"},{"family":"Jordan","given":"Krista"},{"family":"Howard","given":"Krista"}],"issued":{"date-parts":[["2016",2,1]]}}}],"schema":"https://github.com/citation-style-language/schema/raw/master/csl-citation.json"} </w:instrText>
      </w:r>
      <w:r w:rsidR="0068523D">
        <w:rPr>
          <w:color w:val="000000"/>
        </w:rPr>
        <w:fldChar w:fldCharType="separate"/>
      </w:r>
      <w:r w:rsidR="0068523D">
        <w:rPr>
          <w:noProof/>
          <w:color w:val="000000"/>
        </w:rPr>
        <w:t>(Arteta et al., 2016)</w:t>
      </w:r>
      <w:r w:rsidR="0068523D">
        <w:rPr>
          <w:color w:val="000000"/>
        </w:rPr>
        <w:fldChar w:fldCharType="end"/>
      </w:r>
      <w:r w:rsidR="00153D97" w:rsidRPr="00153D97">
        <w:rPr>
          <w:color w:val="000000"/>
        </w:rPr>
        <w:t xml:space="preserve"> extreme postoperative pain</w:t>
      </w:r>
      <w:r w:rsidR="00D754B8">
        <w:rPr>
          <w:color w:val="000000"/>
        </w:rPr>
        <w:t xml:space="preserve"> </w:t>
      </w:r>
      <w:r w:rsidR="00D754B8">
        <w:rPr>
          <w:color w:val="000000"/>
        </w:rPr>
        <w:fldChar w:fldCharType="begin"/>
      </w:r>
      <w:r w:rsidR="00A139AE">
        <w:rPr>
          <w:color w:val="000000"/>
        </w:rPr>
        <w:instrText xml:space="preserve"> ADDIN ZOTERO_ITEM CSL_CITATION {"citationID":"2TjqnlxW","properties":{"formattedCitation":"(Khan et al., 2012)","plainCitation":"(Khan et al., 2012)","noteIndex":0},"citationItems":[{"id":4082,"uris":["http://zotero.org/users/3430614/items/48QE7PMY"],"itemData":{"id":4082,"type":"article-journal","abstract":"Objective. Postoperative pain is associated with delayed discharged and recovery, reduced patient satisfaction, and increased costs. The aim of this study was to investigate the short-term association between preoperative psychological variables (pain catastrophizing, anxiety, and depression) and postoperative pain in a sample of cardiac surgery patients.","container-title":"Pain Medicine","DOI":"10.1111/j.1526-4637.2012.01386.x","ISSN":"1526-2375, 1526-4637","issue":"6","journalAbbreviation":"Pain Med","language":"en","page":"820-827","source":"DOI.org (Crossref)","title":"The Association Between Preoperative Pain Catastrophizing and Postoperative Pain Intensity in Cardiac Surgery Patients","volume":"13","author":[{"family":"Khan","given":"Reenam S."},{"family":"Skapinakis","given":"Petros"},{"family":"Ahmed","given":"Kamran"},{"family":"Stefanou","given":"Demetrios C."},{"family":"Ashrafian","given":"Hutan"},{"family":"Darzi","given":"Ara"},{"family":"Athanasiou","given":"Thanos"}],"issued":{"date-parts":[["2012",6]]}}}],"schema":"https://github.com/citation-style-language/schema/raw/master/csl-citation.json"} </w:instrText>
      </w:r>
      <w:r w:rsidR="00D754B8">
        <w:rPr>
          <w:color w:val="000000"/>
        </w:rPr>
        <w:fldChar w:fldCharType="separate"/>
      </w:r>
      <w:r w:rsidR="00A139AE">
        <w:rPr>
          <w:noProof/>
          <w:color w:val="000000"/>
        </w:rPr>
        <w:t>(Khan et al., 2012)</w:t>
      </w:r>
      <w:r w:rsidR="00D754B8">
        <w:rPr>
          <w:color w:val="000000"/>
        </w:rPr>
        <w:fldChar w:fldCharType="end"/>
      </w:r>
      <w:r w:rsidR="00A139AE">
        <w:rPr>
          <w:color w:val="000000"/>
        </w:rPr>
        <w:t xml:space="preserve">, </w:t>
      </w:r>
      <w:r w:rsidR="00153D97" w:rsidRPr="00153D97">
        <w:rPr>
          <w:color w:val="000000"/>
        </w:rPr>
        <w:t xml:space="preserve">activity intolerance </w:t>
      </w:r>
      <w:r w:rsidR="00A139AE">
        <w:rPr>
          <w:color w:val="000000"/>
        </w:rPr>
        <w:fldChar w:fldCharType="begin"/>
      </w:r>
      <w:r w:rsidR="00A139AE">
        <w:rPr>
          <w:color w:val="000000"/>
        </w:rPr>
        <w:instrText xml:space="preserve"> ADDIN ZOTERO_ITEM CSL_CITATION {"citationID":"VIYDeM8u","properties":{"formattedCitation":"(Sullivan et al., 2002; Zhaoyang et al., 2020)","plainCitation":"(Sullivan et al., 2002; Zhaoyang et al., 2020)","noteIndex":0},"citationItems":[{"id":4758,"uris":["http://zotero.org/users/3430614/items/AAYVX99G"],"itemData":{"id":4758,"type":"article-journal","abstract":"The present study examined the value of a measure of catastrophizing as a predictor of activity intolerance in response to delayed onset muscle soreness (DOMS). A sample of 50 (17 men, 33 women) sedentary undergraduates participated in an exercise protocol designed to induce muscle soreness and were asked to return 2 days later to perform the same physical maneuvres. Participants performed five strength exercises that emphasized the eccentric component of the muscle contraction in order to induce DOMS. Dependent variables of interest were the proportion reduction in total weight lifted, and the number of repetitions. Analyses revealed that catastrophizing, assessed prior to the first exercise bout, was significantly correlated with negative mood, pain and with reduction in weight lifted. Regression analyses revealed that catastrophizing predicted reductions in weight lifted even after controlling for pain and negative mood. These findings extend previous research in demonstrating that catastrophizing is associated with objective indices of activity intolerance associated with pain. Implications of these findings for understanding pain-related disability are addressed.","container-title":"Pain","DOI":"10.1016/S0304-3959(02)00206-3","ISSN":"0304-3959","issue":"1","journalAbbreviation":"Pain","page":"47-53","source":"ScienceDirect","title":"An experimental investigation of the relation between catastrophizing and activity intolerance","volume":"100","author":[{"family":"Sullivan","given":"Michael J. L"},{"family":"Rodgers","given":"Wendy M"},{"family":"Wilson","given":"Philip M"},{"family":"Bell","given":"Gordon J"},{"family":"Murray","given":"Terra C"},{"family":"Fraser","given":"Shawn N"}],"issued":{"date-parts":[["2002",11,1]]}}},{"id":4285,"uris":["http://zotero.org/users/3430614/items/XX6C6KSJ"],"itemData":{"id":4285,"type":"article-journal","abstract":"Musculoskeletal disorders such as knee osteoarthritis (OA) are the primary cause of chronic pain in older adults. Recommended self-management strategies for knee OA include staying physically active in the face of pain, but many patients avoid activities they are capable of doing. The overall purpose of this study was to examine the extent to which daily pain catastrophizing, a maladaptive coping strategy, could influence OA patients' physical activity and sedentary behavior. The current study used data from 143 older knee OA patients who completed electronic daily diaries for 22 days and wore an accelerometer to capture physical activity and sedentary behavior. At the beginning of each day, patients reported their pain catastrophizing regarding the day ahead. Results from multilevel models demonstrated that on mornings when patients catastrophized more than usual about their pain in the day ahead, they spent more time in sedentary behavior and engaged in fewer minutes of moderate to vigorous physical activity that day. Cross-day lagged analyses further showed that the effect of morning pain catastrophizing on subsequent sedentary behavior extended to the next day. More time spent in sedentary behavior, in turn, contributed to greater pain catastrophizing the next morning. These findings support the mechanistic role of daily pain catastrophizing in the avoidance of physical activity for older OA patients, and suggest that effective interventions for pain catastrophizing may also reduce sedentary behavior and enhance physical activity, with longer-term benefits for pain management, physical function, and overall health.","container-title":"PAIN","DOI":"10.1097/j.pain.0000000000001959","ISSN":"0304-3959","issue":"11","language":"en-US","page":"2603–2610","source":"journals.lww.com","title":"Daily pain catastrophizing predicts less physical activity and more sedentary behavior in older adults with osteoarthritis","volume":"161","author":[{"family":"Zhaoyang","given":"Ruixue"},{"family":"Martire","given":"Lynn M."},{"family":"Darnall","given":"Beth D."}],"issued":{"date-parts":[["2020",11]]}}}],"schema":"https://github.com/citation-style-language/schema/raw/master/csl-citation.json"} </w:instrText>
      </w:r>
      <w:r w:rsidR="00A139AE">
        <w:rPr>
          <w:color w:val="000000"/>
        </w:rPr>
        <w:fldChar w:fldCharType="separate"/>
      </w:r>
      <w:r w:rsidR="00A139AE">
        <w:rPr>
          <w:noProof/>
          <w:color w:val="000000"/>
        </w:rPr>
        <w:t>(Sullivan et al., 2002; Zhaoyang et al., 2020)</w:t>
      </w:r>
      <w:r w:rsidR="00A139AE">
        <w:rPr>
          <w:color w:val="000000"/>
        </w:rPr>
        <w:fldChar w:fldCharType="end"/>
      </w:r>
      <w:r w:rsidR="00A139AE">
        <w:rPr>
          <w:color w:val="000000"/>
        </w:rPr>
        <w:t xml:space="preserve">, </w:t>
      </w:r>
      <w:r w:rsidR="00BC67D8">
        <w:rPr>
          <w:color w:val="000000"/>
        </w:rPr>
        <w:t xml:space="preserve">poorer responses to rehabilitative therapies </w:t>
      </w:r>
      <w:r w:rsidR="00BC67D8">
        <w:rPr>
          <w:color w:val="000000"/>
        </w:rPr>
        <w:fldChar w:fldCharType="begin"/>
      </w:r>
      <w:r w:rsidR="00BC67D8">
        <w:rPr>
          <w:color w:val="000000"/>
        </w:rPr>
        <w:instrText xml:space="preserve"> ADDIN ZOTERO_ITEM CSL_CITATION {"citationID":"NEXKDGxx","properties":{"formattedCitation":"(Uckun et al., 2020)","plainCitation":"(Uckun et al., 2020)","noteIndex":0},"citationItems":[{"id":5168,"uris":["http://zotero.org/users/3430614/items/N5X66IM9"],"itemData":{"id":5168,"type":"article-journal","container-title":"Pain Physician","ISSN":"1533-3159","issue":"2","journalAbbreviation":"Pain Physician","note":"publisher: American Society of Interventional Pain Physician","page":"209","title":"The role of pain catastrophizing and depression in the outcomes of physical therapy in a prospective osteoarthritis cohort","volume":"23","author":[{"family":"Uckun","given":"Asli Caliskan"},{"family":"Donmez","given":"Burcu Kose"},{"family":"Yurdakul","given":"Fatma Gul"},{"family":"Garip","given":"Yesim"},{"family":"Bodur","given":"Hatice"}],"issued":{"date-parts":[["2020"]]}}}],"schema":"https://github.com/citation-style-language/schema/raw/master/csl-citation.json"} </w:instrText>
      </w:r>
      <w:r w:rsidR="00BC67D8">
        <w:rPr>
          <w:color w:val="000000"/>
        </w:rPr>
        <w:fldChar w:fldCharType="separate"/>
      </w:r>
      <w:r w:rsidR="00BC67D8">
        <w:rPr>
          <w:noProof/>
          <w:color w:val="000000"/>
        </w:rPr>
        <w:t>(Uckun et al., 2020)</w:t>
      </w:r>
      <w:r w:rsidR="00BC67D8">
        <w:rPr>
          <w:color w:val="000000"/>
        </w:rPr>
        <w:fldChar w:fldCharType="end"/>
      </w:r>
      <w:r w:rsidR="00BC67D8">
        <w:rPr>
          <w:color w:val="000000"/>
        </w:rPr>
        <w:t xml:space="preserve">, </w:t>
      </w:r>
      <w:r w:rsidR="00D16CDE">
        <w:rPr>
          <w:color w:val="000000"/>
        </w:rPr>
        <w:t xml:space="preserve">and </w:t>
      </w:r>
      <w:r w:rsidR="00153D97" w:rsidRPr="00153D97">
        <w:rPr>
          <w:color w:val="000000"/>
        </w:rPr>
        <w:t>lower quality of life</w:t>
      </w:r>
      <w:r w:rsidR="00A139AE">
        <w:rPr>
          <w:color w:val="000000"/>
        </w:rPr>
        <w:t xml:space="preserve"> </w:t>
      </w:r>
      <w:r w:rsidR="00A139AE">
        <w:rPr>
          <w:color w:val="000000"/>
        </w:rPr>
        <w:fldChar w:fldCharType="begin"/>
      </w:r>
      <w:r w:rsidR="00A139AE">
        <w:rPr>
          <w:color w:val="000000"/>
        </w:rPr>
        <w:instrText xml:space="preserve"> ADDIN ZOTERO_ITEM CSL_CITATION {"citationID":"aobKVlyG","properties":{"formattedCitation":"(B\\uc0\\u246{}rsbo et al., 2010)","plainCitation":"(Börsbo et al., 2010)","noteIndex":0},"citationItems":[{"id":5161,"uris":["http://zotero.org/users/3430614/items/Q5VQSY3G"],"itemData":{"id":5161,"type":"article-journal","abstract":"PURPOSE: To investigate the interactions between self-efficacy - including subcomponents - and symptoms (pain, depression and anxiety), catastrophising, disability, quality of life and health in a population of patients with chronic pain.\nMETHOD: The study used 433 patients with chronic pain including 47 patients with spinal cord injury-related pain, 150 patients with chronic whiplash-associated disorders and 236 patients with fibromyalgia. The participants answered a postal questionnaire that provided background data, pain intensity and duration and psychological- and health-related variables.\nRESULTS: In the multivariate context, depression, anxiety, catastrophising and disability were intercorrelated. Self-efficacy correlated positively with variables of quality of life and general health. These two groups of variables were negatively correlated. The pain variables - duration of pain, pain intensity and spreading of pain - formed a third group of variables. Self-efficacy function was negatively correlated to these three pain variables. When regressing disability, quality of life and health, we found that self-efficacy had a positive impact whereas symptoms, catastrophising and pain had a negative influence on these aspects. Different patterns of influencing variables were discerned for the three different analyses, and specific patterns of the subscales of self-efficacy corresponded to specific patterns of negative factors for the outcome of disability, quality of life and health.\nCONCLUSION: There is a complex interaction of psychological factors and symptoms and their positive and negative influence on disability, quality of life and health. The results indicate that it might be important to assess and influence both enhancing and detoriating factors to ensure an effective pain management programme.","container-title":"Disability and Rehabilitation","DOI":"10.3109/09638280903419269","ISSN":"1464-5165","issue":"17","journalAbbreviation":"Disabil Rehabil","language":"eng","note":"PMID: 20513205","page":"1387-1396","source":"PubMed","title":"Impact of the interaction between self-efficacy, symptoms and catastrophising on disability, quality of life and health in with chronic pain patients","volume":"32","author":[{"family":"Börsbo","given":"Björn"},{"family":"Gerdle","given":"Björn"},{"family":"Peolsson","given":"Michael"}],"issued":{"date-parts":[["2010"]]}}}],"schema":"https://github.com/citation-style-language/schema/raw/master/csl-citation.json"} </w:instrText>
      </w:r>
      <w:r w:rsidR="00A139AE">
        <w:rPr>
          <w:color w:val="000000"/>
        </w:rPr>
        <w:fldChar w:fldCharType="separate"/>
      </w:r>
      <w:r w:rsidR="00A139AE" w:rsidRPr="00A139AE">
        <w:rPr>
          <w:color w:val="000000"/>
        </w:rPr>
        <w:t>(Börsbo et al., 2010)</w:t>
      </w:r>
      <w:r w:rsidR="00A139AE">
        <w:rPr>
          <w:color w:val="000000"/>
        </w:rPr>
        <w:fldChar w:fldCharType="end"/>
      </w:r>
      <w:r w:rsidR="00D16CDE">
        <w:rPr>
          <w:color w:val="000000"/>
        </w:rPr>
        <w:t>, along with a host of other health-related outcomes.</w:t>
      </w:r>
      <w:r w:rsidR="00153D97" w:rsidRPr="00153D97">
        <w:rPr>
          <w:color w:val="000000"/>
        </w:rPr>
        <w:t xml:space="preserve"> </w:t>
      </w:r>
      <w:r w:rsidR="00B93857">
        <w:rPr>
          <w:color w:val="000000"/>
        </w:rPr>
        <w:t>It</w:t>
      </w:r>
      <w:r w:rsidR="004F7470">
        <w:rPr>
          <w:color w:val="000000"/>
        </w:rPr>
        <w:t xml:space="preserve"> is </w:t>
      </w:r>
      <w:r w:rsidR="00E37559">
        <w:rPr>
          <w:color w:val="000000"/>
        </w:rPr>
        <w:t>multidimensional</w:t>
      </w:r>
      <w:r w:rsidR="004F7470">
        <w:rPr>
          <w:color w:val="000000"/>
        </w:rPr>
        <w:t xml:space="preserve"> in nature,</w:t>
      </w:r>
      <w:r w:rsidR="00B93857">
        <w:rPr>
          <w:color w:val="000000"/>
        </w:rPr>
        <w:t xml:space="preserve"> </w:t>
      </w:r>
      <w:r w:rsidR="004F7470">
        <w:rPr>
          <w:color w:val="000000"/>
        </w:rPr>
        <w:t>considered</w:t>
      </w:r>
      <w:r w:rsidR="00314A44">
        <w:rPr>
          <w:color w:val="000000"/>
        </w:rPr>
        <w:t xml:space="preserve"> to</w:t>
      </w:r>
      <w:r w:rsidR="004F7470">
        <w:rPr>
          <w:color w:val="000000"/>
        </w:rPr>
        <w:t xml:space="preserve"> involve both</w:t>
      </w:r>
      <w:r w:rsidR="00B93857">
        <w:rPr>
          <w:color w:val="000000"/>
        </w:rPr>
        <w:t xml:space="preserve"> cognitive and affective </w:t>
      </w:r>
      <w:r w:rsidR="004D30DB">
        <w:rPr>
          <w:color w:val="000000"/>
        </w:rPr>
        <w:t>features</w:t>
      </w:r>
      <w:r w:rsidR="004F7470">
        <w:rPr>
          <w:color w:val="000000"/>
        </w:rPr>
        <w:t xml:space="preserve">, </w:t>
      </w:r>
      <w:r w:rsidR="004D30DB">
        <w:rPr>
          <w:color w:val="000000"/>
        </w:rPr>
        <w:t>and</w:t>
      </w:r>
      <w:r w:rsidR="00314A44">
        <w:rPr>
          <w:color w:val="000000"/>
        </w:rPr>
        <w:t xml:space="preserve"> is</w:t>
      </w:r>
      <w:r w:rsidR="004D30DB">
        <w:rPr>
          <w:color w:val="000000"/>
        </w:rPr>
        <w:t xml:space="preserve"> characterized by pain-related </w:t>
      </w:r>
      <w:r w:rsidR="004A4BD6">
        <w:rPr>
          <w:color w:val="000000"/>
        </w:rPr>
        <w:t>r</w:t>
      </w:r>
      <w:r w:rsidR="00B17579">
        <w:rPr>
          <w:color w:val="000000"/>
        </w:rPr>
        <w:t>umination, magnification, and helplessness</w:t>
      </w:r>
      <w:r w:rsidR="00DF4696">
        <w:rPr>
          <w:color w:val="000000"/>
        </w:rPr>
        <w:t xml:space="preserve"> </w:t>
      </w:r>
      <w:r w:rsidR="00DF4696" w:rsidRPr="00A315EC">
        <w:rPr>
          <w:color w:val="000000"/>
        </w:rPr>
        <w:t>(</w:t>
      </w:r>
      <w:r w:rsidR="0071419C">
        <w:rPr>
          <w:color w:val="000000"/>
        </w:rPr>
        <w:t>L</w:t>
      </w:r>
      <w:r w:rsidR="0071419C" w:rsidRPr="0071419C">
        <w:rPr>
          <w:color w:val="000000"/>
        </w:rPr>
        <w:t>eung, 2012</w:t>
      </w:r>
      <w:r w:rsidR="0071419C">
        <w:rPr>
          <w:color w:val="000000"/>
        </w:rPr>
        <w:t xml:space="preserve">; </w:t>
      </w:r>
      <w:r w:rsidR="00DF4696" w:rsidRPr="00A315EC">
        <w:rPr>
          <w:color w:val="000000"/>
        </w:rPr>
        <w:t>Sullivan, 1995)</w:t>
      </w:r>
      <w:r w:rsidR="00B17579">
        <w:rPr>
          <w:color w:val="000000"/>
        </w:rPr>
        <w:t>.</w:t>
      </w:r>
      <w:r w:rsidR="00DF4696">
        <w:rPr>
          <w:color w:val="000000"/>
        </w:rPr>
        <w:t xml:space="preserve"> </w:t>
      </w:r>
    </w:p>
    <w:p w14:paraId="2A058707" w14:textId="5210BBF3" w:rsidR="00B67FAA" w:rsidRPr="009472F7" w:rsidRDefault="006C4F6B" w:rsidP="009472F7">
      <w:pPr>
        <w:pStyle w:val="NormalWeb"/>
        <w:widowControl w:val="0"/>
        <w:spacing w:before="0" w:beforeAutospacing="0" w:after="0" w:afterAutospacing="0" w:line="480" w:lineRule="auto"/>
        <w:ind w:firstLine="720"/>
        <w:rPr>
          <w:rStyle w:val="apple-tab-span"/>
        </w:rPr>
      </w:pPr>
      <w:r w:rsidRPr="009472F7">
        <w:rPr>
          <w:color w:val="000000"/>
        </w:rPr>
        <w:t xml:space="preserve">Although pain catastrophizing has been associated with other conditions that are also often considered to involve enhanced attention to negative stimuli or heightened levels of worry, such as anxiety </w:t>
      </w:r>
      <w:r w:rsidR="0019115C">
        <w:rPr>
          <w:color w:val="000000"/>
        </w:rPr>
        <w:fldChar w:fldCharType="begin"/>
      </w:r>
      <w:r w:rsidR="00CD05C6">
        <w:rPr>
          <w:color w:val="000000"/>
        </w:rPr>
        <w:instrText xml:space="preserve"> ADDIN ZOTERO_ITEM CSL_CITATION {"citationID":"hfq91suZ","properties":{"formattedCitation":"(Leeuw et al., 2007)","plainCitation":"(Leeuw et al., 2007)","noteIndex":0},"citationItems":[{"id":5013,"uris":["http://zotero.org/users/3430614/items/FLSV7YUW"],"itemData":{"id":5013,"type":"article-journal","abstract":"Research studies focusing on the fear-avoidance model have expanded considerably since the review by Vlaeyen and Linton (Vlaeyen J. W. S. &amp; Linton, S. J. (2000). Fear-avoidance and its consequences in chronic musculoskeletal pain: a state of the art. Pain, 85(3), 317--332). The fear-avoidance model is a cognitive-behavioral account that explains why a minority of acute low back pain sufferers develop a chronic pain problem. This paper reviews the current state of scientific evidence for the individual components of the model: pain severity, pain catastrophizing, attention to pain, escape/avoidance behavior, disability, disuse, and vulnerabilities. Furthermore, support for the contribution of pain-related fear in the inception of low back pain, the development of chronic low back pain from an acute episode, and the maintenance of enduring pain, will be highlighted. Finally, available evidence on recent clinical applications is provided, and unresolved issues that need further exploration are discussed.","container-title":"Journal of Behavioral Medicine","DOI":"10.1007/s10865-006-9085-0","ISSN":"1573-3521","issue":"1","journalAbbreviation":"J Behav Med","language":"en","page":"77-94","source":"Springer Link","title":"The Fear-Avoidance Model of Musculoskeletal Pain: Current State of Scientific Evidence","title-short":"The Fear-Avoidance Model of Musculoskeletal Pain","volume":"30","author":[{"family":"Leeuw","given":"Maaike"},{"family":"Goossens","given":"Mariëlle E. J. B."},{"family":"Linton","given":"Steven J."},{"family":"Crombez","given":"Geert"},{"family":"Boersma","given":"Katja"},{"family":"Vlaeyen","given":"Johan W. S."}],"issued":{"date-parts":[["2007",2,1]]}}}],"schema":"https://github.com/citation-style-language/schema/raw/master/csl-citation.json"} </w:instrText>
      </w:r>
      <w:r w:rsidR="0019115C">
        <w:rPr>
          <w:color w:val="000000"/>
        </w:rPr>
        <w:fldChar w:fldCharType="separate"/>
      </w:r>
      <w:r w:rsidR="00CD05C6">
        <w:rPr>
          <w:noProof/>
          <w:color w:val="000000"/>
        </w:rPr>
        <w:t>(Leeuw et al., 2007)</w:t>
      </w:r>
      <w:r w:rsidR="0019115C">
        <w:rPr>
          <w:color w:val="000000"/>
        </w:rPr>
        <w:fldChar w:fldCharType="end"/>
      </w:r>
      <w:r w:rsidR="0071419C">
        <w:rPr>
          <w:color w:val="000000"/>
        </w:rPr>
        <w:t xml:space="preserve"> </w:t>
      </w:r>
      <w:r w:rsidRPr="009472F7">
        <w:rPr>
          <w:color w:val="000000"/>
        </w:rPr>
        <w:t>and neuroticism</w:t>
      </w:r>
      <w:r w:rsidR="00CD05C6">
        <w:rPr>
          <w:color w:val="000000"/>
        </w:rPr>
        <w:t xml:space="preserve"> </w:t>
      </w:r>
      <w:r w:rsidR="00CD05C6">
        <w:rPr>
          <w:color w:val="000000"/>
        </w:rPr>
        <w:fldChar w:fldCharType="begin"/>
      </w:r>
      <w:r w:rsidR="00CD05C6">
        <w:rPr>
          <w:color w:val="000000"/>
        </w:rPr>
        <w:instrText xml:space="preserve"> ADDIN ZOTERO_ITEM CSL_CITATION {"citationID":"zozfyjFU","properties":{"formattedCitation":"(Crombez et al., 2002)","plainCitation":"(Crombez et al., 2002)","noteIndex":0},"citationItems":[{"id":5017,"uris":["http://zotero.org/users/3430614/items/VTAYX8FM"],"itemData":{"id":5017,"type":"article-journal","abstract":"BACKGROUND: Previous studies have shown that catastrophic thinking about pain enhances attentional interference in healthy volunteers. OBJECTIVE: To investigate whether the attentional effects of pain catastrophizing can be accounted for by the more general predisposition of negative affectivity. METHODS: Sixty-seven pain-free students participated in the first experiment, and 33 patients with chronic low back pain participated in the second experiment. In both experiments, participants performed an auditory reaction time task while being exposed to a series of threatening electrocutaneous stimuli. Retardation in reaction times to auditory probes during pain was taken as an index of the attentional interruption by pain. Participants also completed self-report instruments of negative affectivity and pain catastrophizing. RESULTS: In both experiments, pain catastrophizing enhanced attentional interference by pain. This effect was most pronounced immediately after the onset of the electrocutaneous stimulus. The effect remained after controlling for the effects of negative affectivity. CONCLUSIONS: Catastrophic thinking about pain enhances attentional interruption by pain in normal samples, as well as in clinical samples of patients with chronic back pain. This effect is specific to pain catastrophizing and cannot be explained by the more general disposition of negative affectivity.","container-title":"Pain Research and Management","DOI":"10.1155/2002/576792","ISSN":"1918-1523","issue":"1","language":"en","license":"Copyright © 2002 Hindawi Publishing Corporation.","note":"_eprint: https://onlinelibrary.wiley.com/doi/pdf/10.1155/2002/576792","page":"576792","source":"Wiley Online Library","title":"The Effects of Catastrophic Thinking about Pain on Attentional Interference by Pain: No Mediation of Negative Affectivity in Healthy Volunteers and in Patients with Low Back Pain","title-short":"The Effects of Catastrophic Thinking about Pain on Attentional Interference by Pain","volume":"7","author":[{"family":"Crombez","given":"G"},{"family":"Eccleston","given":"C"},{"family":"Broeck","given":"A Van","non-dropping-particle":"den"},{"family":"Houdenhove","given":"B Van"},{"family":"Goubert","given":"L"}],"issued":{"date-parts":[["2002"]]}}}],"schema":"https://github.com/citation-style-language/schema/raw/master/csl-citation.json"} </w:instrText>
      </w:r>
      <w:r w:rsidR="00CD05C6">
        <w:rPr>
          <w:color w:val="000000"/>
        </w:rPr>
        <w:fldChar w:fldCharType="separate"/>
      </w:r>
      <w:r w:rsidR="00CD05C6">
        <w:rPr>
          <w:noProof/>
          <w:color w:val="000000"/>
        </w:rPr>
        <w:t>(Crombez et al., 2002)</w:t>
      </w:r>
      <w:r w:rsidR="00CD05C6">
        <w:rPr>
          <w:color w:val="000000"/>
        </w:rPr>
        <w:fldChar w:fldCharType="end"/>
      </w:r>
      <w:r w:rsidR="00CD05C6">
        <w:rPr>
          <w:color w:val="000000"/>
        </w:rPr>
        <w:t xml:space="preserve">, </w:t>
      </w:r>
      <w:r w:rsidR="000D4EB8">
        <w:rPr>
          <w:color w:val="000000"/>
        </w:rPr>
        <w:t>empirical</w:t>
      </w:r>
      <w:r w:rsidR="00314A44">
        <w:rPr>
          <w:color w:val="000000"/>
        </w:rPr>
        <w:t xml:space="preserve"> evidence suggests that it</w:t>
      </w:r>
      <w:r w:rsidR="00C51CC7">
        <w:rPr>
          <w:color w:val="000000"/>
        </w:rPr>
        <w:t xml:space="preserve"> i</w:t>
      </w:r>
      <w:r w:rsidR="00314A44">
        <w:rPr>
          <w:color w:val="000000"/>
        </w:rPr>
        <w:t>s</w:t>
      </w:r>
      <w:r w:rsidRPr="009472F7">
        <w:rPr>
          <w:color w:val="000000"/>
        </w:rPr>
        <w:t xml:space="preserve"> a discrete construct that has been shown </w:t>
      </w:r>
      <w:r w:rsidR="007F4787">
        <w:rPr>
          <w:color w:val="000000"/>
        </w:rPr>
        <w:t>to predict outcomes related to pain independently</w:t>
      </w:r>
      <w:r w:rsidR="00CD05C6">
        <w:rPr>
          <w:color w:val="000000"/>
        </w:rPr>
        <w:t xml:space="preserve"> </w:t>
      </w:r>
      <w:r w:rsidR="00CD05C6">
        <w:rPr>
          <w:color w:val="000000"/>
        </w:rPr>
        <w:fldChar w:fldCharType="begin"/>
      </w:r>
      <w:r w:rsidR="000D1CBB">
        <w:rPr>
          <w:color w:val="000000"/>
        </w:rPr>
        <w:instrText xml:space="preserve"> ADDIN ZOTERO_ITEM CSL_CITATION {"citationID":"wHwRmLQs","properties":{"formattedCitation":"(Crombez et al., 2002; Goubert et al., 2004; Lackner &amp; Quigley, 2005; Legarreta et al., 2016; Sullivan et al., 1998)","plainCitation":"(Crombez et al., 2002; Goubert et al., 2004; Lackner &amp; Quigley, 2005; Legarreta et al., 2016; Sullivan et al., 1998)","noteIndex":0},"citationItems":[{"id":5017,"uris":["http://zotero.org/users/3430614/items/VTAYX8FM"],"itemData":{"id":5017,"type":"article-journal","abstract":"BACKGROUND: Previous studies have shown that catastrophic thinking about pain enhances attentional interference in healthy volunteers. OBJECTIVE: To investigate whether the attentional effects of pain catastrophizing can be accounted for by the more general predisposition of negative affectivity. METHODS: Sixty-seven pain-free students participated in the first experiment, and 33 patients with chronic low back pain participated in the second experiment. In both experiments, participants performed an auditory reaction time task while being exposed to a series of threatening electrocutaneous stimuli. Retardation in reaction times to auditory probes during pain was taken as an index of the attentional interruption by pain. Participants also completed self-report instruments of negative affectivity and pain catastrophizing. RESULTS: In both experiments, pain catastrophizing enhanced attentional interference by pain. This effect was most pronounced immediately after the onset of the electrocutaneous stimulus. The effect remained after controlling for the effects of negative affectivity. CONCLUSIONS: Catastrophic thinking about pain enhances attentional interruption by pain in normal samples, as well as in clinical samples of patients with chronic back pain. This effect is specific to pain catastrophizing and cannot be explained by the more general disposition of negative affectivity.","container-title":"Pain Research and Management","DOI":"10.1155/2002/576792","ISSN":"1918-1523","issue":"1","language":"en","license":"Copyright © 2002 Hindawi Publishing Corporation.","note":"_eprint: https://onlinelibrary.wiley.com/doi/pdf/10.1155/2002/576792","page":"576792","source":"Wiley Online Library","title":"The Effects of Catastrophic Thinking about Pain on Attentional Interference by Pain: No Mediation of Negative Affectivity in Healthy Volunteers and in Patients with Low Back Pain","title-short":"The Effects of Catastrophic Thinking about Pain on Attentional Interference by Pain","volume":"7","author":[{"family":"Crombez","given":"G"},{"family":"Eccleston","given":"C"},{"family":"Broeck","given":"A Van","non-dropping-particle":"den"},{"family":"Houdenhove","given":"B Van"},{"family":"Goubert","given":"L"}],"issued":{"date-parts":[["2002"]]}}},{"id":5174,"uris":["http://zotero.org/users/3430614/items/GPIBG6VY"],"itemData":{"id":5174,"type":"article-journal","container-title":"Pain","ISSN":"0304-3959","issue":"3","journalAbbreviation":"Pain","note":"publisher: LWW","page":"234-241","title":"The role of neuroticism, pain catastrophizing and pain-related fear in vigilance to pain: a structural equations approach","volume":"107","author":[{"family":"Goubert","given":"Liesbet"},{"family":"Crombez","given":"Geert"},{"family":"Van Damme","given":"Stefaan"}],"issued":{"date-parts":[["2004"]]}}},{"id":5020,"uris":["http://zotero.org/users/3430614/items/IPS6A9JQ"],"itemData":{"id":5020,"type":"article-journal","abstract":"Although separate lines of behaviorally oriented pain research have drawn attention to the importance of pain catastrophizing and trait worry, little is known about how they work together to influence aspects of chronic pain. Integrating pain research with the broader anxiety, cognitive science, and learning literature, we hypothesized that the process (vs. content) of worry influences pain through catastrophizing. One hundred and eighty-six consecutive patients diagnosed (Rome II) with irritable bowel syndrome completed measures of three dimensions of pain (sensory pain, affective pain, long-term suffering), pain intensity, trait anxiety, worry, catastrophizing, and somatization during baseline assessment of an NIH-funded clinical trial of two psychological treatments. Worry was most strongly associated with the emotionally unpleasant aspects of pain, particularly suffering. Multivariate mediational analyses showed that catastrophizing mediated the link between worry and suffering. Worry, catastrophizing and control variables accounted for 46% of the variance in suffering. Chronic pain patients who worry excessively engage in more catastrophic thinking and through this cognitive process experience more intensely the suffering component of pain. Data are consistent with the notion that worry functions as an “experiential avoidance” strategy for aversive features of pain. Findings are discussed with respect to their relevance to behavioral models for understanding and treating anxiety-related chronic pain disorders.","container-title":"Behaviour Research and Therapy","DOI":"10.1016/j.brat.2004.06.018","ISSN":"0005-7967","issue":"7","journalAbbreviation":"Behaviour Research and Therapy","page":"943-957","source":"ScienceDirect","title":"Pain catastrophizing mediates the relationship between worry and pain suffering in patients with irritable bowel syndrome","volume":"43","author":[{"family":"Lackner","given":"Jeffrey M."},{"family":"Quigley","given":"Brian M."}],"issued":{"date-parts":[["2005",7,1]]}}},{"id":4103,"uris":["http://zotero.org/users/3430614/items/QQIFY6GH"],"itemData":{"id":4103,"type":"article-journal","abstract":"This study examined neuropsychological performance in relation to specific aspects of pain. Pain catastrophizing, pain disability, and sensory, affective, and evaluative descriptors of pain were examined in relation to neuropsychological test performance to understand the relationship between chronic pain and altered cognitive function. Diagnostic interviews, symptoms measures, and neuropsychological testing were completed with veteran participants to examine pain conditions and objective neuropsychological performance. Participants completed the Structured Clinical Interview for DSM–IV–TR, clinician-rated symptom measures (Hamilton Depression and Hamilton Anxiety rating scales), and a neuropsychological battery (Controlled Oral Word Association test, Stroop, Trail Making Test, Ruff 2 &amp; 7, and California Verbal Learning Test, 2nd edition). Pain was measured with the McGill Pain Questionnaire, the Pain Disability Index, and the Pain Catastrophizing Scale. Findings revealed that learning and memory were associated with both pain catastrophizing and perceived pain disability, but not affective or evaluative descriptions of pain. Executive function and attention were not related to any of the pain characteristics examined in this study. Of important note, neuropsychological performance was not related to mental health functioning in this veteran sample. These findings suggest that separate from anxiety and depression, learning and memory specifically are influenced by pain-specific catastrophizing as well as pain-specific perceived disability. Understanding the cognitive mechanism associated with chronic pain and neuropsychological performance may result in new treatment targets.","container-title":"Professional Psychology: Research and Practice","DOI":"10.1037/pro0000104","ISSN":"1939-1323, 0735-7028","issue":"6","journalAbbreviation":"Professional Psychology: Research and Practice","language":"en","page":"418-426","source":"DOI.org (Crossref)","title":"Pain catastrophizing, perceived pain disability, and pain descriptors in veterans: The association with neuropsychological performance.","title-short":"Pain catastrophizing, perceived pain disability, and pain descriptors in veterans","volume":"47","author":[{"family":"Legarreta","given":"Margaret"},{"family":"Bueler","given":"Elliott"},{"family":"DiMuzio","given":"Jennifer M."},{"family":"McGlade","given":"Erin"},{"family":"Yurgelun-Todd","given":"Deborah"}],"issued":{"date-parts":[["2016",12]]}}},{"id":5023,"uris":["http://zotero.org/users/3430614/items/5ZEZN76L"],"itemData":{"id":5023,"type":"article-journal","abstract":"The present study examined the role of catastrophizing in predicting levels of pain and disability in a sample of individuals who had sustained soft-tissue injuries to the neck, shoulders or back following work or motor vehicle accidents. Participants were 86 (27 men, 59 women) consecutive referrals to the Atlantic Pain Clinic, a multidisciplinary treatment centre for the management of persistent pain disorders. Findings revealed that catastrophizing, measured by the Pain Catastrophizing Scale (PCS; Sullivan, M.J.L. et al., Psychol. Assess., 7 (1995) 524–532) was significantly correlated with patients' reported pain intensity, perceived disability and employment status. The results of a regression analysis further showed that catastrophizing contributed to the prediction of disability over and above the variance accounted for by pain intensity. In addition, catastrophizing was associated with disability independent of the levels of depression and anxiety. The rumination subscale of the PCS was the strongest predictor of pain and disability. Theoretical and clinical implications of the findings are discussed.","container-title":"Pain","DOI":"10.1016/S0304-3959(98)00097-9","ISSN":"0304-3959","issue":"3","journalAbbreviation":"Pain","page":"253-260","source":"ScienceDirect","title":"Catastrophizing, pain, and disability in patients with soft-tissue injuries","volume":"77","author":[{"family":"Sullivan","given":"Michael J. L"},{"family":"Stanish","given":"William"},{"family":"Waite","given":"Heather"},{"family":"Sullivan","given":"Maureen"},{"family":"Tripp","given":"Dean A"}],"issued":{"date-parts":[["1998",9,1]]}}}],"schema":"https://github.com/citation-style-language/schema/raw/master/csl-citation.json"} </w:instrText>
      </w:r>
      <w:r w:rsidR="00CD05C6">
        <w:rPr>
          <w:color w:val="000000"/>
        </w:rPr>
        <w:fldChar w:fldCharType="separate"/>
      </w:r>
      <w:r w:rsidR="000D1CBB">
        <w:rPr>
          <w:noProof/>
          <w:color w:val="000000"/>
        </w:rPr>
        <w:t>(Crombez et al., 2002; Goubert et al., 2004; Lackner &amp; Quigley, 2005; Legarreta et al., 2016; Sullivan et al., 1998)</w:t>
      </w:r>
      <w:r w:rsidR="00CD05C6">
        <w:rPr>
          <w:color w:val="000000"/>
        </w:rPr>
        <w:fldChar w:fldCharType="end"/>
      </w:r>
      <w:r w:rsidR="00BC34CC">
        <w:rPr>
          <w:color w:val="000000"/>
        </w:rPr>
        <w:t>.</w:t>
      </w:r>
      <w:r w:rsidR="007435C4">
        <w:rPr>
          <w:color w:val="000000"/>
        </w:rPr>
        <w:t xml:space="preserve"> </w:t>
      </w:r>
      <w:r w:rsidR="00F4075C">
        <w:rPr>
          <w:color w:val="000000"/>
        </w:rPr>
        <w:t xml:space="preserve">While commonly associated with clinical populations, </w:t>
      </w:r>
      <w:r w:rsidR="00340B95">
        <w:rPr>
          <w:color w:val="000000"/>
        </w:rPr>
        <w:t xml:space="preserve">it is important to note that pain catastrophizing has been demonstrated in otherwise healthy samples, although </w:t>
      </w:r>
      <w:r w:rsidR="005C3A28">
        <w:rPr>
          <w:color w:val="000000"/>
        </w:rPr>
        <w:t>at a lower prevalence</w:t>
      </w:r>
      <w:r w:rsidR="00340B95">
        <w:rPr>
          <w:color w:val="000000"/>
        </w:rPr>
        <w:t xml:space="preserve"> than is typically seen in those with chronic pain or other illness or injury</w:t>
      </w:r>
      <w:r w:rsidR="003017BC">
        <w:rPr>
          <w:color w:val="000000"/>
        </w:rPr>
        <w:t xml:space="preserve"> </w:t>
      </w:r>
      <w:r w:rsidR="003017BC">
        <w:rPr>
          <w:color w:val="000000"/>
        </w:rPr>
        <w:fldChar w:fldCharType="begin"/>
      </w:r>
      <w:r w:rsidR="003017BC">
        <w:rPr>
          <w:color w:val="000000"/>
        </w:rPr>
        <w:instrText xml:space="preserve"> ADDIN ZOTERO_ITEM CSL_CITATION {"citationID":"dSLGKCC1","properties":{"formattedCitation":"(R. R. Edwards et al., 2004)","plainCitation":"(R. R. Edwards et al., 2004)","noteIndex":0},"citationItems":[{"id":5142,"uris":["http://zotero.org/users/3430614/items/K3QBB7Q4"],"itemData":{"id":5142,"type":"article-journal","abstract":"Sex differences in the experience of pain have been widely reported, with females generally reporting more frequent clinical pain and demonstrating greater pain sensitivity. However, the mechanisms underpinning such differences, while subject to intense speculation, are not well-characterized. Catastrophizing is a cognitive and affective process that relates strongly to enhanced reports of pain and that varies as a function of sex. It is thus a prime candidate to explain sex differences; indeed, several prior studies offer evidence that controlling for catastrophizing eliminates the gap between men and women in reported pain. We recruited 198 healthy young adults (115 female) who took part in laboratory studies of pain responses, including thermal pain, cold pain, and ischemic pain, and who also completed questionnaires assessing catastrophizing, mood, and day-to-day painful symptoms (e.g. headache, backache). Women reported greater levels of catastrophizing, more recent painful symptoms, and demonstrated lower pain thresholds and tolerances for noxious heat and cold relative to men. Mediational analyses suggested that after controlling for negative mood, catastrophizing mediated the sex difference in recent daily pain but did not mediate the much larger sex differences in pain threshold and tolerance. These findings highlight the role of catastrophizing in shaping pain responses, as well as illuminating potentially important differences between experimental pain assessment and the clinical experience of pain.","container-title":"Pain","DOI":"10.1016/j.pain.2004.07.012","ISSN":"0304-3959","issue":"3","journalAbbreviation":"Pain","language":"eng","note":"PMID: 15363877","page":"335-341","source":"PubMed","title":"Catastrophizing as a mediator of sex differences in pain: differential effects for daily pain versus laboratory-induced pain","title-short":"Catastrophizing as a mediator of sex differences in pain","volume":"111","author":[{"family":"Edwards","given":"Robert R."},{"family":"Haythornthwaite","given":"Jennifer A."},{"family":"Sullivan","given":"Michael J."},{"family":"Fillingim","given":"Roger B."}],"issued":{"date-parts":[["2004",10]]}}}],"schema":"https://github.com/citation-style-language/schema/raw/master/csl-citation.json"} </w:instrText>
      </w:r>
      <w:r w:rsidR="003017BC">
        <w:rPr>
          <w:color w:val="000000"/>
        </w:rPr>
        <w:fldChar w:fldCharType="separate"/>
      </w:r>
      <w:r w:rsidR="003017BC">
        <w:rPr>
          <w:noProof/>
          <w:color w:val="000000"/>
        </w:rPr>
        <w:t>(R. R. Edwards et al., 2004)</w:t>
      </w:r>
      <w:r w:rsidR="003017BC">
        <w:rPr>
          <w:color w:val="000000"/>
        </w:rPr>
        <w:fldChar w:fldCharType="end"/>
      </w:r>
      <w:r w:rsidR="00340B95">
        <w:rPr>
          <w:color w:val="000000"/>
        </w:rPr>
        <w:t xml:space="preserve">. </w:t>
      </w:r>
    </w:p>
    <w:p w14:paraId="1FB13598" w14:textId="50BF87C1" w:rsidR="00A315EC" w:rsidRDefault="00DF4696" w:rsidP="00CC6008">
      <w:pPr>
        <w:pStyle w:val="NormalWeb"/>
        <w:spacing w:before="0" w:beforeAutospacing="0" w:after="0" w:afterAutospacing="0" w:line="480" w:lineRule="auto"/>
        <w:rPr>
          <w:rStyle w:val="apple-tab-span"/>
          <w:b/>
          <w:bCs/>
          <w:i/>
          <w:iCs/>
          <w:color w:val="000000"/>
        </w:rPr>
      </w:pPr>
      <w:r>
        <w:rPr>
          <w:rStyle w:val="apple-tab-span"/>
          <w:b/>
          <w:bCs/>
          <w:i/>
          <w:iCs/>
          <w:color w:val="000000"/>
        </w:rPr>
        <w:t xml:space="preserve">Conceptual Challenges </w:t>
      </w:r>
    </w:p>
    <w:p w14:paraId="4CB4E51B" w14:textId="1146E118" w:rsidR="00AD1B36" w:rsidRDefault="00B93857" w:rsidP="00AD1B36">
      <w:pPr>
        <w:pStyle w:val="NormalWeb"/>
        <w:spacing w:before="0" w:beforeAutospacing="0" w:after="0" w:afterAutospacing="0" w:line="480" w:lineRule="auto"/>
        <w:rPr>
          <w:rStyle w:val="apple-tab-span"/>
          <w:color w:val="000000"/>
        </w:rPr>
      </w:pPr>
      <w:r>
        <w:rPr>
          <w:rStyle w:val="apple-tab-span"/>
          <w:color w:val="000000"/>
        </w:rPr>
        <w:tab/>
        <w:t>Althou</w:t>
      </w:r>
      <w:r w:rsidR="002D2A2E">
        <w:rPr>
          <w:rStyle w:val="apple-tab-span"/>
          <w:color w:val="000000"/>
        </w:rPr>
        <w:t>g</w:t>
      </w:r>
      <w:r>
        <w:rPr>
          <w:rStyle w:val="apple-tab-span"/>
          <w:color w:val="000000"/>
        </w:rPr>
        <w:t>h</w:t>
      </w:r>
      <w:r w:rsidR="002D2A2E">
        <w:rPr>
          <w:rStyle w:val="apple-tab-span"/>
          <w:color w:val="000000"/>
        </w:rPr>
        <w:t xml:space="preserve"> some pain scholars have suggested that pain catastrophizing </w:t>
      </w:r>
      <w:r w:rsidR="004F2D0B">
        <w:rPr>
          <w:rStyle w:val="apple-tab-span"/>
          <w:color w:val="000000"/>
        </w:rPr>
        <w:t>may just be</w:t>
      </w:r>
      <w:r w:rsidR="002D2A2E">
        <w:rPr>
          <w:rStyle w:val="apple-tab-span"/>
          <w:color w:val="000000"/>
        </w:rPr>
        <w:t xml:space="preserve"> “an extreme instance of worrying”</w:t>
      </w:r>
      <w:r w:rsidR="00D31B6C">
        <w:rPr>
          <w:rStyle w:val="apple-tab-span"/>
          <w:color w:val="000000"/>
        </w:rPr>
        <w:t xml:space="preserve"> </w:t>
      </w:r>
      <w:r w:rsidR="00D31B6C">
        <w:rPr>
          <w:rStyle w:val="apple-tab-span"/>
          <w:color w:val="000000"/>
        </w:rPr>
        <w:fldChar w:fldCharType="begin"/>
      </w:r>
      <w:r w:rsidR="00D31B6C">
        <w:rPr>
          <w:rStyle w:val="apple-tab-span"/>
          <w:color w:val="000000"/>
        </w:rPr>
        <w:instrText xml:space="preserve"> ADDIN ZOTERO_ITEM CSL_CITATION {"citationID":"krsBjlN0","properties":{"formattedCitation":"(Crombez et al., 2020; Petrini &amp; Arendt-Nielsen, 2020)","plainCitation":"(Crombez et al., 2020; Petrini &amp; Arendt-Nielsen, 2020)","noteIndex":0},"citationItems":[{"id":4557,"uris":["http://zotero.org/users/3430614/items/PKJ7EFMF"],"itemData":{"id":4557,"type":"article-journal","abstract":"BACKGROUND: Concerns have been raised about whether self-report measures of pain catastrophizing reflect the construct as defined in the cognitive-behavioral literature. We investigated the content of these self-report measures; that is, whether items assess the construct 'pain catastrophizing' and not other theoretical constructs (i.e., related constructs or pain outcomes) using the discriminant content validity method.\nMETHOD: Items (n = 58) of six pain catastrophizing measures were complemented with items (n = 34) from questionnaires measuring pain-related worrying, vigilance, pain severity, distress, and disability. Via an online survey, 94 participants rated to what extent each item was relevant for assessing pain catastrophizing, defined as \"to view or present pain or pain-related problems as considerably worse than they actually are\" and other relevant constructs (pain-related worrying, vigilance, pain severity, distress, and disability).\nRESULTS: Data were analyzed using Bayesian hierarchical models. The results revealed that the items from pain-related worrying, vigilance, pain severity, distress, and disability questionnaires were distinctively related to their respective constructs. This was not observed for the items from the pain catastrophizing questionnaires. The content of the pain catastrophizing measures was equally well, or even better, captured by pain-related worrying or pain-related distress.\nCONCLUSION: Based upon current findings, a recommendation may be to develop a novel pain catastrophizing questionnaire. However, we argue that pain catastrophizing cannot be assessed by self-report questionnaires. Pain catastrophizing requires contextual information, and expert judgment, which cannot be provided by self-report questionnaires. We argue for a person-centered approach, and propose to rename 'pain catastrophizing' measures in line with what is better measured: 'pain-related worrying'.","container-title":"PeerJ","DOI":"10.7717/peerj.8643","ISSN":"2167-8359","journalAbbreviation":"PeerJ","language":"eng","note":"PMID: 32181053\nPMCID: PMC7060750","page":"e8643","source":"PubMed","title":"Let's talk about pain catastrophizing measures: an item content analysis","title-short":"Let's talk about pain catastrophizing measures","volume":"8","author":[{"family":"Crombez","given":"Geert"},{"family":"De Paepe","given":"Annick L."},{"family":"Veirman","given":"Elke"},{"family":"Eccleston","given":"Christopher"},{"family":"Verleysen","given":"Gregory"},{"family":"Van Ryckeghem","given":"Dimitri M. L."}],"issued":{"date-parts":[["2020"]]}}},{"id":4298,"uris":["http://zotero.org/users/3430614/items/V8MLLTWJ"],"itemData":{"id":4298,"type":"article-journal","abstract":"The present narrative review addresses issues concerning the defining criteria and conceptual underpinnings of pain catastrophizing. To date, the concept of pain catastrophizing has been extensively used in many clinical and experimental contexts and it is considered as one of the most important psychological correlate of pain chronicity and disability. Although its extensive use, we are still facing important problems related to its defining criteria and conceptual understanding. At present, there is no general theoretical agreement of what catastrophizing really is. The lack of a consensus on its definition and conceptual issues has important consequences on the choice of the pain management approaches, defining and identifying problems, and promoting novel research. Clinical and research work in absence of a common theoretical ground is often trivial. It is very surprising that clinical and experimental work has grown extensively in the past years, without a common ground in the form of a clear definition of pain catastrophizing and overview of its conceptual basis. Improving the efficacy and efficiency of pan catastrophizing related treatments requires an understanding of the theoretical construct. So far, most interventions have only demonstrated modest effects in reducing pain catastrophizing. Therefore, clarifying the construct may be an important precursor for developing more targeted and effective interventions, thereby easing some of the burden related to this aspect of pain. In our review, we have extracted and de-constructed common elements that emerge from different theoretical models with the aim to understand the concept of catastrophizing, which components can be modulated by psychological interventions, and the general role in pain processing. The analysis of the literature has indicated essential key elements to explain pain catastrophizing: emotional regulation, catastrophic worry (as repetitive negative thinking), rumination, behavioral inhibition and behavioral activation (BIS/BAS) systems, and interoceptive sensitivity. The present paper attempts to integrate these key elements with the aim to re-compose and unify the concept within a modern biopsychosocial interpretation of catastrophizing.","container-title":"Frontiers in Psychology","ISSN":"1664-1078","source":"Frontiers","title":"Understanding Pain Catastrophizing: Putting Pieces Together","title-short":"Understanding Pain Catastrophizing","URL":"https://www.frontiersin.org/article/10.3389/fpsyg.2020.603420","volume":"11","author":[{"family":"Petrini","given":"Laura"},{"family":"Arendt-Nielsen","given":"Lars"}],"accessed":{"date-parts":[["2022",4,10]]},"issued":{"date-parts":[["2020"]]}}}],"schema":"https://github.com/citation-style-language/schema/raw/master/csl-citation.json"} </w:instrText>
      </w:r>
      <w:r w:rsidR="00D31B6C">
        <w:rPr>
          <w:rStyle w:val="apple-tab-span"/>
          <w:color w:val="000000"/>
        </w:rPr>
        <w:fldChar w:fldCharType="separate"/>
      </w:r>
      <w:r w:rsidR="00D31B6C">
        <w:rPr>
          <w:rStyle w:val="apple-tab-span"/>
          <w:noProof/>
          <w:color w:val="000000"/>
        </w:rPr>
        <w:t>(Crombez et al., 2020; Petrini &amp; Arendt-Nielsen, 2020)</w:t>
      </w:r>
      <w:r w:rsidR="00D31B6C">
        <w:rPr>
          <w:rStyle w:val="apple-tab-span"/>
          <w:color w:val="000000"/>
        </w:rPr>
        <w:fldChar w:fldCharType="end"/>
      </w:r>
      <w:r w:rsidR="00D31B6C">
        <w:rPr>
          <w:rStyle w:val="apple-tab-span"/>
          <w:color w:val="000000"/>
        </w:rPr>
        <w:t xml:space="preserve">, </w:t>
      </w:r>
      <w:r w:rsidR="002D2A2E">
        <w:rPr>
          <w:rStyle w:val="apple-tab-span"/>
          <w:color w:val="000000"/>
        </w:rPr>
        <w:t xml:space="preserve">studies </w:t>
      </w:r>
      <w:r w:rsidR="002D2A2E">
        <w:rPr>
          <w:rStyle w:val="apple-tab-span"/>
          <w:color w:val="000000"/>
        </w:rPr>
        <w:lastRenderedPageBreak/>
        <w:t xml:space="preserve">that have demonstrated an independent effect of pain catastrophizing </w:t>
      </w:r>
      <w:r w:rsidR="0011416A">
        <w:rPr>
          <w:rStyle w:val="apple-tab-span"/>
          <w:color w:val="000000"/>
        </w:rPr>
        <w:t xml:space="preserve">on health-related outcomes </w:t>
      </w:r>
      <w:r w:rsidR="002D2A2E">
        <w:rPr>
          <w:rStyle w:val="apple-tab-span"/>
          <w:color w:val="000000"/>
        </w:rPr>
        <w:t xml:space="preserve">in the absence of other indices of worry suggest otherwise </w:t>
      </w:r>
      <w:r w:rsidR="002D2A2E">
        <w:rPr>
          <w:color w:val="000000"/>
        </w:rPr>
        <w:t>(</w:t>
      </w:r>
      <w:proofErr w:type="spellStart"/>
      <w:r w:rsidR="002D2A2E">
        <w:rPr>
          <w:color w:val="000000"/>
        </w:rPr>
        <w:t>Crombez</w:t>
      </w:r>
      <w:proofErr w:type="spellEnd"/>
      <w:r w:rsidR="002D2A2E">
        <w:rPr>
          <w:color w:val="000000"/>
        </w:rPr>
        <w:t xml:space="preserve"> et al., 2002; Lackner &amp; Quigley, 2005; Sullivan et al., 2009; Sullivan et al., 1998).</w:t>
      </w:r>
      <w:r w:rsidR="008D7AAD">
        <w:rPr>
          <w:rStyle w:val="apple-tab-span"/>
          <w:color w:val="000000"/>
        </w:rPr>
        <w:t xml:space="preserve"> </w:t>
      </w:r>
      <w:r w:rsidR="00AD1B36">
        <w:rPr>
          <w:rStyle w:val="apple-tab-span"/>
          <w:color w:val="000000"/>
        </w:rPr>
        <w:t>While th</w:t>
      </w:r>
      <w:r w:rsidR="0011416A">
        <w:rPr>
          <w:rStyle w:val="apple-tab-span"/>
          <w:color w:val="000000"/>
        </w:rPr>
        <w:t>e claim that pain catastrophizing is better conceptualized as extreme worry</w:t>
      </w:r>
      <w:r w:rsidR="00AD1B36">
        <w:rPr>
          <w:rStyle w:val="apple-tab-span"/>
          <w:color w:val="000000"/>
        </w:rPr>
        <w:t xml:space="preserve"> is not currently well-supported</w:t>
      </w:r>
      <w:r w:rsidR="00D16CDE">
        <w:rPr>
          <w:rStyle w:val="apple-tab-span"/>
          <w:color w:val="000000"/>
        </w:rPr>
        <w:t xml:space="preserve"> empirically</w:t>
      </w:r>
      <w:r w:rsidR="00AD1B36">
        <w:rPr>
          <w:rStyle w:val="apple-tab-span"/>
          <w:color w:val="000000"/>
        </w:rPr>
        <w:t xml:space="preserve">, it does highlight </w:t>
      </w:r>
      <w:r w:rsidR="0031075C">
        <w:rPr>
          <w:rStyle w:val="apple-tab-span"/>
          <w:color w:val="000000"/>
        </w:rPr>
        <w:t xml:space="preserve">an </w:t>
      </w:r>
      <w:r w:rsidR="007F4787">
        <w:rPr>
          <w:rStyle w:val="apple-tab-span"/>
          <w:color w:val="000000"/>
        </w:rPr>
        <w:t>essential</w:t>
      </w:r>
      <w:r w:rsidR="0031075C">
        <w:rPr>
          <w:rStyle w:val="apple-tab-span"/>
          <w:color w:val="000000"/>
        </w:rPr>
        <w:t xml:space="preserve"> </w:t>
      </w:r>
      <w:r w:rsidR="0011416A">
        <w:rPr>
          <w:rStyle w:val="apple-tab-span"/>
          <w:color w:val="000000"/>
        </w:rPr>
        <w:t xml:space="preserve">controversy </w:t>
      </w:r>
      <w:r w:rsidR="0031075C">
        <w:rPr>
          <w:rStyle w:val="apple-tab-span"/>
          <w:color w:val="000000"/>
        </w:rPr>
        <w:t>in the pain literature arena related to</w:t>
      </w:r>
      <w:r w:rsidR="0011416A">
        <w:rPr>
          <w:rStyle w:val="apple-tab-span"/>
          <w:color w:val="000000"/>
        </w:rPr>
        <w:t xml:space="preserve"> </w:t>
      </w:r>
      <w:r w:rsidR="00654F2F">
        <w:rPr>
          <w:rStyle w:val="apple-tab-span"/>
          <w:color w:val="000000"/>
        </w:rPr>
        <w:t>the</w:t>
      </w:r>
      <w:r w:rsidR="00AD1B36">
        <w:rPr>
          <w:rStyle w:val="apple-tab-span"/>
          <w:color w:val="000000"/>
        </w:rPr>
        <w:t xml:space="preserve"> </w:t>
      </w:r>
      <w:r w:rsidR="00654F2F">
        <w:rPr>
          <w:rStyle w:val="apple-tab-span"/>
          <w:color w:val="000000"/>
        </w:rPr>
        <w:t xml:space="preserve">lack of an all-encompassing </w:t>
      </w:r>
      <w:r w:rsidR="007F4787">
        <w:rPr>
          <w:rStyle w:val="apple-tab-span"/>
          <w:color w:val="000000"/>
        </w:rPr>
        <w:t>theor</w:t>
      </w:r>
      <w:r w:rsidR="0011416A">
        <w:rPr>
          <w:rStyle w:val="apple-tab-span"/>
          <w:color w:val="000000"/>
        </w:rPr>
        <w:t>etical framework</w:t>
      </w:r>
      <w:r w:rsidR="00654F2F">
        <w:rPr>
          <w:rStyle w:val="apple-tab-span"/>
          <w:color w:val="000000"/>
        </w:rPr>
        <w:t xml:space="preserve"> </w:t>
      </w:r>
      <w:r w:rsidR="0031075C">
        <w:rPr>
          <w:rStyle w:val="apple-tab-span"/>
          <w:color w:val="000000"/>
        </w:rPr>
        <w:t>for</w:t>
      </w:r>
      <w:r w:rsidR="00654F2F">
        <w:rPr>
          <w:rStyle w:val="apple-tab-span"/>
          <w:color w:val="000000"/>
        </w:rPr>
        <w:t xml:space="preserve"> </w:t>
      </w:r>
      <w:r w:rsidR="00BA1780">
        <w:rPr>
          <w:rStyle w:val="apple-tab-span"/>
          <w:color w:val="000000"/>
        </w:rPr>
        <w:t>pain catastrophizing</w:t>
      </w:r>
      <w:r w:rsidR="0031075C">
        <w:rPr>
          <w:rStyle w:val="apple-tab-span"/>
          <w:color w:val="000000"/>
        </w:rPr>
        <w:t xml:space="preserve"> (Sullivan &amp; Tripp, 2024)</w:t>
      </w:r>
      <w:r w:rsidR="00654F2F">
        <w:rPr>
          <w:rStyle w:val="apple-tab-span"/>
          <w:color w:val="000000"/>
        </w:rPr>
        <w:t xml:space="preserve">. </w:t>
      </w:r>
      <w:r w:rsidR="0031075C">
        <w:rPr>
          <w:rStyle w:val="apple-tab-span"/>
          <w:color w:val="000000"/>
        </w:rPr>
        <w:t xml:space="preserve">While the complexity of the construct has made unified explanations challenging, this has not prevented pain catastrophizing from having immense clinical utility. </w:t>
      </w:r>
      <w:r w:rsidR="00D16CDE">
        <w:rPr>
          <w:rStyle w:val="apple-tab-span"/>
          <w:color w:val="000000"/>
        </w:rPr>
        <w:t xml:space="preserve">Likewise, </w:t>
      </w:r>
      <w:r w:rsidR="0013283D">
        <w:rPr>
          <w:rStyle w:val="apple-tab-span"/>
          <w:color w:val="000000"/>
        </w:rPr>
        <w:t>while some have critiqued the conceptualization,</w:t>
      </w:r>
      <w:r w:rsidR="0031075C">
        <w:rPr>
          <w:rStyle w:val="apple-tab-span"/>
          <w:color w:val="000000"/>
        </w:rPr>
        <w:t xml:space="preserve"> </w:t>
      </w:r>
      <w:r w:rsidR="00D16CDE">
        <w:rPr>
          <w:rStyle w:val="apple-tab-span"/>
          <w:color w:val="000000"/>
        </w:rPr>
        <w:t xml:space="preserve">there are </w:t>
      </w:r>
      <w:proofErr w:type="gramStart"/>
      <w:r w:rsidR="0031075C">
        <w:rPr>
          <w:rStyle w:val="apple-tab-span"/>
          <w:color w:val="000000"/>
        </w:rPr>
        <w:t>a number of</w:t>
      </w:r>
      <w:proofErr w:type="gramEnd"/>
      <w:r w:rsidR="0031075C">
        <w:rPr>
          <w:rStyle w:val="apple-tab-span"/>
          <w:color w:val="000000"/>
        </w:rPr>
        <w:t xml:space="preserve"> theoretical positions</w:t>
      </w:r>
      <w:r w:rsidR="00D16CDE">
        <w:rPr>
          <w:rStyle w:val="apple-tab-span"/>
          <w:color w:val="000000"/>
        </w:rPr>
        <w:t xml:space="preserve"> that</w:t>
      </w:r>
      <w:r w:rsidR="0013283D">
        <w:rPr>
          <w:rStyle w:val="apple-tab-span"/>
          <w:color w:val="000000"/>
        </w:rPr>
        <w:t xml:space="preserve"> have been posited to explain </w:t>
      </w:r>
      <w:r w:rsidR="00D16CDE">
        <w:rPr>
          <w:rStyle w:val="apple-tab-span"/>
          <w:color w:val="000000"/>
        </w:rPr>
        <w:t xml:space="preserve">aspects </w:t>
      </w:r>
      <w:r w:rsidR="0013283D">
        <w:rPr>
          <w:rStyle w:val="apple-tab-span"/>
          <w:color w:val="000000"/>
        </w:rPr>
        <w:t>of pain catastrophizing.</w:t>
      </w:r>
      <w:r w:rsidR="0031075C">
        <w:rPr>
          <w:rStyle w:val="apple-tab-span"/>
          <w:color w:val="000000"/>
        </w:rPr>
        <w:t xml:space="preserve"> </w:t>
      </w:r>
    </w:p>
    <w:p w14:paraId="4EECFE86" w14:textId="63B366C6" w:rsidR="0031075C" w:rsidRPr="0031075C" w:rsidRDefault="0031075C" w:rsidP="00AD1B36">
      <w:pPr>
        <w:pStyle w:val="NormalWeb"/>
        <w:spacing w:before="0" w:beforeAutospacing="0" w:after="0" w:afterAutospacing="0" w:line="480" w:lineRule="auto"/>
        <w:rPr>
          <w:rStyle w:val="apple-tab-span"/>
          <w:b/>
          <w:bCs/>
          <w:i/>
          <w:iCs/>
          <w:color w:val="000000"/>
        </w:rPr>
      </w:pPr>
      <w:r>
        <w:rPr>
          <w:rStyle w:val="apple-tab-span"/>
          <w:color w:val="000000"/>
        </w:rPr>
        <w:tab/>
      </w:r>
      <w:r w:rsidRPr="0031075C">
        <w:rPr>
          <w:rStyle w:val="apple-tab-span"/>
          <w:b/>
          <w:bCs/>
          <w:i/>
          <w:iCs/>
          <w:color w:val="000000"/>
        </w:rPr>
        <w:t>Existing Frameworks</w:t>
      </w:r>
    </w:p>
    <w:p w14:paraId="16FCCC8D" w14:textId="10459154" w:rsidR="00CC6008" w:rsidRPr="008D7AAD" w:rsidRDefault="00CC6008" w:rsidP="009472F7">
      <w:pPr>
        <w:pStyle w:val="NormalWeb"/>
        <w:spacing w:before="0" w:beforeAutospacing="0" w:after="0" w:afterAutospacing="0" w:line="480" w:lineRule="auto"/>
        <w:ind w:firstLine="720"/>
        <w:jc w:val="both"/>
        <w:rPr>
          <w:rStyle w:val="apple-tab-span"/>
          <w:color w:val="000000"/>
        </w:rPr>
      </w:pPr>
      <w:r>
        <w:rPr>
          <w:rStyle w:val="apple-tab-span"/>
          <w:b/>
          <w:bCs/>
          <w:color w:val="000000"/>
        </w:rPr>
        <w:t>Schema-</w:t>
      </w:r>
      <w:r w:rsidR="00D42959">
        <w:rPr>
          <w:rStyle w:val="apple-tab-span"/>
          <w:b/>
          <w:bCs/>
          <w:color w:val="000000"/>
        </w:rPr>
        <w:t>A</w:t>
      </w:r>
      <w:r>
        <w:rPr>
          <w:rStyle w:val="apple-tab-span"/>
          <w:b/>
          <w:bCs/>
          <w:color w:val="000000"/>
        </w:rPr>
        <w:t xml:space="preserve">ctivation </w:t>
      </w:r>
      <w:r w:rsidR="00D42959">
        <w:rPr>
          <w:rStyle w:val="apple-tab-span"/>
          <w:b/>
          <w:bCs/>
          <w:color w:val="000000"/>
        </w:rPr>
        <w:t>M</w:t>
      </w:r>
      <w:r>
        <w:rPr>
          <w:rStyle w:val="apple-tab-span"/>
          <w:b/>
          <w:bCs/>
          <w:color w:val="000000"/>
        </w:rPr>
        <w:t xml:space="preserve">odel. </w:t>
      </w:r>
      <w:r w:rsidR="006C66DA" w:rsidRPr="009472F7">
        <w:rPr>
          <w:rStyle w:val="apple-tab-span"/>
          <w:color w:val="000000"/>
        </w:rPr>
        <w:t xml:space="preserve">According to the </w:t>
      </w:r>
      <w:r w:rsidR="009545F6" w:rsidRPr="009472F7">
        <w:rPr>
          <w:rStyle w:val="apple-tab-span"/>
          <w:color w:val="000000"/>
        </w:rPr>
        <w:t>S</w:t>
      </w:r>
      <w:r w:rsidR="006C66DA" w:rsidRPr="009472F7">
        <w:rPr>
          <w:rStyle w:val="apple-tab-span"/>
          <w:color w:val="000000"/>
        </w:rPr>
        <w:t>chema-</w:t>
      </w:r>
      <w:r w:rsidR="009545F6" w:rsidRPr="009472F7">
        <w:rPr>
          <w:rStyle w:val="apple-tab-span"/>
          <w:color w:val="000000"/>
        </w:rPr>
        <w:t>A</w:t>
      </w:r>
      <w:r w:rsidR="006C66DA" w:rsidRPr="009472F7">
        <w:rPr>
          <w:rStyle w:val="apple-tab-span"/>
          <w:color w:val="000000"/>
        </w:rPr>
        <w:t>ctivation model</w:t>
      </w:r>
      <w:r w:rsidR="002A6689">
        <w:rPr>
          <w:rStyle w:val="apple-tab-span"/>
          <w:color w:val="000000"/>
        </w:rPr>
        <w:t>,</w:t>
      </w:r>
      <w:r w:rsidR="006C66DA" w:rsidRPr="009472F7">
        <w:rPr>
          <w:rStyle w:val="apple-tab-span"/>
          <w:color w:val="000000"/>
        </w:rPr>
        <w:t xml:space="preserve"> </w:t>
      </w:r>
      <w:r w:rsidR="00311635" w:rsidRPr="009472F7">
        <w:rPr>
          <w:rStyle w:val="apple-tab-span"/>
          <w:color w:val="000000"/>
        </w:rPr>
        <w:t>cognitive</w:t>
      </w:r>
      <w:r w:rsidR="00D85CE5">
        <w:rPr>
          <w:rStyle w:val="apple-tab-span"/>
          <w:color w:val="000000"/>
        </w:rPr>
        <w:t xml:space="preserve"> </w:t>
      </w:r>
      <w:r w:rsidR="002A6689">
        <w:rPr>
          <w:rStyle w:val="apple-tab-span"/>
          <w:color w:val="000000"/>
        </w:rPr>
        <w:t>schemata</w:t>
      </w:r>
      <w:r w:rsidR="00D85CE5">
        <w:rPr>
          <w:rStyle w:val="apple-tab-span"/>
          <w:color w:val="000000"/>
        </w:rPr>
        <w:t xml:space="preserve"> related to pain are hyper-active in individuals high in pain catastrophizing</w:t>
      </w:r>
      <w:r w:rsidR="00D31B6C">
        <w:rPr>
          <w:rStyle w:val="apple-tab-span"/>
          <w:color w:val="000000"/>
        </w:rPr>
        <w:t xml:space="preserve"> </w:t>
      </w:r>
      <w:r w:rsidR="00D31B6C">
        <w:rPr>
          <w:rStyle w:val="apple-tab-span"/>
          <w:color w:val="000000"/>
        </w:rPr>
        <w:fldChar w:fldCharType="begin"/>
      </w:r>
      <w:r w:rsidR="00D31B6C">
        <w:rPr>
          <w:rStyle w:val="apple-tab-span"/>
          <w:color w:val="000000"/>
        </w:rPr>
        <w:instrText xml:space="preserve"> ADDIN ZOTERO_ITEM CSL_CITATION {"citationID":"I1g0hxYW","properties":{"formattedCitation":"(Leung, 2012; Sullivan et al., 2001)","plainCitation":"(Leung, 2012; Sullivan et al., 2001)","noteIndex":0},"citationItems":[{"id":4276,"uris":["http://zotero.org/users/3430614/items/BWSTMMYE"],"itemData":{"id":4276,"type":"article-journal","container-title":"Indian Journal of Psychological Medicine","DOI":"10.4103/0253-7176.106012","ISSN":"0253-7176","issue":"3","journalAbbreviation":"Indian Journal of Psychological Medicine","note":"publisher: SAGE Publications India","page":"204-217","source":"SAGE Journals","title":"Pain Catastrophizing: An Updated Review","title-short":"Pain Catastrophizing","volume":"34","author":[{"family":"Leung","given":"Lawrence"}],"issued":{"date-parts":[["2012",7,1]]}}},{"id":4553,"uris":["http://zotero.org/users/3430614/items/S6M8FWDK"],"itemData":{"id":4553,"type":"article-journal","abstract":"The tendency to “catastrophize” during painful stimulation contributes to more intense pain experience and increased emotional distress. Catastrophizing has been broadly conceived as an exaggerated negative “mental set” brought to bear during painful experiences. Although findings have been consistent in showing a relation between catastrophizing and pain, research in this area has proceeded in the relative absence of a guiding theoretical framework. This article reviews the literature on the relation between catastrophizing and pain and examines the relative strengths and limitations of different theoretical models that could be advanced to account for the pattern of available findings. The article evaluates the explanatory power of a schema activation model, an appraisal model, an attention model, and a communal coping model of pain perception. It is suggested that catastrophizing might best be viewed from the perspective of hierarchical levels of analysis, where social factors and social goals may play a role in the development and maintenance of catastrophizing, whereas appraisal-related processes may point to the mechanisms that link catastrophizing to pain experience. Directions for future research are suggested.","container-title":"The Clinical Journal of Pain","DOI":"10.1097/00002508-200103000-00008","ISSN":"0749-8047","issue":"1","journalAbbreviation":"The Clinical Journal of Pain","language":"en","page":"52-64","source":"DOI.org (Crossref)","title":"Theoretical Perspectives on the Relation Between Catastrophizing and Pain:","title-short":"Theoretical Perspectives on the Relation Between Catastrophizing and Pain","volume":"17","author":[{"family":"Sullivan","given":"Michael J. L."},{"family":"Thorn","given":"Beverly"},{"family":"Haythornthwaite","given":"Jennifer A."},{"family":"Keefe","given":"Francis"},{"family":"Martin","given":"Michelle"},{"family":"Bradley","given":"Laurence A."},{"family":"Lefebvre","given":"John C."}],"issued":{"date-parts":[["2001",3]]}}}],"schema":"https://github.com/citation-style-language/schema/raw/master/csl-citation.json"} </w:instrText>
      </w:r>
      <w:r w:rsidR="00D31B6C">
        <w:rPr>
          <w:rStyle w:val="apple-tab-span"/>
          <w:color w:val="000000"/>
        </w:rPr>
        <w:fldChar w:fldCharType="separate"/>
      </w:r>
      <w:r w:rsidR="00D31B6C">
        <w:rPr>
          <w:rStyle w:val="apple-tab-span"/>
          <w:noProof/>
          <w:color w:val="000000"/>
        </w:rPr>
        <w:t>(Leung, 2012; Sullivan et al., 2001)</w:t>
      </w:r>
      <w:r w:rsidR="00D31B6C">
        <w:rPr>
          <w:rStyle w:val="apple-tab-span"/>
          <w:color w:val="000000"/>
        </w:rPr>
        <w:fldChar w:fldCharType="end"/>
      </w:r>
      <w:r w:rsidR="00D31B6C">
        <w:rPr>
          <w:rStyle w:val="apple-tab-span"/>
          <w:color w:val="000000"/>
        </w:rPr>
        <w:t>.</w:t>
      </w:r>
      <w:r w:rsidR="00BA1780">
        <w:rPr>
          <w:rStyle w:val="apple-tab-span"/>
          <w:color w:val="000000"/>
        </w:rPr>
        <w:t xml:space="preserve"> </w:t>
      </w:r>
      <w:r w:rsidR="00D85CE5">
        <w:rPr>
          <w:rStyle w:val="apple-tab-span"/>
          <w:color w:val="000000"/>
        </w:rPr>
        <w:t>When these schemas are activated, a cascade of negative thoughts, emotions, and physiological</w:t>
      </w:r>
      <w:r w:rsidR="002A6689">
        <w:rPr>
          <w:rStyle w:val="apple-tab-span"/>
          <w:color w:val="000000"/>
        </w:rPr>
        <w:t xml:space="preserve"> reactions associated with pain impact the subsequent perception of and experience with whatever stimuli activated the schema</w:t>
      </w:r>
      <w:r w:rsidR="0013283D">
        <w:rPr>
          <w:rStyle w:val="apple-tab-span"/>
          <w:color w:val="000000"/>
        </w:rPr>
        <w:t>, thus predisposing these individuals to overly pessimistic outlooks and learned expectancies of pain</w:t>
      </w:r>
      <w:r w:rsidR="002A6689">
        <w:rPr>
          <w:rStyle w:val="apple-tab-span"/>
          <w:color w:val="000000"/>
        </w:rPr>
        <w:t>.</w:t>
      </w:r>
      <w:r w:rsidR="00D85CE5">
        <w:rPr>
          <w:rStyle w:val="apple-tab-span"/>
          <w:color w:val="000000"/>
        </w:rPr>
        <w:t xml:space="preserve"> </w:t>
      </w:r>
      <w:r w:rsidR="00F4075C">
        <w:rPr>
          <w:rStyle w:val="apple-tab-span"/>
          <w:color w:val="000000"/>
        </w:rPr>
        <w:t>These schemas are typically considered to bias maladaptive responses to pain, as the</w:t>
      </w:r>
      <w:r w:rsidR="00E8055B">
        <w:rPr>
          <w:rStyle w:val="apple-tab-span"/>
          <w:color w:val="000000"/>
        </w:rPr>
        <w:t>ir activation</w:t>
      </w:r>
      <w:r w:rsidR="00F4075C">
        <w:rPr>
          <w:rStyle w:val="apple-tab-span"/>
          <w:color w:val="000000"/>
        </w:rPr>
        <w:t xml:space="preserve"> leads to exaggeratedly negative assessments</w:t>
      </w:r>
      <w:r w:rsidR="00E54504">
        <w:rPr>
          <w:rStyle w:val="apple-tab-span"/>
          <w:color w:val="000000"/>
        </w:rPr>
        <w:t xml:space="preserve">, cognitive distortions, </w:t>
      </w:r>
      <w:r w:rsidR="00F4075C">
        <w:rPr>
          <w:rStyle w:val="apple-tab-span"/>
          <w:color w:val="000000"/>
        </w:rPr>
        <w:t xml:space="preserve">and </w:t>
      </w:r>
      <w:r w:rsidR="00E8055B">
        <w:rPr>
          <w:rStyle w:val="apple-tab-span"/>
          <w:color w:val="000000"/>
        </w:rPr>
        <w:t xml:space="preserve">continued </w:t>
      </w:r>
      <w:r w:rsidR="00F4075C">
        <w:rPr>
          <w:rStyle w:val="apple-tab-span"/>
          <w:color w:val="000000"/>
        </w:rPr>
        <w:t xml:space="preserve">rumination on </w:t>
      </w:r>
      <w:r w:rsidR="00E8055B">
        <w:rPr>
          <w:rStyle w:val="apple-tab-span"/>
          <w:color w:val="000000"/>
        </w:rPr>
        <w:t xml:space="preserve">previous pain </w:t>
      </w:r>
      <w:proofErr w:type="spellStart"/>
      <w:r w:rsidR="00E8055B">
        <w:rPr>
          <w:rStyle w:val="apple-tab-span"/>
          <w:color w:val="000000"/>
        </w:rPr>
        <w:t>experiences.</w:t>
      </w:r>
      <w:r w:rsidR="00D85CE5">
        <w:rPr>
          <w:rStyle w:val="apple-tab-span"/>
          <w:color w:val="000000"/>
        </w:rPr>
        <w:t>While</w:t>
      </w:r>
      <w:proofErr w:type="spellEnd"/>
      <w:r w:rsidR="00D85CE5">
        <w:rPr>
          <w:rStyle w:val="apple-tab-span"/>
          <w:color w:val="000000"/>
        </w:rPr>
        <w:t xml:space="preserve"> this model highlights the cognitive component of pain catastrophizing, the </w:t>
      </w:r>
      <w:r w:rsidR="00A96D90">
        <w:rPr>
          <w:rStyle w:val="apple-tab-span"/>
          <w:color w:val="000000"/>
        </w:rPr>
        <w:t>presence</w:t>
      </w:r>
      <w:r w:rsidR="00D85CE5">
        <w:rPr>
          <w:rStyle w:val="apple-tab-span"/>
          <w:color w:val="000000"/>
        </w:rPr>
        <w:t xml:space="preserve"> of schemas </w:t>
      </w:r>
      <w:r w:rsidR="00A96D90">
        <w:rPr>
          <w:rStyle w:val="apple-tab-span"/>
          <w:color w:val="000000"/>
        </w:rPr>
        <w:t>can be empirically</w:t>
      </w:r>
      <w:r w:rsidR="00D85CE5">
        <w:rPr>
          <w:rStyle w:val="apple-tab-span"/>
          <w:color w:val="000000"/>
        </w:rPr>
        <w:t xml:space="preserve"> challenging to </w:t>
      </w:r>
      <w:r w:rsidR="00A96D90">
        <w:rPr>
          <w:rStyle w:val="apple-tab-span"/>
          <w:color w:val="000000"/>
        </w:rPr>
        <w:t xml:space="preserve">evaluate, and this model may not entirely account for the </w:t>
      </w:r>
      <w:r w:rsidR="00C07E24">
        <w:rPr>
          <w:rStyle w:val="apple-tab-span"/>
          <w:color w:val="000000"/>
        </w:rPr>
        <w:t xml:space="preserve">multifaceted nature of catastrophizing </w:t>
      </w:r>
      <w:r w:rsidRPr="008D7AAD">
        <w:rPr>
          <w:color w:val="000000"/>
        </w:rPr>
        <w:t>(</w:t>
      </w:r>
      <w:proofErr w:type="spellStart"/>
      <w:r w:rsidR="00AD1B36">
        <w:rPr>
          <w:color w:val="000000"/>
        </w:rPr>
        <w:t>Lueng</w:t>
      </w:r>
      <w:proofErr w:type="spellEnd"/>
      <w:r w:rsidR="00AD1B36">
        <w:rPr>
          <w:color w:val="000000"/>
        </w:rPr>
        <w:t xml:space="preserve"> 2012, </w:t>
      </w:r>
      <w:r w:rsidRPr="008D7AAD">
        <w:rPr>
          <w:color w:val="000000"/>
        </w:rPr>
        <w:t xml:space="preserve">Sullivan, Bishop, </w:t>
      </w:r>
      <w:proofErr w:type="spellStart"/>
      <w:r w:rsidRPr="008D7AAD">
        <w:rPr>
          <w:color w:val="000000"/>
        </w:rPr>
        <w:t>Pivik</w:t>
      </w:r>
      <w:proofErr w:type="spellEnd"/>
      <w:r w:rsidRPr="008D7AAD">
        <w:rPr>
          <w:color w:val="000000"/>
        </w:rPr>
        <w:t xml:space="preserve">, 1995; Sullivan </w:t>
      </w:r>
      <w:r w:rsidR="00BA1780">
        <w:rPr>
          <w:color w:val="000000"/>
        </w:rPr>
        <w:t>et al.</w:t>
      </w:r>
      <w:r w:rsidRPr="008D7AAD">
        <w:rPr>
          <w:color w:val="000000"/>
        </w:rPr>
        <w:t>, 2001)</w:t>
      </w:r>
      <w:r w:rsidR="001A5158">
        <w:rPr>
          <w:color w:val="000000"/>
        </w:rPr>
        <w:t xml:space="preserve">. </w:t>
      </w:r>
    </w:p>
    <w:p w14:paraId="7C34563D" w14:textId="46C8F44E" w:rsidR="00CC6008" w:rsidRDefault="00CC6008" w:rsidP="00674C06">
      <w:pPr>
        <w:pStyle w:val="NormalWeb"/>
        <w:spacing w:before="0" w:beforeAutospacing="0" w:after="0" w:afterAutospacing="0" w:line="480" w:lineRule="auto"/>
        <w:ind w:firstLine="720"/>
        <w:rPr>
          <w:rStyle w:val="apple-tab-span"/>
          <w:b/>
          <w:bCs/>
          <w:color w:val="000000"/>
        </w:rPr>
      </w:pPr>
      <w:r>
        <w:rPr>
          <w:rStyle w:val="apple-tab-span"/>
          <w:b/>
          <w:bCs/>
          <w:color w:val="000000"/>
        </w:rPr>
        <w:lastRenderedPageBreak/>
        <w:t xml:space="preserve">Appraisal </w:t>
      </w:r>
      <w:r w:rsidR="00627A87">
        <w:rPr>
          <w:rStyle w:val="apple-tab-span"/>
          <w:b/>
          <w:bCs/>
          <w:color w:val="000000"/>
        </w:rPr>
        <w:t>M</w:t>
      </w:r>
      <w:r>
        <w:rPr>
          <w:rStyle w:val="apple-tab-span"/>
          <w:b/>
          <w:bCs/>
          <w:color w:val="000000"/>
        </w:rPr>
        <w:t xml:space="preserve">odel. </w:t>
      </w:r>
      <w:r w:rsidR="00977E5E" w:rsidRPr="0018163C">
        <w:rPr>
          <w:rStyle w:val="apple-tab-span"/>
          <w:color w:val="000000"/>
        </w:rPr>
        <w:t xml:space="preserve">The Appraisal Model of </w:t>
      </w:r>
      <w:r w:rsidR="00977E5E">
        <w:rPr>
          <w:rStyle w:val="apple-tab-span"/>
          <w:color w:val="000000"/>
        </w:rPr>
        <w:t>pain catastrophizing stems from</w:t>
      </w:r>
      <w:r w:rsidR="00A17D3D">
        <w:rPr>
          <w:rStyle w:val="apple-tab-span"/>
          <w:color w:val="000000"/>
        </w:rPr>
        <w:t xml:space="preserve"> classical psychological models contextualizing stressors in terms of the perceived ability to deal </w:t>
      </w:r>
      <w:r w:rsidR="00BA1780">
        <w:rPr>
          <w:rStyle w:val="apple-tab-span"/>
          <w:color w:val="000000"/>
        </w:rPr>
        <w:t xml:space="preserve">with </w:t>
      </w:r>
      <w:r w:rsidR="00A17D3D">
        <w:rPr>
          <w:rStyle w:val="apple-tab-span"/>
          <w:color w:val="000000"/>
        </w:rPr>
        <w:t>that stressor</w:t>
      </w:r>
      <w:r w:rsidR="00977E5E">
        <w:rPr>
          <w:rStyle w:val="apple-tab-span"/>
          <w:color w:val="000000"/>
        </w:rPr>
        <w:t xml:space="preserve"> </w:t>
      </w:r>
      <w:r w:rsidR="00D31B6C">
        <w:rPr>
          <w:rStyle w:val="apple-tab-span"/>
          <w:color w:val="000000"/>
        </w:rPr>
        <w:t xml:space="preserve"> </w:t>
      </w:r>
      <w:r w:rsidR="00D31B6C">
        <w:rPr>
          <w:rStyle w:val="apple-tab-span"/>
          <w:color w:val="000000"/>
        </w:rPr>
        <w:fldChar w:fldCharType="begin"/>
      </w:r>
      <w:r w:rsidR="00D31B6C">
        <w:rPr>
          <w:rStyle w:val="apple-tab-span"/>
          <w:color w:val="000000"/>
        </w:rPr>
        <w:instrText xml:space="preserve"> ADDIN ZOTERO_ITEM CSL_CITATION {"citationID":"4ChuHCar","properties":{"formattedCitation":"(Lazarus &amp; Folkman, 1984)","plainCitation":"(Lazarus &amp; Folkman, 1984)","noteIndex":0},"citationItems":[{"id":687,"uris":["http://zotero.org/users/3430614/items/IHA823UT"],"itemData":{"id":687,"type":"article-journal","container-title":"The handbook of behavioral medicine","source":"Google Scholar","title":"Coping and adaptation","volume":"282325","author":[{"family":"Lazarus","given":"Richard S."},{"family":"Folkman","given":"Susan"}],"issued":{"date-parts":[["1984"]]}}}],"schema":"https://github.com/citation-style-language/schema/raw/master/csl-citation.json"} </w:instrText>
      </w:r>
      <w:r w:rsidR="00D31B6C">
        <w:rPr>
          <w:rStyle w:val="apple-tab-span"/>
          <w:color w:val="000000"/>
        </w:rPr>
        <w:fldChar w:fldCharType="separate"/>
      </w:r>
      <w:r w:rsidR="00D31B6C">
        <w:rPr>
          <w:rStyle w:val="apple-tab-span"/>
          <w:noProof/>
          <w:color w:val="000000"/>
        </w:rPr>
        <w:t>(Lazarus &amp; Folkman, 1984)</w:t>
      </w:r>
      <w:r w:rsidR="00D31B6C">
        <w:rPr>
          <w:rStyle w:val="apple-tab-span"/>
          <w:color w:val="000000"/>
        </w:rPr>
        <w:fldChar w:fldCharType="end"/>
      </w:r>
      <w:r w:rsidR="00D31B6C">
        <w:rPr>
          <w:rStyle w:val="apple-tab-span"/>
          <w:color w:val="000000"/>
        </w:rPr>
        <w:t>.</w:t>
      </w:r>
      <w:r w:rsidR="00A17D3D">
        <w:rPr>
          <w:rStyle w:val="apple-tab-span"/>
          <w:color w:val="000000"/>
        </w:rPr>
        <w:t xml:space="preserve"> In pain catastrophizing, the Appraisal Model posits that individuals high in pain catastrophizing appraise </w:t>
      </w:r>
      <w:r w:rsidR="00BA1780">
        <w:rPr>
          <w:rStyle w:val="apple-tab-span"/>
          <w:color w:val="000000"/>
        </w:rPr>
        <w:t>pain-related</w:t>
      </w:r>
      <w:r w:rsidR="00A17D3D">
        <w:rPr>
          <w:rStyle w:val="apple-tab-span"/>
          <w:color w:val="000000"/>
        </w:rPr>
        <w:t xml:space="preserve"> stimuli as threatening, above and beyond what might be appropriate for the situation or the context (Leung, 2012)</w:t>
      </w:r>
      <w:r w:rsidR="00BA1780">
        <w:rPr>
          <w:rStyle w:val="apple-tab-span"/>
          <w:color w:val="000000"/>
        </w:rPr>
        <w:t>.</w:t>
      </w:r>
      <w:r w:rsidR="00A17D3D">
        <w:rPr>
          <w:rStyle w:val="apple-tab-span"/>
          <w:color w:val="000000"/>
        </w:rPr>
        <w:t xml:space="preserve"> </w:t>
      </w:r>
      <w:r w:rsidR="00D03ABB">
        <w:rPr>
          <w:rStyle w:val="apple-tab-span"/>
          <w:color w:val="000000"/>
        </w:rPr>
        <w:t xml:space="preserve">Although there is some evidence that threat appraisal may be a relevant component of pain catastrophizing for some individuals in some situations </w:t>
      </w:r>
      <w:r w:rsidR="00D31B6C">
        <w:rPr>
          <w:rStyle w:val="apple-tab-span"/>
          <w:color w:val="000000"/>
        </w:rPr>
        <w:fldChar w:fldCharType="begin"/>
      </w:r>
      <w:r w:rsidR="00D31B6C">
        <w:rPr>
          <w:rStyle w:val="apple-tab-span"/>
          <w:color w:val="000000"/>
        </w:rPr>
        <w:instrText xml:space="preserve"> ADDIN ZOTERO_ITEM CSL_CITATION {"citationID":"cOF1b3GG","properties":{"formattedCitation":"(Anderson &amp; Hanrahan, 2008; Stroud et al., 2000)","plainCitation":"(Anderson &amp; Hanrahan, 2008; Stroud et al., 2000)","noteIndex":0},"citationItems":[{"id":5040,"uris":["http://zotero.org/users/3430614/items/VKXT8LBK"],"itemData":{"id":5040,"type":"article-journal","abstract":"This study investigated the relationships between the type of pain experienced (performance pain and injury pain), the cognitive appraisal of pain and pain coping styles in dancers. Fifty-one professional ballet and contemporary dancers (17 males and 34 females), with the mean age of 25.9 years, completed a general pain questionnaire, the Pain Appraisal Inventory, the Survey of Pain Attitudes Control Subscale, and the Sports Inventory for Pain. Multivariate analyses of variance indicated that both the cognitive appraisal of the pain and pain coping styles did not differ according to the type of pain experienced or the pain severity. However, it was found that dancers with performance pain of either low or high severity were more likely to dance in pain than dancers experiencing injury pain. Multiple regression analyses indicated that the appraisal of pain as threatening was predictive of the use of avoidance and catastrophizing pain coping styles. Overall, results indicated that dancers may not differentiate between performance pain and injury pain, or modify their appraisal and coping strategies according to the characteristics of the pain experienced. The study highlighted an opportunity for increased education for dancers in recognizing the difference between pain considered to be a routine aspect of training and pain which is a signal of serious injury.","container-title":"Journal of Dance Medicine &amp; Science: Official Publication of the International Association for Dance Medicine &amp; Science","ISSN":"1089-313X","issue":"1","journalAbbreviation":"J Dance Med Sci","language":"eng","note":"PMID: 19618573","page":"9-16","source":"PubMed","title":"Dancing in pain: pain appraisal and coping in dancers","title-short":"Dancing in pain","volume":"12","author":[{"family":"Anderson","given":"Ruth"},{"family":"Hanrahan","given":"Stephanie J."}],"issued":{"date-parts":[["2008"]]}}},{"id":5042,"uris":["http://zotero.org/users/3430614/items/9CX4R2EZ"],"itemData":{"id":5042,"type":"article-journal","abstract":"Cognitions and beliefs appear important in predicting adjustment to chronic pain. The current study examines how cognitions and beliefs are related to psychosocial functioning. One hundred and sixty-three chronic pain out-patients were assessed. Regression analyses were performed using scores on the Pain Beliefs and Perceptions Inventory and the Inventory of Negative Thoughts in Response to Pain as predictor variables and responses to the West Haven Yale Multidimensional Pain Inventory as criterion variables. Pain cognitions and pain beliefs were correlated. After controlling for demographics, employment status and pain severity, pain beliefs and cognitions accounted for a significant amount of the variance in general activity, pain interference, and affective distress. Negative cognitions, particularly negative self-statements, were more predictive of outcome than pain beliefs. Although these data are correlational, they provide additional support for a biopsychosocial model of adjustment to chronic pain.","container-title":"PAIN","DOI":"10.1016/S0304-3959(99)00226-2","ISSN":"0304-3959","issue":"2","language":"en-US","page":"347","source":"journals.lww.com","title":"The relation between pain beliefs, negative thoughts, and psychosocial functioning in chronic pain patients","volume":"84","author":[{"family":"Stroud","given":"Michael W."},{"family":"Thorn","given":"Beverly E."},{"family":"Jensen","given":"Mark P."},{"family":"Boothby","given":"Jennifer L."}],"issued":{"date-parts":[["2000",2,1]]}}}],"schema":"https://github.com/citation-style-language/schema/raw/master/csl-citation.json"} </w:instrText>
      </w:r>
      <w:r w:rsidR="00D31B6C">
        <w:rPr>
          <w:rStyle w:val="apple-tab-span"/>
          <w:color w:val="000000"/>
        </w:rPr>
        <w:fldChar w:fldCharType="separate"/>
      </w:r>
      <w:r w:rsidR="00D31B6C">
        <w:rPr>
          <w:rStyle w:val="apple-tab-span"/>
          <w:noProof/>
          <w:color w:val="000000"/>
        </w:rPr>
        <w:t>(Anderson &amp; Hanrahan, 2008; Stroud et al., 2000)</w:t>
      </w:r>
      <w:r w:rsidR="00D31B6C">
        <w:rPr>
          <w:rStyle w:val="apple-tab-span"/>
          <w:color w:val="000000"/>
        </w:rPr>
        <w:fldChar w:fldCharType="end"/>
      </w:r>
      <w:r w:rsidR="00D31B6C">
        <w:rPr>
          <w:rStyle w:val="apple-tab-span"/>
          <w:color w:val="000000"/>
        </w:rPr>
        <w:t>,</w:t>
      </w:r>
      <w:r w:rsidR="00D03ABB">
        <w:rPr>
          <w:rStyle w:val="apple-tab-span"/>
          <w:color w:val="000000"/>
        </w:rPr>
        <w:t xml:space="preserve"> </w:t>
      </w:r>
      <w:r w:rsidR="00977E5E">
        <w:rPr>
          <w:rStyle w:val="apple-tab-span"/>
          <w:color w:val="000000"/>
        </w:rPr>
        <w:t xml:space="preserve">aberrations in threat appraisal </w:t>
      </w:r>
      <w:r w:rsidR="007F4787">
        <w:rPr>
          <w:rStyle w:val="apple-tab-span"/>
          <w:color w:val="000000"/>
        </w:rPr>
        <w:t>are</w:t>
      </w:r>
      <w:r w:rsidR="00977E5E">
        <w:rPr>
          <w:rStyle w:val="apple-tab-span"/>
          <w:color w:val="000000"/>
        </w:rPr>
        <w:t xml:space="preserve"> only one of various other maladaptive cognitive processes associated with pain catastrophizing, </w:t>
      </w:r>
      <w:r w:rsidR="00D03ABB">
        <w:rPr>
          <w:rStyle w:val="apple-tab-span"/>
          <w:color w:val="000000"/>
        </w:rPr>
        <w:t xml:space="preserve"> from appraisal of threat, have been associated with pain catastrophizing.</w:t>
      </w:r>
      <w:r w:rsidR="00A17D3D">
        <w:rPr>
          <w:rStyle w:val="apple-tab-span"/>
          <w:color w:val="000000"/>
        </w:rPr>
        <w:t xml:space="preserve"> As such, this model is unlikely </w:t>
      </w:r>
      <w:r w:rsidR="007F4787">
        <w:rPr>
          <w:rStyle w:val="apple-tab-span"/>
          <w:color w:val="000000"/>
        </w:rPr>
        <w:t xml:space="preserve">to capture the construct as it is </w:t>
      </w:r>
      <w:r w:rsidR="009D3A62">
        <w:rPr>
          <w:rStyle w:val="apple-tab-span"/>
          <w:color w:val="000000"/>
        </w:rPr>
        <w:t>currently</w:t>
      </w:r>
      <w:r w:rsidR="007F4787">
        <w:rPr>
          <w:rStyle w:val="apple-tab-span"/>
          <w:color w:val="000000"/>
        </w:rPr>
        <w:t xml:space="preserve"> understood</w:t>
      </w:r>
      <w:r w:rsidR="00A17D3D">
        <w:rPr>
          <w:rStyle w:val="apple-tab-span"/>
          <w:color w:val="000000"/>
        </w:rPr>
        <w:t>.</w:t>
      </w:r>
    </w:p>
    <w:p w14:paraId="4ED48FC2" w14:textId="0BA25130" w:rsidR="00D26861" w:rsidRPr="00E37559" w:rsidRDefault="00484E79" w:rsidP="0081733E">
      <w:pPr>
        <w:pStyle w:val="NormalWeb"/>
        <w:spacing w:before="0" w:beforeAutospacing="0" w:after="0" w:afterAutospacing="0" w:line="480" w:lineRule="auto"/>
        <w:ind w:firstLine="720"/>
        <w:rPr>
          <w:rStyle w:val="apple-tab-span"/>
          <w:color w:val="000000"/>
        </w:rPr>
      </w:pPr>
      <w:r>
        <w:rPr>
          <w:rStyle w:val="apple-tab-span"/>
          <w:b/>
          <w:bCs/>
          <w:color w:val="000000"/>
        </w:rPr>
        <w:t>Attention-bias model.</w:t>
      </w:r>
      <w:r w:rsidR="00CC6008">
        <w:rPr>
          <w:rStyle w:val="apple-tab-span"/>
          <w:b/>
          <w:bCs/>
          <w:color w:val="000000"/>
        </w:rPr>
        <w:t xml:space="preserve"> </w:t>
      </w:r>
      <w:r w:rsidR="00A17D3D" w:rsidRPr="0018163C">
        <w:rPr>
          <w:rStyle w:val="apple-tab-span"/>
          <w:color w:val="000000"/>
        </w:rPr>
        <w:t>The attention bias model suggests</w:t>
      </w:r>
      <w:r w:rsidR="00201386">
        <w:rPr>
          <w:rStyle w:val="apple-tab-span"/>
          <w:color w:val="000000"/>
        </w:rPr>
        <w:t xml:space="preserve"> that pain catastrophizing is a maladaptive cognitive response </w:t>
      </w:r>
      <w:r w:rsidR="00BA1780">
        <w:rPr>
          <w:rStyle w:val="apple-tab-span"/>
          <w:color w:val="000000"/>
        </w:rPr>
        <w:t>that</w:t>
      </w:r>
      <w:r w:rsidR="00201386">
        <w:rPr>
          <w:rStyle w:val="apple-tab-span"/>
          <w:color w:val="000000"/>
        </w:rPr>
        <w:t xml:space="preserve"> leads to heightened attention to pain-related </w:t>
      </w:r>
      <w:r w:rsidR="00BE1FD6">
        <w:rPr>
          <w:rStyle w:val="apple-tab-span"/>
          <w:color w:val="000000"/>
        </w:rPr>
        <w:t>s</w:t>
      </w:r>
      <w:r w:rsidR="00201386">
        <w:rPr>
          <w:rStyle w:val="apple-tab-span"/>
          <w:color w:val="000000"/>
        </w:rPr>
        <w:t xml:space="preserve">timuli or the possibility of experiencing </w:t>
      </w:r>
      <w:r w:rsidR="009472F7">
        <w:rPr>
          <w:rStyle w:val="apple-tab-span"/>
          <w:color w:val="000000"/>
        </w:rPr>
        <w:t>pain-related</w:t>
      </w:r>
      <w:r w:rsidR="00201386">
        <w:rPr>
          <w:rStyle w:val="apple-tab-span"/>
          <w:color w:val="000000"/>
        </w:rPr>
        <w:t xml:space="preserve"> stimul</w:t>
      </w:r>
      <w:r w:rsidR="00BE1FD6">
        <w:rPr>
          <w:rStyle w:val="apple-tab-span"/>
          <w:color w:val="000000"/>
        </w:rPr>
        <w:t>i</w:t>
      </w:r>
      <w:r w:rsidR="00201386">
        <w:rPr>
          <w:rStyle w:val="apple-tab-span"/>
          <w:color w:val="000000"/>
        </w:rPr>
        <w:t>, which then sp</w:t>
      </w:r>
      <w:r w:rsidR="00BE1FD6">
        <w:rPr>
          <w:rStyle w:val="apple-tab-span"/>
          <w:color w:val="000000"/>
        </w:rPr>
        <w:t>u</w:t>
      </w:r>
      <w:r w:rsidR="00201386">
        <w:rPr>
          <w:rStyle w:val="apple-tab-span"/>
          <w:color w:val="000000"/>
        </w:rPr>
        <w:t xml:space="preserve">rs maladaptive alterations in cognitive or behavioral inhibition </w:t>
      </w:r>
      <w:r w:rsidR="00D31B6C">
        <w:rPr>
          <w:rStyle w:val="apple-tab-span"/>
          <w:color w:val="000000"/>
        </w:rPr>
        <w:fldChar w:fldCharType="begin"/>
      </w:r>
      <w:r w:rsidR="009113C7">
        <w:rPr>
          <w:rStyle w:val="apple-tab-span"/>
          <w:color w:val="000000"/>
        </w:rPr>
        <w:instrText xml:space="preserve"> ADDIN ZOTERO_ITEM CSL_CITATION {"citationID":"PcYooFFD","properties":{"formattedCitation":"(Asefi Rad &amp; Wippert, 2024; Eccleston &amp; Crombez, 1999; Michael &amp; Burns, 2004; Quartana et al., 2009; Sullivan et al., 1995; Van Damme et al., 2002, 2004, p. 2; Vancleef &amp; Peters, 2006)","plainCitation":"(Asefi Rad &amp; Wippert, 2024; Eccleston &amp; Crombez, 1999; Michael &amp; Burns, 2004; Quartana et al., 2009; Sullivan et al., 1995; Van Damme et al., 2002, 2004, p. 2; Vancleef &amp; Peters, 2006)","noteIndex":0},"citationItems":[{"id":4795,"uris":["http://zotero.org/users/3430614/items/QYTLI42P"],"itemData":{"id":4795,"type":"article-journal","abstract":"Introduction\nDistraction is commonly used to reduce pain, but the effectiveness of distractions remains inconclusive. Studies have shown that pain catastrophizing could modulate the effectiveness of distraction strategies. The present study aimed to compare various distraction tasks, then control for pain catastrophizing, and examine how this relationship varies with pain intensity and unpleasantness across different distraction tasks.\n\nMethods\nForty-one pain-free participants (aged 27.00 ± 5.41) were recruited for a cross-sectional study. Four types of distraction (cognitive, sensory, emotional, and social) were presented, while moderate pain intensity was induced by electrical stimulation. Before starting the experiment, moderate pain intensity was individually calibrated as six on the Numerical Pain Rating Scale (NRS) to control individual differences in pain sensitivity. Each participant performed all four distraction tasks in a random order. NRS measured pain assessment. Pain catastrophizing was measured by the Pain Catastrophizing Scale (PCS). A repeated measure ANCOVA was conducted to examine the effects of pain dimensions during distraction tasks as a within-subject and pain catastrophizing as a covariate factor.\n\nResults\nA significant difference was observed in the pain intensity and unpleasantness during cognitive distraction. After controlling for PCS, there were diverse associations between PCS and pain intensity across distinct distraction tasks: social vs. sensory, and cognitive vs. sensory distraction. A consistent pattern in pain unpleasantness emerged with minor variations. This interaction underscored notable distinctions between social vs. sensory and emotional distractions, as well as between cognitive vs. sensory and emotional distractions. However, only the correlation in social distraction remained significant in both pain dimensions.\n\nDiscussion\nOur findings reveal that the link between PCS and pain dimensions varies across different distraction tasks, suggesting diverse interactions. Particularly, social distraction, characterized by both emotional and cognitive states, proves beneficial with lower PCS scores; however, this advantage diminishes as PCS scores increase.","container-title":"Frontiers in Pain Research","DOI":"10.3389/fpain.2024.1266974","ISSN":"2673-561X","journalAbbreviation":"Front Pain Res (Lausanne)","note":"PMID: 38322588\nPMCID: PMC10844527","page":"1266974","source":"PubMed Central","title":"Insights into pain distraction and the impact of pain catastrophizing on pain perception during different types of distraction tasks","volume":"5","author":[{"family":"Asefi Rad","given":"Arash"},{"family":"Wippert","given":"Pia-Maria"}],"issued":{"date-parts":[["2024",1,23]]}}},{"id":4327,"uris":["http://zotero.org/users/3430614/items/4QV88YAD"],"itemData":{"id":4327,"type":"article-journal","abstract":"Pain interrupts and demands attention. The authors review evidence for how and why this interruption of attention is achieved. The interruptive function of pain depends on the relationship between pain-related characteristics (e.g., the threat value of pain) and the characteristics of the environmental demands (e.g., emotional arousal). A model of the interruptive function of pain is developed that holds that pain is selected for action from within complex affective and motivational environments to urge escape. The implications of this model for research and therapy are outlined with an emphasis on the redefinition of chronic pain as chronic interruption. (PsycINFO Database Record (c) 2016 APA, all rights reserved)","container-title":"Psychological Bulletin","DOI":"10.1037/0033-2909.125.3.356","ISSN":"1939-1455","issue":"3","note":"publisher-place: US\npublisher: American Psychological Association","page":"356-366","source":"APA PsycNet","title":"Pain demands attention: A cognitive–affective model of the interruptive function of pain","title-short":"Pain demands attention","volume":"125","author":[{"family":"Eccleston","given":"Chris"},{"family":"Crombez","given":"Geert"}],"issued":{"date-parts":[["1999"]]}}},{"id":5048,"uris":["http://zotero.org/users/3430614/items/PSX6NUBJ"],"itemData":{"id":5048,"type":"article-journal","abstract":"BACKGROUND: Pain catastrophizing is a particularly harmful cognitive factor among patients with chronic pain, but little is known of mechanisms linking this factor to pain and disability.\nPURPOSE: The study examined whether attentional focus on sensory versus affective information about pain constitutes a pathway by which catastrophizing affects responses to painful stimuli.\nMETHODS: Participants were 82 chronic pain patients assigned randomly to sensory focus, affect focus, or control conditions. They underwent cold pressors first prior to and then following an information focus manipulation, and they completed the Pain Catastrophizing Scale (PCS).\nRESULTS: Regressions produced significant Condition x PCS interaction effects on threshold and tolerance change from first to second cold pressor, such that PCS scores were significantly and negatively related to these changes in both sensory and affect focus conditions, but not in the control condition. Only a main effect for PCS scores emerged for self-reported pain changes. Solving regression equations for hypothetical PCS values (+- 1 SD from the mean) revealed that (a) high catastrophizers decreased threshold and tolerance in the affect focus condition and showed no appreciable changes in sensory focus and (b) low catastrophziers showed increases in threshold and tolerance in sensory focus, but no appreciable changes in affect focus. Further, the degree to which patients focused on emotions during pain partly mediated effects of PCS scores on threshold and tolerance changes.\nCONCLUSION: Catastrophizing about pain may affect pain severity and distress of chronic pain patients through a bias toward processing the most disturbing elements of a painful stimulus.","container-title":"Annals of Behavioral Medicine: A Publication of the Society of Behavioral Medicine","DOI":"10.1207/s15324796abm2703_6","ISSN":"0883-6612","issue":"3","journalAbbreviation":"Ann Behav Med","language":"eng","note":"PMID: 15184094","page":"185-194","source":"PubMed","title":"Catastrophizing and pain sensitivity among chronic pain patients: moderating effects of sensory and affect focus","title-short":"Catastrophizing and pain sensitivity among chronic pain patients","volume":"27","author":[{"family":"Michael","given":"Elizabeth S."},{"family":"Burns","given":"John W."}],"issued":{"date-parts":[["2004",6]]}}},{"id":5051,"uris":["http://zotero.org/users/3430614/items/BQ7LKK24"],"itemData":{"id":5051,"type":"article-journal","abstract":"Pain catastrophizing is conceptualized as a negative cognitive-affective response to anticipated or actual pain and has been associated with a number of important pain-related outcomes. In the present review, we first focus our efforts on the conceptualization of pain catastrophizing, highlighting its conceptual history and potential problem areas. We then focus our discussion on a number of theoretical mechanisms of action: appraisal theory, attention bias/information processing, communal coping, CNS pain processing mechanisms, psychophysiological pathways and neural pathways. We then offer evidence to suggest that pain catastrophizing represents an important process factor in pain treatment. We conclude by offering what we believe represents an integrated heuristic model for use by researchers over the next 5 years; a model we believe will advance the field most expediently.","container-title":"Expert Review of Neurotherapeutics","DOI":"10.1586/ern.09.34","ISSN":"1744-8360","issue":"5","journalAbbreviation":"Expert Rev Neurother","language":"eng","note":"PMID: 19402782\nPMCID: PMC2696024","page":"745-758","source":"PubMed","title":"Pain catastrophizing: a critical review","title-short":"Pain catastrophizing","volume":"9","author":[{"family":"Quartana","given":"Phillip J."},{"family":"Campbell","given":"Claudia M."},{"family":"Edwards","given":"Robert R."}],"issued":{"date-parts":[["2009",5]]}}},{"id":4305,"uris":["http://zotero.org/users/3430614/items/K3IQ6IUG"],"itemData":{"id":4305,"type":"article-journal","abstract":"In Study I, the Pain Catastrophizing Scale (PCS) was administered to 425 undergraduates. Analyses yielded a three component solution comprising (a) rumination, (b) magnification, and (c) helplessness. In Study 2, 30 undergraduate participants were classified as catastrophizers (n = 15) or noncatastrophizers (n = 15) on the basis of their PCS scores and participated in a cold pressor procedure. Catastrophizers reported significantly more negative pain-related thoughts, greater emotional distress, and greater pain intensity than noncatastrophizers. Study 3 examined the relation between PCS scores, negative pain-related thoughts, and distress in 28 individuals undergoing an aversive electrodiagnostic medical procedure. Catastrophizers reported more negative pain-related thoughts, more emotional distress, and more pain than noncatastrophizers. Study 4 examined the relation between the PCS and measures of depression, trait anxiety, negative affectivity, and fear of pain. Analyses revealed moderate correlations among these measures, but only the PCS contributed significant unique variance to the prediction of pain intensity. (PsycINFO Database Record (c) 2016 APA, all rights reserved)","container-title":"Psychological Assessment","DOI":"10.1037/1040-3590.7.4.524","ISSN":"1939-134X","issue":"4","note":"publisher-place: US\npublisher: American Psychological Association","page":"524-532","source":"APA PsycNet","title":"The Pain Catastrophizing Scale: Development and validation","title-short":"The Pain Catastrophizing Scale","volume":"7","author":[{"family":"Sullivan","given":"Michael J. L."},{"family":"Bishop","given":"Scott R."},{"family":"Pivik","given":"Jayne"}],"issued":{"date-parts":[["1995"]]}}},{"id":5015,"uris":["http://zotero.org/users/3430614/items/9M7CYQRN"],"itemData":{"id":5015,"type":"article-journal","abstract":"This paper reports an experimental investigation of engagement with and disengagement from a threatening cue of pain. As most paradigms in pain research only provide an overall index of attentional deployment by pain-related information, a new paradigm was developed that allowed an independent investigation of engagement with and disengagement from pain cues. Forty pain-free volunteers performed a cueing task in which they had to detect pain targets and tone targets as quickly and as accurately as possible. The target stimuli were preceded by pain cues (the word ‘pain’), tone cues (the word ‘tone’), or neutral cues (a series of the character ‘X’) at stimulus onset asynchrony (SOA: stimulus interval between cue onset and target onset) levels of 100, 500, or 900ms. There was no contingency between the type of cue and the type of target. Catastrophic thinking about pain and the predictive value of the cues were assessed by self-reports. Results can be summarized as follows: When a cue correctly primed a target, attention was optimally engaged in the identification of the target irrespective of the threatening context of the cue or target. However, when pain was cued and did not occur, there was retardation in disengagement from the pain cue. This retardation was more pronounced and extended across time in those high in catastrophic thinking about pain. On examination it appeared that catastrophic thinking about pain may operate by a protection of the belief that the cue for pain is a valid one, despite experience to the contrary.","container-title":"Pain","DOI":"10.1016/S0304-3959(02)00290-7","ISSN":"0304-3959","issue":"1","journalAbbreviation":"Pain","page":"111-118","source":"ScienceDirect","title":"Retarded disengagement from pain cues: the effects of pain catastrophizing and pain expectancy","title-short":"Retarded disengagement from pain cues","volume":"100","author":[{"family":"Van Damme","given":"Stefaan"},{"family":"Crombez","given":"Geert"},{"family":"Eccleston","given":"Chris"}],"issued":{"date-parts":[["2002",11,1]]}}},{"id":5046,"uris":["http://zotero.org/users/3430614/items/MEH2HPYB"],"itemData":{"id":5046,"type":"article-journal","abstract":"This paper reports an experimental investigation of attentional engagement to and disengagement from pain. Thirty-seven pain-free volunteers performed a cueing task in which they were instructed to respond to visual target stimuli, i.e. the words ‘pain’ and ‘tone’. Targets were preceded by pain stimuli or tone stimuli as cues. Participants were characterized as high or low pain catastrophizers, using self-reports. We found that the effect of cueing upon target detection was differential for high and low pain catastrophizers. Analyses revealed a similar amount of attentional engagement to pain in both groups. However, we also found that participants high in pain catastrophizing had difficulty disengaging from pain, whereas participants low in pain catastrophizing showed no retarded disengagement from pain. Our results provide further evidence that catastrophic thinking enhances the attentional demand of pain, particularly resulting in difficulty disengaging from pain. The clinical implications of these findings are discussed.","container-title":"PAIN","DOI":"10.1016/j.pain.2003.09.023","ISSN":"0304-3959","issue":"1","language":"en-US","page":"70","source":"journals.lww.com","title":"Disengagement from pain: the role of catastrophic thinking about pain","title-short":"Disengagement from pain","volume":"107","author":[{"family":"Van Damme","given":"Stefaan"},{"family":"Crombez","given":"Geert"},{"family":"Eccleston","given":"Christopher"}],"issued":{"date-parts":[["2004",1]]}},"locator":"2"},{"id":4369,"uris":["http://zotero.org/users/3430614/items/49H4XIC2"],"itemData":{"id":4369,"type":"article-journal","abstract":"Pain draws on attentional resources, thereby disturbing the pursuit of ongoing activities. Several studies have made use of the primary task paradigm to study the disruptive function of pain on attention. In this paradigm, participants perform an attentionally demanding task, while they are occasionally distracted by mild electrical stimulation. Deterioration in task performance (in terms of speed and accuracy) is then taken as an index of attentional interference. One major finding with this paradigm was that pain catastrophizing enhances attentional interference. The current study aimed to replicate this finding and to explore the possible influence of anxiety sensitivity and injury/illness sensitivity on attentional interference. Healthy volunteers (n = 48) performed an auditory discrimination task and were thereby occasionally distracted by low electrocutaneous stimulations. The performance on the discrimination task was subsequently related to participants’ scores on the Pain Catastrophizing Scale, the Anxiety Sensitivity Index, and the Injury/illness Sensitivity Index. We were unable to demonstrate an association of either injury/illness sensitivity or anxiety sensitivity with attentional interference. Results did, however, confirm the finding that pain catastrophizing enhances attentional interference.\nPerspective\nThe present study showed that pain disrupts ongoing activities. This effect is enlarged in those with high levels of pain catastrophizing and is related to the threatening nature of pain stimuli. The role of anxiety sensitivity and injury/illness sensitivity seems to differ from the role of catastrophizing and needs further research.","container-title":"The Journal of Pain","DOI":"10.1016/j.jpain.2005.04.003","ISSN":"1526-5900","issue":"1","journalAbbreviation":"The Journal of Pain","language":"en","page":"23-30","source":"ScienceDirect","title":"Pain Catastrophizing, but not Injury/Illness Sensitivity or Anxiety Sensitivity, Enhances Attentional Interference by Pain","volume":"7","author":[{"family":"Vancleef","given":"Linda M. G."},{"family":"Peters","given":"Madelon L."}],"issued":{"date-parts":[["2006",1,1]]}}}],"schema":"https://github.com/citation-style-language/schema/raw/master/csl-citation.json"} </w:instrText>
      </w:r>
      <w:r w:rsidR="00D31B6C">
        <w:rPr>
          <w:rStyle w:val="apple-tab-span"/>
          <w:color w:val="000000"/>
        </w:rPr>
        <w:fldChar w:fldCharType="separate"/>
      </w:r>
      <w:r w:rsidR="009113C7">
        <w:rPr>
          <w:rStyle w:val="apple-tab-span"/>
          <w:noProof/>
          <w:color w:val="000000"/>
        </w:rPr>
        <w:t>(Asefi Rad &amp; Wippert, 2024; Eccleston &amp; Crombez, 1999; Michael &amp; Burns, 2004; Quartana et al., 2009; Sullivan et al., 1995; Van Damme et al., 2002, 2004, p. 2; Vancleef &amp; Peters, 2006)</w:t>
      </w:r>
      <w:r w:rsidR="00D31B6C">
        <w:rPr>
          <w:rStyle w:val="apple-tab-span"/>
          <w:color w:val="000000"/>
        </w:rPr>
        <w:fldChar w:fldCharType="end"/>
      </w:r>
      <w:r w:rsidR="009113C7">
        <w:rPr>
          <w:rStyle w:val="apple-tab-span"/>
          <w:color w:val="000000"/>
        </w:rPr>
        <w:t xml:space="preserve">. </w:t>
      </w:r>
      <w:r w:rsidR="00BE1FD6">
        <w:rPr>
          <w:color w:val="000000"/>
        </w:rPr>
        <w:t xml:space="preserve">A number of studies have demonstrated </w:t>
      </w:r>
      <w:r w:rsidR="0018163C">
        <w:rPr>
          <w:color w:val="000000"/>
        </w:rPr>
        <w:t>preferential</w:t>
      </w:r>
      <w:r w:rsidR="00BE1FD6">
        <w:rPr>
          <w:color w:val="000000"/>
        </w:rPr>
        <w:t xml:space="preserve"> attention </w:t>
      </w:r>
      <w:r w:rsidR="0018163C">
        <w:rPr>
          <w:color w:val="000000"/>
        </w:rPr>
        <w:t xml:space="preserve">to pain-related information </w:t>
      </w:r>
      <w:r w:rsidR="00BE1FD6">
        <w:rPr>
          <w:color w:val="000000"/>
        </w:rPr>
        <w:t xml:space="preserve">by those scoring higher on pain catastrophizing measures </w:t>
      </w:r>
      <w:r w:rsidR="00BE1FD6" w:rsidRPr="008D7AAD">
        <w:rPr>
          <w:color w:val="000000"/>
        </w:rPr>
        <w:t xml:space="preserve">(Spanos et al., 1979; Chaves and Brown, 1987; Eccleston et al., 1999; Van Damme </w:t>
      </w:r>
      <w:r w:rsidR="009472F7">
        <w:rPr>
          <w:color w:val="000000"/>
        </w:rPr>
        <w:t>et al.</w:t>
      </w:r>
      <w:r w:rsidR="00BE1FD6" w:rsidRPr="008D7AAD">
        <w:rPr>
          <w:color w:val="000000"/>
        </w:rPr>
        <w:t xml:space="preserve">, 2002 &amp; 2004; Van </w:t>
      </w:r>
      <w:proofErr w:type="spellStart"/>
      <w:r w:rsidR="00BE1FD6" w:rsidRPr="008D7AAD">
        <w:rPr>
          <w:color w:val="000000"/>
        </w:rPr>
        <w:t>Cleef</w:t>
      </w:r>
      <w:proofErr w:type="spellEnd"/>
      <w:r w:rsidR="00BE1FD6" w:rsidRPr="008D7AAD">
        <w:rPr>
          <w:color w:val="000000"/>
        </w:rPr>
        <w:t xml:space="preserve"> et al. 2006 Michael </w:t>
      </w:r>
      <w:r w:rsidR="009472F7">
        <w:rPr>
          <w:color w:val="000000"/>
        </w:rPr>
        <w:t>et al.</w:t>
      </w:r>
      <w:r w:rsidR="00BE1FD6" w:rsidRPr="008D7AAD">
        <w:rPr>
          <w:color w:val="000000"/>
        </w:rPr>
        <w:t xml:space="preserve"> 2004, </w:t>
      </w:r>
      <w:proofErr w:type="spellStart"/>
      <w:r w:rsidR="00BE1FD6" w:rsidRPr="008D7AAD">
        <w:rPr>
          <w:color w:val="000000"/>
        </w:rPr>
        <w:t>Quartana</w:t>
      </w:r>
      <w:proofErr w:type="spellEnd"/>
      <w:r w:rsidR="00BE1FD6" w:rsidRPr="008D7AAD">
        <w:rPr>
          <w:color w:val="000000"/>
        </w:rPr>
        <w:t xml:space="preserve"> et al., 2009; </w:t>
      </w:r>
      <w:proofErr w:type="spellStart"/>
      <w:r w:rsidR="00BE1FD6" w:rsidRPr="008D7AAD">
        <w:rPr>
          <w:color w:val="000000"/>
        </w:rPr>
        <w:t>Sillican</w:t>
      </w:r>
      <w:proofErr w:type="spellEnd"/>
      <w:r w:rsidR="00BE1FD6" w:rsidRPr="008D7AAD">
        <w:rPr>
          <w:color w:val="000000"/>
        </w:rPr>
        <w:t>, 1995)</w:t>
      </w:r>
      <w:r w:rsidR="00BE1FD6">
        <w:rPr>
          <w:color w:val="000000"/>
        </w:rPr>
        <w:t>, and these findings are further</w:t>
      </w:r>
      <w:r w:rsidR="00201386">
        <w:rPr>
          <w:color w:val="000000"/>
        </w:rPr>
        <w:t xml:space="preserve"> strengthened by studies demonstrating that analgesic distraction methods are less effective for individuals high in pain catastrophizing, </w:t>
      </w:r>
      <w:r w:rsidR="009D3A62">
        <w:rPr>
          <w:color w:val="000000"/>
        </w:rPr>
        <w:t>indicating</w:t>
      </w:r>
      <w:r w:rsidR="00201386">
        <w:rPr>
          <w:color w:val="000000"/>
        </w:rPr>
        <w:t xml:space="preserve"> that not only are these individuals likely to have a heightened awareness for pain-related stimuli, </w:t>
      </w:r>
      <w:r w:rsidR="009472F7">
        <w:rPr>
          <w:color w:val="000000"/>
        </w:rPr>
        <w:t>but they will also</w:t>
      </w:r>
      <w:r w:rsidR="00201386">
        <w:rPr>
          <w:color w:val="000000"/>
        </w:rPr>
        <w:t xml:space="preserve"> </w:t>
      </w:r>
      <w:r w:rsidR="00201386">
        <w:rPr>
          <w:color w:val="000000"/>
        </w:rPr>
        <w:lastRenderedPageBreak/>
        <w:t>struggle to disengage their attention from such stimuli, even in the presence of a distraction (</w:t>
      </w:r>
      <w:proofErr w:type="spellStart"/>
      <w:r w:rsidR="00201386">
        <w:rPr>
          <w:color w:val="000000"/>
        </w:rPr>
        <w:t>Asefi</w:t>
      </w:r>
      <w:proofErr w:type="spellEnd"/>
      <w:r w:rsidR="00201386">
        <w:rPr>
          <w:color w:val="000000"/>
        </w:rPr>
        <w:t xml:space="preserve"> Rad &amp; </w:t>
      </w:r>
      <w:proofErr w:type="spellStart"/>
      <w:r w:rsidR="00201386">
        <w:rPr>
          <w:color w:val="000000"/>
        </w:rPr>
        <w:t>Wippert</w:t>
      </w:r>
      <w:proofErr w:type="spellEnd"/>
      <w:r w:rsidR="00201386">
        <w:rPr>
          <w:color w:val="000000"/>
        </w:rPr>
        <w:t xml:space="preserve">, 2024). </w:t>
      </w:r>
      <w:r w:rsidR="00C75ACF">
        <w:rPr>
          <w:rStyle w:val="apple-tab-span"/>
          <w:color w:val="000000"/>
        </w:rPr>
        <w:t xml:space="preserve">While this model has received the most empirical support, as with the others, it does not </w:t>
      </w:r>
      <w:r w:rsidR="006B7E0F">
        <w:rPr>
          <w:rStyle w:val="apple-tab-span"/>
          <w:color w:val="000000"/>
        </w:rPr>
        <w:t xml:space="preserve">completely capture the affective components or </w:t>
      </w:r>
      <w:r w:rsidR="006D25C1">
        <w:rPr>
          <w:rStyle w:val="apple-tab-span"/>
          <w:color w:val="000000"/>
        </w:rPr>
        <w:t xml:space="preserve">fully </w:t>
      </w:r>
      <w:r w:rsidR="006B7E0F">
        <w:rPr>
          <w:rStyle w:val="apple-tab-span"/>
          <w:color w:val="000000"/>
        </w:rPr>
        <w:t>explain the neurophysiological correlates associated with pain catastrophizing (Leung, 2012).</w:t>
      </w:r>
    </w:p>
    <w:p w14:paraId="6AD597BF" w14:textId="06DC822F" w:rsidR="00782836" w:rsidRDefault="00782836" w:rsidP="004219F5">
      <w:pPr>
        <w:pStyle w:val="NormalWeb"/>
        <w:spacing w:before="0" w:beforeAutospacing="0" w:after="0" w:afterAutospacing="0" w:line="480" w:lineRule="auto"/>
        <w:ind w:firstLine="720"/>
        <w:rPr>
          <w:rStyle w:val="apple-tab-span"/>
          <w:b/>
          <w:bCs/>
          <w:i/>
          <w:iCs/>
          <w:color w:val="000000"/>
        </w:rPr>
      </w:pPr>
      <w:r>
        <w:rPr>
          <w:rStyle w:val="apple-tab-span"/>
          <w:b/>
          <w:bCs/>
          <w:i/>
          <w:iCs/>
          <w:color w:val="000000"/>
        </w:rPr>
        <w:t>Neurobiological Mechanisms</w:t>
      </w:r>
    </w:p>
    <w:p w14:paraId="24BE8E02" w14:textId="3B239947" w:rsidR="00782836" w:rsidRDefault="00782836" w:rsidP="008D7AAD">
      <w:pPr>
        <w:pStyle w:val="NormalWeb"/>
        <w:spacing w:before="0" w:beforeAutospacing="0" w:after="0" w:afterAutospacing="0" w:line="480" w:lineRule="auto"/>
        <w:ind w:firstLine="720"/>
        <w:rPr>
          <w:rStyle w:val="apple-tab-span"/>
          <w:color w:val="000000"/>
        </w:rPr>
      </w:pPr>
      <w:r>
        <w:rPr>
          <w:rStyle w:val="apple-tab-span"/>
          <w:color w:val="000000"/>
        </w:rPr>
        <w:t xml:space="preserve">Although the neurobiological mechanisms underlying the construct are still being elucidated, </w:t>
      </w:r>
      <w:r w:rsidR="00D16CDE">
        <w:rPr>
          <w:rStyle w:val="apple-tab-span"/>
          <w:color w:val="000000"/>
        </w:rPr>
        <w:t>several</w:t>
      </w:r>
      <w:r>
        <w:rPr>
          <w:rStyle w:val="apple-tab-span"/>
          <w:color w:val="000000"/>
        </w:rPr>
        <w:t xml:space="preserve"> potential biomarkers and physiological processes have been associated with pain catastrophizing in </w:t>
      </w:r>
      <w:r w:rsidR="00A84B9B">
        <w:rPr>
          <w:rStyle w:val="apple-tab-span"/>
          <w:color w:val="000000"/>
        </w:rPr>
        <w:t>the last decade</w:t>
      </w:r>
      <w:r>
        <w:rPr>
          <w:rStyle w:val="apple-tab-span"/>
          <w:color w:val="000000"/>
        </w:rPr>
        <w:t xml:space="preserve">. </w:t>
      </w:r>
      <w:r w:rsidR="00DC1728">
        <w:rPr>
          <w:rStyle w:val="apple-tab-span"/>
          <w:color w:val="000000"/>
        </w:rPr>
        <w:t xml:space="preserve">For example, </w:t>
      </w:r>
      <w:r w:rsidR="001B2C9D">
        <w:rPr>
          <w:rStyle w:val="apple-tab-span"/>
          <w:color w:val="000000"/>
        </w:rPr>
        <w:t xml:space="preserve">multiple twin studies and investigations of specific genetic </w:t>
      </w:r>
      <w:r w:rsidR="009E59B1">
        <w:rPr>
          <w:rStyle w:val="apple-tab-span"/>
          <w:color w:val="000000"/>
        </w:rPr>
        <w:t>variations</w:t>
      </w:r>
      <w:r w:rsidR="001B2C9D">
        <w:rPr>
          <w:rStyle w:val="apple-tab-span"/>
          <w:color w:val="000000"/>
        </w:rPr>
        <w:t xml:space="preserve"> have made a strong case for the heritability of pain catastrophizing </w:t>
      </w:r>
      <w:r w:rsidR="001B2C9D">
        <w:rPr>
          <w:rStyle w:val="apple-tab-span"/>
          <w:color w:val="000000"/>
        </w:rPr>
        <w:fldChar w:fldCharType="begin"/>
      </w:r>
      <w:r w:rsidR="001B2C9D">
        <w:rPr>
          <w:rStyle w:val="apple-tab-span"/>
          <w:color w:val="000000"/>
        </w:rPr>
        <w:instrText xml:space="preserve"> ADDIN ZOTERO_ITEM CSL_CITATION {"citationID":"Yw64vP6B","properties":{"formattedCitation":"(Alves et al., 2020; Burri et al., 2018; Horjales-Araujo et al., 2013; Trost et al., 2015)","plainCitation":"(Alves et al., 2020; Burri et al., 2018; Horjales-Araujo et al., 2013; Trost et al., 2015)","noteIndex":0},"citationItems":[{"id":5154,"uris":["http://zotero.org/users/3430614/items/EYRGPICW"],"itemData":{"id":5154,"type":"article-journal","container-title":"Advances in Rheumatology","ISSN":"2523-3106","journalAbbreviation":"Advances in Rheumatology","note":"publisher: SciELO Brasil","page":"39","title":"Pain catastrophizing is associated with the Val66Met polymorphism of the brain-derived neurotrophic factor in fibromyalgia","volume":"60","author":[{"family":"Alves","given":"Camila Fernanda da Silveira"},{"family":"Caumo","given":"Wolnei"},{"family":"Silvestri","given":"Joana Morez"},{"family":"Zortea","given":"Maxciel"},{"family":"Santos","given":"Vinicius Souza","dropping-particle":"dos"},{"family":"Cardoso","given":"Dayane Favarin"},{"family":"Regner","given":"Andrea"},{"family":"Souza","given":"Alessandra Hübner","dropping-particle":"de"},{"family":"Simon","given":"Daniel"}],"issued":{"date-parts":[["2020"]]}}},{"id":5150,"uris":["http://zotero.org/users/3430614/items/GTNLFG6M"],"itemData":{"id":5150,"type":"article-journal","abstract":"The objective of the present study was to establish the heritability of pain catastrophizing and its subdomains of helplessness, magnification, and rumination and to further explore the genetic and environmental sources that may contribute to pain catastrophizing as well as to its commonly reported psycho-affective correlates, including neuroticism, anxiety sensitivity, and fear of pain. N = 2,401 female twin individuals from the TwinsUK registry were subject to univariate and multivariate twin analyses. Well validated questionnaires including the Pain Catastrophizing Scale, the Pain Anxiety Symptom Scale, the Ten Item Personality Index, and the Anxiety Sensitivity Index were used to assess the study variables. Moderate estimates of heritability for pain catastrophizing (36%) and the three subdomains of helplessness (35%), rumination (27%), and magnification (36%) were detected. The high correlations observed between the three subdomains were explained mainly by overlapping genetic factors, with a single factor loading on all three phenotypes. High genetic correlations between pain catastrophizing and its psycho-affective correlates of fear of pain and anxiety sensitivity were found, while the genetic overlap between neuroticism and pain catastrophizing was low. Each measure of negative affect demonstrated relatively distinct environmental contributing factors, with very little overlap. This is the first study to show shared genetic factors in the observed association between pain catastrophizing and other measures of negative affect. Our findings provide deeper insight into the aetiology of pain catastrophizing and confirm that it is at least partially distinct from other measures of negative affect and personality that may influence the development and treatment of chronic pain conditions. Further research in males is warranted to check the comparability of the findings.","container-title":"PLOS ONE","DOI":"10.1371/journal.pone.0194562","ISSN":"1932-6203","issue":"3","journalAbbreviation":"PLOS ONE","language":"en","note":"publisher: Public Library of Science","page":"e0194562","source":"PLoS Journals","title":"Pain catastrophizing, neuroticism, fear of pain, and anxiety: Defining the genetic and environmental factors in a sample of female twins","title-short":"Pain catastrophizing, neuroticism, fear of pain, and anxiety","volume":"13","author":[{"family":"Burri","given":"Andrea"},{"family":"Ogata","given":"Soshiro"},{"family":"Rice","given":"David"},{"family":"Williams","given":"Frances"}],"issued":{"date-parts":[["2018",3,22]]}}},{"id":5153,"uris":["http://zotero.org/users/3430614/items/LR9DNJB8"],"itemData":{"id":5153,"type":"article-journal","container-title":"PloS one","ISSN":"1932-6203","issue":"11","journalAbbreviation":"PloS one","note":"publisher: Public Library of Science San Francisco, USA","page":"e78889","title":"Polymorphism in serotonin receptor 3B is associated with pain catastrophizing","volume":"8","author":[{"family":"Horjales-Araujo","given":"Emilia"},{"family":"Demontis","given":"Ditte"},{"family":"Lund","given":"Ellen Kielland"},{"family":"Finnerup","given":"Nanna Brix"},{"family":"Børglum","given":"Anders D"},{"family":"Jensen","given":"Troels Staehelin"},{"family":"Svensson","given":"Peter"},{"family":"Vase","given":"Lene"}],"issued":{"date-parts":[["2013"]]}}},{"id":5031,"uris":["http://zotero.org/users/3430614/items/HZRJLNFG"],"itemData":{"id":5031,"type":"article-journal","abstract":"The current study employed a twin paradigm to examine the genetic and environmental contributions to pain catastrophizing as well as the observed association between pain catastrophizing and cold pressor task (CPT) outcomes. Male and female monozygotic (n=206) and dizygotic twins (n=194) from the University of Washington Twin Registry completed a measure of pain catastrophizing and performed a CPT challenge. As expected, pain catastrophizing emerged as a significant predictor of several CPT outcomes, including cold pressor immersion tolerance, pain tolerance, and delayed pain rating. The heritability estimate for pain catastrophizing was found to be 37% with the remaining 63% of variance attributable to unique environmental influence. Additionally, the observed associations between pain catastrophizing and CPT outcomes were not found attributable to shared genetics or environmental exposure, suggesting a direct relationship between catastrophizing and experimental pain outcomes. This study is the first to examine the heritability of pain catastrophizing and potential processes by which pain catastrophizing is related to experimental pain response.","container-title":"Pain","DOI":"10.1097/01.j.pain.0000460326.02891.fc","ISSN":"0304-3959","issue":"3","journalAbbreviation":"Pain","note":"PMID: 25599234\nPMCID: PMC4329018","page":"514-520","source":"PubMed Central","title":"Heritability of Pain Catastrophizing and Associations with Experimental Pain Outcomes: A Twin Study","title-short":"Heritability of Pain Catastrophizing and Associations with Experimental Pain Outcomes","volume":"156","author":[{"family":"Trost","given":"Zina"},{"family":"Strachan","given":"Eric"},{"family":"Sullivan","given":"Michael"},{"family":"Vervoort","given":"Tine"},{"family":"Avery","given":"Ally R."},{"family":"Afari","given":"Niloofar"}],"issued":{"date-parts":[["2015",3]]}}}],"schema":"https://github.com/citation-style-language/schema/raw/master/csl-citation.json"} </w:instrText>
      </w:r>
      <w:r w:rsidR="001B2C9D">
        <w:rPr>
          <w:rStyle w:val="apple-tab-span"/>
          <w:color w:val="000000"/>
        </w:rPr>
        <w:fldChar w:fldCharType="separate"/>
      </w:r>
      <w:r w:rsidR="001B2C9D">
        <w:rPr>
          <w:rStyle w:val="apple-tab-span"/>
          <w:noProof/>
          <w:color w:val="000000"/>
        </w:rPr>
        <w:t>(Alves et al., 2020; Burri et al., 2018; Horjales-Araujo et al., 2013; Trost et al., 2015)</w:t>
      </w:r>
      <w:r w:rsidR="001B2C9D">
        <w:rPr>
          <w:rStyle w:val="apple-tab-span"/>
          <w:color w:val="000000"/>
        </w:rPr>
        <w:fldChar w:fldCharType="end"/>
      </w:r>
      <w:r w:rsidR="00C067B3">
        <w:rPr>
          <w:rStyle w:val="apple-tab-span"/>
          <w:color w:val="000000"/>
        </w:rPr>
        <w:t>. Polymorphisms in the 3B serotonin receptor (</w:t>
      </w:r>
      <w:proofErr w:type="spellStart"/>
      <w:r w:rsidR="00C067B3">
        <w:rPr>
          <w:rStyle w:val="apple-tab-span"/>
          <w:color w:val="000000"/>
        </w:rPr>
        <w:t>Horjales</w:t>
      </w:r>
      <w:proofErr w:type="spellEnd"/>
      <w:r w:rsidR="00C067B3">
        <w:rPr>
          <w:rStyle w:val="apple-tab-span"/>
          <w:color w:val="000000"/>
        </w:rPr>
        <w:t xml:space="preserve">-Araujo et al., 2013) and the brain-derived neurotrophic factor gene (i.e. Val66Met substitution; Alves et al., 2020) </w:t>
      </w:r>
      <w:r w:rsidR="000D1CBB">
        <w:rPr>
          <w:rStyle w:val="apple-tab-span"/>
          <w:color w:val="000000"/>
        </w:rPr>
        <w:t>have been linked to</w:t>
      </w:r>
      <w:r w:rsidR="00C067B3">
        <w:rPr>
          <w:rStyle w:val="apple-tab-span"/>
          <w:color w:val="000000"/>
        </w:rPr>
        <w:t xml:space="preserve"> increased </w:t>
      </w:r>
      <w:r w:rsidR="00A84B9B">
        <w:rPr>
          <w:rStyle w:val="apple-tab-span"/>
          <w:color w:val="000000"/>
        </w:rPr>
        <w:t>susceptibility</w:t>
      </w:r>
      <w:r w:rsidR="00C067B3">
        <w:rPr>
          <w:rStyle w:val="apple-tab-span"/>
          <w:color w:val="000000"/>
        </w:rPr>
        <w:t xml:space="preserve"> to pain catastrophizing and are proposed to underlie deviations in both the processing of and ability to cope with pain. </w:t>
      </w:r>
    </w:p>
    <w:p w14:paraId="50E1BF23" w14:textId="0837A26D" w:rsidR="007E21C9" w:rsidRDefault="00C067B3" w:rsidP="0060735C">
      <w:pPr>
        <w:pStyle w:val="NormalWeb"/>
        <w:spacing w:before="0" w:beforeAutospacing="0" w:after="0" w:afterAutospacing="0" w:line="480" w:lineRule="auto"/>
        <w:ind w:firstLine="720"/>
        <w:rPr>
          <w:rStyle w:val="apple-tab-span"/>
          <w:color w:val="000000"/>
        </w:rPr>
      </w:pPr>
      <w:r>
        <w:rPr>
          <w:rStyle w:val="apple-tab-span"/>
          <w:color w:val="000000"/>
        </w:rPr>
        <w:t xml:space="preserve">Similarly, several brain areas </w:t>
      </w:r>
      <w:r w:rsidR="000D1CBB">
        <w:rPr>
          <w:rStyle w:val="apple-tab-span"/>
          <w:color w:val="000000"/>
        </w:rPr>
        <w:t>are implicated in</w:t>
      </w:r>
      <w:r>
        <w:rPr>
          <w:rStyle w:val="apple-tab-span"/>
          <w:color w:val="000000"/>
        </w:rPr>
        <w:t xml:space="preserve"> pain catastrophizing, including the Anterior Cingulate Cortex</w:t>
      </w:r>
      <w:r w:rsidR="00A84B9B">
        <w:rPr>
          <w:rStyle w:val="apple-tab-span"/>
          <w:color w:val="000000"/>
        </w:rPr>
        <w:t xml:space="preserve"> </w:t>
      </w:r>
      <w:r w:rsidR="00A84B9B">
        <w:rPr>
          <w:rStyle w:val="apple-tab-span"/>
          <w:color w:val="000000"/>
        </w:rPr>
        <w:fldChar w:fldCharType="begin"/>
      </w:r>
      <w:r w:rsidR="00A84B9B">
        <w:rPr>
          <w:rStyle w:val="apple-tab-span"/>
          <w:color w:val="000000"/>
        </w:rPr>
        <w:instrText xml:space="preserve"> ADDIN ZOTERO_ITEM CSL_CITATION {"citationID":"aV79ydMi","properties":{"formattedCitation":"(Galambos et al., 2019)","plainCitation":"(Galambos et al., 2019)","noteIndex":0},"citationItems":[{"id":5166,"uris":["http://zotero.org/users/3430614/items/HAQ2IHSU"],"itemData":{"id":5166,"type":"article-journal","container-title":"Journal of Pain Research","ISSN":"1178-7090","journalAbbreviation":"Journal of Pain Research","note":"publisher: Taylor &amp; Francis","page":"1155-1178","title":"A systematic review of structural and functional MRI studies on pain catastrophizing","author":[{"family":"Galambos","given":"Attila"},{"family":"Szabó","given":"Edina"},{"family":"Nagy","given":"Zita"},{"family":"Édes","given":"Andrea Edit"},{"family":"Kocsel","given":"Natália"},{"family":"Juhász","given":"Gabriella"},{"family":"Kökönyei","given":"Gyöngyi"}],"issued":{"date-parts":[["2019"]]}}}],"schema":"https://github.com/citation-style-language/schema/raw/master/csl-citation.json"} </w:instrText>
      </w:r>
      <w:r w:rsidR="00A84B9B">
        <w:rPr>
          <w:rStyle w:val="apple-tab-span"/>
          <w:color w:val="000000"/>
        </w:rPr>
        <w:fldChar w:fldCharType="separate"/>
      </w:r>
      <w:r w:rsidR="00A84B9B">
        <w:rPr>
          <w:rStyle w:val="apple-tab-span"/>
          <w:noProof/>
          <w:color w:val="000000"/>
        </w:rPr>
        <w:t>(</w:t>
      </w:r>
      <w:r w:rsidR="00BC67D8">
        <w:rPr>
          <w:rStyle w:val="apple-tab-span"/>
          <w:noProof/>
          <w:color w:val="000000"/>
        </w:rPr>
        <w:t xml:space="preserve">ACC; </w:t>
      </w:r>
      <w:r w:rsidR="00A84B9B">
        <w:rPr>
          <w:rStyle w:val="apple-tab-span"/>
          <w:noProof/>
          <w:color w:val="000000"/>
        </w:rPr>
        <w:t>Galambos et al., 2019</w:t>
      </w:r>
      <w:r w:rsidR="002E7B7A">
        <w:rPr>
          <w:rStyle w:val="apple-tab-span"/>
          <w:noProof/>
          <w:color w:val="000000"/>
        </w:rPr>
        <w:t>; Gracely et al., 2004</w:t>
      </w:r>
      <w:r w:rsidR="00A84B9B">
        <w:rPr>
          <w:rStyle w:val="apple-tab-span"/>
          <w:noProof/>
          <w:color w:val="000000"/>
        </w:rPr>
        <w:t>)</w:t>
      </w:r>
      <w:r w:rsidR="00A84B9B">
        <w:rPr>
          <w:rStyle w:val="apple-tab-span"/>
          <w:color w:val="000000"/>
        </w:rPr>
        <w:fldChar w:fldCharType="end"/>
      </w:r>
      <w:r>
        <w:rPr>
          <w:rStyle w:val="apple-tab-span"/>
          <w:color w:val="000000"/>
        </w:rPr>
        <w:t xml:space="preserve">, </w:t>
      </w:r>
      <w:r w:rsidR="00A84B9B">
        <w:rPr>
          <w:rStyle w:val="apple-tab-span"/>
          <w:color w:val="000000"/>
        </w:rPr>
        <w:t xml:space="preserve">the Dorsolateral </w:t>
      </w:r>
      <w:r w:rsidR="005F3E60">
        <w:rPr>
          <w:rStyle w:val="apple-tab-span"/>
          <w:color w:val="000000"/>
        </w:rPr>
        <w:t xml:space="preserve">(DLPF) </w:t>
      </w:r>
      <w:r w:rsidR="00A84B9B">
        <w:rPr>
          <w:rStyle w:val="apple-tab-span"/>
          <w:color w:val="000000"/>
        </w:rPr>
        <w:t>and Ventromedial Prefrontal Cortices</w:t>
      </w:r>
      <w:r w:rsidR="00BC67D8">
        <w:rPr>
          <w:rStyle w:val="apple-tab-span"/>
          <w:color w:val="000000"/>
        </w:rPr>
        <w:t xml:space="preserve">  </w:t>
      </w:r>
      <w:r w:rsidR="00BC67D8">
        <w:rPr>
          <w:rStyle w:val="apple-tab-span"/>
          <w:color w:val="000000"/>
        </w:rPr>
        <w:fldChar w:fldCharType="begin"/>
      </w:r>
      <w:r w:rsidR="002E7B7A">
        <w:rPr>
          <w:rStyle w:val="apple-tab-span"/>
          <w:color w:val="000000"/>
        </w:rPr>
        <w:instrText xml:space="preserve"> ADDIN ZOTERO_ITEM CSL_CITATION {"citationID":"UDxjHSoV","properties":{"formattedCitation":"(Blankstein et al., 2010; Galambos et al., 2019; Gracely et al., 2004)","plainCitation":"(Blankstein et al., 2010; Galambos et al., 2019; Gracely et al., 2004)","noteIndex":0},"citationItems":[{"id":5169,"uris":["http://zotero.org/users/3430614/items/9DNCA8FD"],"itemData":{"id":5169,"type":"article-journal","abstract":"Background &amp; Aims\nBrain imaging studies have identified abnormal rectal-evoked responses and cortical thinning in patients with irritable bowel syndrome (IBS). However, it is not known whether these abnormalities are pre-existing or develop as result of long-term IBS. Therefore, we tested whether abnormal structural gray matter integrity in IBS correlates with individual disease symptoms, duration of the IBS, or the personality characteristic of pain catastrophizing.\nMethods\nEleven IBS patients and 16 age-matched healthy subjects underwent structural magnetic resonance imaging. Voxel-based morphometry and cortical thickness analysis were used to identify abnormalities in subcortical and cortical regions, respectively, and their correlation to individual characteristics.\nResults\nThe IBS group showed increased hypothalamic gray matter and cortical thinning in the anterior midcingulate cortex compared with controls, a strong negative correlation between dorsolateral prefrontal cortex thickness and pain catastrophizing, and a positive correlation between anterior insula thickness and pain duration. In the insula, there was cortical thinning in patients with short-term IBS, but long-term IBS pain was associated with a more normal insula thickness.\nConclusions\nOur findings provide new insight into IBS and chronic pain through evidence for structural changes that could fit with functional abnormalities. We report that patients with IBS have increased hypothalamic gray matter, which may be related to the association among IBS, stress, and the hypothalamic-pituitary-adrenal axis. Furthermore, we have identified some supraspinal abnormalities that may be pre-existing and contribute to vulnerability, and others that may develop over time, possibly because of chronic abnormal inputs.","container-title":"Gastroenterology","DOI":"10.1053/j.gastro.2009.12.043","ISSN":"0016-5085","issue":"5","journalAbbreviation":"Gastroenterology","page":"1783-1789","source":"ScienceDirect","title":"Altered Brain Structure in Irritable Bowel Syndrome: Potential Contributions of Pre-Existing and Disease-Driven Factors","title-short":"Altered Brain Structure in Irritable Bowel Syndrome","volume":"138","author":[{"family":"Blankstein","given":"Udi"},{"family":"Chen","given":"Jerry"},{"family":"Diamant","given":"Nicholas E."},{"family":"Davis","given":"Karen D."}],"issued":{"date-parts":[["2010",5,1]]}}},{"id":5166,"uris":["http://zotero.org/users/3430614/items/HAQ2IHSU"],"itemData":{"id":5166,"type":"article-journal","container-title":"Journal of Pain Research","ISSN":"1178-7090","journalAbbreviation":"Journal of Pain Research","note":"publisher: Taylor &amp; Francis","page":"1155-1178","title":"A systematic review of structural and functional MRI studies on pain catastrophizing","author":[{"family":"Galambos","given":"Attila"},{"family":"Szabó","given":"Edina"},{"family":"Nagy","given":"Zita"},{"family":"Édes","given":"Andrea Edit"},{"family":"Kocsel","given":"Natália"},{"family":"Juhász","given":"Gabriella"},{"family":"Kökönyei","given":"Gyöngyi"}],"issued":{"date-parts":[["2019"]]}}},{"id":5121,"uris":["http://zotero.org/users/3430614/items/Q8R2U2DF"],"itemData":{"id":5121,"type":"article-journal","abstract":"Pain catastrophizing, or characterizations of pain as awful, horrible and unbearable, is increasingly being recognized as an important factor in the experience of pain. The purpose of this investigation was to examine the association between catastrophizing, as measured by the Coping Strategies Questionnaire Catastrophizing Subscale, and brain responses to blunt pressure assessed by functional MRI among 29 subjects with fibromyalgia. Since catastrophizing has been suggested to augment pain perception through enhanced attention to painful stimuli, and heightened emotional responses to pain, we hypothesized that catastrophizing would be positively associated with activation in structures believed to be involved in these aspects of pain processing. As catastrophizing is also strongly associated with depression, the influence of depressive symptomatology was statistically removed. Residual scores of catastrophizing controlling for depressive symptomatology were significantly associated with increased activity in the ipsilateral claustrum (r = 0.51, P &amp;lt; 0.05), cerebellum (r = 0.43, P &amp;lt; 0.05), dorsolateral prefrontal cortex (r = 0.47, P &amp;lt; 0.05), and parietal cortex (r = 0.41, P &amp;lt; 0.05), and in the contralateral dorsal anterior cingulate gyrus (ACC; r = 0.43, P &amp;lt; 0.05), dorsolateral prefrontal cortex (r = 0.41, P &amp;lt; 0.05), medial frontal cortex (r = 0.40, P &amp;lt; 0.05) and lentiform nuclei (r = 0.40, P &amp;lt; 0.05). Analysis of subjects classified as high or low catastrophizers, based on a median split of residual catastrophizing scores, showed that both groups displayed significant increases in ipsilateral secondary somatosensory cortex (SII), although the magnitude of activation was twice as large among high catastrophizers. Both groups also had significant activations in contralateral insula, SII, primary somatosensory cortex (SI), inferior parietal lobule and thalamus. High catastrophizers displayed unique activation in the contralateral anterior ACC, and the contralateral and ipsilateral lentiform. Both groups also displayed significant ipsilateral activation in SI, anterior and posterior cerebellum, posterior cingulate gyrus, and superior and inferior frontal gyrus. These findings suggest that pain catastrophizing, independent of the influence of depression, is significantly associated with increased activity in brain areas related to anticipation of pain (medial frontal cortex, cerebellum), attention to pain (dorsal ACC, dorsolateral prefrontal cortex), emotional aspects of pain (claustrum, closely connected to amygdala) and motor control. These results support the hypothesis that catastrophizing influences pain perception through altering attention and anticipation, and heightening emotional responses to pain. Activation associated with catastrophizing in motor areas of the brain may reflect expressive responses to pain that are associated with greater pain catastrophizing.","container-title":"Brain","DOI":"10.1093/brain/awh098","ISSN":"0006-8950","issue":"4","journalAbbreviation":"Brain","page":"835-843","source":"Silverchair","title":"Pain catastrophizing and neural responses to pain among persons with fibromyalgia","volume":"127","author":[{"family":"Gracely","given":"R. H."},{"family":"Geisser","given":"M. E."},{"family":"Grant","given":"M. A. B."},{"family":"Petzke","given":"F."},{"family":"Williams","given":"D. A."},{"family":"Clauw","given":"D. J."}],"issued":{"date-parts":[["2004",4,1]]}}}],"schema":"https://github.com/citation-style-language/schema/raw/master/csl-citation.json"} </w:instrText>
      </w:r>
      <w:r w:rsidR="00BC67D8">
        <w:rPr>
          <w:rStyle w:val="apple-tab-span"/>
          <w:color w:val="000000"/>
        </w:rPr>
        <w:fldChar w:fldCharType="separate"/>
      </w:r>
      <w:r w:rsidR="002E7B7A">
        <w:rPr>
          <w:rStyle w:val="apple-tab-span"/>
          <w:noProof/>
          <w:color w:val="000000"/>
        </w:rPr>
        <w:t>(</w:t>
      </w:r>
      <w:r w:rsidR="005F3E60">
        <w:rPr>
          <w:rStyle w:val="apple-tab-span"/>
          <w:noProof/>
          <w:color w:val="000000"/>
        </w:rPr>
        <w:t xml:space="preserve">MPF; </w:t>
      </w:r>
      <w:r w:rsidR="002E7B7A">
        <w:rPr>
          <w:rStyle w:val="apple-tab-span"/>
          <w:noProof/>
          <w:color w:val="000000"/>
        </w:rPr>
        <w:t>Blankstein et al., 2010; Galambos et al., 2019; Gracely et al., 2004; Seminowicz &amp; Davis, 2006)</w:t>
      </w:r>
      <w:r w:rsidR="00BC67D8">
        <w:rPr>
          <w:rStyle w:val="apple-tab-span"/>
          <w:color w:val="000000"/>
        </w:rPr>
        <w:fldChar w:fldCharType="end"/>
      </w:r>
      <w:r w:rsidR="00A84B9B">
        <w:rPr>
          <w:rStyle w:val="apple-tab-span"/>
          <w:color w:val="000000"/>
        </w:rPr>
        <w:t xml:space="preserve">, </w:t>
      </w:r>
      <w:r w:rsidR="00FA1413">
        <w:rPr>
          <w:rStyle w:val="apple-tab-span"/>
          <w:color w:val="000000"/>
        </w:rPr>
        <w:t xml:space="preserve">and the </w:t>
      </w:r>
      <w:r w:rsidR="002E7B7A">
        <w:rPr>
          <w:rStyle w:val="apple-tab-span"/>
          <w:color w:val="000000"/>
        </w:rPr>
        <w:t xml:space="preserve">premotor cortex </w:t>
      </w:r>
      <w:r w:rsidR="002E7B7A">
        <w:rPr>
          <w:rStyle w:val="apple-tab-span"/>
          <w:color w:val="000000"/>
        </w:rPr>
        <w:fldChar w:fldCharType="begin"/>
      </w:r>
      <w:r w:rsidR="002E7B7A">
        <w:rPr>
          <w:rStyle w:val="apple-tab-span"/>
          <w:color w:val="000000"/>
        </w:rPr>
        <w:instrText xml:space="preserve"> ADDIN ZOTERO_ITEM CSL_CITATION {"citationID":"T4BFG3xk","properties":{"formattedCitation":"(Seminowicz &amp; Davis, 2006)","plainCitation":"(Seminowicz &amp; Davis, 2006)","noteIndex":0},"citationItems":[{"id":5171,"uris":["http://zotero.org/users/3430614/items/VQE7K7LD"],"itemData":{"id":5171,"type":"article-journal","abstract":"The personal experience of pain is complex and depends on physiological and psychological factors. From this latter category, pain catastrophizing plays an important role in pain behavior and response. We aimed to determine the effect of pain catastrophizing on central nociceptive processing in healthy individuals. Functional MRI was performed during two pain intensity levels evoked by electrical median nerve stimulation in 22 healthy individuals. Pain catastrophizing scores were determined for all subjects. Pain catastrophizing was not related to activity in regions associated with sensory-discriminative aspects of pain, such as the primary or secondary somatosensory cortex. Instead, during mild pain, there was a relationship between catastrophizing and activity in cortical regions associated with affective, attention, and motor aspects of pain, including dorsolateral prefrontal, insula, rostral anterior cingulate, premotor, and parietal cortices. During more intense pain, prefrontal cortical regions implicated in the top-down modulation of pain were negatively correlated with catastrophizing. These findings can be viewed from the framework of an attention model of pain catastrophizing, whereby a cortical vigilance network is engaged during mild pain, but diminished prefrontal cortical modulation impedes disengaging from and suppressing pain during more intense pain. These findings may also implicate catastrophizing in the progression to or persistence of chronic pain.","container-title":"Pain","DOI":"10.1016/j.pain.2005.11.008","ISSN":"0304-3959","issue":"3","journalAbbreviation":"Pain","page":"297-306","source":"ScienceDirect","title":"Cortical responses to pain in healthy individuals depends on pain catastrophizing","volume":"120","author":[{"family":"Seminowicz","given":"David A."},{"family":"Davis","given":"Karen D."}],"issued":{"date-parts":[["2006",2,1]]}}}],"schema":"https://github.com/citation-style-language/schema/raw/master/csl-citation.json"} </w:instrText>
      </w:r>
      <w:r w:rsidR="002E7B7A">
        <w:rPr>
          <w:rStyle w:val="apple-tab-span"/>
          <w:color w:val="000000"/>
        </w:rPr>
        <w:fldChar w:fldCharType="separate"/>
      </w:r>
      <w:r w:rsidR="002E7B7A">
        <w:rPr>
          <w:rStyle w:val="apple-tab-span"/>
          <w:noProof/>
          <w:color w:val="000000"/>
        </w:rPr>
        <w:t>(Seminowicz &amp; Davis, 2006)</w:t>
      </w:r>
      <w:r w:rsidR="002E7B7A">
        <w:rPr>
          <w:rStyle w:val="apple-tab-span"/>
          <w:color w:val="000000"/>
        </w:rPr>
        <w:fldChar w:fldCharType="end"/>
      </w:r>
      <w:r w:rsidR="00FA1413">
        <w:rPr>
          <w:rStyle w:val="apple-tab-span"/>
          <w:color w:val="000000"/>
        </w:rPr>
        <w:t xml:space="preserve">. </w:t>
      </w:r>
      <w:r w:rsidR="006D1378">
        <w:rPr>
          <w:rStyle w:val="apple-tab-span"/>
          <w:color w:val="000000"/>
        </w:rPr>
        <w:t>I</w:t>
      </w:r>
      <w:r w:rsidR="0060735C">
        <w:rPr>
          <w:rStyle w:val="apple-tab-span"/>
          <w:color w:val="000000"/>
        </w:rPr>
        <w:t>mportantly</w:t>
      </w:r>
      <w:r w:rsidR="007124C4">
        <w:rPr>
          <w:rStyle w:val="apple-tab-span"/>
          <w:color w:val="000000"/>
        </w:rPr>
        <w:t xml:space="preserve">, the </w:t>
      </w:r>
      <w:r w:rsidR="0087218D">
        <w:rPr>
          <w:rStyle w:val="apple-tab-span"/>
          <w:color w:val="000000"/>
        </w:rPr>
        <w:t xml:space="preserve">neural pathways </w:t>
      </w:r>
      <w:r w:rsidR="007124C4">
        <w:rPr>
          <w:rStyle w:val="apple-tab-span"/>
          <w:color w:val="000000"/>
        </w:rPr>
        <w:t>typically associated with pain catastrophizing are not those primarily involved with discriminatory or sensory components of pain (i.e. the primary or secondary somatosensory cortex)</w:t>
      </w:r>
      <w:r w:rsidR="00E93A43">
        <w:rPr>
          <w:rStyle w:val="apple-tab-span"/>
          <w:color w:val="000000"/>
        </w:rPr>
        <w:t xml:space="preserve">. Rather, pain catastrophizing is </w:t>
      </w:r>
      <w:proofErr w:type="gramStart"/>
      <w:r w:rsidR="00E93A43">
        <w:rPr>
          <w:rStyle w:val="apple-tab-span"/>
          <w:color w:val="000000"/>
        </w:rPr>
        <w:t>most commonly related</w:t>
      </w:r>
      <w:proofErr w:type="gramEnd"/>
      <w:r w:rsidR="00E93A43">
        <w:rPr>
          <w:rStyle w:val="apple-tab-span"/>
          <w:color w:val="000000"/>
        </w:rPr>
        <w:t xml:space="preserve"> to deviations in neural activity in areas considered to be responsible for modulating affective, cognitive, and motor responses to pain. </w:t>
      </w:r>
    </w:p>
    <w:p w14:paraId="3819F5EB" w14:textId="455A055A" w:rsidR="00E93A43" w:rsidRDefault="007E21C9" w:rsidP="0060735C">
      <w:pPr>
        <w:pStyle w:val="NormalWeb"/>
        <w:spacing w:before="0" w:beforeAutospacing="0" w:after="0" w:afterAutospacing="0" w:line="480" w:lineRule="auto"/>
        <w:ind w:firstLine="720"/>
        <w:rPr>
          <w:rStyle w:val="apple-tab-span"/>
          <w:color w:val="000000"/>
        </w:rPr>
      </w:pPr>
      <w:r>
        <w:rPr>
          <w:rStyle w:val="apple-tab-span"/>
          <w:color w:val="000000"/>
        </w:rPr>
        <w:lastRenderedPageBreak/>
        <w:t>For example, t</w:t>
      </w:r>
      <w:r w:rsidR="00E93A43">
        <w:rPr>
          <w:rStyle w:val="apple-tab-span"/>
          <w:color w:val="000000"/>
        </w:rPr>
        <w:t>he ACC, known for its role in modulating pain responses</w:t>
      </w:r>
      <w:r w:rsidR="005F3E60">
        <w:rPr>
          <w:rStyle w:val="apple-tab-span"/>
          <w:color w:val="000000"/>
        </w:rPr>
        <w:t xml:space="preserve"> and</w:t>
      </w:r>
      <w:r w:rsidR="00E93A43">
        <w:rPr>
          <w:rStyle w:val="apple-tab-span"/>
          <w:color w:val="000000"/>
        </w:rPr>
        <w:t xml:space="preserve"> association with emotional processing, has been demonstrated to be </w:t>
      </w:r>
      <w:r w:rsidR="00C825E2">
        <w:rPr>
          <w:rStyle w:val="apple-tab-span"/>
          <w:color w:val="000000"/>
        </w:rPr>
        <w:t xml:space="preserve">hyperactive in individuals reporting high levels of pain catastrophizing (Galambos et al., 2019). </w:t>
      </w:r>
      <w:r>
        <w:rPr>
          <w:rStyle w:val="apple-tab-span"/>
          <w:color w:val="000000"/>
        </w:rPr>
        <w:t xml:space="preserve">Given the importance of the ACC to both directing attention </w:t>
      </w:r>
      <w:r>
        <w:rPr>
          <w:rStyle w:val="apple-tab-span"/>
          <w:color w:val="000000"/>
        </w:rPr>
        <w:fldChar w:fldCharType="begin"/>
      </w:r>
      <w:r>
        <w:rPr>
          <w:rStyle w:val="apple-tab-span"/>
          <w:color w:val="000000"/>
        </w:rPr>
        <w:instrText xml:space="preserve"> ADDIN ZOTERO_ITEM CSL_CITATION {"citationID":"6xJtHbyL","properties":{"formattedCitation":"(Bryden et al., 2011; Luks et al., 2002)","plainCitation":"(Bryden et al., 2011; Luks et al., 2002)","noteIndex":0},"citationItems":[{"id":5184,"uris":["http://zotero.org/users/3430614/items/RFX6WKS7"],"itemData":{"id":5184,"type":"article-journal","abstract":"Learning theory suggests that animals attend to pertinent environmental cues when reward contingencies unexpectedly change so that learning can occur. We have previously shown that activity in basolateral nucleus of amygdala (ABL) responds to unexpected changes in reward value, consistent with unsigned prediction error signals theorized by Pearce and Hall. However, changes in activity were present only at the time of unexpected reward delivery, not during the time when the animal needed to attend to conditioned stimuli that would come to predict the reward. This suggested that a different brain area must be signaling the need for attention necessary for learning. One likely candidate to fulfill this role is the anterior cingulate cortex (ACC). To test this hypothesis, we recorded from single neurons in ACC as rats performed the same behavioral task that we have used to dissociate signed from unsigned prediction errors in dopamine and ABL neurons. In this task, rats chose between two fluid wells that produced varying magnitudes of and delays to reward. Consistent with previous work, we found that ACC detected errors of commission and reward prediction errors. We also found that activity during cue sampling encoded reward size, but not expected delay to reward. Finally, activity in ACC was elevated during trials in which attention was increased following unexpected upshifts and downshifts in value. We conclude that ACC not only signals errors in reward prediction, as previously reported, but also signals the need for enhanced neural resources during learning on trials subsequent to those errors.","container-title":"The Journal of Neuroscience: The Official Journal of the Society for Neuroscience","DOI":"10.1523/JNEUROSCI.4715-11.2011","ISSN":"1529-2401","issue":"50","journalAbbreviation":"J Neurosci","language":"eng","note":"PMID: 22171031\nPMCID: PMC3285822","page":"18266-18274","source":"PubMed","title":"Attention for learning signals in anterior cingulate cortex","volume":"31","author":[{"family":"Bryden","given":"Daniel W."},{"family":"Johnson","given":"Emily E."},{"family":"Tobia","given":"Steven C."},{"family":"Kashtelyan","given":"Vadim"},{"family":"Roesch","given":"Matthew R."}],"issued":{"date-parts":[["2011",12,14]]}}},{"id":5182,"uris":["http://zotero.org/users/3430614/items/2KA4TGJE"],"itemData":{"id":5182,"type":"article-journal","abstract":"An important cognitive function underlying unified, voluntary behavior is attentional control. Two frontal regions, anterior cingulate cortex (ACC) and dorsolateral prefrontal cortex (DLPFC), appear to be particularly involved in attentional control and monitoring. In this study, we investigated whether ACC is involved in monitoring the preparatory allocation of attention during task switching, or whether ACC is active only when subjects are processing target stimuli and selecting a response, via a cued-attention design. Event-related BOLD fMRI activity was examined using a cue-target paradigm in which subjects performed task switches that selectively required reallocation of attention when tasks changed. There were three cue conditions: informative switch, informative repeat, and neutral. There were four target conditions: informatively cued switch, informatively cued repeat, neutrally cued switch, and neutrally cued repeat. Significant ACC activity was observed following both informative switch and informative repeat cues, but not after neutral cues. No significant ACC activity was observed following any of the target conditions. Significant DLPFC activity was observed following all three cue conditions and following neutrally cued switch targets. Overall, our results suggest that ACC is involved in monitoring the preparatory allocation of attention for conflict at the level of activation of competing attentional sets. The results also support the role of DLPFC in holding cognitive goals in working memory and allocating attention to the appropriate processing systems to meet those goals.","container-title":"NeuroImage","ISSN":"1053-8119","issue":"2","journalAbbreviation":"Neuroimage","language":"eng","note":"PMID: 12377154","page":"792-802","source":"PubMed","title":"Evidence for anterior cingulate cortex involvement in monitoring preparatory attentional set","volume":"17","author":[{"family":"Luks","given":"Tracy L."},{"family":"Simpson","given":"Gregory V."},{"family":"Feiwell","given":"Robert J."},{"family":"Miller","given":"William L."}],"issued":{"date-parts":[["2002",10]]}}}],"schema":"https://github.com/citation-style-language/schema/raw/master/csl-citation.json"} </w:instrText>
      </w:r>
      <w:r>
        <w:rPr>
          <w:rStyle w:val="apple-tab-span"/>
          <w:color w:val="000000"/>
        </w:rPr>
        <w:fldChar w:fldCharType="separate"/>
      </w:r>
      <w:r>
        <w:rPr>
          <w:rStyle w:val="apple-tab-span"/>
          <w:noProof/>
          <w:color w:val="000000"/>
        </w:rPr>
        <w:t>(Bryden et al., 2011; Luks et al., 2002)</w:t>
      </w:r>
      <w:r>
        <w:rPr>
          <w:rStyle w:val="apple-tab-span"/>
          <w:color w:val="000000"/>
        </w:rPr>
        <w:fldChar w:fldCharType="end"/>
      </w:r>
      <w:r>
        <w:rPr>
          <w:rStyle w:val="apple-tab-span"/>
          <w:color w:val="000000"/>
        </w:rPr>
        <w:t xml:space="preserve"> and to the processing pain </w:t>
      </w:r>
      <w:r>
        <w:rPr>
          <w:rStyle w:val="apple-tab-span"/>
          <w:color w:val="000000"/>
        </w:rPr>
        <w:fldChar w:fldCharType="begin"/>
      </w:r>
      <w:r>
        <w:rPr>
          <w:rStyle w:val="apple-tab-span"/>
          <w:color w:val="000000"/>
        </w:rPr>
        <w:instrText xml:space="preserve"> ADDIN ZOTERO_ITEM CSL_CITATION {"citationID":"7SMu4CmE","properties":{"formattedCitation":"(Rainville et al., 1997)","plainCitation":"(Rainville et al., 1997)","noteIndex":0},"citationItems":[{"id":5187,"uris":["http://zotero.org/users/3430614/items/TX6G4JB2"],"itemData":{"id":5187,"type":"article-journal","abstract":"Recent evidence demonstrating multiple regions of human cerebral cortex activated by pain has prompted speculation about their individual contributions to this complex experience. To differentiate cortical areas involved in pain affect, hypnotic suggestions were used to alter selectively the unpleasantness of noxious stimuli, without changing the perceived intensity. Positron emission tomography revealed significant changes in pain-evoked activity within anterior cingulate cortex, consistent with the encoding of perceived unpleasantness, whereas primary somatosensory cortex activation was unaltered. These findings provide direct experimental evidence in humans linking frontal-lobe limbic activity with pain affect, as originally suggested by early clinical lesion studies.","container-title":"Science (New York, N.Y.)","DOI":"10.1126/science.277.5328.968","ISSN":"0036-8075","issue":"5328","journalAbbreviation":"Science","language":"eng","note":"PMID: 9252330","page":"968-971","source":"PubMed","title":"Pain affect encoded in human anterior cingulate but not somatosensory cortex","volume":"277","author":[{"family":"Rainville","given":"P."},{"family":"Duncan","given":"G. H."},{"family":"Price","given":"D. D."},{"family":"Carrier","given":"B."},{"family":"Bushnell","given":"M. C."}],"issued":{"date-parts":[["1997",8,15]]}}}],"schema":"https://github.com/citation-style-language/schema/raw/master/csl-citation.json"} </w:instrText>
      </w:r>
      <w:r>
        <w:rPr>
          <w:rStyle w:val="apple-tab-span"/>
          <w:color w:val="000000"/>
        </w:rPr>
        <w:fldChar w:fldCharType="separate"/>
      </w:r>
      <w:r>
        <w:rPr>
          <w:rStyle w:val="apple-tab-span"/>
          <w:noProof/>
          <w:color w:val="000000"/>
        </w:rPr>
        <w:t>(Rainville et al., 1997)</w:t>
      </w:r>
      <w:r>
        <w:rPr>
          <w:rStyle w:val="apple-tab-span"/>
          <w:color w:val="000000"/>
        </w:rPr>
        <w:fldChar w:fldCharType="end"/>
      </w:r>
      <w:r>
        <w:rPr>
          <w:rStyle w:val="apple-tab-span"/>
          <w:color w:val="000000"/>
        </w:rPr>
        <w:t xml:space="preserve">, </w:t>
      </w:r>
      <w:r w:rsidR="005F3E60">
        <w:rPr>
          <w:rStyle w:val="apple-tab-span"/>
          <w:color w:val="000000"/>
        </w:rPr>
        <w:t>hyperactivity in this area helps to explain the difficulty individuals high in pain catastrophizing have with disengaging with painful stimuli.</w:t>
      </w:r>
      <w:r>
        <w:rPr>
          <w:rStyle w:val="apple-tab-span"/>
          <w:color w:val="000000"/>
        </w:rPr>
        <w:t xml:space="preserve"> </w:t>
      </w:r>
      <w:r w:rsidR="005F3E60">
        <w:rPr>
          <w:rStyle w:val="apple-tab-span"/>
          <w:color w:val="000000"/>
        </w:rPr>
        <w:t>Although not a specific target of investigation, ACC hyperactivity</w:t>
      </w:r>
      <w:r w:rsidR="00C825E2">
        <w:rPr>
          <w:rStyle w:val="apple-tab-span"/>
          <w:color w:val="000000"/>
        </w:rPr>
        <w:t xml:space="preserve"> is in line with </w:t>
      </w:r>
      <w:r w:rsidR="00C825E2">
        <w:rPr>
          <w:rStyle w:val="apple-tab-span"/>
          <w:color w:val="000000"/>
        </w:rPr>
        <w:fldChar w:fldCharType="begin"/>
      </w:r>
      <w:r w:rsidR="00C825E2">
        <w:rPr>
          <w:rStyle w:val="apple-tab-span"/>
          <w:color w:val="000000"/>
        </w:rPr>
        <w:instrText xml:space="preserve"> ADDIN ZOTERO_ITEM CSL_CITATION {"citationID":"LSGmKMkQ","properties":{"formattedCitation":"(Cooke et al., 2023)","plainCitation":"(Cooke et al., 2023)","noteIndex":0},"citationItems":[{"id":4806,"uris":["http://zotero.org/users/3430614/items/LG3IU4E4"],"itemData":{"id":4806,"type":"article-journal","abstract":"Introduction\nPain catastrophizing, a measure of an individual's negative emotional and cognitive appraisals of pain, has been included as a key treatment target in many psychological interventions for pain. However, the neural correlates of pain catastrophizing have been understudied. Prior neuroimaging evidence suggests that adults with pain show altered reward processing throughout the mesocorticolimbic reward circuitry.\n\nMethods\nIn this study, we tested the association between Pain Catastrophizing Scale (PCS) scores and neural activation to the Monetary Incentive Delay (MID) reward neuroimaging task in 94 adults reporting a range of pain, insomnia, and mood symptoms.\n\nResults\nResults indicated that PCS score but not pain intensity was significantly associated with blunted activation in the caudate and putamen in response to feedback of successful vs. unsuccessful trials on the MID task. Mediation analyses indicated that PCS score fully mediated the relationship between depression symptoms and reward activation.\n\nDiscussion\nThese findings provide evidence that pain catastrophizing is independently associated with altered striatal function apart from depression symptoms and pain intensity. Thus, in individuals experiencing pain and/or co- morbid conditions, reward dysfunction is directly related to pain catastrophizing.","container-title":"Frontiers in Pain Research","DOI":"10.3389/fpain.2023.1129353","ISSN":"2673-561X","journalAbbreviation":"Front Pain Res (Lausanne)","note":"PMID: 37745802\nPMCID: PMC10512714","page":"1129353","source":"PubMed Central","title":"Pain catastrophizing is associated with reduced neural response to monetary reward","volume":"4","author":[{"family":"Cooke","given":"Megan E."},{"family":"Edwards","given":"Robert R."},{"family":"Wheeler","given":"Grace L."},{"family":"Schmitt","given":"William A."},{"family":"Nielsen","given":"Lindsay V."},{"family":"Streck","given":"Joanna M."},{"family":"Schuster","given":"Randi M."},{"family":"Potter","given":"Kevin"},{"family":"Evins","given":"A. Eden"},{"family":"Gilman","given":"Jodi M."}],"issued":{"date-parts":[["2023",9,7]]}}}],"schema":"https://github.com/citation-style-language/schema/raw/master/csl-citation.json"} </w:instrText>
      </w:r>
      <w:r w:rsidR="00C825E2">
        <w:rPr>
          <w:rStyle w:val="apple-tab-span"/>
          <w:color w:val="000000"/>
        </w:rPr>
        <w:fldChar w:fldCharType="separate"/>
      </w:r>
      <w:r w:rsidR="00C825E2">
        <w:rPr>
          <w:rStyle w:val="apple-tab-span"/>
          <w:noProof/>
          <w:color w:val="000000"/>
        </w:rPr>
        <w:t>Cooke and colleagues</w:t>
      </w:r>
      <w:r w:rsidR="005F3E60">
        <w:rPr>
          <w:rStyle w:val="apple-tab-span"/>
          <w:noProof/>
          <w:color w:val="000000"/>
        </w:rPr>
        <w:t>'</w:t>
      </w:r>
      <w:r w:rsidR="00C825E2">
        <w:rPr>
          <w:rStyle w:val="apple-tab-span"/>
          <w:noProof/>
          <w:color w:val="000000"/>
        </w:rPr>
        <w:t xml:space="preserve"> (2023)</w:t>
      </w:r>
      <w:r w:rsidR="00C825E2">
        <w:rPr>
          <w:rStyle w:val="apple-tab-span"/>
          <w:color w:val="000000"/>
        </w:rPr>
        <w:fldChar w:fldCharType="end"/>
      </w:r>
      <w:r w:rsidR="00C825E2">
        <w:rPr>
          <w:rStyle w:val="apple-tab-span"/>
          <w:color w:val="000000"/>
        </w:rPr>
        <w:t xml:space="preserve"> </w:t>
      </w:r>
      <w:r w:rsidR="005F3E60">
        <w:rPr>
          <w:rStyle w:val="apple-tab-span"/>
          <w:color w:val="000000"/>
        </w:rPr>
        <w:t xml:space="preserve">findings related to </w:t>
      </w:r>
      <w:r w:rsidR="00C825E2">
        <w:rPr>
          <w:rStyle w:val="apple-tab-span"/>
          <w:color w:val="000000"/>
        </w:rPr>
        <w:t xml:space="preserve">the relationship between reward processing and pain catastrophizing; while this investigation was conducted completely in the absence of priming or manipulating pain and specifically noted alterations in striatal activation, the ACC is also associated with reward processing, thus providing additional evidence that brain areas </w:t>
      </w:r>
      <w:r>
        <w:rPr>
          <w:rStyle w:val="apple-tab-span"/>
          <w:color w:val="000000"/>
        </w:rPr>
        <w:t>involved in affective and cognitive responses</w:t>
      </w:r>
      <w:r w:rsidR="005F3E60">
        <w:rPr>
          <w:rStyle w:val="apple-tab-span"/>
          <w:color w:val="000000"/>
        </w:rPr>
        <w:t>, particularly those that might reward avoidance of stimuli that might be presumed to be painful,</w:t>
      </w:r>
      <w:r>
        <w:rPr>
          <w:rStyle w:val="apple-tab-span"/>
          <w:color w:val="000000"/>
        </w:rPr>
        <w:t xml:space="preserve"> may strongly influence behavior in those prone to catastrophizing. </w:t>
      </w:r>
    </w:p>
    <w:p w14:paraId="0B93A09A" w14:textId="49C4C189" w:rsidR="005F3E60" w:rsidRDefault="005F3E60" w:rsidP="0060735C">
      <w:pPr>
        <w:pStyle w:val="NormalWeb"/>
        <w:spacing w:before="0" w:beforeAutospacing="0" w:after="0" w:afterAutospacing="0" w:line="480" w:lineRule="auto"/>
        <w:ind w:firstLine="720"/>
        <w:rPr>
          <w:rStyle w:val="apple-tab-span"/>
          <w:color w:val="000000"/>
        </w:rPr>
      </w:pPr>
      <w:r>
        <w:rPr>
          <w:rStyle w:val="apple-tab-span"/>
          <w:color w:val="000000"/>
        </w:rPr>
        <w:t xml:space="preserve">Decreased activation in the DLPF </w:t>
      </w:r>
      <w:r w:rsidR="00FA1413">
        <w:rPr>
          <w:rStyle w:val="apple-tab-span"/>
          <w:color w:val="000000"/>
        </w:rPr>
        <w:t xml:space="preserve">and MFC </w:t>
      </w:r>
      <w:r>
        <w:rPr>
          <w:rStyle w:val="apple-tab-span"/>
          <w:color w:val="000000"/>
        </w:rPr>
        <w:t>in the presence of painful stimuli and reductions in DLPF grey matter are also associated with increased levels of pain catastrophizing</w:t>
      </w:r>
      <w:r w:rsidR="00B207E8">
        <w:rPr>
          <w:rStyle w:val="apple-tab-span"/>
          <w:color w:val="000000"/>
        </w:rPr>
        <w:t xml:space="preserve"> </w:t>
      </w:r>
      <w:r w:rsidR="00B207E8">
        <w:rPr>
          <w:rStyle w:val="apple-tab-span"/>
          <w:color w:val="000000"/>
        </w:rPr>
        <w:fldChar w:fldCharType="begin"/>
      </w:r>
      <w:r w:rsidR="00B5511E">
        <w:rPr>
          <w:rStyle w:val="apple-tab-span"/>
          <w:color w:val="000000"/>
        </w:rPr>
        <w:instrText xml:space="preserve"> ADDIN ZOTERO_ITEM CSL_CITATION {"citationID":"5FOzwVoz","properties":{"formattedCitation":"(Blankstein et al., 2010; Ong et al., 2019; Seminowicz &amp; Davis, 2006)","plainCitation":"(Blankstein et al., 2010; Ong et al., 2019; Seminowicz &amp; Davis, 2006)","noteIndex":0},"citationItems":[{"id":5169,"uris":["http://zotero.org/users/3430614/items/9DNCA8FD"],"itemData":{"id":5169,"type":"article-journal","abstract":"Background &amp; Aims\nBrain imaging studies have identified abnormal rectal-evoked responses and cortical thinning in patients with irritable bowel syndrome (IBS). However, it is not known whether these abnormalities are pre-existing or develop as result of long-term IBS. Therefore, we tested whether abnormal structural gray matter integrity in IBS correlates with individual disease symptoms, duration of the IBS, or the personality characteristic of pain catastrophizing.\nMethods\nEleven IBS patients and 16 age-matched healthy subjects underwent structural magnetic resonance imaging. Voxel-based morphometry and cortical thickness analysis were used to identify abnormalities in subcortical and cortical regions, respectively, and their correlation to individual characteristics.\nResults\nThe IBS group showed increased hypothalamic gray matter and cortical thinning in the anterior midcingulate cortex compared with controls, a strong negative correlation between dorsolateral prefrontal cortex thickness and pain catastrophizing, and a positive correlation between anterior insula thickness and pain duration. In the insula, there was cortical thinning in patients with short-term IBS, but long-term IBS pain was associated with a more normal insula thickness.\nConclusions\nOur findings provide new insight into IBS and chronic pain through evidence for structural changes that could fit with functional abnormalities. We report that patients with IBS have increased hypothalamic gray matter, which may be related to the association among IBS, stress, and the hypothalamic-pituitary-adrenal axis. Furthermore, we have identified some supraspinal abnormalities that may be pre-existing and contribute to vulnerability, and others that may develop over time, possibly because of chronic abnormal inputs.","container-title":"Gastroenterology","DOI":"10.1053/j.gastro.2009.12.043","ISSN":"0016-5085","issue":"5","journalAbbreviation":"Gastroenterology","page":"1783-1789","source":"ScienceDirect","title":"Altered Brain Structure in Irritable Bowel Syndrome: Potential Contributions of Pre-Existing and Disease-Driven Factors","title-short":"Altered Brain Structure in Irritable Bowel Syndrome","volume":"138","author":[{"family":"Blankstein","given":"Udi"},{"family":"Chen","given":"Jerry"},{"family":"Diamant","given":"Nicholas E."},{"family":"Davis","given":"Karen D."}],"issued":{"date-parts":[["2010",5,1]]}}},{"id":5190,"uris":["http://zotero.org/users/3430614/items/VTKVHI73"],"itemData":{"id":5190,"type":"article-journal","abstract":"The prefrontal cortex (PFC) is not only important in executive functions, but also pain processing. The latter is dependent on its connections to other areas of the cerebral neocortex, hippocampus, periaqueductal gray (PAG), thalamus, amygdala, and basal nuclei. Changes in neurotransmitters, gene expression, glial cells, and neuroinflammation occur in the PFC during acute and chronic pain, that result in alterations to its structure, activity, and connectivity. The medial PFC (mPFC) could serve dual, opposing roles in pain: (1) it mediates antinociceptive effects, due to its connections with other cortical areas, and as the main source of cortical afferents to the PAG for modulation of pain. This is a ‘loop’ where, on one side, a sensory stimulus is transformed into a perceptual signal through high brain processing activity, and perceptual activity is then utilized to control the flow of afferent sensory stimuli at their entrance (dorsal horn) to the CNS. (2) It could induce pain chronification via its corticostriatal projection, possibly depending on the level of dopamine receptor activation (or lack of) in the ventral tegmental area-nucleus accumbens reward pathway. The PFC is involved in biopsychosocial pain management. This includes repetitive transcranial magnetic stimulation, transcranial direct current stimulation, antidepressants, acupuncture, cognitive behavioral therapy, mindfulness, music, exercise, partner support, empathy, meditation, and prayer. Studies demonstrate the role of the PFC during placebo analgesia, and in establishing links between pain and depression, anxiety, and loss of cognition. In particular, losses in PFC grey matter are often reversible after successful treatment of chronic pain.","container-title":"Molecular Neurobiology","DOI":"10.1007/s12035-018-1130-9","ISSN":"1559-1182","issue":"2","journalAbbreviation":"Mol Neurobiol","language":"en","page":"1137-1166","source":"Springer Link","title":"Role of the Prefrontal Cortex in Pain Processing","volume":"56","author":[{"family":"Ong","given":"Wei-Yi"},{"family":"Stohler","given":"Christian S."},{"family":"Herr","given":"Deron R."}],"issued":{"date-parts":[["2019",2,1]]}}},{"id":5171,"uris":["http://zotero.org/users/3430614/items/VQE7K7LD"],"itemData":{"id":5171,"type":"article-journal","abstract":"The personal experience of pain is complex and depends on physiological and psychological factors. From this latter category, pain catastrophizing plays an important role in pain behavior and response. We aimed to determine the effect of pain catastrophizing on central nociceptive processing in healthy individuals. Functional MRI was performed during two pain intensity levels evoked by electrical median nerve stimulation in 22 healthy individuals. Pain catastrophizing scores were determined for all subjects. Pain catastrophizing was not related to activity in regions associated with sensory-discriminative aspects of pain, such as the primary or secondary somatosensory cortex. Instead, during mild pain, there was a relationship between catastrophizing and activity in cortical regions associated with affective, attention, and motor aspects of pain, including dorsolateral prefrontal, insula, rostral anterior cingulate, premotor, and parietal cortices. During more intense pain, prefrontal cortical regions implicated in the top-down modulation of pain were negatively correlated with catastrophizing. These findings can be viewed from the framework of an attention model of pain catastrophizing, whereby a cortical vigilance network is engaged during mild pain, but diminished prefrontal cortical modulation impedes disengaging from and suppressing pain during more intense pain. These findings may also implicate catastrophizing in the progression to or persistence of chronic pain.","container-title":"Pain","DOI":"10.1016/j.pain.2005.11.008","ISSN":"0304-3959","issue":"3","journalAbbreviation":"Pain","page":"297-306","source":"ScienceDirect","title":"Cortical responses to pain in healthy individuals depends on pain catastrophizing","volume":"120","author":[{"family":"Seminowicz","given":"David A."},{"family":"Davis","given":"Karen D."}],"issued":{"date-parts":[["2006",2,1]]}}}],"schema":"https://github.com/citation-style-language/schema/raw/master/csl-citation.json"} </w:instrText>
      </w:r>
      <w:r w:rsidR="00B207E8">
        <w:rPr>
          <w:rStyle w:val="apple-tab-span"/>
          <w:color w:val="000000"/>
        </w:rPr>
        <w:fldChar w:fldCharType="separate"/>
      </w:r>
      <w:r w:rsidR="00B5511E">
        <w:rPr>
          <w:rStyle w:val="apple-tab-span"/>
          <w:noProof/>
          <w:color w:val="000000"/>
        </w:rPr>
        <w:t>(Blankstein et al., 2010; Ong et al., 2019; Seminowicz &amp; Davis, 2006)</w:t>
      </w:r>
      <w:r w:rsidR="00B207E8">
        <w:rPr>
          <w:rStyle w:val="apple-tab-span"/>
          <w:color w:val="000000"/>
        </w:rPr>
        <w:fldChar w:fldCharType="end"/>
      </w:r>
      <w:r>
        <w:rPr>
          <w:rStyle w:val="apple-tab-span"/>
          <w:color w:val="000000"/>
        </w:rPr>
        <w:t>.</w:t>
      </w:r>
      <w:r w:rsidR="00FA1413">
        <w:rPr>
          <w:rStyle w:val="apple-tab-span"/>
          <w:color w:val="000000"/>
        </w:rPr>
        <w:t xml:space="preserve"> </w:t>
      </w:r>
      <w:r w:rsidR="004B1211">
        <w:rPr>
          <w:rStyle w:val="apple-tab-span"/>
          <w:color w:val="000000"/>
        </w:rPr>
        <w:t>The</w:t>
      </w:r>
      <w:r w:rsidR="00FA1413">
        <w:rPr>
          <w:rStyle w:val="apple-tab-span"/>
          <w:color w:val="000000"/>
        </w:rPr>
        <w:t xml:space="preserve"> DLPF has been implicated as an important top-down modulator of pain</w:t>
      </w:r>
      <w:r w:rsidR="00B207E8">
        <w:rPr>
          <w:rStyle w:val="apple-tab-span"/>
          <w:color w:val="000000"/>
        </w:rPr>
        <w:t>,</w:t>
      </w:r>
      <w:r w:rsidR="004B1211">
        <w:rPr>
          <w:rStyle w:val="apple-tab-span"/>
          <w:color w:val="000000"/>
        </w:rPr>
        <w:t xml:space="preserve"> providing a </w:t>
      </w:r>
      <w:r w:rsidR="00B207E8">
        <w:rPr>
          <w:rStyle w:val="apple-tab-span"/>
          <w:color w:val="000000"/>
        </w:rPr>
        <w:t>possible</w:t>
      </w:r>
      <w:r w:rsidR="004B1211">
        <w:rPr>
          <w:rStyle w:val="apple-tab-span"/>
          <w:color w:val="000000"/>
        </w:rPr>
        <w:t xml:space="preserve"> </w:t>
      </w:r>
      <w:r w:rsidR="00B207E8">
        <w:rPr>
          <w:rStyle w:val="apple-tab-span"/>
          <w:color w:val="000000"/>
        </w:rPr>
        <w:t xml:space="preserve">mechanistic </w:t>
      </w:r>
      <w:r w:rsidR="004B1211">
        <w:rPr>
          <w:rStyle w:val="apple-tab-span"/>
          <w:color w:val="000000"/>
        </w:rPr>
        <w:t>explanation for the association between suppression of DLFP activity and dampened ability to disengage from pain-related thoughts seen in pain catastrophizing</w:t>
      </w:r>
      <w:r w:rsidR="00B207E8">
        <w:rPr>
          <w:rStyle w:val="apple-tab-span"/>
          <w:color w:val="000000"/>
        </w:rPr>
        <w:t xml:space="preserve"> </w:t>
      </w:r>
      <w:r w:rsidR="00B207E8">
        <w:rPr>
          <w:rStyle w:val="apple-tab-span"/>
          <w:color w:val="000000"/>
        </w:rPr>
        <w:fldChar w:fldCharType="begin"/>
      </w:r>
      <w:r w:rsidR="00B207E8">
        <w:rPr>
          <w:rStyle w:val="apple-tab-span"/>
          <w:color w:val="000000"/>
        </w:rPr>
        <w:instrText xml:space="preserve"> ADDIN ZOTERO_ITEM CSL_CITATION {"citationID":"daDSooRH","properties":{"formattedCitation":"(Lorenz et al., 2003)","plainCitation":"(Lorenz et al., 2003)","noteIndex":0},"citationItems":[{"id":5189,"uris":["http://zotero.org/users/3430614/items/2GA5GTVB"],"itemData":{"id":5189,"type":"article-journal","container-title":"Brain","ISSN":"1460-2156","issue":"5","journalAbbreviation":"Brain","note":"publisher: Oxford University Press","page":"1079-1091","title":"Keeping pain out of mind: the role of the dorsolateral prefrontal cortex in pain modulation","volume":"126","author":[{"family":"Lorenz","given":"Jürgen"},{"family":"Minoshima","given":"S"},{"family":"Casey","given":"KL"}],"issued":{"date-parts":[["2003"]]}}}],"schema":"https://github.com/citation-style-language/schema/raw/master/csl-citation.json"} </w:instrText>
      </w:r>
      <w:r w:rsidR="00B207E8">
        <w:rPr>
          <w:rStyle w:val="apple-tab-span"/>
          <w:color w:val="000000"/>
        </w:rPr>
        <w:fldChar w:fldCharType="separate"/>
      </w:r>
      <w:r w:rsidR="00B207E8">
        <w:rPr>
          <w:rStyle w:val="apple-tab-span"/>
          <w:noProof/>
          <w:color w:val="000000"/>
        </w:rPr>
        <w:t>(Lorenz et al., 2003)</w:t>
      </w:r>
      <w:r w:rsidR="00B207E8">
        <w:rPr>
          <w:rStyle w:val="apple-tab-span"/>
          <w:color w:val="000000"/>
        </w:rPr>
        <w:fldChar w:fldCharType="end"/>
      </w:r>
      <w:r w:rsidR="00FA1413">
        <w:rPr>
          <w:rStyle w:val="apple-tab-span"/>
          <w:color w:val="000000"/>
        </w:rPr>
        <w:t>.</w:t>
      </w:r>
      <w:r w:rsidR="004B1211">
        <w:rPr>
          <w:rStyle w:val="apple-tab-span"/>
          <w:color w:val="000000"/>
        </w:rPr>
        <w:t xml:space="preserve"> </w:t>
      </w:r>
      <w:r w:rsidR="007231BC">
        <w:rPr>
          <w:rStyle w:val="apple-tab-span"/>
          <w:color w:val="000000"/>
        </w:rPr>
        <w:t xml:space="preserve">These deviations become particularly salient as pain intensity increases, indicating that activation of top-down regulatory mechanisms that were feasibly more available to modulate pain while intensity remained low are shifted toward </w:t>
      </w:r>
      <w:r w:rsidR="008E0C23">
        <w:rPr>
          <w:rStyle w:val="apple-tab-span"/>
          <w:color w:val="000000"/>
        </w:rPr>
        <w:t>other processes</w:t>
      </w:r>
      <w:r w:rsidR="00B5511E">
        <w:rPr>
          <w:rStyle w:val="apple-tab-span"/>
          <w:color w:val="000000"/>
        </w:rPr>
        <w:t xml:space="preserve"> and areas, particularly those associated with attention to pain and emotional aspects of pain </w:t>
      </w:r>
      <w:r w:rsidR="00B5511E">
        <w:rPr>
          <w:rStyle w:val="apple-tab-span"/>
          <w:color w:val="000000"/>
        </w:rPr>
        <w:fldChar w:fldCharType="begin"/>
      </w:r>
      <w:r w:rsidR="00B5511E">
        <w:rPr>
          <w:rStyle w:val="apple-tab-span"/>
          <w:color w:val="000000"/>
        </w:rPr>
        <w:instrText xml:space="preserve"> ADDIN ZOTERO_ITEM CSL_CITATION {"citationID":"4BnAbCeh","properties":{"formattedCitation":"(Gracely et al., 2004)","plainCitation":"(Gracely et al., 2004)","noteIndex":0},"citationItems":[{"id":5121,"uris":["http://zotero.org/users/3430614/items/Q8R2U2DF"],"itemData":{"id":5121,"type":"article-journal","abstract":"Pain catastrophizing, or characterizations of pain as awful, horrible and unbearable, is increasingly being recognized as an important factor in the experience of pain. The purpose of this investigation was to examine the association between catastrophizing, as measured by the Coping Strategies Questionnaire Catastrophizing Subscale, and brain responses to blunt pressure assessed by functional MRI among 29 subjects with fibromyalgia. Since catastrophizing has been suggested to augment pain perception through enhanced attention to painful stimuli, and heightened emotional responses to pain, we hypothesized that catastrophizing would be positively associated with activation in structures believed to be involved in these aspects of pain processing. As catastrophizing is also strongly associated with depression, the influence of depressive symptomatology was statistically removed. Residual scores of catastrophizing controlling for depressive symptomatology were significantly associated with increased activity in the ipsilateral claustrum (r = 0.51, P &amp;lt; 0.05), cerebellum (r = 0.43, P &amp;lt; 0.05), dorsolateral prefrontal cortex (r = 0.47, P &amp;lt; 0.05), and parietal cortex (r = 0.41, P &amp;lt; 0.05), and in the contralateral dorsal anterior cingulate gyrus (ACC; r = 0.43, P &amp;lt; 0.05), dorsolateral prefrontal cortex (r = 0.41, P &amp;lt; 0.05), medial frontal cortex (r = 0.40, P &amp;lt; 0.05) and lentiform nuclei (r = 0.40, P &amp;lt; 0.05). Analysis of subjects classified as high or low catastrophizers, based on a median split of residual catastrophizing scores, showed that both groups displayed significant increases in ipsilateral secondary somatosensory cortex (SII), although the magnitude of activation was twice as large among high catastrophizers. Both groups also had significant activations in contralateral insula, SII, primary somatosensory cortex (SI), inferior parietal lobule and thalamus. High catastrophizers displayed unique activation in the contralateral anterior ACC, and the contralateral and ipsilateral lentiform. Both groups also displayed significant ipsilateral activation in SI, anterior and posterior cerebellum, posterior cingulate gyrus, and superior and inferior frontal gyrus. These findings suggest that pain catastrophizing, independent of the influence of depression, is significantly associated with increased activity in brain areas related to anticipation of pain (medial frontal cortex, cerebellum), attention to pain (dorsal ACC, dorsolateral prefrontal cortex), emotional aspects of pain (claustrum, closely connected to amygdala) and motor control. These results support the hypothesis that catastrophizing influences pain perception through altering attention and anticipation, and heightening emotional responses to pain. Activation associated with catastrophizing in motor areas of the brain may reflect expressive responses to pain that are associated with greater pain catastrophizing.","container-title":"Brain","DOI":"10.1093/brain/awh098","ISSN":"0006-8950","issue":"4","journalAbbreviation":"Brain","page":"835-843","source":"Silverchair","title":"Pain catastrophizing and neural responses to pain among persons with fibromyalgia","volume":"127","author":[{"family":"Gracely","given":"R. H."},{"family":"Geisser","given":"M. E."},{"family":"Grant","given":"M. A. B."},{"family":"Petzke","given":"F."},{"family":"Williams","given":"D. A."},{"family":"Clauw","given":"D. J."}],"issued":{"date-parts":[["2004",4,1]]}}}],"schema":"https://github.com/citation-style-language/schema/raw/master/csl-citation.json"} </w:instrText>
      </w:r>
      <w:r w:rsidR="00B5511E">
        <w:rPr>
          <w:rStyle w:val="apple-tab-span"/>
          <w:color w:val="000000"/>
        </w:rPr>
        <w:fldChar w:fldCharType="separate"/>
      </w:r>
      <w:r w:rsidR="00B5511E">
        <w:rPr>
          <w:rStyle w:val="apple-tab-span"/>
          <w:noProof/>
          <w:color w:val="000000"/>
        </w:rPr>
        <w:t>(Gracely et al., 2004</w:t>
      </w:r>
      <w:r w:rsidR="009974F4">
        <w:rPr>
          <w:rStyle w:val="apple-tab-span"/>
          <w:noProof/>
          <w:color w:val="000000"/>
        </w:rPr>
        <w:t xml:space="preserve">; Seminowicz &amp; Davis, </w:t>
      </w:r>
      <w:r w:rsidR="009974F4">
        <w:rPr>
          <w:rStyle w:val="apple-tab-span"/>
          <w:noProof/>
          <w:color w:val="000000"/>
        </w:rPr>
        <w:lastRenderedPageBreak/>
        <w:t>2006</w:t>
      </w:r>
      <w:r w:rsidR="00B5511E">
        <w:rPr>
          <w:rStyle w:val="apple-tab-span"/>
          <w:noProof/>
          <w:color w:val="000000"/>
        </w:rPr>
        <w:t>)</w:t>
      </w:r>
      <w:r w:rsidR="00B5511E">
        <w:rPr>
          <w:rStyle w:val="apple-tab-span"/>
          <w:color w:val="000000"/>
        </w:rPr>
        <w:fldChar w:fldCharType="end"/>
      </w:r>
      <w:r w:rsidR="007231BC">
        <w:rPr>
          <w:rStyle w:val="apple-tab-span"/>
          <w:color w:val="000000"/>
        </w:rPr>
        <w:t xml:space="preserve">. </w:t>
      </w:r>
      <w:r w:rsidR="008E0C23">
        <w:rPr>
          <w:rStyle w:val="apple-tab-span"/>
          <w:color w:val="000000"/>
        </w:rPr>
        <w:t>Such findings</w:t>
      </w:r>
      <w:r w:rsidR="007231BC">
        <w:rPr>
          <w:rStyle w:val="apple-tab-span"/>
          <w:color w:val="000000"/>
        </w:rPr>
        <w:t xml:space="preserve"> provid</w:t>
      </w:r>
      <w:r w:rsidR="008E0C23">
        <w:rPr>
          <w:rStyle w:val="apple-tab-span"/>
          <w:color w:val="000000"/>
        </w:rPr>
        <w:t>e</w:t>
      </w:r>
      <w:r w:rsidR="007231BC">
        <w:rPr>
          <w:rStyle w:val="apple-tab-span"/>
          <w:color w:val="000000"/>
        </w:rPr>
        <w:t xml:space="preserve"> important support for the </w:t>
      </w:r>
      <w:r w:rsidR="004B1211">
        <w:rPr>
          <w:rStyle w:val="apple-tab-span"/>
          <w:color w:val="000000"/>
        </w:rPr>
        <w:t>attentional model of catastrophizing</w:t>
      </w:r>
      <w:r w:rsidR="008E0C23">
        <w:rPr>
          <w:rStyle w:val="apple-tab-span"/>
          <w:color w:val="000000"/>
        </w:rPr>
        <w:t xml:space="preserve">, as they suggest mechanisms by which </w:t>
      </w:r>
      <w:r w:rsidR="009974F4">
        <w:rPr>
          <w:rStyle w:val="apple-tab-span"/>
          <w:color w:val="000000"/>
        </w:rPr>
        <w:t>inability to maintain attention on non-pain related tasks in the presence of pain stimuli might be explained</w:t>
      </w:r>
      <w:r w:rsidR="004B1211">
        <w:rPr>
          <w:rStyle w:val="apple-tab-span"/>
          <w:color w:val="000000"/>
        </w:rPr>
        <w:t>.</w:t>
      </w:r>
      <w:r w:rsidR="007231BC">
        <w:rPr>
          <w:rStyle w:val="apple-tab-span"/>
          <w:color w:val="000000"/>
        </w:rPr>
        <w:t xml:space="preserve"> </w:t>
      </w:r>
    </w:p>
    <w:p w14:paraId="68015149" w14:textId="1B914EFA" w:rsidR="00832A60" w:rsidRDefault="00832A60" w:rsidP="008D7AAD">
      <w:pPr>
        <w:pStyle w:val="NormalWeb"/>
        <w:spacing w:before="0" w:beforeAutospacing="0" w:after="0" w:afterAutospacing="0" w:line="480" w:lineRule="auto"/>
        <w:ind w:firstLine="720"/>
        <w:rPr>
          <w:rStyle w:val="apple-tab-span"/>
          <w:b/>
          <w:bCs/>
          <w:i/>
          <w:iCs/>
          <w:color w:val="000000"/>
        </w:rPr>
      </w:pPr>
      <w:r>
        <w:rPr>
          <w:rStyle w:val="apple-tab-span"/>
          <w:b/>
          <w:bCs/>
          <w:i/>
          <w:iCs/>
          <w:color w:val="000000"/>
        </w:rPr>
        <w:t>Dispositional or Situational</w:t>
      </w:r>
      <w:r w:rsidR="004219F5">
        <w:rPr>
          <w:rStyle w:val="apple-tab-span"/>
          <w:b/>
          <w:bCs/>
          <w:i/>
          <w:iCs/>
          <w:color w:val="000000"/>
        </w:rPr>
        <w:t xml:space="preserve"> Conceptualizations</w:t>
      </w:r>
    </w:p>
    <w:p w14:paraId="37528137" w14:textId="77777777" w:rsidR="00E37559" w:rsidRDefault="005118E3" w:rsidP="008D7AAD">
      <w:pPr>
        <w:pStyle w:val="NormalWeb"/>
        <w:spacing w:before="0" w:beforeAutospacing="0" w:after="0" w:afterAutospacing="0" w:line="480" w:lineRule="auto"/>
        <w:ind w:firstLine="720"/>
        <w:rPr>
          <w:rStyle w:val="apple-tab-span"/>
          <w:color w:val="000000"/>
        </w:rPr>
      </w:pPr>
      <w:r>
        <w:rPr>
          <w:rStyle w:val="apple-tab-span"/>
          <w:color w:val="000000"/>
        </w:rPr>
        <w:t xml:space="preserve">The </w:t>
      </w:r>
      <w:r w:rsidR="00E8055B">
        <w:rPr>
          <w:rStyle w:val="apple-tab-span"/>
          <w:color w:val="000000"/>
        </w:rPr>
        <w:t>pain science</w:t>
      </w:r>
      <w:r>
        <w:rPr>
          <w:rStyle w:val="apple-tab-span"/>
          <w:color w:val="000000"/>
        </w:rPr>
        <w:t xml:space="preserve"> </w:t>
      </w:r>
      <w:r w:rsidR="00E8055B">
        <w:rPr>
          <w:rStyle w:val="apple-tab-span"/>
          <w:color w:val="000000"/>
        </w:rPr>
        <w:t>arena</w:t>
      </w:r>
      <w:r>
        <w:rPr>
          <w:rStyle w:val="apple-tab-span"/>
          <w:color w:val="000000"/>
        </w:rPr>
        <w:t xml:space="preserve"> has also been fraught with </w:t>
      </w:r>
      <w:r w:rsidR="00E8055B">
        <w:rPr>
          <w:rStyle w:val="apple-tab-span"/>
          <w:color w:val="000000"/>
        </w:rPr>
        <w:t>discussion as to whether pain catastrophizing should be assessed as a dispositional (trait) or as a situational (state) construct.</w:t>
      </w:r>
      <w:r w:rsidR="0060735C">
        <w:rPr>
          <w:rStyle w:val="apple-tab-span"/>
          <w:color w:val="000000"/>
        </w:rPr>
        <w:t xml:space="preserve"> When extrapolated from previous discussions of more general catastrophizing by Sullivan and colleagues (1995), the construct was discussed primarily as a </w:t>
      </w:r>
      <w:r w:rsidR="00C51CC7">
        <w:rPr>
          <w:rStyle w:val="apple-tab-span"/>
          <w:color w:val="000000"/>
        </w:rPr>
        <w:t xml:space="preserve">trait-based </w:t>
      </w:r>
      <w:r w:rsidR="0060735C">
        <w:rPr>
          <w:rStyle w:val="apple-tab-span"/>
          <w:color w:val="000000"/>
        </w:rPr>
        <w:t xml:space="preserve">quality </w:t>
      </w:r>
      <w:r w:rsidR="00C51CC7">
        <w:rPr>
          <w:rStyle w:val="apple-tab-span"/>
          <w:color w:val="000000"/>
        </w:rPr>
        <w:t>given the</w:t>
      </w:r>
      <w:r w:rsidR="0060735C">
        <w:rPr>
          <w:rStyle w:val="apple-tab-span"/>
          <w:color w:val="000000"/>
        </w:rPr>
        <w:t xml:space="preserve"> conceptualization of pain catastrophizing as a generally stable predisposition</w:t>
      </w:r>
      <w:r w:rsidR="001334E9">
        <w:rPr>
          <w:rStyle w:val="apple-tab-span"/>
          <w:color w:val="000000"/>
        </w:rPr>
        <w:t>, rather than as a fluctuating characteristic influenced more heavily by situational factors (i.e. as a state construct)</w:t>
      </w:r>
      <w:r w:rsidR="0060735C">
        <w:rPr>
          <w:rStyle w:val="apple-tab-span"/>
          <w:color w:val="000000"/>
        </w:rPr>
        <w:t xml:space="preserve">. </w:t>
      </w:r>
    </w:p>
    <w:p w14:paraId="2CCC0906" w14:textId="524EE275" w:rsidR="005118E3" w:rsidRPr="004D037C" w:rsidRDefault="0060735C" w:rsidP="008D7AAD">
      <w:pPr>
        <w:pStyle w:val="NormalWeb"/>
        <w:spacing w:before="0" w:beforeAutospacing="0" w:after="0" w:afterAutospacing="0" w:line="480" w:lineRule="auto"/>
        <w:ind w:firstLine="720"/>
        <w:rPr>
          <w:rStyle w:val="apple-tab-span"/>
          <w:color w:val="000000"/>
        </w:rPr>
      </w:pPr>
      <w:r>
        <w:rPr>
          <w:rStyle w:val="apple-tab-span"/>
          <w:color w:val="000000"/>
        </w:rPr>
        <w:t xml:space="preserve">The Pain Catastrophizing Scale (PCS) was developed with </w:t>
      </w:r>
      <w:r w:rsidR="00E37559">
        <w:rPr>
          <w:rStyle w:val="apple-tab-span"/>
          <w:color w:val="000000"/>
        </w:rPr>
        <w:t>this</w:t>
      </w:r>
      <w:r w:rsidR="001334E9">
        <w:rPr>
          <w:rStyle w:val="apple-tab-span"/>
          <w:color w:val="000000"/>
        </w:rPr>
        <w:t xml:space="preserve"> dispositional framework in mind </w:t>
      </w:r>
      <w:r>
        <w:rPr>
          <w:rStyle w:val="apple-tab-span"/>
          <w:color w:val="000000"/>
        </w:rPr>
        <w:t>and was validated to assess trait-based catastrophizing in both clinical and non-clinical samples (Sullivan et al., 1995). While more recent measures (i.e. the Pain-Related Cognitive Process Questionnaire</w:t>
      </w:r>
      <w:r w:rsidR="006D25C1">
        <w:rPr>
          <w:rStyle w:val="apple-tab-span"/>
          <w:color w:val="000000"/>
        </w:rPr>
        <w:t>, Situational Catastrophizing Scale</w:t>
      </w:r>
      <w:r>
        <w:rPr>
          <w:rStyle w:val="apple-tab-span"/>
          <w:color w:val="000000"/>
        </w:rPr>
        <w:t xml:space="preserve">) have been developed to assess state-based catastrophizing, these measures correlate strongly with those assessing dispositional catastrophizing and may be most appropriate for </w:t>
      </w:r>
      <w:r w:rsidR="00C51CC7">
        <w:rPr>
          <w:rStyle w:val="apple-tab-span"/>
          <w:color w:val="000000"/>
        </w:rPr>
        <w:t xml:space="preserve">paradigms in which the goal is for participants or patients to reflect on a specific pain-related experience, such as current chronic pain or a recurrent painful condition </w:t>
      </w:r>
      <w:r w:rsidR="00C51CC7">
        <w:rPr>
          <w:rStyle w:val="apple-tab-span"/>
          <w:color w:val="000000"/>
        </w:rPr>
        <w:fldChar w:fldCharType="begin"/>
      </w:r>
      <w:r w:rsidR="00C51CC7">
        <w:rPr>
          <w:rStyle w:val="apple-tab-span"/>
          <w:color w:val="000000"/>
        </w:rPr>
        <w:instrText xml:space="preserve"> ADDIN ZOTERO_ITEM CSL_CITATION {"citationID":"Flh1PpLm","properties":{"formattedCitation":"(Day et al., 2018, 2021)","plainCitation":"(Day et al., 2018, 2021)","noteIndex":0},"citationItems":[{"id":5176,"uris":["http://zotero.org/users/3430614/items/NY9FNUMA"],"itemData":{"id":5176,"type":"article-journal","abstract":"Cognitive processes may be characterized as how individuals think, whereas cognitive content constitutes what individuals think. Both cognitive processes and cognitive content are theorized to play important roles in chronic pain adjustment, and treatments have been developed to target both. However, the evaluation of treatments that target cognitive processes is limited because extant measures do not satisfactorily separate cognitive process from cognitive content. The current study aimed to develop a self-report inventory of potentially adaptive and presumed maladaptive attentional processes that may occur when someone is experiencing pain.Scales were derived from a large item pool by successively applying confirmatory factor analysis to item data from two undergraduate samples (N = 393 and 233).Items, which were generated to avoid confounding of cognitive content with cognitive processes, represented nine constructs: Suppression, Distraction, Enhancement, Dissociation, Reappraisal, Absorption, Rumination, Nonjudgment, and Acceptance. The resulting nine scales formed the Pain-Related Cognitive Process Questionnaire (PCPQ), and scale correlations produced four conceptually distinct composite scales: Pain Diversion, Pain Distancing, Pain Focus, and Pain Openness. Internal consistency reliabilities of the nine scales were adequate (α ≥ 0.70) to good, and the four composite scales had α values of 0.79 or higher. Correlations with pain-related criterion variables were generally consistent with putative constructs.The developed PCPQ scales offer a comprehensive assessment of important cognitive processes specific to pain. Overall, the findings suggest that the PCPQ scales may prove useful for evaluating the role of pain-related cognitive processes in studies of chronic pain.","container-title":"Pain Medicine","DOI":"10.1093/pm/pnx010","ISSN":"1526-2375","issue":"2","journalAbbreviation":"Pain Medicine","page":"269-283","source":"Silverchair","title":"The Pain-Related Cognitive Processes Questionnaire: Development and Validation","title-short":"The Pain-Related Cognitive Processes Questionnaire","volume":"19","author":[{"family":"Day","given":"Melissa A"},{"family":"Ward","given":"L Charles"},{"family":"Thorn","given":"Beverly E"},{"family":"Lang","given":"Cathryne P"},{"family":"Newton-John","given":"Toby R O"},{"family":"Ehde","given":"Dawn M"},{"family":"Jensen","given":"Mark P"}],"issued":{"date-parts":[["2018",2,1]]}}},{"id":5152,"uris":["http://zotero.org/users/3430614/items/NLB3ST5R"],"itemData":{"id":5152,"type":"article-journal","container-title":"Rehabilitation psychology","ISSN":"1939-1544","issue":"1","journalAbbreviation":"Rehabilitation psychology","note":"publisher: American Psychological Association","page":"39","title":"Differentiating state versus trait pain catastrophizing.","volume":"66","author":[{"family":"Day","given":"Melissa A"},{"family":"Young","given":"Georgia"},{"family":"Jensen","given":"Mark P"}],"issued":{"date-parts":[["2021"]]}}}],"schema":"https://github.com/citation-style-language/schema/raw/master/csl-citation.json"} </w:instrText>
      </w:r>
      <w:r w:rsidR="00C51CC7">
        <w:rPr>
          <w:rStyle w:val="apple-tab-span"/>
          <w:color w:val="000000"/>
        </w:rPr>
        <w:fldChar w:fldCharType="separate"/>
      </w:r>
      <w:r w:rsidR="00C51CC7">
        <w:rPr>
          <w:rStyle w:val="apple-tab-span"/>
          <w:noProof/>
          <w:color w:val="000000"/>
        </w:rPr>
        <w:t>(Day et al., 2018, 2021)</w:t>
      </w:r>
      <w:r w:rsidR="00C51CC7">
        <w:rPr>
          <w:rStyle w:val="apple-tab-span"/>
          <w:color w:val="000000"/>
        </w:rPr>
        <w:fldChar w:fldCharType="end"/>
      </w:r>
      <w:r w:rsidR="006D25C1">
        <w:rPr>
          <w:rStyle w:val="apple-tab-span"/>
          <w:color w:val="000000"/>
        </w:rPr>
        <w:t xml:space="preserve"> or when assessing catastrophizing immediately following the experimental application of a painful stimulus </w:t>
      </w:r>
      <w:r w:rsidR="006D25C1">
        <w:rPr>
          <w:rStyle w:val="apple-tab-span"/>
          <w:color w:val="000000"/>
        </w:rPr>
        <w:fldChar w:fldCharType="begin"/>
      </w:r>
      <w:r w:rsidR="001334E9">
        <w:rPr>
          <w:rStyle w:val="apple-tab-span"/>
          <w:color w:val="000000"/>
        </w:rPr>
        <w:instrText xml:space="preserve"> ADDIN ZOTERO_ITEM CSL_CITATION {"citationID":"UpO7W1em","properties":{"formattedCitation":"(Birnie et al., 2016)","plainCitation":"(Birnie et al., 2016)","noteIndex":0},"citationItems":[{"id":5179,"uris":["http://zotero.org/users/3430614/items/FM7PZJVJ"],"itemData":{"id":5179,"type":"article-journal","abstract":"When explored separately, child and parent catastrophic thoughts about child pain show robust negative relations with child pain. The objective of this study was to conduct a dyadic analysis to elucidate intrapersonal and interpersonal influences of child and parent pain catastrophizing on aspects of pain communication, including observed behaviours and perceptions of child pain. A community sample of 171 dyads including children aged 8 to 12 years (89 girls) and parents (135 mothers) rated pain catastrophizing (trait and state versions) and child pain intensity and unpleasantness following a cold pressor task. Child pain tolerance was also assessed. Parent–child interactions during the cold pressor task were coded for parent attending, nonattending, and other talk, and child symptom complaints and other talk. Data were analyzed using the actor-partner interdependence model and hierarchical multiple regressions. Children reporting higher state pain catastrophizing had greater symptom complaints regardless of level of parent state pain catastrophizing. Children reporting low state pain catastrophizing had similar high levels of symptom complaints, but only when parents reported high state pain catastrophizing. Higher child and parent state and/or trait pain catastrophizing predicted their own ratings of higher child pain intensity and unpleasantness, with child state pain catastrophizing additionally predicting parent ratings. Higher pain tolerance was predicted by older child age and lower child state pain catastrophizing. These newly identified interpersonal effects highlight the relevance of the social context to children's pain expressions and parent perceptions of child pain. Both child and parent pain catastrophizing warrant consideration when managing child pain.","container-title":"PAIN","DOI":"10.1097/j.pain.0000000000000461","ISSN":"0304-3959","issue":"4","language":"en-US","page":"938","source":"journals.lww.com","title":"Dyadic analysis of child and parent trait and state pain catastrophizing in the process of children's pain communication","volume":"157","author":[{"family":"Birnie","given":"Kathryn A."},{"family":"Chambers","given":"Christine T."},{"family":"Chorney","given":"Jill"},{"family":"Fernandez","given":"Conrad V."},{"family":"McGrath","given":"Patrick J."}],"issued":{"date-parts":[["2016",4]]}}}],"schema":"https://github.com/citation-style-language/schema/raw/master/csl-citation.json"} </w:instrText>
      </w:r>
      <w:r w:rsidR="006D25C1">
        <w:rPr>
          <w:rStyle w:val="apple-tab-span"/>
          <w:color w:val="000000"/>
        </w:rPr>
        <w:fldChar w:fldCharType="separate"/>
      </w:r>
      <w:r w:rsidR="001334E9">
        <w:rPr>
          <w:rStyle w:val="apple-tab-span"/>
          <w:noProof/>
          <w:color w:val="000000"/>
        </w:rPr>
        <w:t>(Birnie et al., 2016)</w:t>
      </w:r>
      <w:r w:rsidR="006D25C1">
        <w:rPr>
          <w:rStyle w:val="apple-tab-span"/>
          <w:color w:val="000000"/>
        </w:rPr>
        <w:fldChar w:fldCharType="end"/>
      </w:r>
      <w:r w:rsidR="00C51CC7">
        <w:rPr>
          <w:rStyle w:val="apple-tab-span"/>
          <w:color w:val="000000"/>
        </w:rPr>
        <w:t xml:space="preserve">. </w:t>
      </w:r>
    </w:p>
    <w:p w14:paraId="55883B0A" w14:textId="021323DA" w:rsidR="0011416A" w:rsidRPr="00C51CC7" w:rsidRDefault="00D26861" w:rsidP="00C51CC7">
      <w:pPr>
        <w:pStyle w:val="NormalWeb"/>
        <w:spacing w:before="0" w:beforeAutospacing="0" w:after="0" w:afterAutospacing="0" w:line="480" w:lineRule="auto"/>
        <w:ind w:firstLine="720"/>
        <w:rPr>
          <w:rStyle w:val="apple-tab-span"/>
          <w:color w:val="000000"/>
        </w:rPr>
      </w:pPr>
      <w:r>
        <w:rPr>
          <w:rStyle w:val="apple-tab-span"/>
          <w:color w:val="000000"/>
        </w:rPr>
        <w:t xml:space="preserve">Although dispositional characteristics are considered by definition to be stable, it’s important to acknowledge that there is plenty of evidence indicating that generally stable traits can </w:t>
      </w:r>
      <w:r w:rsidR="00996563">
        <w:rPr>
          <w:rStyle w:val="apple-tab-span"/>
          <w:color w:val="000000"/>
        </w:rPr>
        <w:t xml:space="preserve">change over time, often in the presence </w:t>
      </w:r>
      <w:r w:rsidR="005118E3">
        <w:rPr>
          <w:rStyle w:val="apple-tab-span"/>
          <w:color w:val="000000"/>
        </w:rPr>
        <w:t xml:space="preserve">of impactful events </w:t>
      </w:r>
      <w:r w:rsidR="005118E3">
        <w:rPr>
          <w:rStyle w:val="apple-tab-span"/>
          <w:color w:val="000000"/>
        </w:rPr>
        <w:fldChar w:fldCharType="begin"/>
      </w:r>
      <w:r w:rsidR="005118E3">
        <w:rPr>
          <w:rStyle w:val="apple-tab-span"/>
          <w:color w:val="000000"/>
        </w:rPr>
        <w:instrText xml:space="preserve"> ADDIN ZOTERO_ITEM CSL_CITATION {"citationID":"939GMDjs","properties":{"formattedCitation":"(Bleidorn et al., 2018; Hall &amp; Wilson, 2007)","plainCitation":"(Bleidorn et al., 2018; Hall &amp; Wilson, 2007)","noteIndex":0},"citationItems":[{"id":5093,"uris":["http://zotero.org/users/3430614/items/M3QIXFXJ"],"itemData":{"id":5093,"type":"article-journal","abstract":"Objective Theory and research have emphasized the impact of life events on personality trait change. In this article, we review prospective research on personality trait change in response to nine major life events in the broader domains of love and work. Method We expected to find that life events lead to personality trait change to the extent that they have a lasting influence on individuals' thoughts, feelings, and behavior. Moreover, we predicted that love-related life events such as marriage or parenthood would be more strongly related to changes in traits that emphasize affective content, whereas work-related life events would be more likely to lead to change in traits that reflect behavioral or cognitive content. Results The current state of research provided some evidence that life events can lead to changes in personality traits and that different life events may be differently related to specific trait domains. Conclusions A more general conclusion emerging from this review is that the evidence for the nature, shape, and timing of personality trait change in response to life events is still preliminary. We discuss the implications of the results for theory and research and provide directions for future studies on life events and personality trait change.","container-title":"Journal of Personality","DOI":"10.1111/jopy.12286","ISSN":"1467-6494","issue":"1","language":"en","license":"© 2016 Wiley Periodicals, Inc.","note":"_eprint: https://onlinelibrary.wiley.com/doi/pdf/10.1111/jopy.12286","page":"83-96","source":"Wiley Online Library","title":"Life Events and Personality Trait Change","volume":"86","author":[{"family":"Bleidorn","given":"Wiebke"},{"family":"Hopwood","given":"Christopher J."},{"family":"Lucas","given":"Richard E."}],"issued":{"date-parts":[["2018"]]}}},{"id":5100,"uris":["http://zotero.org/users/3430614/items/KIWVZTMS"],"itemData":{"id":5100,"type":"chapter","container-title":"The Posttraumatic Self: Restoring Meaning and Wholeness to Personality","language":"en","publisher":"Routledge","source":"Zotero","title":"Chapter 9: Trauma and Alterations in Normal Personality","author":[{"family":"Hall","given":"Brian"},{"family":"Wilson","given":"John P"}],"issued":{"date-parts":[["2007"]]}}}],"schema":"https://github.com/citation-style-language/schema/raw/master/csl-citation.json"} </w:instrText>
      </w:r>
      <w:r w:rsidR="005118E3">
        <w:rPr>
          <w:rStyle w:val="apple-tab-span"/>
          <w:color w:val="000000"/>
        </w:rPr>
        <w:fldChar w:fldCharType="separate"/>
      </w:r>
      <w:r w:rsidR="005118E3">
        <w:rPr>
          <w:rStyle w:val="apple-tab-span"/>
          <w:noProof/>
          <w:color w:val="000000"/>
        </w:rPr>
        <w:t>(Bleidorn et al., 2018; Hall &amp; Wilson, 2007)</w:t>
      </w:r>
      <w:r w:rsidR="005118E3">
        <w:rPr>
          <w:rStyle w:val="apple-tab-span"/>
          <w:color w:val="000000"/>
        </w:rPr>
        <w:fldChar w:fldCharType="end"/>
      </w:r>
      <w:r w:rsidR="005118E3">
        <w:rPr>
          <w:rStyle w:val="apple-tab-span"/>
          <w:color w:val="000000"/>
        </w:rPr>
        <w:t xml:space="preserve"> or </w:t>
      </w:r>
      <w:r w:rsidR="00996563">
        <w:rPr>
          <w:rStyle w:val="apple-tab-span"/>
          <w:color w:val="000000"/>
        </w:rPr>
        <w:t xml:space="preserve">of targeted interventions, such as those geared toward long term reductions in </w:t>
      </w:r>
      <w:r w:rsidR="00996563">
        <w:rPr>
          <w:rStyle w:val="apple-tab-span"/>
          <w:color w:val="000000"/>
        </w:rPr>
        <w:lastRenderedPageBreak/>
        <w:t xml:space="preserve">neuroticism </w:t>
      </w:r>
      <w:r w:rsidR="00996563">
        <w:rPr>
          <w:rStyle w:val="apple-tab-span"/>
          <w:color w:val="000000"/>
        </w:rPr>
        <w:fldChar w:fldCharType="begin"/>
      </w:r>
      <w:r w:rsidR="00996563">
        <w:rPr>
          <w:rStyle w:val="apple-tab-span"/>
          <w:color w:val="000000"/>
        </w:rPr>
        <w:instrText xml:space="preserve"> ADDIN ZOTERO_ITEM CSL_CITATION {"citationID":"E54VIgOd","properties":{"formattedCitation":"(Jorm, 1989; Roberts et al., 2017)","plainCitation":"(Jorm, 1989; Roberts et al., 2017)","noteIndex":0},"citationItems":[{"id":5089,"uris":["http://zotero.org/users/3430614/items/XMXUZYLB"],"itemData":{"id":5089,"type":"article-journal","container-title":"Australian and New Zealand Journal of Psychiatry","DOI":"10.3109/00048678909062588","ISSN":"0004-8674","issue":"1","note":"publisher: Taylor &amp; Francis","page":"21-29","source":"tandfonline.com (Atypon)","title":"Modifiability of Trait Anxiety and Neuroticism: A Meta-Analysis of the Literature","title-short":"Modifiability of Trait Anxiety and Neuroticism","volume":"23","author":[{"family":"Jorm","given":"A. F."}],"issued":{"date-parts":[["1989",1]]}}},{"id":5091,"uris":["http://zotero.org/users/3430614/items/D68VBI5Y"],"itemData":{"id":5091,"type":"article-journal","abstract":"The current meta-analysis investigated the extent to which personality traits changed as a result of intervention, with the primary focus on clinical interventions. We identified 207 studies that had tracked changes in measures of personality traits during interventions, including true experiments and prepost change designs. Interventions were associated with marked changes in personality trait measures over an average time of 24 weeks (e.g., d = .37). Additional analyses showed that the increases replicated across experimental and nonexperimental designs, for nonclinical interventions, and persisted in longitudinal follow-ups of samples beyond the course of intervention. Emotional stability was the primary trait domain showing changes as a result of therapy, followed by extraversion. The type of therapy employed was not strongly associated with the amount of change in personality traits. Patients presenting with anxiety disorders changed the most, and patients being treated for substance use changed the least. The relevance of the results for theory and social policy are discussed. (PsycInfo Database Record (c) 2020 APA, all rights reserved)","container-title":"Psychological Bulletin","DOI":"10.1037/bul0000088","ISSN":"1939-1455","issue":"2","note":"publisher-place: US\npublisher: American Psychological Association","page":"117-141","source":"APA PsycNet","title":"A systematic review of personality trait change through intervention","volume":"143","author":[{"family":"Roberts","given":"Brent W."},{"family":"Luo","given":"Jing"},{"family":"Briley","given":"Daniel A."},{"family":"Chow","given":"Philip I."},{"family":"Su","given":"Rong"},{"family":"Hill","given":"Patrick L."}],"issued":{"date-parts":[["2017"]]}}}],"schema":"https://github.com/citation-style-language/schema/raw/master/csl-citation.json"} </w:instrText>
      </w:r>
      <w:r w:rsidR="00996563">
        <w:rPr>
          <w:rStyle w:val="apple-tab-span"/>
          <w:color w:val="000000"/>
        </w:rPr>
        <w:fldChar w:fldCharType="separate"/>
      </w:r>
      <w:r w:rsidR="00996563">
        <w:rPr>
          <w:rStyle w:val="apple-tab-span"/>
          <w:noProof/>
          <w:color w:val="000000"/>
        </w:rPr>
        <w:t>(Jorm, 1989; Roberts et al., 2017)</w:t>
      </w:r>
      <w:r w:rsidR="00996563">
        <w:rPr>
          <w:rStyle w:val="apple-tab-span"/>
          <w:color w:val="000000"/>
        </w:rPr>
        <w:fldChar w:fldCharType="end"/>
      </w:r>
      <w:r w:rsidR="005118E3">
        <w:rPr>
          <w:rStyle w:val="apple-tab-span"/>
          <w:color w:val="000000"/>
        </w:rPr>
        <w:t>.</w:t>
      </w:r>
      <w:r w:rsidR="00C51CC7">
        <w:rPr>
          <w:rStyle w:val="apple-tab-span"/>
          <w:color w:val="000000"/>
        </w:rPr>
        <w:t xml:space="preserve"> </w:t>
      </w:r>
      <w:r w:rsidR="0011416A" w:rsidRPr="00B25096">
        <w:rPr>
          <w:color w:val="000000"/>
        </w:rPr>
        <w:t xml:space="preserve">While the act of catastrophizing pain can impact the experience or anticipation of pain, exposure to pain can also give rise to catastrophic thinking </w:t>
      </w:r>
      <w:r w:rsidR="0011416A">
        <w:rPr>
          <w:color w:val="000000"/>
        </w:rPr>
        <w:fldChar w:fldCharType="begin"/>
      </w:r>
      <w:r w:rsidR="0011416A">
        <w:rPr>
          <w:color w:val="000000"/>
        </w:rPr>
        <w:instrText xml:space="preserve"> ADDIN ZOTERO_ITEM CSL_CITATION {"citationID":"ozlMyW7e","properties":{"formattedCitation":"(Campbell et al., 2010; Crawford et al., 2021; Gopinath et al., 2019; Sullivan et al., 2001; Sullivan &amp; Tripp, 2024)","plainCitation":"(Campbell et al., 2010; Crawford et al., 2021; Gopinath et al., 2019; Sullivan et al., 2001; Sullivan &amp; Tripp, 2024)","noteIndex":0},"citationItems":[{"id":4364,"uris":["http://zotero.org/users/3430614/items/GLTQGIBW"],"itemData":{"id":4364,"type":"article-journal","abstract":"Behavioral analgesic techniques such as distraction reduce pain in both clinical and experimental settings. Individuals differ in the magnitude of distraction-induced analgesia, and additional study is needed to identify the factors that influence the pain relieving effects of distraction. Catastrophizing, a set of negative emotional and cognitive processes, is widely recognized to be associated with increased reports of pain. We sought to evaluate the relationship between catastrophizing and distraction analgesia. Healthy participants completed three sessions in a randomized order. In one session (Pain Alone), pain was induced by topical application of a 10% capsaicin cream and simultaneous administration of a tonic heat stimulus. In another session (Pain+Distraction), identical capsaicin+heat application procedures were followed, but subjects played video games that required a high level of attention. During both sessions, verbal ratings of pain were obtained and participants rated their degree of catastrophizing. During the other session (Distraction Alone) subjects played the video games in the absence of any pain stimulus. Pain was rated significantly lower during the distraction session compared to the “Pain Alone” session. In addition, high catastrophizers rated pain significantly higher regardless of whether the subjects were distracted. Catastrophizing did not influence the overall degree of distraction analgesia; however, early in the session high catastrophizers had little distraction analgesia, though later in the session low and high catastrophizers rated pain similarly. These results suggest that both distraction and catastrophizing have substantial effects on experimental pain in normal subjects and these variables interact as a function of time.","container-title":"PAIN®","DOI":"10.1016/j.pain.2009.11.012","ISSN":"0304-3959","issue":"2","journalAbbreviation":"PAIN®","language":"en","page":"202-207","source":"ScienceDirect","title":"Catastrophizing delays the analgesic effect of distraction","volume":"149","author":[{"family":"Campbell","given":"Claudia M."},{"family":"Witmer","given":"Kenny"},{"family":"Simango","given":"Mpepera"},{"family":"Carteret","given":"Alene"},{"family":"Loggia","given":"Marco L."},{"family":"Campbell","given":"James N."},{"family":"Haythornthwaite","given":"Jennifer A."},{"family":"Edwards","given":"Robert R."}],"issued":{"date-parts":[["2010",5,1]]}}},{"id":5025,"uris":["http://zotero.org/users/3430614/items/W9XI4TNK"],"itemData":{"id":5025,"type":"article-journal","abstract":"Introduction\nEvidence-based psychological strategies are being used as clinicians look for helpful interventions for patients diagnosed with the enigmatic chronic urological pelvic pain condition of interstitial cystitis/bladder pain syndrome (IC/BPS). Pain and pain catastrophizing are associated with chronic pelvic pain outcomes but the longitudinal role of catastrophizing on patient pain in IC/BPS remains unknown.\n\nMethods\nWomen with IC/BPS were recruited from tertiary care clinics across North America and completed a battery of questionnaires, including demographics, pain, depression, catastrophizing at baseline, six months, and one year.\n\nResults\nA total of 226 patients completed baseline questions, 183 completed the six-month survey, and 151 completed the one-year survey. Using a cross-lagged analysis, early changes in pain catastrophizing predicted later changes in pain, but not vice versa. Followup subscale analyses revealed that early changes in magnification predicted later changes in pain, early changes in pain predicted later changes in rumination, and that there was a recursive relationship between changes in helplessness and changes in pain across the study.\n\nConclusions\nPain catastrophizing should be considered a prime target in psychological treatment for chronic pain in patients with IC/BPS, particularly those thinking styles associated with pain onset and maintenance. Future research should be conducted with constructs such as pain catastrophizing in samples prioritizing diversity of patients with IC/BPS and mechanisms as to how to effectively decrease catastrophizing.","container-title":"Canadian Urological Association Journal","DOI":"10.5489/cuaj.7106","ISSN":"1911-6470","issue":"10","journalAbbreviation":"Can Urol Assoc J","note":"PMID: 33750522\nPMCID: PMC8525531","page":"326-331","source":"PubMed Central","title":"The chicken or the egg: Longitudinal changes in pain and catastrophizing in women with interstitial cystitis/bladder pain syndrome","title-short":"The chicken or the egg","volume":"15","author":[{"family":"Crawford","given":"Alison"},{"family":"Muere","given":"Abi"},{"family":"Tripp","given":"Dean A."},{"family":"Nickel","given":"J Curtis"},{"family":"Doiron","given":"R. Christopher"},{"family":"Moldwin","given":"Robert"},{"family":"Katz","given":"Laura"}],"issued":{"date-parts":[["2021",10]]}}},{"id":5028,"uris":["http://zotero.org/users/3430614/items/8KQJVQCW"],"itemData":{"id":5028,"type":"article-journal","abstract":"There is paucity of prospective studies that have examined rates and prognostic indicators of pain severity after a road traffic crash injury. This cohort study involved 1,854 participants aged ≥17 years with a noncatastrophic injury. Primary analyses of pain severity involved 1604 individuals who reported any pain since the injury at baseline Of these, 1,188 and 972 participants were reexamined at the 6- and 12-month follow-up, respectively. The mean pain severity (primary study outcome) was assessed using a numeric rating scale (NRS), and a range of possible pain predictors were assessed. A mean pain NRS score of 4.9 was observed at baseline, and the mean NRS score was 2.1 at the 12-month follow-up. At the 6- and 12-month follow-up, 21% and 17.5% reported clinically significant pain (NRS score of ≥5), respectively. After multivariable adjustment, key predictors of pain severity ratings over the 12 months included the following, which were measured at baseline: age, sex, education, claim compensation, spine/back injury, being a bicyclist, physical well-being, pain-related catastrophizing, pain-related disability, and trauma-related and general psychological distress. Clinically significant pain was experienced by just &gt;1 in 6 participants 12 months after injury. Several independent contributors to chronic pain identified in this study are modifiable, reinforcing their inclusion as targets in pain management programs. PERSPECTIVE: This cohort study involving participants who sustained a noncatastrophic injury in a road traffic crash established the predictors of pain severity over 12 months. Study findings reiterate and reinforce the importance of being cognizant of a wide spectrum of biopsychosocial predictors both in the management and rehabilitation of injured persons.","container-title":"The Journal of Pain","DOI":"10.1016/j.jpain.2018.11.011","ISSN":"1528-8447","issue":"6","journalAbbreviation":"J Pain","language":"eng","note":"PMID: 30529696","page":"676-684","source":"PubMed","title":"Differential Predictors of Pain Severity Over 12 Months Following Noncatastrophic Injury Sustained in a Road Traffic Crash","volume":"20","author":[{"family":"Gopinath","given":"Bamini"},{"family":"Jagnoor","given":"Jagnoor"},{"family":"Kifley","given":"Annette"},{"family":"Nicholas","given":"Michael"},{"family":"Blyth","given":"Fiona"},{"family":"Kenardy","given":"Justin"},{"family":"Craig","given":"Ashley"},{"family":"Cameron","given":"Ian D."}],"issued":{"date-parts":[["2019",6]]}}},{"id":4553,"uris":["http://zotero.org/users/3430614/items/S6M8FWDK"],"itemData":{"id":4553,"type":"article-journal","abstract":"The tendency to “catastrophize” during painful stimulation contributes to more intense pain experience and increased emotional distress. Catastrophizing has been broadly conceived as an exaggerated negative “mental set” brought to bear during painful experiences. Although findings have been consistent in showing a relation between catastrophizing and pain, research in this area has proceeded in the relative absence of a guiding theoretical framework. This article reviews the literature on the relation between catastrophizing and pain and examines the relative strengths and limitations of different theoretical models that could be advanced to account for the pattern of available findings. The article evaluates the explanatory power of a schema activation model, an appraisal model, an attention model, and a communal coping model of pain perception. It is suggested that catastrophizing might best be viewed from the perspective of hierarchical levels of analysis, where social factors and social goals may play a role in the development and maintenance of catastrophizing, whereas appraisal-related processes may point to the mechanisms that link catastrophizing to pain experience. Directions for future research are suggested.","container-title":"The Clinical Journal of Pain","DOI":"10.1097/00002508-200103000-00008","ISSN":"0749-8047","issue":"1","journalAbbreviation":"The Clinical Journal of Pain","language":"en","page":"52-64","source":"DOI.org (Crossref)","title":"Theoretical Perspectives on the Relation Between Catastrophizing and Pain:","title-short":"Theoretical Perspectives on the Relation Between Catastrophizing and Pain","volume":"17","author":[{"family":"Sullivan","given":"Michael J. L."},{"family":"Thorn","given":"Beverly"},{"family":"Haythornthwaite","given":"Jennifer A."},{"family":"Keefe","given":"Francis"},{"family":"Martin","given":"Michelle"},{"family":"Bradley","given":"Laurence A."},{"family":"Lefebvre","given":"John C."}],"issued":{"date-parts":[["2001",3]]}}},{"id":5005,"uris":["http://zotero.org/users/3430614/items/BW9SSLXV"],"itemData":{"id":5005,"type":"article-journal","abstract":"Recent reports have pointed to problems with the term “pain catastrophizing.” Critiques of the term pain catastrophizing have come from several sources including individuals with chronic pain, advocates for individuals with chronic pain, and pain scholars. Reports indicate that the term has been used to dismiss the medical basis of pain complaints, to question the authenticity of pain complaints, and to blame individuals with pain for their pain condition. In this paper, we advance the position that the problems prompting calls to rename the construct of pain catastrophizing have little to do with the term, and as such, changing the term will do little to solve these problems. We argue that continued calls for changing or deleting the term pain catastrophizing will only divert attention away from some fundamental flaws in how individuals with pain conditions are assessed and treated. Some of these fundamental flaws have their roots in the inadequate training of health and allied health professionals in evidence-based models of pain, in the use of psychological assessment and intervention tools for the clinical management of pain, and in gender equity and antiracism. Critiques that pain scholars have leveled against the defining, operational, and conceptual bases of pain catastrophizing are also addressed. Arguments for reconceptualizing pain catastrophizing as a worry-related construct are discussed. Recommendations are made for remediation of the problems that have contributed to calls to rename the term pain catastrophizing.\nPerspective\nThe issues prompting calls to rename the construct of pain catastrophizing have their roots in fundamental flaws in how individuals with pain are assessed and treated. Efforts to address these problems will require more than a simple change in terminology.","container-title":"The Journal of Pain","DOI":"10.1016/j.jpain.2023.07.004","ISSN":"1526-5900","issue":"3","journalAbbreviation":"The Journal of Pain","page":"575-587","source":"ScienceDirect","title":"Pain Catastrophizing: Controversies, Misconceptions and Future Directions","title-short":"Pain Catastrophizing","volume":"25","author":[{"family":"Sullivan","given":"Michael J. L."},{"family":"Tripp","given":"Dean A."}],"issued":{"date-parts":[["2024",3,1]]}}}],"schema":"https://github.com/citation-style-language/schema/raw/master/csl-citation.json"} </w:instrText>
      </w:r>
      <w:r w:rsidR="0011416A">
        <w:rPr>
          <w:color w:val="000000"/>
        </w:rPr>
        <w:fldChar w:fldCharType="separate"/>
      </w:r>
      <w:r w:rsidR="0011416A">
        <w:rPr>
          <w:noProof/>
          <w:color w:val="000000"/>
        </w:rPr>
        <w:t>(Campbell et al., 2010; Crawford et al., 2021; Gopinath et al., 2019; Sullivan et al., 2001; Sullivan &amp; Tripp, 2024)</w:t>
      </w:r>
      <w:r w:rsidR="0011416A">
        <w:rPr>
          <w:color w:val="000000"/>
        </w:rPr>
        <w:fldChar w:fldCharType="end"/>
      </w:r>
      <w:r w:rsidR="0011416A">
        <w:rPr>
          <w:color w:val="000000"/>
        </w:rPr>
        <w:t>.</w:t>
      </w:r>
      <w:r w:rsidR="0011416A" w:rsidRPr="00B25096">
        <w:rPr>
          <w:color w:val="000000"/>
        </w:rPr>
        <w:t xml:space="preserve"> This supports the idea that the relationship between the experience of pain and pain catastrophizing is bidirectional and that pain catastrophizing</w:t>
      </w:r>
      <w:r w:rsidR="00C51CC7">
        <w:rPr>
          <w:color w:val="000000"/>
        </w:rPr>
        <w:t>, while demonstrated to be relatively stable in some samples,</w:t>
      </w:r>
      <w:r w:rsidR="0011416A" w:rsidRPr="00B25096">
        <w:rPr>
          <w:color w:val="000000"/>
        </w:rPr>
        <w:t xml:space="preserve"> is a malleable construct that </w:t>
      </w:r>
      <w:r w:rsidR="0011416A">
        <w:rPr>
          <w:color w:val="000000"/>
        </w:rPr>
        <w:t>personal experiences can influence</w:t>
      </w:r>
      <w:r w:rsidR="001334E9">
        <w:rPr>
          <w:color w:val="000000"/>
        </w:rPr>
        <w:t xml:space="preserve"> long-term</w:t>
      </w:r>
      <w:r w:rsidR="0011416A" w:rsidRPr="00B25096">
        <w:rPr>
          <w:color w:val="000000"/>
        </w:rPr>
        <w:t xml:space="preserve">. </w:t>
      </w:r>
    </w:p>
    <w:p w14:paraId="68370DFA" w14:textId="32CC21C5" w:rsidR="00977E5E" w:rsidRPr="0018163C" w:rsidRDefault="004219F5" w:rsidP="00713B04">
      <w:pPr>
        <w:pStyle w:val="NormalWeb"/>
        <w:widowControl w:val="0"/>
        <w:spacing w:before="0" w:beforeAutospacing="0" w:after="0" w:afterAutospacing="0" w:line="480" w:lineRule="auto"/>
        <w:ind w:firstLine="720"/>
        <w:rPr>
          <w:b/>
          <w:bCs/>
          <w:i/>
          <w:iCs/>
          <w:color w:val="000000"/>
        </w:rPr>
      </w:pPr>
      <w:r w:rsidRPr="004219F5">
        <w:rPr>
          <w:b/>
          <w:bCs/>
          <w:i/>
          <w:iCs/>
          <w:color w:val="000000"/>
        </w:rPr>
        <w:t>Identifying Patterns and Drawing Conclusions: Pain Catastrophizing</w:t>
      </w:r>
    </w:p>
    <w:p w14:paraId="726ADD11" w14:textId="37B9F184" w:rsidR="0054111C" w:rsidRDefault="007F4787" w:rsidP="00713B04">
      <w:pPr>
        <w:pStyle w:val="NormalWeb"/>
        <w:widowControl w:val="0"/>
        <w:spacing w:before="0" w:beforeAutospacing="0" w:after="0" w:afterAutospacing="0" w:line="480" w:lineRule="auto"/>
        <w:ind w:firstLine="720"/>
        <w:rPr>
          <w:color w:val="000000"/>
        </w:rPr>
      </w:pPr>
      <w:r>
        <w:rPr>
          <w:color w:val="000000"/>
        </w:rPr>
        <w:t>The</w:t>
      </w:r>
      <w:r w:rsidR="0054111C">
        <w:rPr>
          <w:color w:val="000000"/>
        </w:rPr>
        <w:t xml:space="preserve"> current body of literature exploring</w:t>
      </w:r>
      <w:r w:rsidR="0054111C" w:rsidRPr="00B25096">
        <w:rPr>
          <w:color w:val="000000"/>
        </w:rPr>
        <w:t xml:space="preserve"> pain catastrophizing </w:t>
      </w:r>
      <w:r w:rsidR="0054111C">
        <w:rPr>
          <w:color w:val="000000"/>
        </w:rPr>
        <w:t xml:space="preserve">points to a </w:t>
      </w:r>
      <w:r w:rsidR="0054111C" w:rsidRPr="00B25096">
        <w:rPr>
          <w:color w:val="000000"/>
        </w:rPr>
        <w:t xml:space="preserve">multifaceted construct with wide-ranging implications for pain- and </w:t>
      </w:r>
      <w:r w:rsidR="009472F7">
        <w:rPr>
          <w:color w:val="000000"/>
        </w:rPr>
        <w:t>performance-related</w:t>
      </w:r>
      <w:r w:rsidR="0054111C" w:rsidRPr="00B25096">
        <w:rPr>
          <w:color w:val="000000"/>
        </w:rPr>
        <w:t xml:space="preserve"> outcomes</w:t>
      </w:r>
      <w:r w:rsidR="0054111C">
        <w:rPr>
          <w:color w:val="000000"/>
        </w:rPr>
        <w:t xml:space="preserve"> (Sullivan &amp; Tripp, 2024)</w:t>
      </w:r>
      <w:r w:rsidR="0054111C" w:rsidRPr="00B25096">
        <w:rPr>
          <w:color w:val="000000"/>
        </w:rPr>
        <w:t>. </w:t>
      </w:r>
      <w:r w:rsidR="0054111C">
        <w:rPr>
          <w:color w:val="000000"/>
        </w:rPr>
        <w:t xml:space="preserve">A comprehensive understanding of pain catastrophizing likely requires acknowledging a complex interplay between </w:t>
      </w:r>
      <w:r w:rsidR="0054111C">
        <w:t>cognitive processes, emotional responses, social dynamics, and situational factors.</w:t>
      </w:r>
    </w:p>
    <w:p w14:paraId="21971388" w14:textId="08B795EB" w:rsidR="004876C7" w:rsidRPr="004D037C" w:rsidRDefault="0011416A" w:rsidP="00C51CC7">
      <w:pPr>
        <w:pStyle w:val="NormalWeb"/>
        <w:spacing w:before="0" w:beforeAutospacing="0" w:after="0" w:afterAutospacing="0" w:line="480" w:lineRule="auto"/>
        <w:ind w:firstLine="720"/>
      </w:pPr>
      <w:r>
        <w:rPr>
          <w:rStyle w:val="apple-tab-span"/>
          <w:color w:val="000000"/>
        </w:rPr>
        <w:t>Although the</w:t>
      </w:r>
      <w:r w:rsidR="009472F7">
        <w:rPr>
          <w:rStyle w:val="apple-tab-span"/>
          <w:color w:val="000000"/>
        </w:rPr>
        <w:t xml:space="preserve"> </w:t>
      </w:r>
      <w:r w:rsidR="004F2D0B">
        <w:rPr>
          <w:rStyle w:val="apple-tab-span"/>
          <w:color w:val="000000"/>
        </w:rPr>
        <w:t xml:space="preserve">attention-bias model seems to have received the most </w:t>
      </w:r>
      <w:r w:rsidR="00977E5E">
        <w:rPr>
          <w:rStyle w:val="apple-tab-span"/>
          <w:color w:val="000000"/>
        </w:rPr>
        <w:t>empirical</w:t>
      </w:r>
      <w:r w:rsidR="004F2D0B">
        <w:rPr>
          <w:rStyle w:val="apple-tab-span"/>
          <w:color w:val="000000"/>
        </w:rPr>
        <w:t xml:space="preserve"> support</w:t>
      </w:r>
      <w:r>
        <w:rPr>
          <w:rStyle w:val="apple-tab-span"/>
          <w:color w:val="000000"/>
        </w:rPr>
        <w:t xml:space="preserve"> of the existing models,</w:t>
      </w:r>
      <w:r w:rsidR="009472F7">
        <w:rPr>
          <w:rStyle w:val="apple-tab-span"/>
          <w:color w:val="000000"/>
        </w:rPr>
        <w:t xml:space="preserve"> it</w:t>
      </w:r>
      <w:r w:rsidR="004F2D0B">
        <w:rPr>
          <w:rStyle w:val="apple-tab-span"/>
          <w:color w:val="000000"/>
        </w:rPr>
        <w:t xml:space="preserve"> is important in this case not to dismiss the potential value of the other </w:t>
      </w:r>
      <w:r>
        <w:rPr>
          <w:rStyle w:val="apple-tab-span"/>
          <w:color w:val="000000"/>
        </w:rPr>
        <w:t>conceptualizations</w:t>
      </w:r>
      <w:r w:rsidR="004F2D0B">
        <w:rPr>
          <w:rStyle w:val="apple-tab-span"/>
          <w:color w:val="000000"/>
        </w:rPr>
        <w:t xml:space="preserve">. As is the case with many complex and multidimensional constructs, it is likely unhelpful to attempt to pigeon-hole pain catastrophizing </w:t>
      </w:r>
      <w:r w:rsidR="006B7E0F">
        <w:rPr>
          <w:rStyle w:val="apple-tab-span"/>
          <w:color w:val="000000"/>
        </w:rPr>
        <w:t>into a</w:t>
      </w:r>
      <w:r w:rsidR="004F2D0B">
        <w:rPr>
          <w:rStyle w:val="apple-tab-span"/>
          <w:color w:val="000000"/>
        </w:rPr>
        <w:t xml:space="preserve"> framework</w:t>
      </w:r>
      <w:r w:rsidR="006B7E0F">
        <w:rPr>
          <w:rStyle w:val="apple-tab-span"/>
          <w:color w:val="000000"/>
        </w:rPr>
        <w:t xml:space="preserve"> that captures </w:t>
      </w:r>
      <w:r w:rsidR="007422D9">
        <w:rPr>
          <w:rStyle w:val="apple-tab-span"/>
          <w:color w:val="000000"/>
        </w:rPr>
        <w:t>limited aspects of the phenomenon</w:t>
      </w:r>
      <w:r w:rsidR="004F2D0B">
        <w:rPr>
          <w:rStyle w:val="apple-tab-span"/>
          <w:color w:val="000000"/>
        </w:rPr>
        <w:t xml:space="preserve">; </w:t>
      </w:r>
      <w:r w:rsidR="007F4787">
        <w:rPr>
          <w:rStyle w:val="apple-tab-span"/>
          <w:color w:val="000000"/>
        </w:rPr>
        <w:t>instead</w:t>
      </w:r>
      <w:r w:rsidR="004F2D0B">
        <w:rPr>
          <w:rStyle w:val="apple-tab-span"/>
          <w:color w:val="000000"/>
        </w:rPr>
        <w:t xml:space="preserve">, the multifaceted nature of pain catastrophizing demands a multifaceted </w:t>
      </w:r>
      <w:r w:rsidR="004876C7">
        <w:rPr>
          <w:rStyle w:val="apple-tab-span"/>
          <w:color w:val="000000"/>
        </w:rPr>
        <w:t xml:space="preserve">explication </w:t>
      </w:r>
      <w:r w:rsidR="004F2D0B">
        <w:rPr>
          <w:rStyle w:val="apple-tab-span"/>
          <w:color w:val="000000"/>
        </w:rPr>
        <w:t xml:space="preserve">that highlights the key features of the construct while still accounting for the diversity of contributing mechanisms. </w:t>
      </w:r>
      <w:r w:rsidR="00E8055B">
        <w:rPr>
          <w:rStyle w:val="apple-tab-span"/>
          <w:color w:val="000000"/>
        </w:rPr>
        <w:t xml:space="preserve">In general, it is important to keep in mind that all proposed models of catastrophizing attempt to address, with slightly different conceptualizations, the tendency of individuals high in pain catastrophizing to experience exaggeratedly negative thoughts or feelings related to pain, to excessively ruminate on those </w:t>
      </w:r>
      <w:r w:rsidR="00E8055B">
        <w:rPr>
          <w:rStyle w:val="apple-tab-span"/>
          <w:color w:val="000000"/>
        </w:rPr>
        <w:lastRenderedPageBreak/>
        <w:t xml:space="preserve">thoughts and feelings, and to experience some degree of helplessness or maladaptive coping strategies when confronted with or anticipating pain. </w:t>
      </w:r>
      <w:r w:rsidR="004F2D0B">
        <w:rPr>
          <w:rStyle w:val="apple-tab-span"/>
          <w:color w:val="000000"/>
        </w:rPr>
        <w:t>As is the case with the relationship between cognition in exercise,</w:t>
      </w:r>
      <w:r w:rsidR="009D6B2A">
        <w:rPr>
          <w:rStyle w:val="apple-tab-span"/>
          <w:color w:val="000000"/>
        </w:rPr>
        <w:t xml:space="preserve"> </w:t>
      </w:r>
      <w:r w:rsidR="00977E5E">
        <w:rPr>
          <w:rStyle w:val="apple-tab-span"/>
          <w:color w:val="000000"/>
        </w:rPr>
        <w:t xml:space="preserve">context is important, and </w:t>
      </w:r>
      <w:r w:rsidR="009D6B2A">
        <w:rPr>
          <w:rStyle w:val="apple-tab-span"/>
          <w:color w:val="000000"/>
        </w:rPr>
        <w:t xml:space="preserve">current experimental approaches should highlight </w:t>
      </w:r>
      <w:r w:rsidR="00977E5E">
        <w:rPr>
          <w:rStyle w:val="apple-tab-span"/>
          <w:color w:val="000000"/>
        </w:rPr>
        <w:t xml:space="preserve">how </w:t>
      </w:r>
      <w:r w:rsidR="007422D9">
        <w:rPr>
          <w:rStyle w:val="apple-tab-span"/>
          <w:color w:val="000000"/>
        </w:rPr>
        <w:t xml:space="preserve">each </w:t>
      </w:r>
      <w:r w:rsidR="00977E5E">
        <w:rPr>
          <w:rStyle w:val="apple-tab-span"/>
          <w:color w:val="000000"/>
        </w:rPr>
        <w:t xml:space="preserve">research </w:t>
      </w:r>
      <w:r w:rsidR="007422D9">
        <w:rPr>
          <w:rStyle w:val="apple-tab-span"/>
          <w:color w:val="000000"/>
        </w:rPr>
        <w:t>paradigm</w:t>
      </w:r>
      <w:r w:rsidR="00977E5E">
        <w:rPr>
          <w:rStyle w:val="apple-tab-span"/>
          <w:color w:val="000000"/>
        </w:rPr>
        <w:t xml:space="preserve"> is related to the current frameworks and how </w:t>
      </w:r>
      <w:r w:rsidR="00E8055B">
        <w:rPr>
          <w:rStyle w:val="apple-tab-span"/>
          <w:color w:val="000000"/>
        </w:rPr>
        <w:t xml:space="preserve">biological, </w:t>
      </w:r>
      <w:r w:rsidR="00977E5E">
        <w:t>cognitive, emotional, and social factors interact and contribute to the experience and expression of pain catastrophizing</w:t>
      </w:r>
      <w:r w:rsidR="007422D9">
        <w:t xml:space="preserve"> within the context of the specific research question</w:t>
      </w:r>
      <w:r w:rsidR="00977E5E">
        <w:t>.</w:t>
      </w:r>
    </w:p>
    <w:p w14:paraId="7A1FE643" w14:textId="16E13505" w:rsidR="005610F6" w:rsidRPr="00A315EC" w:rsidRDefault="00DF4696" w:rsidP="007422D9">
      <w:pPr>
        <w:pStyle w:val="NormalWeb"/>
        <w:spacing w:before="0" w:beforeAutospacing="0" w:after="0" w:afterAutospacing="0" w:line="480" w:lineRule="auto"/>
      </w:pPr>
      <w:r w:rsidRPr="0054111C">
        <w:rPr>
          <w:rStyle w:val="apple-tab-span"/>
          <w:b/>
          <w:bCs/>
          <w:i/>
          <w:iCs/>
          <w:color w:val="000000"/>
        </w:rPr>
        <w:t>Attentional Dem</w:t>
      </w:r>
      <w:r w:rsidR="009D6B2A" w:rsidRPr="0054111C">
        <w:rPr>
          <w:rStyle w:val="apple-tab-span"/>
          <w:b/>
          <w:bCs/>
          <w:i/>
          <w:iCs/>
          <w:color w:val="000000"/>
        </w:rPr>
        <w:t>a</w:t>
      </w:r>
      <w:r w:rsidRPr="0054111C">
        <w:rPr>
          <w:rStyle w:val="apple-tab-span"/>
          <w:b/>
          <w:bCs/>
          <w:i/>
          <w:iCs/>
          <w:color w:val="000000"/>
        </w:rPr>
        <w:t>nds and Performance Decrement</w:t>
      </w:r>
      <w:r w:rsidR="004219F5">
        <w:rPr>
          <w:rStyle w:val="apple-tab-span"/>
          <w:b/>
          <w:bCs/>
          <w:i/>
          <w:iCs/>
          <w:color w:val="000000"/>
        </w:rPr>
        <w:t>s:</w:t>
      </w:r>
      <w:r w:rsidR="004219F5" w:rsidRPr="004219F5">
        <w:rPr>
          <w:rStyle w:val="apple-tab-span"/>
          <w:b/>
          <w:bCs/>
          <w:i/>
          <w:iCs/>
          <w:color w:val="000000"/>
        </w:rPr>
        <w:t xml:space="preserve"> </w:t>
      </w:r>
      <w:r w:rsidR="004219F5" w:rsidRPr="0054111C">
        <w:rPr>
          <w:rStyle w:val="apple-tab-span"/>
          <w:b/>
          <w:bCs/>
          <w:i/>
          <w:iCs/>
          <w:color w:val="000000"/>
        </w:rPr>
        <w:t xml:space="preserve">Catastrophizing in </w:t>
      </w:r>
      <w:r w:rsidR="004219F5">
        <w:rPr>
          <w:rStyle w:val="apple-tab-span"/>
          <w:b/>
          <w:bCs/>
          <w:i/>
          <w:iCs/>
          <w:color w:val="000000"/>
        </w:rPr>
        <w:t>Applied Settings</w:t>
      </w:r>
    </w:p>
    <w:p w14:paraId="3EABADF6" w14:textId="5377779C" w:rsidR="00187849" w:rsidRDefault="00D06FD2" w:rsidP="00BD7670">
      <w:pPr>
        <w:pBdr>
          <w:top w:val="nil"/>
          <w:left w:val="nil"/>
          <w:bottom w:val="nil"/>
          <w:right w:val="nil"/>
          <w:between w:val="nil"/>
        </w:pBdr>
        <w:spacing w:line="480" w:lineRule="auto"/>
        <w:ind w:firstLine="720"/>
        <w:rPr>
          <w:color w:val="000000"/>
        </w:rPr>
      </w:pPr>
      <w:r w:rsidRPr="00A315EC">
        <w:rPr>
          <w:color w:val="000000"/>
        </w:rPr>
        <w:t>Although attending to pain-related thoughts and stimuli is generally adaptive</w:t>
      </w:r>
      <w:r w:rsidR="009113C7">
        <w:rPr>
          <w:color w:val="000000"/>
        </w:rPr>
        <w:t xml:space="preserve"> </w:t>
      </w:r>
      <w:r w:rsidR="009113C7">
        <w:rPr>
          <w:color w:val="000000"/>
        </w:rPr>
        <w:fldChar w:fldCharType="begin"/>
      </w:r>
      <w:r w:rsidR="009113C7">
        <w:rPr>
          <w:color w:val="000000"/>
        </w:rPr>
        <w:instrText xml:space="preserve"> ADDIN ZOTERO_ITEM CSL_CITATION {"citationID":"JM3NICcX","properties":{"formattedCitation":"(Eccleston &amp; Crombez, 1999)","plainCitation":"(Eccleston &amp; Crombez, 1999)","noteIndex":0},"citationItems":[{"id":4327,"uris":["http://zotero.org/users/3430614/items/4QV88YAD"],"itemData":{"id":4327,"type":"article-journal","abstract":"Pain interrupts and demands attention. The authors review evidence for how and why this interruption of attention is achieved. The interruptive function of pain depends on the relationship between pain-related characteristics (e.g., the threat value of pain) and the characteristics of the environmental demands (e.g., emotional arousal). A model of the interruptive function of pain is developed that holds that pain is selected for action from within complex affective and motivational environments to urge escape. The implications of this model for research and therapy are outlined with an emphasis on the redefinition of chronic pain as chronic interruption. (PsycINFO Database Record (c) 2016 APA, all rights reserved)","container-title":"Psychological Bulletin","DOI":"10.1037/0033-2909.125.3.356","ISSN":"1939-1455","issue":"3","note":"publisher-place: US\npublisher: American Psychological Association","page":"356-366","source":"APA PsycNet","title":"Pain demands attention: A cognitive–affective model of the interruptive function of pain","title-short":"Pain demands attention","volume":"125","author":[{"family":"Eccleston","given":"Chris"},{"family":"Crombez","given":"Geert"}],"issued":{"date-parts":[["1999"]]}}}],"schema":"https://github.com/citation-style-language/schema/raw/master/csl-citation.json"} </w:instrText>
      </w:r>
      <w:r w:rsidR="009113C7">
        <w:rPr>
          <w:color w:val="000000"/>
        </w:rPr>
        <w:fldChar w:fldCharType="separate"/>
      </w:r>
      <w:r w:rsidR="009113C7">
        <w:rPr>
          <w:noProof/>
          <w:color w:val="000000"/>
        </w:rPr>
        <w:t>(Eccleston &amp; Crombez, 1999)</w:t>
      </w:r>
      <w:r w:rsidR="009113C7">
        <w:rPr>
          <w:color w:val="000000"/>
        </w:rPr>
        <w:fldChar w:fldCharType="end"/>
      </w:r>
      <w:r w:rsidRPr="00A315EC">
        <w:rPr>
          <w:color w:val="000000"/>
        </w:rPr>
        <w:t xml:space="preserve">, the capacity to suppress such cognitions is at times critical for allowing individuals to attend to other important environmental stimuli or ongoing tasks </w:t>
      </w:r>
      <w:r w:rsidR="009113C7">
        <w:rPr>
          <w:color w:val="000000"/>
        </w:rPr>
        <w:fldChar w:fldCharType="begin"/>
      </w:r>
      <w:r w:rsidR="009113C7">
        <w:rPr>
          <w:color w:val="000000"/>
        </w:rPr>
        <w:instrText xml:space="preserve"> ADDIN ZOTERO_ITEM CSL_CITATION {"citationID":"WpgIM9fA","properties":{"formattedCitation":"(Legrain, Damme, et al., 2009; Legrain et al., 2013; Legrain, Perchet, et al., 2009; Moore et al., 2012)","plainCitation":"(Legrain, Damme, et al., 2009; Legrain et al., 2013; Legrain, Perchet, et al., 2009; Moore et al., 2012)","noteIndex":0},"citationItems":[{"id":4392,"uris":["http://zotero.org/users/3430614/items/VPK4RELR"],"itemData":{"id":4392,"type":"article-journal","abstract":"An abstract is unavailable.","container-title":"PAIN","DOI":"10.1016/j.pain.2009.03.020","ISSN":"0304-3959","issue":"3","language":"en-US","page":"230–232","source":"journals.lww.com","title":"A neurocognitive model of attention to pain: Behavioral and neuroimaging evidence","title-short":"A neurocognitive model of attention to pain","volume":"144","author":[{"family":"Legrain","given":"Valéry"},{"family":"Damme","given":"Stefaan Van"},{"family":"Eccleston","given":"Christopher"},{"family":"Davis","given":"Karen D."},{"family":"Seminowicz","given":"David A."},{"family":"Crombez","given":"Geert"}],"issued":{"date-parts":[["2009",8]]}}},{"id":4389,"uris":["http://zotero.org/users/3430614/items/UTC4KIVH"],"itemData":{"id":4389,"type":"article-journal","abstract":"Because pain often signals the occurrence of potential tissue damage, nociceptive stimuli have the capacity to capture attention and interfere with ongoing cognitive activities. Working memory is known to guide the orientation of attention by maintaining goal priorities active during the achievement of a task. This study investigated whether the cortical processing of nociceptive stimuli and their ability to capture attention are under the control of working memory. Event-related brain potentials (ERPs) were recorded while participants performed primary tasks on visual targets that required or did not require rehearsal in working memory (1-back vs 0-back conditions). The visual targets were shortly preceded by task-irrelevant tactile stimuli. Occasionally, in order to distract the participants, the tactile stimuli were replaced by novel nociceptive stimuli. In the 0-back conditions, task performance was disrupted by the occurrence of the nociceptive distracters, as reflected by the increased reaction times in trials with novel nociceptive distracters as compared to trials with standard tactile distracters. In the 1-back conditions, such a difference disappeared suggesting that attentional capture and task disruption induced by nociceptive distracters were suppressed by working memory, regardless of task demands. Most importantly, in the conditions involving working memory, the magnitude of nociceptive ERPs, including ERP components at early latency, were significantly reduced. This indicates that working memory is able to modulate the cortical processing of nociceptive input already at its earliest stages, and could explain why working memory reduces consequently ability of nociceptive stimuli to capture attention and disrupt performance of the primary task. It is concluded that protecting cognitive processing against pain interference is best guaranteed by keeping out of working memory pain-related information.","container-title":"Cortex","DOI":"10.1016/j.cortex.2012.08.014","ISSN":"0010-9452","issue":"7","journalAbbreviation":"Cortex","language":"en","page":"1922-1934","source":"ScienceDirect","title":"Shielding cognition from nociception with working memory","volume":"49","author":[{"family":"Legrain","given":"Valéry"},{"family":"Crombez","given":"Geert"},{"family":"Plaghki","given":"Léon"},{"family":"Mouraux","given":"André"}],"issued":{"date-parts":[["2013",7,1]]}}},{"id":4398,"uris":["http://zotero.org/users/3430614/items/2TTQ264J"],"itemData":{"id":4398,"type":"article-journal","abstract":"Pain can involuntarily capture attention and disrupt pain-unrelated cognitive activities. The brain mechanisms of these effects were explored by laser- and visual-evoked potentials. Consecutive nociceptive laser stimuli and visual stimuli were delivered in pairs. Subjects were instructed to ignore nociceptive stimuli while performing a task on visual targets. Because involuntary attention is particularly sensitive to novelty, in some trials (17%), unexpected laser stimuli were delivered on a different hand area (location-deviant) relative to the more frequent standard laser stimuli. Compared with frequent standard laser stimuli, deviant stimuli enhanced all nociceptive-evoked brain potentials (laser N1, N2, P2a, P2b). Deviant laser stimuli also decreased the amplitude of late latency–evoked responses (visual N2-P3) to the subsequent visual targets and delayed reaction times to them. The data confirm that nociceptive processing competes with pain-unrelated cognitive activities for attentional resources and that concomitant nociceptive events affect behavior by depressing attention allocation to ongoing cognitive processing. The laser-evoked potential magnitude reflected the engagement of attention to the novel nociceptive stimuli. We conclude that the laser-evoked potentials index the activity of a neural system involved in the detection of novel salient stimuli in order to focus attention and prioritize action to potentially damaging dangers.","container-title":"Journal of Neurophysiology","DOI":"10.1152/jn.00372.2009","ISSN":"0022-3077, 1522-1598","issue":"4","journalAbbreviation":"Journal of Neurophysiology","language":"en","page":"2423-2434","source":"DOI.org (Crossref)","title":"Involuntary Orienting of Attention to Nociceptive Events: Neural and Behavioral Signatures","title-short":"Involuntary Orienting of Attention to Nociceptive Events","volume":"102","author":[{"family":"Legrain","given":"Valéry"},{"family":"Perchet","given":"Caroline"},{"family":"García-Larrea","given":"Luis"}],"issued":{"date-parts":[["2009",10]]}}},{"id":4402,"uris":["http://zotero.org/users/3430614/items/NIM45QPS"],"itemData":{"id":4402,"type":"article-journal","abstract":"Pain is known to disrupt attentional performance in both healthy adults and patients with chronic pain. Exactly which aspects of attentional function are affected are, however, still to be determined. The primary aim of this investigation was to systematically examine the effects of experimentally induced pain on a range of attentional performance tasks. Following a review of tests of attentional disruption, seven best candidate tasks were selected and examined across seven experiments. The tasks were: continuous performance, flanker, endogenous precueing, n-back, inhibition, attentional switching, and divided attention. Healthy adult participants performed each of these tasks under three different conditions: a painful heat sensation, a warm heat sensation, and a nonheat control. Pain differentially affected attentional performance across these tasks; pain-related attentional impairment was found on the n-back, attentional switching, and divided attention tasks, but not on the other tasks. This finding suggests that the aspects of attention most affected by pain are those essential for the completion of complex tasks that require the processing of multiple cues and control over attentional deployment. These results are discussed in the context of an emerging view of pain as a demand for executive control and the development of measures that could be used to examine attentional disruption in the context of pain.","container-title":"Quarterly Journal of Experimental Psychology","DOI":"10.1080/17470218.2011.626865","ISSN":"1747-0218","issue":"3","journalAbbreviation":"Quarterly Journal of Experimental Psychology","note":"publisher: SAGE Publications","page":"565-586","source":"SAGE Journals","title":"The Interruptive Effect of Pain on Attention","volume":"65","author":[{"family":"Moore","given":"David J."},{"family":"Keogh","given":"Edmund"},{"family":"Eccleston","given":"Christopher"}],"issued":{"date-parts":[["2012",3,1]]}}}],"schema":"https://github.com/citation-style-language/schema/raw/master/csl-citation.json"} </w:instrText>
      </w:r>
      <w:r w:rsidR="009113C7">
        <w:rPr>
          <w:color w:val="000000"/>
        </w:rPr>
        <w:fldChar w:fldCharType="separate"/>
      </w:r>
      <w:r w:rsidR="009113C7">
        <w:rPr>
          <w:noProof/>
          <w:color w:val="000000"/>
        </w:rPr>
        <w:t>(Legrain, Damme, et al., 2009; Legrain et al., 2013; Legrain, Perchet, et al., 2009; Moore et al., 2012)</w:t>
      </w:r>
      <w:r w:rsidR="009113C7">
        <w:rPr>
          <w:color w:val="000000"/>
        </w:rPr>
        <w:fldChar w:fldCharType="end"/>
      </w:r>
      <w:r w:rsidR="009113C7">
        <w:rPr>
          <w:color w:val="000000"/>
        </w:rPr>
        <w:t xml:space="preserve"> </w:t>
      </w:r>
      <w:r w:rsidRPr="00A315EC">
        <w:rPr>
          <w:color w:val="000000"/>
        </w:rPr>
        <w:t>(</w:t>
      </w:r>
      <w:proofErr w:type="spellStart"/>
      <w:r w:rsidRPr="00A315EC">
        <w:rPr>
          <w:color w:val="000000"/>
        </w:rPr>
        <w:t>Legrain</w:t>
      </w:r>
      <w:proofErr w:type="spellEnd"/>
      <w:r w:rsidRPr="00A315EC">
        <w:rPr>
          <w:color w:val="000000"/>
        </w:rPr>
        <w:t xml:space="preserve">, Damme, et al., 2009; </w:t>
      </w:r>
      <w:proofErr w:type="spellStart"/>
      <w:r w:rsidRPr="00A315EC">
        <w:rPr>
          <w:color w:val="000000"/>
        </w:rPr>
        <w:t>Legrain</w:t>
      </w:r>
      <w:proofErr w:type="spellEnd"/>
      <w:r w:rsidRPr="00A315EC">
        <w:rPr>
          <w:color w:val="000000"/>
        </w:rPr>
        <w:t xml:space="preserve"> et al., 2013; </w:t>
      </w:r>
      <w:proofErr w:type="spellStart"/>
      <w:r w:rsidRPr="00A315EC">
        <w:rPr>
          <w:color w:val="000000"/>
        </w:rPr>
        <w:t>Legrain</w:t>
      </w:r>
      <w:proofErr w:type="spellEnd"/>
      <w:r w:rsidRPr="00A315EC">
        <w:rPr>
          <w:color w:val="000000"/>
        </w:rPr>
        <w:t xml:space="preserve">, </w:t>
      </w:r>
      <w:proofErr w:type="spellStart"/>
      <w:r w:rsidRPr="00A315EC">
        <w:rPr>
          <w:color w:val="000000"/>
        </w:rPr>
        <w:t>Perchet</w:t>
      </w:r>
      <w:proofErr w:type="spellEnd"/>
      <w:r w:rsidRPr="00A315EC">
        <w:rPr>
          <w:color w:val="000000"/>
        </w:rPr>
        <w:t>, et al., 2009; Moore et al., 2012).</w:t>
      </w:r>
      <w:r w:rsidR="005610F6">
        <w:rPr>
          <w:color w:val="000000"/>
        </w:rPr>
        <w:t xml:space="preserve"> Like </w:t>
      </w:r>
      <w:r w:rsidR="007F4787">
        <w:rPr>
          <w:color w:val="000000"/>
        </w:rPr>
        <w:t>maintaining</w:t>
      </w:r>
      <w:r w:rsidR="005610F6">
        <w:rPr>
          <w:color w:val="000000"/>
        </w:rPr>
        <w:t xml:space="preserve"> high levels of physical performance and executive function, the ability to divert thoughts away from physical discomfort is often required in safety-sensitive and athletic populations</w:t>
      </w:r>
      <w:r w:rsidR="00374F9B">
        <w:rPr>
          <w:color w:val="000000"/>
        </w:rPr>
        <w:t>.</w:t>
      </w:r>
    </w:p>
    <w:p w14:paraId="59ADA656" w14:textId="5B602C71" w:rsidR="00FA1F40" w:rsidRDefault="00FA1F40" w:rsidP="00FA1F40">
      <w:pPr>
        <w:pBdr>
          <w:top w:val="nil"/>
          <w:left w:val="nil"/>
          <w:bottom w:val="nil"/>
          <w:right w:val="nil"/>
          <w:between w:val="nil"/>
        </w:pBdr>
        <w:spacing w:line="480" w:lineRule="auto"/>
        <w:ind w:firstLine="720"/>
        <w:rPr>
          <w:color w:val="000000"/>
        </w:rPr>
      </w:pPr>
      <w:r>
        <w:rPr>
          <w:color w:val="000000"/>
        </w:rPr>
        <w:t>While it is perhaps counterintuitive to some that pain catastrophizing would be common enough in individuals employed in settings known for involving frequent experience of discomfort to warrant further inquiry, there is a wealth of evidence demonstrating the presence of pain catastrophizing i</w:t>
      </w:r>
      <w:r w:rsidRPr="0054111C">
        <w:rPr>
          <w:color w:val="000000"/>
        </w:rPr>
        <w:t>n military</w:t>
      </w:r>
      <w:r w:rsidR="009113C7">
        <w:rPr>
          <w:color w:val="000000"/>
        </w:rPr>
        <w:t xml:space="preserve"> </w:t>
      </w:r>
      <w:r w:rsidR="009113C7">
        <w:rPr>
          <w:color w:val="000000"/>
        </w:rPr>
        <w:fldChar w:fldCharType="begin"/>
      </w:r>
      <w:r w:rsidR="00422412">
        <w:rPr>
          <w:color w:val="000000"/>
        </w:rPr>
        <w:instrText xml:space="preserve"> ADDIN ZOTERO_ITEM CSL_CITATION {"citationID":"KsT3jROz","properties":{"formattedCitation":"(Ciccone et al., 2010; Judkins et al., 2022; Kegel et al., 2023; Schaaf et al., 2023; Spevak &amp; Buckenmaier, 2011)","plainCitation":"(Ciccone et al., 2010; Judkins et al., 2022; Kegel et al., 2023; Schaaf et al., 2023; Spevak &amp; Buckenmaier, 2011)","noteIndex":0},"citationItems":[{"id":4503,"uris":["http://zotero.org/users/3430614/items/UAH9EKUA"],"itemData":{"id":4503,"type":"article-journal","abstract":"Objectives \n        Catastrophic appraisal has been implicated as a possible cause of psychiatric morbidity, psychological distress, and physical impairment in individuals with chronic pain. At issue in this study was whether catastrophizing was associated with psychiatric morbidity in a population sample of National Guard members. In addition, we sought to determine whether it could account for individual differences in psychological distress and impaired physical function in the presence of acute and chronic pain.\n        Methods \n        We performed a secondary analysis of an existing survey database. The original survey was designed to assess combat readiness in a population sample of 2995 National Guard troops about to deploy overseas. The database included screening instruments for psychiatric illness as well as continuous measures of psychological distress, pain perception, pain catastrophizing, and perceived physical function.\n        Results \n        Among Guard members reporting a problem with pain, frequent catastrophizing was associated with higher rates of depression, posttraumatic stress, alcohol dependence, and somatization-like illness. Higher rates were also associated with chronic as opposed to acute pain (except for alcohol dependence). Pain-related catastrophizing accounted for substantial variance in measures of psychological distress and physical impairment regardless of pain duration.\n        Discussion \n        Although catastrophizing beliefs are common in clinical settings, this study suggests that the phenomenon may be prevalent in the population at large and likely to influence the outcome of acute as well as chronic pain.","container-title":"The Clinical Journal of Pain","DOI":"10.1097/AJP.0b013e3181e724e8","ISSN":"0749-8047","issue":"8","language":"en-US","page":"712–721","source":"journals-lww-com.ezproxy.lib.ou.edu","title":"Catastrophic Appraisal of Acute and Chronic Pain in a Population Sample of New Jersey National Guard Troops","volume":"26","author":[{"family":"Ciccone","given":"Donald S."},{"family":"Chandler","given":"Helena K."},{"family":"Kline","given":"Anna"}],"issued":{"date-parts":[["2010",10]]}}},{"id":4517,"uris":["http://zotero.org/users/3430614/items/HSCSEG5X"],"itemData":{"id":4517,"type":"article-journal","abstract":"Numerous stressors during Army Basic Combat Training can elevate pain. Previous research has shown that disrupted sleep may increase pain and pain catastrophizing. The purpose of this study is to examine the interrelationships between pain catastrophizing, sleep duration, sleep quality, and pain intensity in a military population. Measures included three standardized self-report instruments related to sleep and pain intensity. Linear mixed-model mediation analyses evaluated the direct effect of sleep on pain intensity and the indirect effect of pain catastrophizing on pain intensity. Participants (N = 478, 57.7% male, 20.8 ± 3.96 years) averaged 6.39 ± 1.01 h of sleep per night and reported mild pain intensity ratings of 3.4 ± 2.02. Significant main effects of sleep duration (b = −0.23) and quality (b = 0.11) on pain intensity (p &lt; 0.0001) were observed, however pain catastrophizing did not mediate these relationships (p = 0.30 and p = 0.12). Overall, data suggest that female trainees with poorer sleep quality also report greater levels of pain, a relationship that was significantly mediated by pain catastrophizing. Female trainees also reported greater levels of pain intensity and rumination, which reflects observations made within the general population.","container-title":"Military Behavioral Health","DOI":"10.1080/21635781.2022.2067918","ISSN":"2163-5781","issue":"0","note":"publisher: Routledge\n_eprint: https://doi.org/10.1080/21635781.2022.2067918","page":"1-8","source":"Taylor and Francis+NEJM","title":"Mediating Effects of Pain Catastrophizing on Sleep and Pain Intensity in Army Basic Trainees","volume":"0","author":[{"family":"Judkins","given":"Jason L."},{"family":"Merkle","given":"Shannon"},{"family":"Taylor","given":"Kathryn"},{"family":"Roberts","given":"Brandon M."},{"family":"Ritland","given":"Bradley M."},{"family":"Foulis","given":"Stephen A."},{"family":"Hughes","given":"Julie"},{"family":"Heaton","given":"Kristin J."}],"issued":{"date-parts":[["2022",5,5]]}}},{"id":5057,"uris":["http://zotero.org/users/3430614/items/YBRNLKXQ"],"itemData":{"id":5057,"type":"article-journal","abstract":"INTRODUCTION: Chronic pain and associated interference with daily activities are common in the military and impact Force readiness. Chronic pain affects one-third of service members and is a leading cause of medical non-readiness (MNR) in the military. Research suggests that underlying psychological mechanisms related to trait coping styles and pain interference (PI) affect functional outcomes, but little research exists examining this relationship within an Army population. The purpose of this study was to examine the combined effects of PI and coping on U.S. Army soldier readiness by using annual well-being data from the Global Assessment Tool (GAT) and medical non-readiness (MNR) based on duty restriction records.\nMETHODS: The sample comprised 866,379 soldiers who completed the GAT between 2014 and 2017 with no duty restrictions at the time of baseline GAT completion; subjects were observed through 2018 for duty restrictions. Parametric survival regression models with a Weibull distribution predicted demographic-adjusted hazards of MNR by dichotomized PI (no PI/PI) and beneficial/non-beneficial use of GAT coping components (good coping, bad coping, catastrophizing-flexibility, and catastrophizing-hopelessness). Incident MNR was evaluated for all duty restrictions, and stratified by selected body systems (upper extremity, lower extremity, psychiatric).\nRESULTS: Among soldiers with PI, hazards were higher in those reporting non-beneficial coping styles (bad coping, hopelessness) and lower in those reporting beneficial coping styles (good coping, flexibility). Across all coping styles, PI/coping interactions were particularly strong for catastrophizing-hopelessness and when examining MNR from psychiatric conditions.\nDISCUSSION: These findings suggest some synergistic associations between pain and coping that may impact pain-related occupational disability. Coping skills may be an effective interventional target for chronic pain reduction/prevention within military programs, such as the Master Resilience Training Course offered to soldiers in the Army. Further research should assess whether early coping style interventions can reduce pain-related outcomes.","container-title":"Frontiers in Pain Research (Lausanne, Switzerland)","DOI":"10.3389/fpain.2023.1175574","ISSN":"2673-561X","journalAbbreviation":"Front Pain Res (Lausanne)","language":"eng","note":"PMID: 37654909\nPMCID: PMC10465792","page":"1175574","source":"PubMed","title":"The combined effects of coping and pain interference on army readiness","volume":"4","author":[{"family":"Kegel","given":"Jessica L."},{"family":"Kazman","given":"Josh B."},{"family":"Clifton","given":"Daniel R."},{"family":"Emanuele","given":"Peter"},{"family":"Nelson","given":"D. Alan"},{"family":"Deuster","given":"Patricia A."}],"issued":{"date-parts":[["2023"]]}}},{"id":5054,"uris":["http://zotero.org/users/3430614/items/HGUPNE52"],"itemData":{"id":5054,"type":"article-journal","abstract":"CONTEXT: Pain catastrophizing is characterized by negative emotional and cognitive responses to pain and is a predictor of work-related disability. Its association with military medical disability has not been studied.\nOBJECTIVE: To (1) identify the pain catastrophizing scale (PCS) score cut point most strongly associated with military medical disability, (2) measure the difference in rate of disability between service members with baseline PCS scores above versus below the cut point, and (3) determine if improvement in PCS score during pain specialty care is associated with decreased likelihood of disability.\nMETHODS: This was a retrospective cohort analysis comparing PCS scores collected from US Army active duty service members at time of initial visit to an interdisciplinary pain management center and periodically during pain treatment. Outcome was determination during the following year of a military service-disqualifying disability.\nRESULTS: Receiver operating characteristic (ROC) curves determined that a PCS score of 20 was the single cut point most closely associated with subsequent disability. Kaplan-Meier curves showed significantly higher disability rate during the following year among those with baseline PCS scores ≥20 (52%) compared to those with lower scores (26%). Scheffe-adjusted contrasts showed that service members with PCS scores ≥20 whose scores improved to &lt;20 at follow-up were significantly less likely to have a medical disability (42.6%; 95% CI, 0.07-0.58) than those whose PCS score remained ≥20 (76.3%; 95% CI, 68.0%-84.7%).\nCONCLUSION: A PCS score cut point of 20 distinguishes between high versus low likelihood of disability among service members. Those with high baseline PCS score had twice the likelihood of disability than those with low scores. Service members who decreased their PCS score from high to low during pain specialty care had lower likelihood of disability. Prospective research is needed to determine if treatments that lower pain catastrophizing yield reduced likelihood of subsequent disability.","container-title":"Journal of Pain Research","DOI":"10.2147/JPR.S400313","ISSN":"1178-7090","journalAbbreviation":"J Pain Res","language":"eng","note":"PMID: 37965277\nPMCID: PMC10642487","page":"3837-3852","source":"PubMed","title":"Pain Catastrophizing and Its Association with Military Medical Disability Among US Active Duty Service Members with Chronic Predominately Musculoskeletal Pain: A Retrospective Cohort Analysis","title-short":"Pain Catastrophizing and Its Association with Military Medical Disability Among US Active Duty Service Members with Chronic Predominately Musculoskeletal Pain","volume":"16","author":[{"family":"Schaaf","given":"Sherrill"},{"family":"Flynn","given":"Diane M."},{"family":"Steffen","given":"Alana D."},{"family":"Ransom","given":"Jeffrey"},{"family":"Doorenbos","given":"Ardith"}],"issued":{"date-parts":[["2023"]]}}},{"id":4080,"uris":["http://zotero.org/users/3430614/items/J3H852G6"],"itemData":{"id":4080,"type":"article-journal","abstract":"Combat-related injuries have been well documented for centuries. More recently, injuries suffered by US service members in Iraq and Afghanistan have resulted in a high number of survivable conditions. Polytrauma care in this setting must take into account both the physical and psychological injuries suffered by returning wounded warriors. Catastrophizing may occur when previously healthy individuals are faced with impairment and disfigurement. This is compounded with repeated operative procedures. Early detection and treatment of catastrophizing contributes to improved care of the wounded warrior. This article describes our experiences at Walter Reed Army Medical Center with catastrophizing in US service members returning from the current military operations in Iraq and Afghanistan.","container-title":"Current Pain and Headache Reports","DOI":"10.1007/s11916-011-0173-7","ISSN":"1531-3433, 1534-3081","issue":"2","journalAbbreviation":"Curr Pain Headache Rep","language":"en","page":"124-128","source":"DOI.org (Crossref)","title":"Catastrophizing and Pain in Military Personnel","volume":"15","author":[{"family":"Spevak","given":"Christopher"},{"family":"Buckenmaier","given":"Chester"}],"issued":{"date-parts":[["2011",4]]}}}],"schema":"https://github.com/citation-style-language/schema/raw/master/csl-citation.json"} </w:instrText>
      </w:r>
      <w:r w:rsidR="009113C7">
        <w:rPr>
          <w:color w:val="000000"/>
        </w:rPr>
        <w:fldChar w:fldCharType="separate"/>
      </w:r>
      <w:r w:rsidR="00422412">
        <w:rPr>
          <w:noProof/>
          <w:color w:val="000000"/>
        </w:rPr>
        <w:t>(Ciccone et al., 2010; Judkins et al., 2022; Kegel et al., 2023; Schaaf et al., 2023; Spevak &amp; Buckenmaier, 2011)</w:t>
      </w:r>
      <w:r w:rsidR="009113C7">
        <w:rPr>
          <w:color w:val="000000"/>
        </w:rPr>
        <w:fldChar w:fldCharType="end"/>
      </w:r>
      <w:r w:rsidRPr="0054111C">
        <w:rPr>
          <w:color w:val="000000"/>
        </w:rPr>
        <w:t xml:space="preserve"> athletics </w:t>
      </w:r>
      <w:r w:rsidR="00422412">
        <w:rPr>
          <w:color w:val="000000"/>
        </w:rPr>
        <w:fldChar w:fldCharType="begin"/>
      </w:r>
      <w:r w:rsidR="00422412">
        <w:rPr>
          <w:color w:val="000000"/>
        </w:rPr>
        <w:instrText xml:space="preserve"> ADDIN ZOTERO_ITEM CSL_CITATION {"citationID":"zPfgjaCH","properties":{"formattedCitation":"(Gagnon-Dolbec et al., 2021; Paparizos et al., 2005; Sciascia et al., 2020; Sullivan et al., 2000)","plainCitation":"(Gagnon-Dolbec et al., 2021; Paparizos et al., 2005; Sciascia et al., 2020; Sullivan et al., 2000)","noteIndex":0},"citationItems":[{"id":4976,"uris":["http://zotero.org/users/3430614/items/G6RVVBFB"],"itemData":{"id":4976,"type":"article-journal","abstract":"Objective\nTriathletes represent a growing and unique population of individuals willing to endure significant mental and physical stress to practice the sport they love. However, little is known about the pain experienced while training for and competing in a triathlon and how psychological factors influence this experience. This study will assess pain experienced by triathletes in training and competition, and investigate the association between pain catastrophizing and pain expectations with triathlon pain intensity and pain unpleasantness.\nDesign\nIn this observational study, a sample of 261 triathletes completed two online surveys before and after participating in a triathlon.\nResults\nModerate levels of pain intensity and pain unpleasantness were reported during training and competition. Pain catastrophizing was positively associated with expected and actual triathlon pain unpleasantness, but not with pain intensity. Expected pain intensity was also significantly associated with pain intensity experienced while competing, whereas expected pain unpleasantness was significantly related to both triathlon pain intensity and unpleasantness. Finally, regression analysis revealed pain catastrophizing and pain expectations to be unique predictors of triathlon pain intensity and pain unpleasantness.\nConclusion\nThis study highlights the important role of psychological factors in triathletes' experience of pain and could eventually help tailor interventions aimed at improving the practice of triathlon.","container-title":"Psychology of Sport and Exercise","DOI":"10.1016/j.psychsport.2021.101928","ISSN":"1469-0292","journalAbbreviation":"Psychology of Sport and Exercise","page":"101928","source":"ScienceDirect","title":"Pain intensity and pain unpleasantness in triathletes: A study examining their associations with pain catastrophizing and pain expectations","title-short":"Pain intensity and pain unpleasantness in triathletes","volume":"55","author":[{"family":"Gagnon-Dolbec","given":"Alexis"},{"family":"Fortier","given":"Michelle"},{"family":"Cormier","given":"Stéphanie"}],"issued":{"date-parts":[["2021",7,1]]}}},{"id":5060,"uris":["http://zotero.org/users/3430614/items/7PMMB8MT"],"itemData":{"id":5060,"type":"article-journal","abstract":"A ballet dancer is a combination of an artist and a high-performance athlete (Leanderson et al., 1996) that endures physical and mental stress similar to other athletes during training and performance (e.g., varsity runners; Encarnacion et al., 2001). Like athletes in competitive sports, ballet dancers perform in highly demanding environments, with risk of physical injury (Patterson, Smith, &amp; Everett, 1998). In spite of increased risk of injury and pain, pain experience research is sparse in dancers and warrants further research into this athletic art form (Encarnacion et al.). In the current study, catastrophizing and pain perception were compared in recreational ballet dancers and a control sample. Women participants (N = 73; M age = 20.11, SD = 0.24) completed a dance history to establish skill level, followed by measures of catastrophizing and mood. A cold pressor task was performed, where tolerance, intensity, sensory, and affective pain reports were obtained. Magnification, a catastrophizing subscale, was a significant correlate and predictor of pain in dancers, while helplessness, another catastrophizing subscale, and total catastrophizing were significant correlates and predictors of pain in controls. High-skill dancers (M years training = 15.24, SD = 0.58) had higher pain tolerance than low-skill (M years training = 4.36, SD = 0.65) and non-dancers, however scores were significantly higher across all dancers compared to controls. Implications and future research investigating the pain experience in specific samples of athletes across skill are discussed. (PsycINFO Database Record (c) 2016 APA, all rights reserved)","container-title":"Journal of Sport Behavior","ISSN":"0162-7341","issue":"1","note":"publisher-place: US\npublisher: University of South Alabama","page":"35-50","source":"APA PsycNet","title":"Catastrophizing and Pain Perception in Recreational Ballet Dancers","volume":"28","author":[{"family":"Paparizos","given":"Andrea L."},{"family":"Tripp","given":"Dean A."},{"family":"Sullivan","given":"Michael J. L."},{"family":"Rubenstein","given":"Maya L."}],"issued":{"date-parts":[["2005"]]}}},{"id":4528,"uris":["http://zotero.org/users/3430614/items/CUA968MQ"],"itemData":{"id":4528,"type":"article-journal","abstract":"Background: Pain is the most common patient-reported symptom but the perception of pain is complex, differs between individuals and is not directly proportional to the extent of injury. The relationship between aberrant pain coping strategies such as pain catastrophizing and the presence of pain in competitive athletes should be further established to employ the most optimal treatment. Hypothesis: The hypotheses were that numeric pain rating and pain catastrophizing (Pain Catastrophizing Scale, PCS) scores would have a moderate to strong relationship in college athletes, and athletes with either a current injury or previous injury, or playing with pain, would have significantly higher pain catastrophizing scores compared with noninjured/nonpainful athletes. Study Design: Cross-sectional study. Level of Evidence: III. Methods: College athletes completed a demographic form, injury questionnaire, numeric pain rating, and the PCS. All athletes were medically cleared for sports participation at the time of survey completion. A total PCS score was calculated in addition to a rumination, magnification, and helplessness score. Spearman rank was utilized to measure the strength of relationship between the PCS score and pain rating. Results: A total of 291 athletes from 15 different sports completed the questionnaires (males: 156, females: 135; age: 19 [2] y). Negligible correlations existed between the PCS score and pain (r =.27). Athletes who were currently injured or previously injured had significantly higher PCS scores compared with uninjured athletes (P &lt;.01). Conclusions: Approximately one-third of college athletes reported playing injured and/or with pain, but the relationship between pain rating and PCS score was negligible. The individualistic nature of pain perception and coping strategies would suggest that clinicians may want to consider screening for pain catastrophizing either prior to athletic participation or for athletes not following an expected recovery after injury in an effort to enhance individualized patient care. ABSTRACT FROM AUTHOR","container-title":"Journal of Sport Rehabilitation","ISSN":"10566716","issue":"2","page":"168-173","source":"EBSCOhost","title":"Pain Catastrophizing in College Athletes","volume":"29","author":[{"family":"Sciascia","given":"Aaron"},{"family":"Waldecker","given":"Jacob"},{"family":"Jacobs","given":"Cale"}],"issued":{"date-parts":[["2020",2]]}}},{"id":4491,"uris":["http://zotero.org/users/3430614/items/Z59JLYNM"],"itemData":{"id":4491,"type":"article-journal","abstract":"1 This research examined gender differences in catastrophizing and pain in 80 healthy students (42 women, 38 men)","container-title":"Cognitive Therapy and Research,","page":"121–134","source":"CiteSeer","title":"Gender differences in pain and pain behavior: The role of catastrophizing.","title-short":"Gender differences in pain and pain behavior","author":[{"family":"Sullivan","given":"Michael J. L."},{"family":"Tripp","given":"Dean A."},{"family":"Santor","given":"Darcy"}],"issued":{"date-parts":[["2000"]]}}}],"schema":"https://github.com/citation-style-language/schema/raw/master/csl-citation.json"} </w:instrText>
      </w:r>
      <w:r w:rsidR="00422412">
        <w:rPr>
          <w:color w:val="000000"/>
        </w:rPr>
        <w:fldChar w:fldCharType="separate"/>
      </w:r>
      <w:r w:rsidR="00422412">
        <w:rPr>
          <w:noProof/>
          <w:color w:val="000000"/>
        </w:rPr>
        <w:t>(Gagnon-Dolbec et al., 2021; Paparizos et al., 2005; Sciascia et al., 2020; Sullivan et al., 2000)</w:t>
      </w:r>
      <w:r w:rsidR="00422412">
        <w:rPr>
          <w:color w:val="000000"/>
        </w:rPr>
        <w:fldChar w:fldCharType="end"/>
      </w:r>
      <w:r w:rsidR="00422412">
        <w:rPr>
          <w:color w:val="000000"/>
        </w:rPr>
        <w:t>.</w:t>
      </w:r>
      <w:r>
        <w:rPr>
          <w:color w:val="000000"/>
        </w:rPr>
        <w:t xml:space="preserve"> </w:t>
      </w:r>
    </w:p>
    <w:p w14:paraId="36799C38" w14:textId="7EDF4419" w:rsidR="00BD4725" w:rsidRDefault="00FA1F40" w:rsidP="00BD4725">
      <w:pPr>
        <w:pBdr>
          <w:top w:val="nil"/>
          <w:left w:val="nil"/>
          <w:bottom w:val="nil"/>
          <w:right w:val="nil"/>
          <w:between w:val="nil"/>
        </w:pBdr>
        <w:spacing w:line="480" w:lineRule="auto"/>
        <w:ind w:firstLine="720"/>
        <w:rPr>
          <w:color w:val="000000"/>
        </w:rPr>
      </w:pPr>
      <w:r>
        <w:rPr>
          <w:color w:val="000000" w:themeColor="text1"/>
        </w:rPr>
        <w:t>In military samples</w:t>
      </w:r>
      <w:r w:rsidRPr="00A315EC">
        <w:rPr>
          <w:color w:val="000000" w:themeColor="text1"/>
        </w:rPr>
        <w:t>,</w:t>
      </w:r>
      <w:r w:rsidRPr="00A315EC">
        <w:rPr>
          <w:color w:val="000000"/>
        </w:rPr>
        <w:t xml:space="preserve"> there </w:t>
      </w:r>
      <w:r w:rsidR="009472F7">
        <w:rPr>
          <w:color w:val="000000"/>
        </w:rPr>
        <w:t xml:space="preserve">is </w:t>
      </w:r>
      <w:r w:rsidRPr="00A315EC">
        <w:rPr>
          <w:color w:val="000000"/>
        </w:rPr>
        <w:t xml:space="preserve">evidence to indicate that pain catastrophizing can be an important factor in chronic pain </w:t>
      </w:r>
      <w:r>
        <w:rPr>
          <w:color w:val="000000"/>
        </w:rPr>
        <w:t xml:space="preserve">experienced during service </w:t>
      </w:r>
      <w:r w:rsidRPr="00A315EC">
        <w:rPr>
          <w:color w:val="000000"/>
        </w:rPr>
        <w:t>(Ciccone et al., 2010</w:t>
      </w:r>
      <w:r>
        <w:rPr>
          <w:color w:val="000000"/>
        </w:rPr>
        <w:t xml:space="preserve">; Schaaf et al., </w:t>
      </w:r>
      <w:r>
        <w:rPr>
          <w:color w:val="000000"/>
        </w:rPr>
        <w:lastRenderedPageBreak/>
        <w:t>2023</w:t>
      </w:r>
      <w:r w:rsidRPr="00A315EC">
        <w:rPr>
          <w:color w:val="000000"/>
        </w:rPr>
        <w:t xml:space="preserve">), poorer outcomes following traumatic brain injury (Hoffman et al., 2019), </w:t>
      </w:r>
      <w:r w:rsidR="00422412">
        <w:rPr>
          <w:color w:val="000000"/>
        </w:rPr>
        <w:fldChar w:fldCharType="begin"/>
      </w:r>
      <w:r w:rsidR="00422412">
        <w:rPr>
          <w:color w:val="000000"/>
        </w:rPr>
        <w:instrText xml:space="preserve"> ADDIN ZOTERO_ITEM CSL_CITATION {"citationID":"D7vwA8Pj","properties":{"formattedCitation":"(Hoffman et al., 2019)","plainCitation":"(Hoffman et al., 2019)","noteIndex":0},"citationItems":[{"id":4513,"uris":["http://zotero.org/users/3430614/items/8J7HC4MG"],"itemData":{"id":4513,"type":"article-journal","container-title":"Journal of Head Trauma Rehabilitation","DOI":"10.1097/HTR.0000000000000453","ISSN":"0885-9701","issue":"4","language":"en","page":"E61-E66","source":"DOI.org (Crossref)","title":"The Role of Pain Catastrophizing in Cognitive Functioning Among Veterans With a History of Mild Traumatic Brain Injury","volume":"34","author":[{"family":"Hoffman","given":"Samantha N."},{"family":"Herbert","given":"Matthew S."},{"family":"Crocker","given":"Laura D."},{"family":"DeFord","given":"Nicole E."},{"family":"Keller","given":"Amber V."},{"family":"Jurick","given":"Sarah M."},{"family":"Sanderson-Cimino","given":"Mark"},{"family":"Jak","given":"Amy J."}],"issued":{"date-parts":[["2019",7]]}}}],"schema":"https://github.com/citation-style-language/schema/raw/master/csl-citation.json"} </w:instrText>
      </w:r>
      <w:r w:rsidR="00422412">
        <w:rPr>
          <w:color w:val="000000"/>
        </w:rPr>
        <w:fldChar w:fldCharType="separate"/>
      </w:r>
      <w:r w:rsidR="00422412">
        <w:rPr>
          <w:noProof/>
          <w:color w:val="000000"/>
        </w:rPr>
        <w:t>(Hoffman et al., 2019)</w:t>
      </w:r>
      <w:r w:rsidR="00422412">
        <w:rPr>
          <w:color w:val="000000"/>
        </w:rPr>
        <w:fldChar w:fldCharType="end"/>
      </w:r>
      <w:r w:rsidRPr="00A315EC">
        <w:rPr>
          <w:color w:val="000000"/>
        </w:rPr>
        <w:t xml:space="preserve">or psychological distress (Ciccone &amp; Kline, 2012) for currently-serving National Guard (Ciccone et al., 2010) or other </w:t>
      </w:r>
      <w:r>
        <w:rPr>
          <w:color w:val="000000"/>
        </w:rPr>
        <w:t xml:space="preserve">active-duty </w:t>
      </w:r>
      <w:r w:rsidRPr="00A315EC">
        <w:rPr>
          <w:color w:val="000000"/>
        </w:rPr>
        <w:t>military members and veterans (</w:t>
      </w:r>
      <w:proofErr w:type="spellStart"/>
      <w:r w:rsidRPr="00A315EC">
        <w:rPr>
          <w:color w:val="000000"/>
        </w:rPr>
        <w:t>Spevak</w:t>
      </w:r>
      <w:proofErr w:type="spellEnd"/>
      <w:r w:rsidRPr="00A315EC">
        <w:rPr>
          <w:color w:val="000000"/>
        </w:rPr>
        <w:t xml:space="preserve"> &amp; </w:t>
      </w:r>
      <w:proofErr w:type="spellStart"/>
      <w:r w:rsidRPr="00A315EC">
        <w:rPr>
          <w:color w:val="000000"/>
        </w:rPr>
        <w:t>Buckenmaier</w:t>
      </w:r>
      <w:proofErr w:type="spellEnd"/>
      <w:r w:rsidRPr="00A315EC">
        <w:rPr>
          <w:color w:val="000000"/>
        </w:rPr>
        <w:t xml:space="preserve">, 2011). </w:t>
      </w:r>
      <w:r>
        <w:rPr>
          <w:color w:val="000000"/>
        </w:rPr>
        <w:t xml:space="preserve">Importantly, </w:t>
      </w:r>
      <w:r w:rsidR="007F4787">
        <w:rPr>
          <w:color w:val="000000"/>
        </w:rPr>
        <w:t xml:space="preserve">it </w:t>
      </w:r>
      <w:r>
        <w:rPr>
          <w:color w:val="000000"/>
        </w:rPr>
        <w:t>has been demonstrated to be present in these populations even in the absence of existing pain-related conditions</w:t>
      </w:r>
      <w:r w:rsidR="00BD4725">
        <w:rPr>
          <w:color w:val="000000"/>
        </w:rPr>
        <w:t>, and t</w:t>
      </w:r>
      <w:r>
        <w:rPr>
          <w:color w:val="000000"/>
        </w:rPr>
        <w:t xml:space="preserve">here is evidence to indicate that </w:t>
      </w:r>
      <w:r w:rsidR="009472F7">
        <w:rPr>
          <w:color w:val="000000"/>
        </w:rPr>
        <w:t xml:space="preserve">it </w:t>
      </w:r>
      <w:r w:rsidRPr="00A315EC">
        <w:rPr>
          <w:color w:val="000000"/>
        </w:rPr>
        <w:t xml:space="preserve">could be a key </w:t>
      </w:r>
      <w:r w:rsidR="009472F7">
        <w:rPr>
          <w:color w:val="000000"/>
        </w:rPr>
        <w:t>barrier to entry,</w:t>
      </w:r>
      <w:r w:rsidRPr="00A315EC">
        <w:rPr>
          <w:color w:val="000000"/>
        </w:rPr>
        <w:t xml:space="preserve"> preventing specific individuals from making it through the initial training periods (Judkins et al., 2022). </w:t>
      </w:r>
    </w:p>
    <w:p w14:paraId="4CC3F887" w14:textId="4A714781" w:rsidR="00FA1F40" w:rsidRDefault="00FA1F40" w:rsidP="00BD4725">
      <w:pPr>
        <w:pBdr>
          <w:top w:val="nil"/>
          <w:left w:val="nil"/>
          <w:bottom w:val="nil"/>
          <w:right w:val="nil"/>
          <w:between w:val="nil"/>
        </w:pBdr>
        <w:spacing w:line="480" w:lineRule="auto"/>
        <w:ind w:firstLine="720"/>
        <w:rPr>
          <w:color w:val="000000"/>
        </w:rPr>
      </w:pPr>
      <w:r w:rsidRPr="00A315EC">
        <w:rPr>
          <w:color w:val="000000"/>
        </w:rPr>
        <w:t xml:space="preserve">Furthermore, as these occupations are also more likely to </w:t>
      </w:r>
      <w:r w:rsidRPr="00A315EC">
        <w:rPr>
          <w:color w:val="000000" w:themeColor="text1"/>
        </w:rPr>
        <w:t xml:space="preserve">entail </w:t>
      </w:r>
      <w:r w:rsidR="009472F7">
        <w:rPr>
          <w:color w:val="000000" w:themeColor="text1"/>
        </w:rPr>
        <w:t xml:space="preserve">an </w:t>
      </w:r>
      <w:r w:rsidRPr="00A315EC">
        <w:rPr>
          <w:color w:val="000000"/>
        </w:rPr>
        <w:t xml:space="preserve">increased risk of injury, exposure to extreme conditions or on-the-job hazards, and higher rates of psychological distress, </w:t>
      </w:r>
      <w:r w:rsidRPr="00A315EC">
        <w:rPr>
          <w:color w:val="000000" w:themeColor="text1"/>
        </w:rPr>
        <w:t xml:space="preserve">those engaging in safety-sensitive or physically demanding work </w:t>
      </w:r>
      <w:r w:rsidRPr="00A315EC">
        <w:rPr>
          <w:color w:val="000000"/>
        </w:rPr>
        <w:t xml:space="preserve">may be at increased risk of experiencing conditions that are associated with the development or exacerbation of pain catastrophizing </w:t>
      </w:r>
      <w:proofErr w:type="gramStart"/>
      <w:r w:rsidRPr="00A315EC">
        <w:rPr>
          <w:color w:val="000000"/>
        </w:rPr>
        <w:t>during the course of</w:t>
      </w:r>
      <w:proofErr w:type="gramEnd"/>
      <w:r w:rsidRPr="00A315EC">
        <w:rPr>
          <w:color w:val="000000"/>
        </w:rPr>
        <w:t xml:space="preserve"> their employment</w:t>
      </w:r>
      <w:r w:rsidR="003442EC">
        <w:rPr>
          <w:color w:val="000000"/>
        </w:rPr>
        <w:t xml:space="preserve">. </w:t>
      </w:r>
      <w:r w:rsidR="00BD4725">
        <w:rPr>
          <w:color w:val="000000"/>
        </w:rPr>
        <w:t>This is concerning, as those with high levels of pain catastrophizing are less likely to return to service and more likely to qualify for both short</w:t>
      </w:r>
      <w:r w:rsidR="00272409">
        <w:rPr>
          <w:color w:val="000000"/>
        </w:rPr>
        <w:t>-</w:t>
      </w:r>
      <w:r w:rsidR="00810C6F">
        <w:rPr>
          <w:color w:val="000000"/>
        </w:rPr>
        <w:fldChar w:fldCharType="begin"/>
      </w:r>
      <w:r w:rsidR="00810C6F">
        <w:rPr>
          <w:color w:val="000000"/>
        </w:rPr>
        <w:instrText xml:space="preserve"> ADDIN ZOTERO_ITEM CSL_CITATION {"citationID":"EX1G5WRF","properties":{"formattedCitation":"(Hiebert et al., 2012)","plainCitation":"(Hiebert et al., 2012)","noteIndex":0},"citationItems":[{"id":4967,"uris":["http://zotero.org/users/3430614/items/ESM63U2C"],"itemData":{"id":4967,"type":"article-journal","abstract":"Background context\nMusculoskeletal disorders of the spine in the US military account for the single largest proportion of the absence of sickness causes leading to early termination. We explored if selected psychological and physical factors were associated with poor outcome after episodes of low back pain (LBP).\nPurpose\nTo identify clinical, demographic, and psychological factors predictive of work duty status after a complaint of LBP.\nStudy design\nA prospective clinical cohort of US Navy personnel treated for LBP.\nPatient sample\nEligible cases were active duty US Navy or Marine Corps personnel presenting to an emergency clinic or primary care clinic with a complaint of LBP, where the index episode of LBP was no more than 12 weeks duration before enrollment.\nOutcome measures\nThe subject’s work status (full duty, light duty, sick in quarters [SIQ], limited duty, or medically released to full duty) was abstracted from the subject’s electronic medical record at approximately 4 weeks and then again 12 weeks after study enrollment. Work status in this study population is assigned by a Navy health-care provider at the time of a clinical visit and based on the health-care provider’s determination of medical fitness for duty. This study collapsed work status into two groups, “full duty” (consisting of “full duty” and “medically released to full duty”) and “not at full duty” (consisting of “light duty,” “SIQ,” and “limited duty”).\nMethods\nVolunteers completed a baseline questionnaire consisting of recommended well-validated measures, including attitudes and beliefs about LBP and work (Fear-Avoidance Beliefs Questionnaire [FABQ] and the Tampa Scale of Kinesiophobia), distress (the Pain Catastrophizing Scale), clinical depression (The Center for Epidemiologic Studies Depression scale), a numeric pain intensity scale, self-perceived disability (Oswestry Disability Index), and general health status (12-Item Short Form Health Survey). Navy health-care providers conducted a back pain–specific medical evaluation. Associations are expressed as multivariate-adjusted prevalence ratios (PRs) estimated using Poisson regression.\nResults\nTwo hundred fifty-three participants were enrolled. Work status outcome was collected for 239 participants. Predictors of “not at full duty” at 4 weeks after enrollment included having back pain for 4 weeks or less before study enrollment (PR, 2.69; 95% CI, 1.21–5.97) and increased FABQ Work subscale score (PR, 1.05; 95% CI, 1.01–1.08). The sole predictor of work status at 12 weeks after enrollment was increased FABQ Physical Activity (FABQ Physical) subscale score (PR=1.14; 95% CI, 1.00–1.30).\nConclusions\nThe findings that fear-avoidance beliefs were predictive of subsequent work status among active duty service personnel in this study population (after adjusting for clinical, demographic, and psychological covariates) suggest the clinical utility of addressing these factors during treatment of back pain episodes in the military. These findings reflect the important role that psychological factors may play in the return to work process in an active duty military population.","collection-title":"Special Issue on The Casualties of War","container-title":"The Spine Journal","DOI":"10.1016/j.spinee.2011.11.012","ISSN":"1529-9430","issue":"9","journalAbbreviation":"The Spine Journal","page":"806-816","source":"ScienceDirect","title":"Predictors of short-term work-related disability among active duty US Navy personnel: a cohort study in patients with acute and subacute low back pain","title-short":"Predictors of short-term work-related disability among active duty US Navy personnel","volume":"12","author":[{"family":"Hiebert","given":"Rudi"},{"family":"Campello","given":"Marco A."},{"family":"Weiser","given":"Sherri"},{"family":"Ziemke","given":"Gregg W."},{"family":"Fox","given":"Bryan A."},{"family":"Nordin","given":"Margareta"}],"issued":{"date-parts":[["2012",9,1]]}}}],"schema":"https://github.com/citation-style-language/schema/raw/master/csl-citation.json"} </w:instrText>
      </w:r>
      <w:r w:rsidR="00810C6F">
        <w:rPr>
          <w:color w:val="000000"/>
        </w:rPr>
        <w:fldChar w:fldCharType="separate"/>
      </w:r>
      <w:r w:rsidR="00810C6F">
        <w:rPr>
          <w:noProof/>
          <w:color w:val="000000"/>
        </w:rPr>
        <w:t>(Hiebert et al., 2012)</w:t>
      </w:r>
      <w:r w:rsidR="00810C6F">
        <w:rPr>
          <w:color w:val="000000"/>
        </w:rPr>
        <w:fldChar w:fldCharType="end"/>
      </w:r>
      <w:r w:rsidR="00BD4725">
        <w:rPr>
          <w:color w:val="000000"/>
        </w:rPr>
        <w:t xml:space="preserve"> and long</w:t>
      </w:r>
      <w:r w:rsidR="00272409">
        <w:rPr>
          <w:color w:val="000000"/>
        </w:rPr>
        <w:t>-</w:t>
      </w:r>
      <w:r w:rsidR="00BD4725">
        <w:rPr>
          <w:color w:val="000000"/>
        </w:rPr>
        <w:t xml:space="preserve">term </w:t>
      </w:r>
      <w:r w:rsidR="00272409">
        <w:rPr>
          <w:color w:val="000000"/>
        </w:rPr>
        <w:t>work-related</w:t>
      </w:r>
      <w:r w:rsidR="00BD4725">
        <w:rPr>
          <w:color w:val="000000"/>
        </w:rPr>
        <w:t xml:space="preserve"> disability</w:t>
      </w:r>
      <w:r w:rsidR="00272409">
        <w:rPr>
          <w:color w:val="000000"/>
        </w:rPr>
        <w:t xml:space="preserve"> (Schaaf et al., 2023; </w:t>
      </w:r>
      <w:proofErr w:type="spellStart"/>
      <w:r w:rsidR="00272409">
        <w:rPr>
          <w:color w:val="000000"/>
        </w:rPr>
        <w:t>Spevak</w:t>
      </w:r>
      <w:proofErr w:type="spellEnd"/>
      <w:r w:rsidR="00272409">
        <w:rPr>
          <w:color w:val="000000"/>
        </w:rPr>
        <w:t xml:space="preserve"> &amp; </w:t>
      </w:r>
      <w:proofErr w:type="spellStart"/>
      <w:r w:rsidR="00272409">
        <w:rPr>
          <w:color w:val="000000"/>
        </w:rPr>
        <w:t>Buckenmaier</w:t>
      </w:r>
      <w:proofErr w:type="spellEnd"/>
      <w:r w:rsidR="00272409">
        <w:rPr>
          <w:color w:val="000000"/>
        </w:rPr>
        <w:t xml:space="preserve"> 2011)</w:t>
      </w:r>
      <w:r w:rsidR="00BD4725">
        <w:rPr>
          <w:color w:val="000000"/>
        </w:rPr>
        <w:t xml:space="preserve">. </w:t>
      </w:r>
      <w:r w:rsidRPr="00A315EC">
        <w:rPr>
          <w:noProof/>
        </w:rPr>
        <mc:AlternateContent>
          <mc:Choice Requires="wps">
            <w:drawing>
              <wp:anchor distT="0" distB="0" distL="0" distR="0" simplePos="0" relativeHeight="251667456" behindDoc="1" locked="0" layoutInCell="1" hidden="0" allowOverlap="1" wp14:anchorId="12DA9270" wp14:editId="66308EB4">
                <wp:simplePos x="0" y="0"/>
                <wp:positionH relativeFrom="column">
                  <wp:posOffset>6400800</wp:posOffset>
                </wp:positionH>
                <wp:positionV relativeFrom="paragraph">
                  <wp:posOffset>2273300</wp:posOffset>
                </wp:positionV>
                <wp:extent cx="46101" cy="22225"/>
                <wp:effectExtent l="0" t="0" r="0" b="0"/>
                <wp:wrapNone/>
                <wp:docPr id="1260895502" name="Rectangle 1260895502"/>
                <wp:cNvGraphicFramePr/>
                <a:graphic xmlns:a="http://schemas.openxmlformats.org/drawingml/2006/main">
                  <a:graphicData uri="http://schemas.microsoft.com/office/word/2010/wordprocessingShape">
                    <wps:wsp>
                      <wps:cNvSpPr/>
                      <wps:spPr>
                        <a:xfrm>
                          <a:off x="5327712" y="3776952"/>
                          <a:ext cx="36576" cy="6096"/>
                        </a:xfrm>
                        <a:prstGeom prst="rect">
                          <a:avLst/>
                        </a:prstGeom>
                        <a:solidFill>
                          <a:srgbClr val="0078D4"/>
                        </a:solidFill>
                        <a:ln>
                          <a:noFill/>
                        </a:ln>
                      </wps:spPr>
                      <wps:txbx>
                        <w:txbxContent>
                          <w:p w14:paraId="744967A5" w14:textId="77777777" w:rsidR="00FA1F40" w:rsidRDefault="00FA1F40" w:rsidP="00FA1F40">
                            <w:pPr>
                              <w:textDirection w:val="btLr"/>
                            </w:pPr>
                          </w:p>
                        </w:txbxContent>
                      </wps:txbx>
                      <wps:bodyPr spcFirstLastPara="1" wrap="square" lIns="91425" tIns="91425" rIns="91425" bIns="91425" anchor="ctr" anchorCtr="0">
                        <a:noAutofit/>
                      </wps:bodyPr>
                    </wps:wsp>
                  </a:graphicData>
                </a:graphic>
              </wp:anchor>
            </w:drawing>
          </mc:Choice>
          <mc:Fallback>
            <w:pict>
              <v:rect w14:anchorId="12DA9270" id="Rectangle 1260895502" o:spid="_x0000_s1026" style="position:absolute;left:0;text-align:left;margin-left:7in;margin-top:179pt;width:3.65pt;height:1.75pt;z-index:-25164902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j/jXywEAAIEDAAAOAAAAZHJzL2Uyb0RvYy54bWysU9uO2yAQfa/Uf0C8N75kY2+iOKtqo1SV&#13;&#10;Vm2kbT8AYxwjYaADiZ2/74DdTdq+VX3BHGZ8OGdm2D6NvSIXAU4aXdFskVIiNDeN1KeKfv92+PBI&#13;&#10;ifNMN0wZLSp6FY4+7d6/2w52I3LTGdUIIEii3WawFe28t5skcbwTPXMLY4XGYGugZx4hnJIG2IDs&#13;&#10;vUryNC2SwUBjwXDhHJ7upyDdRf62Fdx/bVsnPFEVRW0+rhDXOqzJbss2J2C2k3yWwf5BRc+kxkvf&#13;&#10;qPbMM3IG+RdVLzkYZ1q/4KZPTNtKLqIHdJOlf7h57ZgV0QsWx9m3Mrn/R8u/XF7tEbAMg3Ubh9vg&#13;&#10;YmyhD1/UR8aKrpZ5WWY5JdeKLsuyWK/yqXBi9IRjwrJYlQUlHONFui5CMLmxWHD+kzA9CZuKAjYl&#13;&#10;1opdXpyfUn+lhEudUbI5SKUigFP9rIBcWGhgWj7uH2b239KUDsnahN8mxnCS3DyFnR/rcTZam+Z6&#13;&#10;BOIsP0gU9cKcPzLAzmeUDDgNFXU/zgwEJeqzxnKvs4d8heNzD+Ae1PeAad4ZHDLugZIJPPs4dJPK&#13;&#10;j2dvWhmtB12TmFku9jkWb57JMEj3OGbdXs7uJwAAAP//AwBQSwMEFAAGAAgAAAAhAErP5pHiAAAA&#13;&#10;EgEAAA8AAABkcnMvZG93bnJldi54bWxMT0tLxDAQvgv+hzCCNzfphpbSbbrIqidRcFcEb9km25bN&#13;&#10;ozTpw3/v9KSXYb55fI9yv1hDJj2EzjsByYYB0a72qnONgM/Ty0MOJETplDTeaQE/OsC+ur0pZaH8&#13;&#10;7D70dIwNQRIXCimgjbEvKA11q60MG99rh7uLH6yMCIeGqkHOSG4N3TKWUSs7hwqt7PWh1fX1OFoB&#13;&#10;pu62X/mBv8/p8/R6Grn6zvibEPd3y9MOy+MOSNRL/PuANQP6hwqNnf3oVCAGMWM5JooCeLo26wlL&#13;&#10;Ug7kjKMsSYFWJf0fpfoFAAD//wMAUEsBAi0AFAAGAAgAAAAhALaDOJL+AAAA4QEAABMAAAAAAAAA&#13;&#10;AAAAAAAAAAAAAFtDb250ZW50X1R5cGVzXS54bWxQSwECLQAUAAYACAAAACEAOP0h/9YAAACUAQAA&#13;&#10;CwAAAAAAAAAAAAAAAAAvAQAAX3JlbHMvLnJlbHNQSwECLQAUAAYACAAAACEA04/418sBAACBAwAA&#13;&#10;DgAAAAAAAAAAAAAAAAAuAgAAZHJzL2Uyb0RvYy54bWxQSwECLQAUAAYACAAAACEASs/mkeIAAAAS&#13;&#10;AQAADwAAAAAAAAAAAAAAAAAlBAAAZHJzL2Rvd25yZXYueG1sUEsFBgAAAAAEAAQA8wAAADQFAAAA&#13;&#10;AA==&#13;&#10;" fillcolor="#0078d4" stroked="f">
                <v:textbox inset="2.53958mm,2.53958mm,2.53958mm,2.53958mm">
                  <w:txbxContent>
                    <w:p w14:paraId="744967A5" w14:textId="77777777" w:rsidR="00FA1F40" w:rsidRDefault="00FA1F40" w:rsidP="00FA1F40">
                      <w:pPr>
                        <w:textDirection w:val="btLr"/>
                      </w:pPr>
                    </w:p>
                  </w:txbxContent>
                </v:textbox>
              </v:rect>
            </w:pict>
          </mc:Fallback>
        </mc:AlternateContent>
      </w:r>
      <w:r w:rsidR="00BD4725">
        <w:rPr>
          <w:color w:val="000000"/>
        </w:rPr>
        <w:t>These findings also hold true for athletic populations, with vastly lower return</w:t>
      </w:r>
      <w:r w:rsidR="00272409">
        <w:rPr>
          <w:color w:val="000000"/>
        </w:rPr>
        <w:t>-</w:t>
      </w:r>
      <w:r w:rsidR="00BD4725">
        <w:rPr>
          <w:color w:val="000000"/>
        </w:rPr>
        <w:t>to</w:t>
      </w:r>
      <w:r w:rsidR="00272409">
        <w:rPr>
          <w:color w:val="000000"/>
        </w:rPr>
        <w:t>-</w:t>
      </w:r>
      <w:r w:rsidR="00BD4725">
        <w:rPr>
          <w:color w:val="000000"/>
        </w:rPr>
        <w:t>sport rates</w:t>
      </w:r>
      <w:r w:rsidR="00272409">
        <w:rPr>
          <w:color w:val="000000"/>
        </w:rPr>
        <w:t xml:space="preserve"> following injury</w:t>
      </w:r>
      <w:r w:rsidR="00BD4725">
        <w:rPr>
          <w:color w:val="000000"/>
        </w:rPr>
        <w:t xml:space="preserve"> in players who experience higher levels of pain catastrophizing</w:t>
      </w:r>
      <w:r w:rsidR="00810C6F">
        <w:rPr>
          <w:color w:val="000000"/>
        </w:rPr>
        <w:t xml:space="preserve"> </w:t>
      </w:r>
      <w:r w:rsidR="00810C6F">
        <w:rPr>
          <w:color w:val="000000"/>
        </w:rPr>
        <w:fldChar w:fldCharType="begin"/>
      </w:r>
      <w:r w:rsidR="009B1455">
        <w:rPr>
          <w:color w:val="000000"/>
        </w:rPr>
        <w:instrText xml:space="preserve"> ADDIN ZOTERO_ITEM CSL_CITATION {"citationID":"SmvwjEkf","properties":{"formattedCitation":"(Browning et al., 2021; Jochimsen et al., 2020)","plainCitation":"(Browning et al., 2021; Jochimsen et al., 2020)","noteIndex":0},"citationItems":[{"id":5067,"uris":["http://zotero.org/users/3430614/items/AWRVJNWJ"],"itemData":{"id":5067,"type":"article-journal","abstract":"Purpose\nTo assess whether pain catastrophizing and kinesiophobia affect return to sport (RTS) or clinically significant outcome (CSO) achievement in patients undergoing hip arthroscopy for the treatment of femoroacetabular impingement (FAI).\nMethods\nPatients undergoing primary hip arthroscopy at a single institution between January 2017 and March 2017 were prospectively enrolled. Patients received the Tampa Scale of Kinesiophobia-11 (TSK-11) and Pain Catastrophizing Scale (PCS) questionnaires preoperatively, 3 weeks, 6 weeks, 3 months, 6 months, and 1 year postoperatively. Patients also received the Hip Outcome Score Sport-Specific (HOS-SS) questionnaire preoperatively and 1 year and 2 years’ postoperatively. An RTS questionnaire was completed at final follow-up. Bivariate correlations were conducted between PCS and TSK-11 scores and RTS status and achievement of CSOs of HOS-SS, based on patient acceptable symptom state (PASS) and substantial clinical benefit (SCB).\nResults\nFifty-eight patients with an average age of 31.9 ± 12.2 and body mass index of 24.0 ± 3.8 participated in sport prior to surgery and were included in the study. Forty-two (72.4%) patients returned to sport at 10.5 ± 7.1 months following surgery. There was a significant reduction in TSK-11 and PCS scores at 1-year follow-up (TSK-11, 26.1 ± 6.0 vs 18.6 ± 6.1, P &lt; .001; PCS, 17.7 ± 10.5 vs 4.3 ± 6.8, P &lt; .001) as well as a significant improvement in HOS-SS (P &lt; .001). At 1 year, fair correlations were demonstrated between PCS (r = –0.446, P = .010) and TSK (r = –0.330, P = .029) scores and RTS. Patient who returned to sport had lower PCS (8.5 ± 11.7 vs 3.0 ± 3.7, P = .010) and TSK-11 (21.8 ± 8.5 vs 17.6 ± 4.8, P = .029) scores at 1 year. At 1-year follow-up, PCS (r = –0.572, P = .001) and TSK-11 (r = –0.441, P = .012) scores demonstrated fair correlations with achieving PASS for HOS-SS at 2-year follow-up.\nConclusions\nPatient kinesiophobia and pain catastrophizing at 1-year follow-up were negatively correlated with RTS and achievement of a CSO in sport-related activities at 2-year follow-up.\nLevel of Evidence\nIII, prospective cohort study.","container-title":"Arthroscopy, Sports Medicine, and Rehabilitation","DOI":"10.1016/j.asmr.2021.03.014","ISSN":"2666-061X","issue":"4","journalAbbreviation":"Arthroscopy, Sports Medicine, and Rehabilitation","page":"e1087-e1095","source":"ScienceDirect","title":"Pain Catastrophizing and Kinesiophobia Affect Return to Sport in Patients Undergoing Hip Arthroscopy for the Treatment of Femoroacetabular Impingement","volume":"3","author":[{"family":"Browning","given":"Robert B."},{"family":"Clapp","given":"Ian M."},{"family":"Alter","given":"Thomas D."},{"family":"Nwachukwu","given":"Benedict U."},{"family":"Nho","given":"Shane J."}],"issued":{"date-parts":[["2021",8,1]]}}},{"id":5071,"uris":["http://zotero.org/users/3430614/items/RRWP5FL7"],"itemData":{"id":5071,"type":"article-journal","abstract":"BACKGROUND: Pain catastrophizing predicts poor outcomes following orthopedic procedures for patients with chronic conditions; however, limited research has focused on acute injuries. This study aimed to quantify the progression of Pain Catastrophizing Scale (PCS) scores from injury to 6-months post-anterior cruciate ligament reconstruction (ACLR) and determine if preoperative or 6-month PCS scores were related with self-reported pain or function 6 months post-ACLR. The authors hypothesized PCS scores would minimally fluctuate and would be related with worse outcomes 6-months post-ACLR.\nMETHODS: All 48 participants (27 male/21 female; aged 22.7 [4.6] y, body mass index 24 [3.3]) included in this secondary analysis of a randomized control trial sustained an ACL injury during sports activity. Participants completed the PCS and Pain Visual Analog Scale (VAS) at 5 time points: within 7 days of injury (INITIAL), day of surgery, 2 weeks postoperative (2W), 6 weeks postoperative (6W), and 6 months postoperative (6M). They completed the Knee Injury and Osteoarthritis Outcome Score (KOOS) at 6M. Wilcoxon signed-rank tests and Spearman rank-order correlations were used for analysis.\nRESULTS: PCS scores were not fixed (INITIAL: 11.6 [10.8], day of surgery: 2.5 [3.7], 2W: 8.0 [7.8], 6W: 3.7 [6], 6M: 0.8 [2.3]). They fluctuated in response to injury and ACLR similar to Pain VAS scores. Preoperative PCS scores were not related with 6M outcomes; however, 6M PCS scores were significantly related with 6M Pain VAS and KOOS subscales.\nCONCLUSIONS: PCS scores fluctuated in response to injury and ACLR. Preoperative PCS scores were not related with 6M outcomes; however, 6M PCS scores correlated with pain and function at 6M. High pain catastrophizing appears to be a natural response immediately following acute ACL injury and ACLR, but may not be indicative of a poor postoperative result. PCS scores 6-months following ACLR may provide useful information regarding self-reported pain and function.","container-title":"Journal of Sport Rehabilitation","DOI":"10.1123/jsr.2018-0431","ISSN":"1543-3072","issue":"6","journalAbbreviation":"J Sport Rehabil","language":"eng","note":"PMID: 31628272","page":"808-812","source":"PubMed","title":"Relationship Between Pain Catastrophizing and 6-Month Outcomes Following Anterior Cruciate Ligament Reconstruction","volume":"29","author":[{"family":"Jochimsen","given":"Kate N."},{"family":"Pelton","given":"Margaret R."},{"family":"Mattacola","given":"Carl G."},{"family":"Huston","given":"Laura J."},{"family":"Reinke","given":"Emily K."},{"family":"Spindler","given":"Kurt P."},{"family":"Lattermann","given":"Christian"},{"family":"Jacobs","given":"Cale A."}],"issued":{"date-parts":[["2020",8,1]]}}}],"schema":"https://github.com/citation-style-language/schema/raw/master/csl-citation.json"} </w:instrText>
      </w:r>
      <w:r w:rsidR="00810C6F">
        <w:rPr>
          <w:color w:val="000000"/>
        </w:rPr>
        <w:fldChar w:fldCharType="separate"/>
      </w:r>
      <w:r w:rsidR="009B1455">
        <w:rPr>
          <w:noProof/>
          <w:color w:val="000000"/>
        </w:rPr>
        <w:t>(Browning et al., 2021; Jochimsen et al., 2020)</w:t>
      </w:r>
      <w:r w:rsidR="00810C6F">
        <w:rPr>
          <w:color w:val="000000"/>
        </w:rPr>
        <w:fldChar w:fldCharType="end"/>
      </w:r>
      <w:r w:rsidR="009B1455">
        <w:rPr>
          <w:color w:val="000000"/>
        </w:rPr>
        <w:t>.</w:t>
      </w:r>
    </w:p>
    <w:p w14:paraId="245F2EAD" w14:textId="2C8E24B3" w:rsidR="00721570" w:rsidRDefault="00BD4725" w:rsidP="003442EC">
      <w:pPr>
        <w:pBdr>
          <w:top w:val="nil"/>
          <w:left w:val="nil"/>
          <w:bottom w:val="nil"/>
          <w:right w:val="nil"/>
          <w:between w:val="nil"/>
        </w:pBdr>
        <w:spacing w:line="480" w:lineRule="auto"/>
        <w:ind w:firstLine="720"/>
        <w:rPr>
          <w:color w:val="000000"/>
        </w:rPr>
      </w:pPr>
      <w:r>
        <w:rPr>
          <w:color w:val="000000"/>
        </w:rPr>
        <w:t xml:space="preserve">Importantly, those individuals </w:t>
      </w:r>
      <w:r w:rsidR="003442EC">
        <w:rPr>
          <w:color w:val="000000"/>
        </w:rPr>
        <w:t xml:space="preserve">higher in pain </w:t>
      </w:r>
      <w:r w:rsidR="004F2D0B">
        <w:rPr>
          <w:color w:val="000000"/>
        </w:rPr>
        <w:t>catastrophizing</w:t>
      </w:r>
      <w:r w:rsidR="003442EC">
        <w:rPr>
          <w:color w:val="000000"/>
        </w:rPr>
        <w:t xml:space="preserve"> </w:t>
      </w:r>
      <w:r>
        <w:rPr>
          <w:color w:val="000000"/>
        </w:rPr>
        <w:t>who</w:t>
      </w:r>
      <w:r w:rsidR="003442EC">
        <w:rPr>
          <w:color w:val="000000"/>
        </w:rPr>
        <w:t xml:space="preserve"> do</w:t>
      </w:r>
      <w:r>
        <w:rPr>
          <w:color w:val="000000"/>
        </w:rPr>
        <w:t xml:space="preserve"> return</w:t>
      </w:r>
      <w:r w:rsidR="00272409">
        <w:rPr>
          <w:color w:val="000000"/>
        </w:rPr>
        <w:t xml:space="preserve"> to serve or </w:t>
      </w:r>
      <w:r w:rsidR="003442EC">
        <w:rPr>
          <w:color w:val="000000"/>
        </w:rPr>
        <w:t xml:space="preserve">to </w:t>
      </w:r>
      <w:r w:rsidR="004F2D0B">
        <w:rPr>
          <w:color w:val="000000"/>
        </w:rPr>
        <w:t xml:space="preserve">their </w:t>
      </w:r>
      <w:r w:rsidR="00272409">
        <w:rPr>
          <w:color w:val="000000"/>
        </w:rPr>
        <w:t>sport</w:t>
      </w:r>
      <w:r w:rsidR="003442EC">
        <w:rPr>
          <w:color w:val="000000"/>
        </w:rPr>
        <w:t xml:space="preserve"> </w:t>
      </w:r>
      <w:r>
        <w:rPr>
          <w:color w:val="000000"/>
        </w:rPr>
        <w:t xml:space="preserve">are at risk of experiencing significant </w:t>
      </w:r>
      <w:r w:rsidR="004F2D0B">
        <w:rPr>
          <w:color w:val="000000"/>
        </w:rPr>
        <w:t xml:space="preserve">cognitive and physical </w:t>
      </w:r>
      <w:r w:rsidR="009472F7">
        <w:rPr>
          <w:color w:val="000000"/>
        </w:rPr>
        <w:t>performance-related</w:t>
      </w:r>
      <w:r>
        <w:rPr>
          <w:color w:val="000000"/>
        </w:rPr>
        <w:t xml:space="preserve"> deficits</w:t>
      </w:r>
      <w:r w:rsidR="003442EC">
        <w:rPr>
          <w:color w:val="000000"/>
        </w:rPr>
        <w:t xml:space="preserve"> upon their return</w:t>
      </w:r>
      <w:r>
        <w:rPr>
          <w:color w:val="000000"/>
        </w:rPr>
        <w:t>.</w:t>
      </w:r>
      <w:r w:rsidR="002978D8">
        <w:rPr>
          <w:color w:val="000000"/>
        </w:rPr>
        <w:t xml:space="preserve"> Pertinent</w:t>
      </w:r>
      <w:r w:rsidR="00721570" w:rsidRPr="00A315EC">
        <w:rPr>
          <w:color w:val="000000"/>
        </w:rPr>
        <w:t xml:space="preserve"> to the present investigation, individuals high in PC appear to experience pain-related disruptions in exercise </w:t>
      </w:r>
      <w:r w:rsidR="009B1455">
        <w:rPr>
          <w:color w:val="000000"/>
        </w:rPr>
        <w:fldChar w:fldCharType="begin"/>
      </w:r>
      <w:r w:rsidR="00391598">
        <w:rPr>
          <w:color w:val="000000"/>
        </w:rPr>
        <w:instrText xml:space="preserve"> ADDIN ZOTERO_ITEM CSL_CITATION {"citationID":"6J5Dl6rP","properties":{"formattedCitation":"(Nijs et al., 2008; Zhaoyang et al., 2020)","plainCitation":"(Nijs et al., 2008; Zhaoyang et al., 2020)","noteIndex":0},"citationItems":[{"id":4090,"uris":["http://zotero.org/users/3430614/items/2M96TUW6"],"itemData":{"id":4090,"type":"article-journal","abstract":"Objectives. This study aimed to examine the associations between bodily pain, pain catastrophizing, depression, activity limitations/participation restrictions, employment status, and exercise performance in female patients with chronic fatigue syndrome (CFS) who experience widespread pain. Design. Cross-sectional observational study. Setting. A university-based clinic. Patients. Thirty-six female CFS patients who experienced widespread pain. Outcome Measures. Patients ﬁlled in the Medical Outcomes Short-Form 36 Health Status Survey, the Chronic Fatigue Syndrome Activities and Participation Questionnaire, the Beck Depression Inventory, and the Pain Catastrophizing Scale, and underwent a maximal exercise stress test with continuous monitoring of electrocardiographic and ventilatory parameters.\nResults. Pain catastrophizing was related to bodily pain (r = −0.70), depression (r = 0.55), activity limitations/participation restrictions (r = 0.68), various aspects of quality of life (r varied between −0.51 and −0.64), and exercise capacity (r varied between −0.41 and −0.61). Based on hierarchical multiple regression analysis, pain catastrophizing accounted for 41% of the variance in bodily pain in female CFS patients who experience chronic widespread musculoskeletal pain. Among the three subscale scores of the Pain Catastrophizing Scale, helplessness and rumination rather than magniﬁcation were strongly related to bodily pain. Neither pain catastrophizing nor depression was related to employment status.\nConclusions. These data provide evidence favoring a signiﬁcant association between pain catastrophizing, bodily pain, exercise performance, and self-reported disability in female patients with CFS who experience widespread pain. Further prospective longitudinal studying of these variables is required.","container-title":"Pain Medicine","DOI":"10.1111/j.1526-4637.2007.00368.x","ISSN":"1526-2375, 1526-4637","issue":"8","journalAbbreviation":"Pain Med","language":"en","page":"1164-1172","source":"DOI.org (Crossref)","title":"Exercise Performance and Chronic Pain in Chronic Fatigue Syndrome: The Role of Pain Catastrophizing","title-short":"Exercise Performance and Chronic Pain in Chronic Fatigue Syndrome","volume":"9","author":[{"family":"Nijs","given":"Jo"},{"family":"Van de Putte","given":"Karen"},{"family":"Louckx","given":"Fred"},{"family":"Truijen","given":"Steven"},{"family":"De Meirleir","given":"Kenny"}],"issued":{"date-parts":[["2008",11]]}}},{"id":4285,"uris":["http://zotero.org/users/3430614/items/XX6C6KSJ"],"itemData":{"id":4285,"type":"article-journal","abstract":"Musculoskeletal disorders such as knee osteoarthritis (OA) are the primary cause of chronic pain in older adults. Recommended self-management strategies for knee OA include staying physically active in the face of pain, but many patients avoid activities they are capable of doing. The overall purpose of this study was to examine the extent to which daily pain catastrophizing, a maladaptive coping strategy, could influence OA patients' physical activity and sedentary behavior. The current study used data from 143 older knee OA patients who completed electronic daily diaries for 22 days and wore an accelerometer to capture physical activity and sedentary behavior. At the beginning of each day, patients reported their pain catastrophizing regarding the day ahead. Results from multilevel models demonstrated that on mornings when patients catastrophized more than usual about their pain in the day ahead, they spent more time in sedentary behavior and engaged in fewer minutes of moderate to vigorous physical activity that day. Cross-day lagged analyses further showed that the effect of morning pain catastrophizing on subsequent sedentary behavior extended to the next day. More time spent in sedentary behavior, in turn, contributed to greater pain catastrophizing the next morning. These findings support the mechanistic role of daily pain catastrophizing in the avoidance of physical activity for older OA patients, and suggest that effective interventions for pain catastrophizing may also reduce sedentary behavior and enhance physical activity, with longer-term benefits for pain management, physical function, and overall health.","container-title":"PAIN","DOI":"10.1097/j.pain.0000000000001959","ISSN":"0304-3959","issue":"11","language":"en-US","page":"2603–2610","source":"journals.lww.com","title":"Daily pain catastrophizing predicts less physical activity and more sedentary behavior in older adults with osteoarthritis","volume":"161","author":[{"family":"Zhaoyang","given":"Ruixue"},{"family":"Martire","given":"Lynn M."},{"family":"Darnall","given":"Beth D."}],"issued":{"date-parts":[["2020",11]]}}}],"schema":"https://github.com/citation-style-language/schema/raw/master/csl-citation.json"} </w:instrText>
      </w:r>
      <w:r w:rsidR="009B1455">
        <w:rPr>
          <w:color w:val="000000"/>
        </w:rPr>
        <w:fldChar w:fldCharType="separate"/>
      </w:r>
      <w:r w:rsidR="00391598">
        <w:rPr>
          <w:noProof/>
          <w:color w:val="000000"/>
        </w:rPr>
        <w:t>(Nijs et al., 2008; Zhaoyang et al., 2020)</w:t>
      </w:r>
      <w:r w:rsidR="009B1455">
        <w:rPr>
          <w:color w:val="000000"/>
        </w:rPr>
        <w:fldChar w:fldCharType="end"/>
      </w:r>
      <w:r w:rsidR="00391598">
        <w:rPr>
          <w:color w:val="000000"/>
        </w:rPr>
        <w:t xml:space="preserve">, </w:t>
      </w:r>
      <w:r w:rsidR="00721570" w:rsidRPr="00A315EC">
        <w:rPr>
          <w:color w:val="000000"/>
        </w:rPr>
        <w:t xml:space="preserve">particularly if they are also high in anxiety sensitivity </w:t>
      </w:r>
      <w:r w:rsidR="00391598">
        <w:rPr>
          <w:color w:val="000000"/>
        </w:rPr>
        <w:fldChar w:fldCharType="begin"/>
      </w:r>
      <w:r w:rsidR="00391598">
        <w:rPr>
          <w:color w:val="000000"/>
        </w:rPr>
        <w:instrText xml:space="preserve"> ADDIN ZOTERO_ITEM CSL_CITATION {"citationID":"pBdCulpT","properties":{"formattedCitation":"(Goodin et al., 2009)","plainCitation":"(Goodin et al., 2009)","noteIndex":0},"citationItems":[{"id":4278,"uris":["http://zotero.org/users/3430614/items/K9SB38VG"],"itemData":{"id":4278,"type":"article-journal","abstract":"Objective\nExercise involvement has been shown to have hypoalgesic effects and cognitive factors may partially explain this effect. Particularly, alterations in pain catastrophizing have been found to mediate the positive pain outcomes of multidisciplinary treatments incorporating exercise. Further, recent evidence suggests that exercise involvement and anxiety sensitivity may act together, as interacting factors, to exert an effect on catastrophizing and pain outcomes; however, further research is needed to clarify the nature of this interaction. In this study we developed a model to investigate the cross-sectional associations among self-reported weekly strenuous exercise bouts, anxiety sensitivity, and their interaction with pain catastrophizing and pain responses to the cold pressor task (CPT) in healthy, ethnically diverse young adults (N = 79).\n\nMethods\nPrior to the CPT, participants were asked to complete the Godin Leisure-Time Exercise Questionnaire, the Beck Depression Inventory, and the Anxiety Sensitivity Index. Following the CPT participants completed a modified version of the Pain Catastrophizing Scale and the Short Form-McGill Pain Questionnaire.\n\nResults\nAt a high level of anxiety sensitivity, controlling for depressive symptoms, CPT immersion time, and sex differences, a bias-corrected (BC), bootstrapped confidence interval revealed that pain catastrophizing significantly mediated the relation between self-reported weekly strenuous exercise bouts and pain response (95% BC Confidence Interval: (−9.558, −0.800) with 1000 resamples). At intermediate and low levels of anxiety sensitivity, no significant mediation effects were found.\n\nConclusions\nThese findings support that for pain catastrophizing to mediate the strenuous exercise-pain response relation, individuals must possess a high level of anxiety sensitivity.","container-title":"Psychosomatic medicine","DOI":"10.1097/PSY.0b013e3181bc62","ISSN":"0033-3174","issue":"9","journalAbbreviation":"Psychosom Med","note":"PMID: 19779141\nPMCID: PMC2784988","page":"1018-1025","source":"PubMed Central","title":"Pain Catastrophizing Mediates the Relation Between Self-Reported Strenuous Exercise Involvement and Pain Ratings: The Moderating Role of Anxiety Sensitivity","title-short":"Pain Catastrophizing Mediates the Relation Between Self-Reported Strenuous Exercise Involvement and Pain Ratings","volume":"71","author":[{"family":"Goodin","given":"Burel R."},{"family":"McGuire","given":"Lynanne M."},{"family":"Stapleton","given":"Laura M."},{"family":"Quinn","given":"Noel B."},{"family":"Fabian","given":"Lacy A."},{"family":"Haythornthwaite","given":"Jennifer A."},{"family":"Edwards","given":"Robert R."}],"issued":{"date-parts":[["2009",11]]}}}],"schema":"https://github.com/citation-style-language/schema/raw/master/csl-citation.json"} </w:instrText>
      </w:r>
      <w:r w:rsidR="00391598">
        <w:rPr>
          <w:color w:val="000000"/>
        </w:rPr>
        <w:fldChar w:fldCharType="separate"/>
      </w:r>
      <w:r w:rsidR="00391598">
        <w:rPr>
          <w:noProof/>
          <w:color w:val="000000"/>
        </w:rPr>
        <w:t>(Goodin et al., 2009)</w:t>
      </w:r>
      <w:r w:rsidR="00391598">
        <w:rPr>
          <w:color w:val="000000"/>
        </w:rPr>
        <w:fldChar w:fldCharType="end"/>
      </w:r>
      <w:r w:rsidR="00391598">
        <w:rPr>
          <w:color w:val="000000"/>
        </w:rPr>
        <w:t>.</w:t>
      </w:r>
      <w:r w:rsidR="00721570" w:rsidRPr="00A315EC">
        <w:rPr>
          <w:color w:val="000000"/>
        </w:rPr>
        <w:t xml:space="preserve"> Likewise, evidence indicates that PC attenuates cognitive function</w:t>
      </w:r>
      <w:r w:rsidR="00391598">
        <w:rPr>
          <w:color w:val="000000"/>
        </w:rPr>
        <w:t xml:space="preserve"> </w:t>
      </w:r>
      <w:r w:rsidR="00391598">
        <w:rPr>
          <w:color w:val="000000"/>
        </w:rPr>
        <w:fldChar w:fldCharType="begin"/>
      </w:r>
      <w:r w:rsidR="00391598">
        <w:rPr>
          <w:color w:val="000000"/>
        </w:rPr>
        <w:instrText xml:space="preserve"> ADDIN ZOTERO_ITEM CSL_CITATION {"citationID":"TgUEU9lP","properties":{"formattedCitation":"(Galvez-S\\uc0\\u225{}nchez et al., 2018; Legarreta et al., 2016; Tabry et al., 2020; Ysidron et al., 2021)","plainCitation":"(Galvez-Sánchez et al., 2018; Legarreta et al., 2016; Tabry et al., 2020; Ysidron et al., 2021)","noteIndex":0},"citationItems":[{"id":4102,"uris":["http://zotero.org/users/3430614/items/4ULY6MVG"],"itemData":{"id":4102,"type":"article-journal","container-title":"Frontiers in Psychology","DOI":"10.3389/fpsyg.2018.00377","ISSN":"1664-1078","journalAbbreviation":"Front. Psychol.","language":"en","page":"377","source":"DOI.org (Crossref)","title":"Cognitive Impairments in Fibromyalgia Syndrome: Associations With Positive and Negative Affect, Alexithymia, Pain Catastrophizing and Self-Esteem","title-short":"Cognitive Impairments in Fibromyalgia Syndrome","volume":"9","author":[{"family":"Galvez-Sánchez","given":"Carmen M."},{"family":"Reyes del Paso","given":"Gustavo A."},{"family":"Duschek","given":"Stefan"}],"issued":{"date-parts":[["2018",3,22]]}}},{"id":4103,"uris":["http://zotero.org/users/3430614/items/QQIFY6GH"],"itemData":{"id":4103,"type":"article-journal","abstract":"This study examined neuropsychological performance in relation to specific aspects of pain. Pain catastrophizing, pain disability, and sensory, affective, and evaluative descriptors of pain were examined in relation to neuropsychological test performance to understand the relationship between chronic pain and altered cognitive function. Diagnostic interviews, symptoms measures, and neuropsychological testing were completed with veteran participants to examine pain conditions and objective neuropsychological performance. Participants completed the Structured Clinical Interview for DSM–IV–TR, clinician-rated symptom measures (Hamilton Depression and Hamilton Anxiety rating scales), and a neuropsychological battery (Controlled Oral Word Association test, Stroop, Trail Making Test, Ruff 2 &amp; 7, and California Verbal Learning Test, 2nd edition). Pain was measured with the McGill Pain Questionnaire, the Pain Disability Index, and the Pain Catastrophizing Scale. Findings revealed that learning and memory were associated with both pain catastrophizing and perceived pain disability, but not affective or evaluative descriptions of pain. Executive function and attention were not related to any of the pain characteristics examined in this study. Of important note, neuropsychological performance was not related to mental health functioning in this veteran sample. These findings suggest that separate from anxiety and depression, learning and memory specifically are influenced by pain-specific catastrophizing as well as pain-specific perceived disability. Understanding the cognitive mechanism associated with chronic pain and neuropsychological performance may result in new treatment targets.","container-title":"Professional Psychology: Research and Practice","DOI":"10.1037/pro0000104","ISSN":"1939-1323, 0735-7028","issue":"6","journalAbbreviation":"Professional Psychology: Research and Practice","language":"en","page":"418-426","source":"DOI.org (Crossref)","title":"Pain catastrophizing, perceived pain disability, and pain descriptors in veterans: The association with neuropsychological performance.","title-short":"Pain catastrophizing, perceived pain disability, and pain descriptors in veterans","volume":"47","author":[{"family":"Legarreta","given":"Margaret"},{"family":"Bueler","given":"Elliott"},{"family":"DiMuzio","given":"Jennifer M."},{"family":"McGlade","given":"Erin"},{"family":"Yurgelun-Todd","given":"Deborah"}],"issued":{"date-parts":[["2016",12]]}}},{"id":4312,"uris":["http://zotero.org/users/3430614/items/MB6GJ6A6"],"itemData":{"id":4312,"type":"article-journal","abstract":"Abstract\n            The main function of pain is to automatically draw attention towards sources of potential injury. However, pain sometimes needs to be inhibited in order to address or pursue more relevant tasks. Elucidating the factors that influence how people manage this relationship between pain and task performance is essential to understanding the disruptive nature of pain and its variability between individuals. Here, 41 healthy adults completed a challenging working memory task (2-back task) while receiving painful thermal stimulations. Examining the trial-by-trial relationship between pain perception and task performance revealed that pain’s disruptive effects on performance were mediated by self-reported pain intensity, and that the analgesic effects of a competing task were influenced by task performance. We found that higher pain catastrophizing, higher trait anxiety, and lower trait mindfulness were associated with larger trade-offs between pain perception and task performance, suggesting that these psychological factors can predict increased fluctuations between disruption by pain and analgesia from a competing task. Altogether these findings provide an important and novel perspective on our understanding of individual differences in the interplay between pain and ongoing task performance.","container-title":"Scientific Reports","DOI":"10.1038/s41598-020-78653-z","ISSN":"2045-2322","issue":"1","journalAbbreviation":"Sci Rep","language":"en","page":"21785","source":"DOI.org (Crossref)","title":"Inter-individual predictors of pain inhibition during performance of a competing cognitive task","volume":"10","author":[{"family":"Tabry","given":"V."},{"family":"Vogel","given":"T. A."},{"family":"Lussier","given":"M."},{"family":"Brouillard","given":"P."},{"family":"Buhle","given":"J."},{"family":"Rainville","given":"P."},{"family":"Bherer","given":"L."},{"family":"Roy","given":"M."}],"issued":{"date-parts":[["2020",12]]}}},{"id":4104,"uris":["http://zotero.org/users/3430614/items/YY5CZPBH"],"itemData":{"id":4104,"type":"article-journal","abstract":"Among pain researchers there is a growing interest in the relationship between psychological resilience and pain experience. Whereas much of this work has focused on individual differences in pain perception or sensitivity, an equally important dimension of resilience is the capacity to persist with goal-directed activity despite experiencing pain. Consistent with this latter focus, the current study examined how pain resilience and pain catastrophizing combine to moderate the effects of ischemic pain on shortterm memory task performance. Using a within-subjects design, 121 healthy participants completed four trials of a Corsi block-tapping task with pain exposure during the second and fourth trials. Results indicated that a combination of high pain resilience and low pain catastrophizing was associated with better task performance during the second pain exposure. These findings confirm existing evidence that resilience can moderate performance during pain, and offer new evidence that resilience and catastrophizing interact to shape this effect.","container-title":"Journal of Behavioral Medicine","DOI":"10.1007/s10865-020-00181-y","ISSN":"0160-7715, 1573-3521","issue":"1","journalAbbreviation":"J Behav Med","language":"en","page":"104-110","source":"DOI.org (Crossref)","title":"Pain resilience, pain catastrophizing, and executive functioning: performance on a short-term memory task during simultaneous ischemic pain","title-short":"Pain resilience, pain catastrophizing, and executive functioning","volume":"44","author":[{"family":"Ysidron","given":"Dominic W."},{"family":"France","given":"Janis L."},{"family":"Himawan","given":"Lina K."},{"family":"France","given":"Christopher R."}],"issued":{"date-parts":[["2021",2]]}}}],"schema":"https://github.com/citation-style-language/schema/raw/master/csl-citation.json"} </w:instrText>
      </w:r>
      <w:r w:rsidR="00391598">
        <w:rPr>
          <w:color w:val="000000"/>
        </w:rPr>
        <w:fldChar w:fldCharType="separate"/>
      </w:r>
      <w:r w:rsidR="00391598" w:rsidRPr="00391598">
        <w:rPr>
          <w:color w:val="000000"/>
        </w:rPr>
        <w:t xml:space="preserve">(Galvez-Sánchez et al., 2018; Legarreta et al., </w:t>
      </w:r>
      <w:r w:rsidR="00391598" w:rsidRPr="00391598">
        <w:rPr>
          <w:color w:val="000000"/>
        </w:rPr>
        <w:lastRenderedPageBreak/>
        <w:t>2016; Tabry et al., 2020; Ysidron et al., 2021)</w:t>
      </w:r>
      <w:r w:rsidR="00391598">
        <w:rPr>
          <w:color w:val="000000"/>
        </w:rPr>
        <w:fldChar w:fldCharType="end"/>
      </w:r>
      <w:r w:rsidR="00721570" w:rsidRPr="00A315EC">
        <w:rPr>
          <w:color w:val="000000"/>
        </w:rPr>
        <w:t xml:space="preserve">. </w:t>
      </w:r>
      <w:r w:rsidR="004F2D0B">
        <w:rPr>
          <w:color w:val="000000"/>
        </w:rPr>
        <w:t>The</w:t>
      </w:r>
      <w:r w:rsidR="00721570" w:rsidRPr="00A315EC">
        <w:rPr>
          <w:color w:val="000000"/>
        </w:rPr>
        <w:t xml:space="preserve"> worsened performance of individuals who tend to catastrophize </w:t>
      </w:r>
      <w:r w:rsidR="004F2D0B">
        <w:rPr>
          <w:color w:val="000000"/>
        </w:rPr>
        <w:t>is theorized to</w:t>
      </w:r>
      <w:r w:rsidR="00721570" w:rsidRPr="00A315EC">
        <w:rPr>
          <w:color w:val="000000"/>
        </w:rPr>
        <w:t xml:space="preserve"> partially stem from an inability to divert focus away from their pain-related cognitions </w:t>
      </w:r>
      <w:r w:rsidR="00391598">
        <w:rPr>
          <w:color w:val="000000"/>
        </w:rPr>
        <w:t xml:space="preserve"> </w:t>
      </w:r>
      <w:r w:rsidR="00391598">
        <w:rPr>
          <w:color w:val="000000"/>
        </w:rPr>
        <w:fldChar w:fldCharType="begin"/>
      </w:r>
      <w:r w:rsidR="00BE3AE6">
        <w:rPr>
          <w:color w:val="000000"/>
        </w:rPr>
        <w:instrText xml:space="preserve"> ADDIN ZOTERO_ITEM CSL_CITATION {"citationID":"fj5ghYOg","properties":{"formattedCitation":"(Lee et al., 2018; Sullivan et al., 1995)","plainCitation":"(Lee et al., 2018; Sullivan et al., 1995)","noteIndex":0},"citationItems":[{"id":4324,"uris":["http://zotero.org/users/3430614/items/FE5LBGIC"],"itemData":{"id":4324,"type":"article-journal","abstract":"Although the evidence of the attentional bias of chronic pain individuals toward pain-related information is established in the literature, few studies examined the time course of attention toward pain stimuli and the role of pain catastrophizing on attentional engagement toward pain-related information. This study examined the time course of attention to pain-related information and the role of pain catastrophizing on attentional engagement for pain-related information. Participants were fifty young adult participants with chronic pain (35% male, 65% female; M = 21.8 years) who completed self-report questionnaires assessing pain catastrophizing levels (Pain Catastrophizing Scale (PCS)), depression (the Center for Epidemiologic Studies Depression Scale (CES-D)), anxiety (State-Trait Anxiety Inventory (STAI)), and pain disability (the Pain Disability Index: (PDI)). Attentional engagements to pain- and anger-related information were measured by the eye tracker. Significant interaction effects were found between (1) time and stimulus type for pain-related information (F (5, 245) = 11.55, ) and (2) bias scores and pain catastrophizing (F (1, 48) = 6.736, ). These results indicated that the degree of increase for pain bias scores were significantly greater than anger bias scores as levels of pain catastrophizing increased. Results of the present study provided the evidence for the attentional bias and information processing model which has clinical implications; high levels of pain catastrophizing may impair individuals’ ability to cope with chronic pain by increasing attentional engagement toward pain-related information. The present study can add knowledge to attentional bias and pain research as this study investigated the time course of attention and the role of pain catastrophizing on attentional engagement toward pain-related information for adults with chronic pain conditions.","container-title":"Pain Research and Management","DOI":"10.1155/2018/6038406","ISSN":"1203-6765","language":"en","note":"publisher: Hindawi","page":"e6038406","source":"www.hindawi.com","title":"Attentional Engagement for Pain-Related Information among Individuals with Chronic Pain: The Role of Pain Catastrophizing","title-short":"Attentional Engagement for Pain-Related Information among Individuals with Chronic Pain","volume":"2018","author":[{"family":"Lee","given":"J. E."},{"family":"Kim","given":"S. H."},{"family":"Shin","given":"S. K."},{"family":"Wachholtz","given":"A."},{"family":"Lee","given":"J. H."}],"issued":{"date-parts":[["2018",12,2]]}}},{"id":4305,"uris":["http://zotero.org/users/3430614/items/K3IQ6IUG"],"itemData":{"id":4305,"type":"article-journal","abstract":"In Study I, the Pain Catastrophizing Scale (PCS) was administered to 425 undergraduates. Analyses yielded a three component solution comprising (a) rumination, (b) magnification, and (c) helplessness. In Study 2, 30 undergraduate participants were classified as catastrophizers (n = 15) or noncatastrophizers (n = 15) on the basis of their PCS scores and participated in a cold pressor procedure. Catastrophizers reported significantly more negative pain-related thoughts, greater emotional distress, and greater pain intensity than noncatastrophizers. Study 3 examined the relation between PCS scores, negative pain-related thoughts, and distress in 28 individuals undergoing an aversive electrodiagnostic medical procedure. Catastrophizers reported more negative pain-related thoughts, more emotional distress, and more pain than noncatastrophizers. Study 4 examined the relation between the PCS and measures of depression, trait anxiety, negative affectivity, and fear of pain. Analyses revealed moderate correlations among these measures, but only the PCS contributed significant unique variance to the prediction of pain intensity. (PsycINFO Database Record (c) 2016 APA, all rights reserved)","container-title":"Psychological Assessment","DOI":"10.1037/1040-3590.7.4.524","ISSN":"1939-134X","issue":"4","note":"publisher-place: US\npublisher: American Psychological Association","page":"524-532","source":"APA PsycNet","title":"The Pain Catastrophizing Scale: Development and validation","title-short":"The Pain Catastrophizing Scale","volume":"7","author":[{"family":"Sullivan","given":"Michael J. L."},{"family":"Bishop","given":"Scott R."},{"family":"Pivik","given":"Jayne"}],"issued":{"date-parts":[["1995"]]}}}],"schema":"https://github.com/citation-style-language/schema/raw/master/csl-citation.json"} </w:instrText>
      </w:r>
      <w:r w:rsidR="00391598">
        <w:rPr>
          <w:color w:val="000000"/>
        </w:rPr>
        <w:fldChar w:fldCharType="separate"/>
      </w:r>
      <w:r w:rsidR="00BE3AE6">
        <w:rPr>
          <w:noProof/>
          <w:color w:val="000000"/>
        </w:rPr>
        <w:t>(Lee et al., 2018; Sullivan et al., 1995)</w:t>
      </w:r>
      <w:r w:rsidR="00391598">
        <w:rPr>
          <w:color w:val="000000"/>
        </w:rPr>
        <w:fldChar w:fldCharType="end"/>
      </w:r>
      <w:r w:rsidR="00BE3AE6">
        <w:rPr>
          <w:color w:val="000000"/>
        </w:rPr>
        <w:t xml:space="preserve">. </w:t>
      </w:r>
    </w:p>
    <w:p w14:paraId="5D5E1F90" w14:textId="111A2F18" w:rsidR="004F2D0B" w:rsidRDefault="003442EC" w:rsidP="009472F7">
      <w:pPr>
        <w:widowControl w:val="0"/>
        <w:pBdr>
          <w:top w:val="nil"/>
          <w:left w:val="nil"/>
          <w:bottom w:val="nil"/>
          <w:right w:val="nil"/>
          <w:between w:val="nil"/>
        </w:pBdr>
        <w:spacing w:line="480" w:lineRule="auto"/>
        <w:ind w:firstLine="720"/>
        <w:rPr>
          <w:color w:val="000000"/>
        </w:rPr>
      </w:pPr>
      <w:r>
        <w:rPr>
          <w:color w:val="000000"/>
        </w:rPr>
        <w:t xml:space="preserve">This inability is particularly problematic </w:t>
      </w:r>
      <w:proofErr w:type="gramStart"/>
      <w:r>
        <w:rPr>
          <w:color w:val="000000"/>
        </w:rPr>
        <w:t>in light of</w:t>
      </w:r>
      <w:proofErr w:type="gramEnd"/>
      <w:r>
        <w:rPr>
          <w:color w:val="000000"/>
        </w:rPr>
        <w:t xml:space="preserve"> the aforementioned need to maintain vigorous activity while simultaneously sustaining optimal cognitive levels in these populations. </w:t>
      </w:r>
      <w:r w:rsidR="006B7E0F">
        <w:rPr>
          <w:color w:val="000000"/>
        </w:rPr>
        <w:t xml:space="preserve">Given </w:t>
      </w:r>
      <w:r w:rsidRPr="00A315EC">
        <w:rPr>
          <w:color w:val="000000"/>
        </w:rPr>
        <w:t xml:space="preserve">the </w:t>
      </w:r>
      <w:r w:rsidRPr="00A315EC">
        <w:t>difficult</w:t>
      </w:r>
      <w:r w:rsidRPr="00A315EC">
        <w:rPr>
          <w:color w:val="000000"/>
        </w:rPr>
        <w:t xml:space="preserve"> and sometimes physically unpleasant nature of exercise, particularly high-intensity exercise, it is reasonable to explore the possibility that individuals with weakened resource allocation skills might experience more significant decrements in cognition and exercise performance as task demands increase.</w:t>
      </w:r>
      <w:r w:rsidR="0054111C" w:rsidRPr="0054111C">
        <w:rPr>
          <w:color w:val="000000"/>
        </w:rPr>
        <w:t xml:space="preserve"> </w:t>
      </w:r>
      <w:r w:rsidR="0054111C" w:rsidRPr="00A315EC">
        <w:rPr>
          <w:color w:val="000000"/>
        </w:rPr>
        <w:t xml:space="preserve">Given that PC is associated with </w:t>
      </w:r>
      <w:r w:rsidR="00A17D3D">
        <w:rPr>
          <w:color w:val="000000"/>
        </w:rPr>
        <w:t>a heightened</w:t>
      </w:r>
      <w:r w:rsidR="00C75ACF">
        <w:rPr>
          <w:color w:val="000000"/>
        </w:rPr>
        <w:t xml:space="preserve"> </w:t>
      </w:r>
      <w:r w:rsidR="00A17D3D">
        <w:rPr>
          <w:color w:val="000000"/>
        </w:rPr>
        <w:t xml:space="preserve">tendency to attend to and </w:t>
      </w:r>
      <w:r w:rsidR="0054111C" w:rsidRPr="00A315EC">
        <w:rPr>
          <w:color w:val="000000"/>
        </w:rPr>
        <w:t>process pain-related information, it seems possible that individuals high in PC might experience decrements in cognition above and beyond what individuals low in PC might experience during high-intensity exercise.</w:t>
      </w:r>
      <w:r w:rsidR="00DF6582">
        <w:rPr>
          <w:color w:val="000000"/>
        </w:rPr>
        <w:t xml:space="preserve"> </w:t>
      </w:r>
      <w:r w:rsidR="00DF6582" w:rsidRPr="00A315EC">
        <w:rPr>
          <w:color w:val="000000"/>
        </w:rPr>
        <w:t xml:space="preserve">research that can </w:t>
      </w:r>
      <w:r w:rsidR="00DF6582" w:rsidRPr="00A315EC">
        <w:t xml:space="preserve">either </w:t>
      </w:r>
      <w:r w:rsidR="00DF6582" w:rsidRPr="00A315EC">
        <w:rPr>
          <w:color w:val="000000"/>
        </w:rPr>
        <w:t>inform potential interventions</w:t>
      </w:r>
      <w:r w:rsidR="00DF6582" w:rsidRPr="00A315EC">
        <w:t xml:space="preserve"> </w:t>
      </w:r>
      <w:r w:rsidR="00DF6582" w:rsidRPr="00A315EC">
        <w:rPr>
          <w:color w:val="000000"/>
        </w:rPr>
        <w:t>evaluate the buffering effects of these exercise-induced decrements in cognitive function is imperative.</w:t>
      </w:r>
      <w:r w:rsidR="00F90466">
        <w:rPr>
          <w:color w:val="000000"/>
        </w:rPr>
        <w:t xml:space="preserve"> Importantly, this would be the first study to assess the impact of pain catastrophizing on the relationship between exercise intensity and cognition.</w:t>
      </w:r>
    </w:p>
    <w:p w14:paraId="0FE35CA8" w14:textId="19195615" w:rsidR="00187849" w:rsidRPr="00CE4C8A" w:rsidRDefault="00D06FD2" w:rsidP="009472F7">
      <w:pPr>
        <w:pBdr>
          <w:top w:val="nil"/>
          <w:left w:val="nil"/>
          <w:bottom w:val="nil"/>
          <w:right w:val="nil"/>
          <w:between w:val="nil"/>
        </w:pBdr>
        <w:spacing w:line="480" w:lineRule="auto"/>
        <w:rPr>
          <w:b/>
          <w:bCs/>
          <w:color w:val="000000"/>
        </w:rPr>
      </w:pPr>
      <w:bookmarkStart w:id="2" w:name="_1fob9te" w:colFirst="0" w:colLast="0"/>
      <w:bookmarkEnd w:id="2"/>
      <w:r w:rsidRPr="00CE4C8A">
        <w:rPr>
          <w:b/>
          <w:bCs/>
        </w:rPr>
        <w:t>Study Goals and Hypotheses</w:t>
      </w:r>
    </w:p>
    <w:p w14:paraId="20664C0F" w14:textId="77777777" w:rsidR="00187849" w:rsidRPr="00A315EC" w:rsidRDefault="00D06FD2" w:rsidP="009472F7">
      <w:pPr>
        <w:pBdr>
          <w:top w:val="nil"/>
          <w:left w:val="nil"/>
          <w:bottom w:val="nil"/>
          <w:right w:val="nil"/>
          <w:between w:val="nil"/>
        </w:pBdr>
        <w:spacing w:line="480" w:lineRule="auto"/>
        <w:ind w:firstLine="720"/>
        <w:rPr>
          <w:color w:val="000000"/>
        </w:rPr>
      </w:pPr>
      <w:r w:rsidRPr="00A315EC">
        <w:rPr>
          <w:color w:val="000000"/>
        </w:rPr>
        <w:t>With the observations above and the existing literature in mind, the current study propose</w:t>
      </w:r>
      <w:r w:rsidRPr="00A315EC">
        <w:t>d</w:t>
      </w:r>
      <w:r w:rsidRPr="00A315EC">
        <w:rPr>
          <w:color w:val="000000"/>
        </w:rPr>
        <w:t xml:space="preserve"> to:</w:t>
      </w:r>
    </w:p>
    <w:p w14:paraId="0F80A9AD" w14:textId="5E865A49" w:rsidR="00187849" w:rsidRPr="009472F7" w:rsidRDefault="00D06FD2" w:rsidP="009472F7">
      <w:pPr>
        <w:pStyle w:val="ListParagraph"/>
        <w:numPr>
          <w:ilvl w:val="0"/>
          <w:numId w:val="4"/>
        </w:numPr>
        <w:pBdr>
          <w:top w:val="nil"/>
          <w:left w:val="nil"/>
          <w:bottom w:val="nil"/>
          <w:right w:val="nil"/>
          <w:between w:val="nil"/>
        </w:pBdr>
        <w:tabs>
          <w:tab w:val="left" w:pos="1890"/>
        </w:tabs>
        <w:spacing w:line="480" w:lineRule="auto"/>
        <w:rPr>
          <w:color w:val="000000"/>
        </w:rPr>
      </w:pPr>
      <w:r w:rsidRPr="009472F7">
        <w:rPr>
          <w:color w:val="000000"/>
        </w:rPr>
        <w:t>Evaluate the interaction between exercise intensity, cognition, and pain catastrophizing.</w:t>
      </w:r>
    </w:p>
    <w:p w14:paraId="0BCE7629" w14:textId="64710F2F" w:rsidR="00C75ACF" w:rsidRDefault="00D06FD2" w:rsidP="009472F7">
      <w:pPr>
        <w:pBdr>
          <w:top w:val="nil"/>
          <w:left w:val="nil"/>
          <w:bottom w:val="nil"/>
          <w:right w:val="nil"/>
          <w:between w:val="nil"/>
        </w:pBdr>
        <w:spacing w:line="480" w:lineRule="auto"/>
        <w:ind w:left="2160"/>
        <w:rPr>
          <w:color w:val="000000"/>
        </w:rPr>
      </w:pPr>
      <w:r w:rsidRPr="00A315EC">
        <w:rPr>
          <w:i/>
          <w:color w:val="000000"/>
        </w:rPr>
        <w:t xml:space="preserve">Primary Hypothesis: </w:t>
      </w:r>
      <w:r w:rsidR="00DE64AF">
        <w:rPr>
          <w:color w:val="000000"/>
        </w:rPr>
        <w:t>Pain catastrophizing</w:t>
      </w:r>
      <w:r w:rsidRPr="00A315EC">
        <w:rPr>
          <w:color w:val="000000"/>
        </w:rPr>
        <w:t xml:space="preserve"> will moderate the relationship between exercise and cognition, with higher levels of </w:t>
      </w:r>
      <w:r w:rsidR="00DE64AF">
        <w:rPr>
          <w:color w:val="000000"/>
        </w:rPr>
        <w:t>pain catastrophizing</w:t>
      </w:r>
      <w:r w:rsidRPr="00A315EC">
        <w:rPr>
          <w:color w:val="000000"/>
        </w:rPr>
        <w:t xml:space="preserve"> resulting in more significant decrements in cognition. Individuals high in </w:t>
      </w:r>
      <w:r w:rsidR="00DE64AF">
        <w:rPr>
          <w:color w:val="000000"/>
        </w:rPr>
        <w:lastRenderedPageBreak/>
        <w:t>pain catastrophizing</w:t>
      </w:r>
      <w:r w:rsidRPr="00A315EC">
        <w:rPr>
          <w:color w:val="000000"/>
        </w:rPr>
        <w:t xml:space="preserve"> will experience greater, more rapid declines in cogniti</w:t>
      </w:r>
      <w:r w:rsidR="00844C29">
        <w:rPr>
          <w:color w:val="000000"/>
        </w:rPr>
        <w:t xml:space="preserve">ve </w:t>
      </w:r>
      <w:r w:rsidRPr="00A315EC">
        <w:rPr>
          <w:color w:val="000000"/>
        </w:rPr>
        <w:t xml:space="preserve">performance. </w:t>
      </w:r>
    </w:p>
    <w:p w14:paraId="690A7FE2" w14:textId="6A3AEF28" w:rsidR="00187849" w:rsidRPr="00C75ACF" w:rsidRDefault="00844C29" w:rsidP="00865157">
      <w:pPr>
        <w:pStyle w:val="ListParagraph"/>
        <w:numPr>
          <w:ilvl w:val="0"/>
          <w:numId w:val="4"/>
        </w:numPr>
        <w:pBdr>
          <w:top w:val="nil"/>
          <w:left w:val="nil"/>
          <w:bottom w:val="nil"/>
          <w:right w:val="nil"/>
          <w:between w:val="nil"/>
        </w:pBdr>
        <w:spacing w:line="480" w:lineRule="auto"/>
        <w:rPr>
          <w:color w:val="000000"/>
        </w:rPr>
      </w:pPr>
      <w:r>
        <w:rPr>
          <w:color w:val="000000"/>
        </w:rPr>
        <w:t>Serve</w:t>
      </w:r>
      <w:r w:rsidR="00D06FD2" w:rsidRPr="00A315EC">
        <w:t xml:space="preserve"> as the second study </w:t>
      </w:r>
      <w:r>
        <w:t xml:space="preserve">(Stone et </w:t>
      </w:r>
      <w:proofErr w:type="gramStart"/>
      <w:r>
        <w:t>al,.</w:t>
      </w:r>
      <w:proofErr w:type="gramEnd"/>
      <w:r>
        <w:t xml:space="preserve"> 2020) </w:t>
      </w:r>
      <w:r w:rsidR="00D06FD2" w:rsidRPr="00A315EC">
        <w:t xml:space="preserve">to demonstrate </w:t>
      </w:r>
      <w:r w:rsidR="00D06FD2" w:rsidRPr="00C75ACF">
        <w:rPr>
          <w:color w:val="000000"/>
        </w:rPr>
        <w:t xml:space="preserve">that cognitive performance decreases as exercise intensity increases when </w:t>
      </w:r>
      <w:r w:rsidR="00D06FD2" w:rsidRPr="00A315EC">
        <w:t>cognition is measured continuously across exercise from baseline to volitional failure.</w:t>
      </w:r>
    </w:p>
    <w:p w14:paraId="799A3F06" w14:textId="3103E758" w:rsidR="00187849" w:rsidRPr="00A315EC" w:rsidRDefault="00D06FD2" w:rsidP="00DE64AF">
      <w:pPr>
        <w:spacing w:line="480" w:lineRule="auto"/>
        <w:ind w:left="2160"/>
        <w:rPr>
          <w:color w:val="000000"/>
        </w:rPr>
      </w:pPr>
      <w:r w:rsidRPr="00A315EC">
        <w:rPr>
          <w:i/>
        </w:rPr>
        <w:t xml:space="preserve">Secondary Hypothesis: </w:t>
      </w:r>
      <w:r w:rsidRPr="00A315EC">
        <w:t>Cognitive performance will decrease as exercise intensity increases. Specifically</w:t>
      </w:r>
      <w:r w:rsidR="00C75ACF">
        <w:rPr>
          <w:color w:val="000000"/>
        </w:rPr>
        <w:t>, h</w:t>
      </w:r>
      <w:r w:rsidRPr="00A315EC">
        <w:rPr>
          <w:color w:val="000000"/>
        </w:rPr>
        <w:t>it rate and precision will decrease as exercise intensity is measured as</w:t>
      </w:r>
      <w:r w:rsidR="009C4B7A">
        <w:rPr>
          <w:color w:val="000000"/>
        </w:rPr>
        <w:t xml:space="preserve"> </w:t>
      </w:r>
      <w:r w:rsidRPr="00A315EC">
        <w:rPr>
          <w:color w:val="000000"/>
        </w:rPr>
        <w:t>%HRR increases for all participants</w:t>
      </w:r>
      <w:r w:rsidR="00844C29">
        <w:rPr>
          <w:color w:val="000000"/>
        </w:rPr>
        <w:t>.</w:t>
      </w:r>
    </w:p>
    <w:p w14:paraId="2D70C064" w14:textId="77777777" w:rsidR="00187849" w:rsidRDefault="00187849" w:rsidP="00856EF0">
      <w:pPr>
        <w:pBdr>
          <w:top w:val="nil"/>
          <w:left w:val="nil"/>
          <w:bottom w:val="nil"/>
          <w:right w:val="nil"/>
          <w:between w:val="nil"/>
        </w:pBdr>
        <w:ind w:left="1440"/>
        <w:rPr>
          <w:color w:val="000000"/>
        </w:rPr>
      </w:pPr>
    </w:p>
    <w:p w14:paraId="599195DE" w14:textId="77777777" w:rsidR="00187849" w:rsidRDefault="00D06FD2">
      <w:pPr>
        <w:pStyle w:val="Heading2"/>
        <w:ind w:left="1317" w:right="559"/>
        <w:jc w:val="center"/>
      </w:pPr>
      <w:bookmarkStart w:id="3" w:name="_3znysh7" w:colFirst="0" w:colLast="0"/>
      <w:bookmarkEnd w:id="3"/>
      <w:r>
        <w:t>Method</w:t>
      </w:r>
    </w:p>
    <w:p w14:paraId="412F41CF" w14:textId="77777777" w:rsidR="00187849" w:rsidRDefault="00187849">
      <w:pPr>
        <w:pBdr>
          <w:top w:val="nil"/>
          <w:left w:val="nil"/>
          <w:bottom w:val="nil"/>
          <w:right w:val="nil"/>
          <w:between w:val="nil"/>
        </w:pBdr>
        <w:spacing w:before="2"/>
        <w:rPr>
          <w:b/>
          <w:color w:val="000000"/>
          <w:sz w:val="16"/>
          <w:szCs w:val="16"/>
        </w:rPr>
      </w:pPr>
    </w:p>
    <w:p w14:paraId="4CFC8C13" w14:textId="77777777" w:rsidR="00187849" w:rsidRDefault="00D06FD2" w:rsidP="00CE4C8A">
      <w:pPr>
        <w:pStyle w:val="Heading2"/>
        <w:spacing w:before="90"/>
        <w:ind w:left="0"/>
      </w:pPr>
      <w:bookmarkStart w:id="4" w:name="_2et92p0" w:colFirst="0" w:colLast="0"/>
      <w:bookmarkEnd w:id="4"/>
      <w:r>
        <w:t>Design</w:t>
      </w:r>
    </w:p>
    <w:p w14:paraId="0F9681A2" w14:textId="77777777" w:rsidR="00187849" w:rsidRDefault="00187849" w:rsidP="00886F89">
      <w:pPr>
        <w:pBdr>
          <w:top w:val="nil"/>
          <w:left w:val="nil"/>
          <w:bottom w:val="nil"/>
          <w:right w:val="nil"/>
          <w:between w:val="nil"/>
        </w:pBdr>
        <w:spacing w:before="2"/>
        <w:ind w:firstLine="720"/>
        <w:rPr>
          <w:b/>
          <w:color w:val="000000"/>
          <w:sz w:val="16"/>
          <w:szCs w:val="16"/>
        </w:rPr>
      </w:pPr>
    </w:p>
    <w:p w14:paraId="1BF7D754" w14:textId="77777777" w:rsidR="00187849" w:rsidRDefault="00D06FD2" w:rsidP="005975E8">
      <w:pPr>
        <w:widowControl w:val="0"/>
        <w:pBdr>
          <w:top w:val="nil"/>
          <w:left w:val="nil"/>
          <w:bottom w:val="nil"/>
          <w:right w:val="nil"/>
          <w:between w:val="nil"/>
        </w:pBdr>
        <w:spacing w:before="90" w:line="480" w:lineRule="auto"/>
        <w:ind w:firstLine="720"/>
        <w:rPr>
          <w:color w:val="000000"/>
        </w:rPr>
      </w:pPr>
      <w:r>
        <w:rPr>
          <w:color w:val="000000"/>
        </w:rPr>
        <w:t>The pr</w:t>
      </w:r>
      <w:r>
        <w:t xml:space="preserve">esent </w:t>
      </w:r>
      <w:r>
        <w:rPr>
          <w:color w:val="000000"/>
        </w:rPr>
        <w:t xml:space="preserve">study </w:t>
      </w:r>
      <w:r>
        <w:t>utilized</w:t>
      </w:r>
      <w:r>
        <w:rPr>
          <w:color w:val="000000"/>
        </w:rPr>
        <w:t xml:space="preserve"> a within-subjects design to evaluate </w:t>
      </w:r>
      <w:r>
        <w:t>the degree to which</w:t>
      </w:r>
      <w:r>
        <w:rPr>
          <w:color w:val="000000"/>
        </w:rPr>
        <w:t xml:space="preserve"> pain catastrophizing impact</w:t>
      </w:r>
      <w:r>
        <w:t>ed</w:t>
      </w:r>
      <w:r>
        <w:rPr>
          <w:color w:val="000000"/>
        </w:rPr>
        <w:t xml:space="preserve"> cognitive </w:t>
      </w:r>
      <w:r>
        <w:t>performance</w:t>
      </w:r>
      <w:r>
        <w:rPr>
          <w:color w:val="000000"/>
        </w:rPr>
        <w:t xml:space="preserve"> across exercise intensity. Data </w:t>
      </w:r>
      <w:r>
        <w:t xml:space="preserve">collection involved online questionnaires, survey components, and in-person measurements of physiological and cognitive variables. </w:t>
      </w:r>
    </w:p>
    <w:p w14:paraId="0E0C8331" w14:textId="77777777" w:rsidR="00187849" w:rsidRDefault="00D06FD2" w:rsidP="00CE4C8A">
      <w:pPr>
        <w:pStyle w:val="Heading2"/>
        <w:spacing w:before="1" w:line="480" w:lineRule="auto"/>
        <w:ind w:left="0"/>
      </w:pPr>
      <w:bookmarkStart w:id="5" w:name="_tyjcwt" w:colFirst="0" w:colLast="0"/>
      <w:bookmarkEnd w:id="5"/>
      <w:r>
        <w:t>Participants</w:t>
      </w:r>
    </w:p>
    <w:p w14:paraId="6C7A103D" w14:textId="47F3FDCC" w:rsidR="00187849" w:rsidRPr="009472F7" w:rsidRDefault="00D06FD2" w:rsidP="009472F7">
      <w:pPr>
        <w:pStyle w:val="Heading2"/>
        <w:spacing w:before="1" w:line="480" w:lineRule="auto"/>
        <w:ind w:left="0" w:firstLine="720"/>
        <w:rPr>
          <w:bCs/>
          <w:color w:val="000000"/>
        </w:rPr>
      </w:pPr>
      <w:bookmarkStart w:id="6" w:name="_3dy6vkm" w:colFirst="0" w:colLast="0"/>
      <w:bookmarkEnd w:id="6"/>
      <w:r>
        <w:rPr>
          <w:b w:val="0"/>
        </w:rPr>
        <w:t>B</w:t>
      </w:r>
      <w:r>
        <w:rPr>
          <w:b w:val="0"/>
          <w:color w:val="000000"/>
        </w:rPr>
        <w:t xml:space="preserve">ased on a power analysis conducted via G*Power 3.1 and previously reported effect sizes </w:t>
      </w:r>
      <w:r w:rsidR="00BE3AE6">
        <w:rPr>
          <w:color w:val="000000"/>
        </w:rPr>
        <w:fldChar w:fldCharType="begin"/>
      </w:r>
      <w:r w:rsidR="00BE3AE6">
        <w:rPr>
          <w:b w:val="0"/>
          <w:color w:val="000000"/>
        </w:rPr>
        <w:instrText xml:space="preserve"> ADDIN ZOTERO_ITEM CSL_CITATION {"citationID":"NvlH2TMe","properties":{"formattedCitation":"(Del Giorno et al., 2010; Wang et al., 2013)","plainCitation":"(Del Giorno et al., 2010; Wang et al., 2013)","noteIndex":0},"citationItems":[{"id":4176,"uris":["http://zotero.org/users/3430614/items/PGCSA8DJ"],"itemData":{"id":4176,"type":"article-journal","abstract":"The purpose of this study was to test the transient hypofrontality theory (Dietrich, 2003) by examining the influence of exercise intensity on executive control processes during and following submaximal exercise. Thirty participants (13 female) exercised for 30 min at ventilatory threshold (VT) or at 75% of VT. The Contingent Continuous Performance Task (CPT) and Wisconsin Card Sorting Test (WCST) were used as measures of executive control. They were administered before, during, immediately following, and 20 min after exercise. An increase in false alarms and unique errors (p ≤ .05) occurred during both conditions. False alarms for the CPT and total and perseverative errors for the WCST remained elevated immediately following exercise at VT, but not at exercise below VT (p ≤ .01). The decreased executive control function during exercise can be explained by the transient hypofrontality theory. Following VT, executive control performance remained poor possibly owing to an additional amount of time the brain needs to return to homeostasis following intense exercise.","container-title":"Journal of Sport and Exercise Psychology","DOI":"10.1123/jsep.32.3.312","ISSN":"0895-2779, 1543-2904","issue":"3","language":"en","page":"312-323","source":"DOI.org (Crossref)","title":"Cognitive Function During Acute Exercise: A Test of the Transient Hypofrontality Theory","title-short":"Cognitive Function During Acute Exercise","volume":"32","author":[{"family":"Del Giorno","given":"Jacqueline M."},{"family":"Hall","given":"Eric E."},{"family":"O’Leary","given":"Kevin C."},{"family":"Bixby","given":"Walter R."},{"family":"Miller","given":"Paul C."}],"issued":{"date-parts":[["2010",6]]}}},{"id":4206,"uris":["http://zotero.org/users/3430614/items/BWRZFZ8V"],"itemData":{"id":4206,"type":"article-journal","abstract":"This study was designed to examine the modulation of executive functions during acute exercise and to determine whether exercise intensity moderates this relationship. Eighty college-aged adults were recruited and randomly assigned into one of the four following groups: control, 30%, 50%, and 80% heart rate reserve. The Wisconsin Card Sorting Test (WCST) was administered during each intervention. The results indicated that the majority of the WCST performances were impaired in the high exercise intensity group relative to those of the other three groups, whereas similar performance rates were maintained in the low- and moderateintensity groups. These findings suggest that transient hypofrontality occurs during high-intensity exercise, but not during low- and moderate-intensity exercises. Future research aimed at employing the dual-mode theory, and applying the reticular-activating hypofrontality model is recommended to further the current knowledge.","container-title":"Journal of Sport and Exercise Psychology","DOI":"10.1123/jsep.35.4.358","ISSN":"0895-2779, 1543-2904","issue":"4","language":"en","page":"358-367","source":"DOI.org (Crossref)","title":"Executive Function During Acute Exercise: The Role of Exercise Intensity","title-short":"Executive Function During Acute Exercise","volume":"35","author":[{"family":"Wang","given":"Chun-Chih"},{"family":"Chu","given":"Chien-Heng"},{"family":"Chu","given":"I-Hua"},{"family":"Chan","given":"Kuei-Hui"},{"family":"Chang","given":"Yu-Kai"}],"issued":{"date-parts":[["2013",8]]}}}],"schema":"https://github.com/citation-style-language/schema/raw/master/csl-citation.json"} </w:instrText>
      </w:r>
      <w:r w:rsidR="00BE3AE6">
        <w:rPr>
          <w:color w:val="000000"/>
        </w:rPr>
        <w:fldChar w:fldCharType="separate"/>
      </w:r>
      <w:r w:rsidR="00BE3AE6">
        <w:rPr>
          <w:b w:val="0"/>
          <w:noProof/>
          <w:color w:val="000000"/>
        </w:rPr>
        <w:t>(Del Giorno et al., 2010; Wang et al., 2013)</w:t>
      </w:r>
      <w:r w:rsidR="00BE3AE6">
        <w:rPr>
          <w:color w:val="000000"/>
        </w:rPr>
        <w:fldChar w:fldCharType="end"/>
      </w:r>
      <w:r w:rsidR="00BE3AE6">
        <w:rPr>
          <w:b w:val="0"/>
          <w:color w:val="000000"/>
        </w:rPr>
        <w:t>,</w:t>
      </w:r>
      <w:r>
        <w:rPr>
          <w:rFonts w:ascii="Arial" w:eastAsia="Arial" w:hAnsi="Arial" w:cs="Arial"/>
          <w:b w:val="0"/>
          <w:color w:val="000000"/>
        </w:rPr>
        <w:t xml:space="preserve"> </w:t>
      </w:r>
      <w:r>
        <w:rPr>
          <w:b w:val="0"/>
          <w:color w:val="000000"/>
        </w:rPr>
        <w:t xml:space="preserve">a sample size of 27 </w:t>
      </w:r>
      <w:r>
        <w:rPr>
          <w:b w:val="0"/>
        </w:rPr>
        <w:t>was</w:t>
      </w:r>
      <w:r>
        <w:rPr>
          <w:b w:val="0"/>
          <w:color w:val="000000"/>
        </w:rPr>
        <w:t xml:space="preserve"> required to achieve</w:t>
      </w:r>
      <w:r w:rsidR="00BE3AE6">
        <w:rPr>
          <w:b w:val="0"/>
          <w:color w:val="000000"/>
        </w:rPr>
        <w:t xml:space="preserve"> </w:t>
      </w:r>
      <w:r w:rsidRPr="009472F7">
        <w:rPr>
          <w:b w:val="0"/>
          <w:bCs/>
          <w:color w:val="000000"/>
        </w:rPr>
        <w:t>80% power</w:t>
      </w:r>
      <w:r w:rsidR="00BE3AE6">
        <w:rPr>
          <w:b w:val="0"/>
          <w:bCs/>
          <w:color w:val="000000"/>
        </w:rPr>
        <w:t xml:space="preserve"> </w:t>
      </w:r>
      <w:r w:rsidR="00BE3AE6">
        <w:rPr>
          <w:b w:val="0"/>
          <w:bCs/>
          <w:color w:val="000000"/>
        </w:rPr>
        <w:fldChar w:fldCharType="begin"/>
      </w:r>
      <w:r w:rsidR="00BE3AE6">
        <w:rPr>
          <w:b w:val="0"/>
          <w:bCs/>
          <w:color w:val="000000"/>
        </w:rPr>
        <w:instrText xml:space="preserve"> ADDIN ZOTERO_ITEM CSL_CITATION {"citationID":"UOiHG5TX","properties":{"formattedCitation":"(Cohen, 1988)","plainCitation":"(Cohen, 1988)","noteIndex":0},"citationItems":[{"id":4429,"uris":["http://zotero.org/users/3430614/items/FU8AX9WK"],"itemData":{"id":4429,"type":"book","call-number":"HA29 .C66 1988","edition":"2nd ed","event-place":"Hillsdale, N.J","ISBN":"978-0-8058-0283-2","language":"en","number-of-pages":"567","publisher":"L. Erlbaum Associates","publisher-place":"Hillsdale, N.J","source":"Library of Congress ISBN","title":"Statistical power analysis for the behavioral sciences","author":[{"family":"Cohen","given":"Jacob"}],"issued":{"date-parts":[["1988"]]}}}],"schema":"https://github.com/citation-style-language/schema/raw/master/csl-citation.json"} </w:instrText>
      </w:r>
      <w:r w:rsidR="00BE3AE6">
        <w:rPr>
          <w:b w:val="0"/>
          <w:bCs/>
          <w:color w:val="000000"/>
        </w:rPr>
        <w:fldChar w:fldCharType="separate"/>
      </w:r>
      <w:r w:rsidR="00BE3AE6">
        <w:rPr>
          <w:b w:val="0"/>
          <w:bCs/>
          <w:noProof/>
          <w:color w:val="000000"/>
        </w:rPr>
        <w:t>(Cohen, 1988)</w:t>
      </w:r>
      <w:r w:rsidR="00BE3AE6">
        <w:rPr>
          <w:b w:val="0"/>
          <w:bCs/>
          <w:color w:val="000000"/>
        </w:rPr>
        <w:fldChar w:fldCharType="end"/>
      </w:r>
      <w:r w:rsidR="00BE3AE6">
        <w:rPr>
          <w:b w:val="0"/>
          <w:bCs/>
          <w:color w:val="000000"/>
        </w:rPr>
        <w:t xml:space="preserve">. </w:t>
      </w:r>
      <w:r w:rsidRPr="009472F7">
        <w:rPr>
          <w:b w:val="0"/>
          <w:bCs/>
          <w:color w:val="000000"/>
        </w:rPr>
        <w:t xml:space="preserve">Participants were recruited </w:t>
      </w:r>
      <w:r w:rsidRPr="009472F7">
        <w:rPr>
          <w:b w:val="0"/>
          <w:bCs/>
        </w:rPr>
        <w:t xml:space="preserve">via flyers, posted across campus, and distributed digitally by willing course instructors, in-person recruitment in willing instructors’ courses and at registered student organization meetings, </w:t>
      </w:r>
      <w:r w:rsidRPr="009472F7">
        <w:rPr>
          <w:b w:val="0"/>
          <w:bCs/>
          <w:color w:val="000000"/>
        </w:rPr>
        <w:t xml:space="preserve">the Psychology Department SONA subject pool, and word of mouth. </w:t>
      </w:r>
    </w:p>
    <w:p w14:paraId="21CDE647" w14:textId="77777777" w:rsidR="00187849" w:rsidRDefault="00D06FD2" w:rsidP="00886F89">
      <w:pPr>
        <w:pBdr>
          <w:top w:val="nil"/>
          <w:left w:val="nil"/>
          <w:bottom w:val="nil"/>
          <w:right w:val="nil"/>
          <w:between w:val="nil"/>
        </w:pBdr>
        <w:spacing w:line="480" w:lineRule="auto"/>
        <w:ind w:firstLine="720"/>
      </w:pPr>
      <w:r>
        <w:rPr>
          <w:color w:val="000000"/>
        </w:rPr>
        <w:t xml:space="preserve">Prior to enrollment in the study, individuals interested in participating </w:t>
      </w:r>
      <w:r>
        <w:t>were</w:t>
      </w:r>
      <w:r>
        <w:rPr>
          <w:color w:val="000000"/>
        </w:rPr>
        <w:t xml:space="preserve"> screened using the Physical Activity Readiness Questionnaire (PAR-Q) </w:t>
      </w:r>
      <w:r>
        <w:t>and</w:t>
      </w:r>
      <w:r>
        <w:rPr>
          <w:color w:val="000000"/>
        </w:rPr>
        <w:t xml:space="preserve"> </w:t>
      </w:r>
      <w:r>
        <w:t xml:space="preserve">a general Health Status </w:t>
      </w:r>
      <w:r>
        <w:lastRenderedPageBreak/>
        <w:t>Questionnaire. Those</w:t>
      </w:r>
      <w:r>
        <w:rPr>
          <w:color w:val="000000"/>
        </w:rPr>
        <w:t xml:space="preserve"> who answered “yes” to any of the questions on the PAR-Q or who reported cardio-metabolic conditions on the health questionnaire, including hypertension, diabetes, history of stroke or heart attack, coronary artery, neurodegenerative, or kidney disease, or other condition</w:t>
      </w:r>
      <w:r>
        <w:t xml:space="preserve">s that might make maximal exercise unsafe were not invited to participate in the in-person visits. </w:t>
      </w:r>
    </w:p>
    <w:p w14:paraId="7307FDD8" w14:textId="77777777" w:rsidR="00187849" w:rsidRDefault="00D06FD2" w:rsidP="00EB26EA">
      <w:pPr>
        <w:pBdr>
          <w:top w:val="nil"/>
          <w:left w:val="nil"/>
          <w:bottom w:val="nil"/>
          <w:right w:val="nil"/>
          <w:between w:val="nil"/>
        </w:pBdr>
        <w:spacing w:line="480" w:lineRule="auto"/>
        <w:rPr>
          <w:b/>
        </w:rPr>
      </w:pPr>
      <w:r>
        <w:rPr>
          <w:b/>
        </w:rPr>
        <w:t xml:space="preserve">Measurement Tools </w:t>
      </w:r>
    </w:p>
    <w:p w14:paraId="14A22F53" w14:textId="77777777" w:rsidR="00187849" w:rsidRPr="00EB26EA" w:rsidRDefault="00D06FD2" w:rsidP="00EB26EA">
      <w:pPr>
        <w:pBdr>
          <w:top w:val="nil"/>
          <w:left w:val="nil"/>
          <w:bottom w:val="nil"/>
          <w:right w:val="nil"/>
          <w:between w:val="nil"/>
        </w:pBdr>
        <w:spacing w:line="480" w:lineRule="auto"/>
        <w:rPr>
          <w:rFonts w:eastAsia="Times"/>
          <w:b/>
          <w:i/>
        </w:rPr>
      </w:pPr>
      <w:r w:rsidRPr="00EB26EA">
        <w:rPr>
          <w:rFonts w:eastAsia="Times"/>
          <w:b/>
          <w:i/>
        </w:rPr>
        <w:t>Questionnaires and Forms</w:t>
      </w:r>
    </w:p>
    <w:p w14:paraId="2CFE2D57" w14:textId="77777777" w:rsidR="00187849" w:rsidRDefault="00D06FD2" w:rsidP="00886F89">
      <w:pPr>
        <w:pBdr>
          <w:top w:val="nil"/>
          <w:left w:val="nil"/>
          <w:bottom w:val="nil"/>
          <w:right w:val="nil"/>
          <w:between w:val="nil"/>
        </w:pBdr>
        <w:spacing w:line="480" w:lineRule="auto"/>
        <w:ind w:firstLine="720"/>
        <w:rPr>
          <w:color w:val="000000"/>
        </w:rPr>
      </w:pPr>
      <w:r>
        <w:rPr>
          <w:b/>
          <w:color w:val="000000"/>
        </w:rPr>
        <w:t xml:space="preserve">Health Insurance Portability and Accountability Act (HIPPA). </w:t>
      </w:r>
      <w:r>
        <w:rPr>
          <w:color w:val="000000"/>
        </w:rPr>
        <w:t>Given the need to collect a medical history, HIPPA forms were u</w:t>
      </w:r>
      <w:r>
        <w:t xml:space="preserve">tilized to explain the purpose of collection, methods of data storage, access to data by research staff, and participants’ rights to data. </w:t>
      </w:r>
      <w:r>
        <w:rPr>
          <w:color w:val="000000"/>
        </w:rPr>
        <w:t xml:space="preserve">Signed copies of the HIPPA form </w:t>
      </w:r>
      <w:r>
        <w:t>were</w:t>
      </w:r>
      <w:r>
        <w:rPr>
          <w:color w:val="000000"/>
        </w:rPr>
        <w:t xml:space="preserve"> obtained following the in-person </w:t>
      </w:r>
      <w:r>
        <w:t>consent</w:t>
      </w:r>
      <w:r>
        <w:rPr>
          <w:color w:val="000000"/>
        </w:rPr>
        <w:t xml:space="preserve"> proc</w:t>
      </w:r>
      <w:r>
        <w:t>ess and were stored in a lock box for the duration of collection</w:t>
      </w:r>
      <w:r>
        <w:rPr>
          <w:color w:val="000000"/>
        </w:rPr>
        <w:t>.</w:t>
      </w:r>
    </w:p>
    <w:p w14:paraId="2E1E2033" w14:textId="77777777" w:rsidR="00187849" w:rsidRDefault="00D06FD2" w:rsidP="00886F89">
      <w:pPr>
        <w:pBdr>
          <w:top w:val="nil"/>
          <w:left w:val="nil"/>
          <w:bottom w:val="nil"/>
          <w:right w:val="nil"/>
          <w:between w:val="nil"/>
        </w:pBdr>
        <w:spacing w:before="1" w:line="480" w:lineRule="auto"/>
        <w:ind w:firstLine="720"/>
        <w:rPr>
          <w:color w:val="000000"/>
        </w:rPr>
      </w:pPr>
      <w:r>
        <w:rPr>
          <w:b/>
          <w:color w:val="000000"/>
        </w:rPr>
        <w:t xml:space="preserve">Health Status and Exercise History Questionnaire. </w:t>
      </w:r>
      <w:r>
        <w:rPr>
          <w:color w:val="000000"/>
        </w:rPr>
        <w:t xml:space="preserve">A health status questionnaire adapted from the Human Circulatory Research Lab Health Status Questionnaire </w:t>
      </w:r>
      <w:r>
        <w:t>was utilized to gather</w:t>
      </w:r>
      <w:r>
        <w:rPr>
          <w:color w:val="000000"/>
        </w:rPr>
        <w:t xml:space="preserve"> general demographic information and relevant medical and exercise history (Stone et al., 2020). Responses w</w:t>
      </w:r>
      <w:r>
        <w:t>ere</w:t>
      </w:r>
      <w:r>
        <w:rPr>
          <w:color w:val="000000"/>
        </w:rPr>
        <w:t xml:space="preserve"> </w:t>
      </w:r>
      <w:r>
        <w:t>then</w:t>
      </w:r>
      <w:r>
        <w:rPr>
          <w:color w:val="000000"/>
        </w:rPr>
        <w:t xml:space="preserve"> screened to ensure potential participants </w:t>
      </w:r>
      <w:r>
        <w:t>were</w:t>
      </w:r>
      <w:r>
        <w:rPr>
          <w:color w:val="000000"/>
        </w:rPr>
        <w:t xml:space="preserve"> healthy enough for exercise.</w:t>
      </w:r>
      <w:r>
        <w:t xml:space="preserve"> </w:t>
      </w:r>
      <w:r>
        <w:rPr>
          <w:color w:val="000000"/>
        </w:rPr>
        <w:t>Individuals with a history of:</w:t>
      </w:r>
    </w:p>
    <w:p w14:paraId="54C603D7" w14:textId="77777777" w:rsidR="00187849" w:rsidRDefault="00D06FD2">
      <w:pPr>
        <w:numPr>
          <w:ilvl w:val="0"/>
          <w:numId w:val="1"/>
        </w:numPr>
        <w:pBdr>
          <w:top w:val="nil"/>
          <w:left w:val="nil"/>
          <w:bottom w:val="nil"/>
          <w:right w:val="nil"/>
          <w:between w:val="nil"/>
        </w:pBdr>
        <w:spacing w:before="1" w:line="480" w:lineRule="auto"/>
        <w:ind w:right="916"/>
      </w:pPr>
      <w:r>
        <w:t>h</w:t>
      </w:r>
      <w:r>
        <w:rPr>
          <w:color w:val="000000"/>
        </w:rPr>
        <w:t xml:space="preserve">ypertension </w:t>
      </w:r>
    </w:p>
    <w:p w14:paraId="4B8E3B9A" w14:textId="77777777" w:rsidR="00187849" w:rsidRDefault="00D06FD2">
      <w:pPr>
        <w:numPr>
          <w:ilvl w:val="0"/>
          <w:numId w:val="1"/>
        </w:numPr>
        <w:pBdr>
          <w:top w:val="nil"/>
          <w:left w:val="nil"/>
          <w:bottom w:val="nil"/>
          <w:right w:val="nil"/>
          <w:between w:val="nil"/>
        </w:pBdr>
        <w:spacing w:line="480" w:lineRule="auto"/>
        <w:ind w:right="916"/>
      </w:pPr>
      <w:r>
        <w:rPr>
          <w:color w:val="000000"/>
        </w:rPr>
        <w:t xml:space="preserve">diabetes </w:t>
      </w:r>
    </w:p>
    <w:p w14:paraId="2A915D63" w14:textId="77777777" w:rsidR="00187849" w:rsidRDefault="00D06FD2">
      <w:pPr>
        <w:numPr>
          <w:ilvl w:val="0"/>
          <w:numId w:val="1"/>
        </w:numPr>
        <w:pBdr>
          <w:top w:val="nil"/>
          <w:left w:val="nil"/>
          <w:bottom w:val="nil"/>
          <w:right w:val="nil"/>
          <w:between w:val="nil"/>
        </w:pBdr>
        <w:spacing w:line="480" w:lineRule="auto"/>
        <w:ind w:right="916"/>
      </w:pPr>
      <w:r>
        <w:rPr>
          <w:color w:val="000000"/>
        </w:rPr>
        <w:t>stroke</w:t>
      </w:r>
    </w:p>
    <w:p w14:paraId="25B85BA9" w14:textId="77777777" w:rsidR="00187849" w:rsidRDefault="00D06FD2">
      <w:pPr>
        <w:numPr>
          <w:ilvl w:val="0"/>
          <w:numId w:val="1"/>
        </w:numPr>
        <w:pBdr>
          <w:top w:val="nil"/>
          <w:left w:val="nil"/>
          <w:bottom w:val="nil"/>
          <w:right w:val="nil"/>
          <w:between w:val="nil"/>
        </w:pBdr>
        <w:spacing w:line="480" w:lineRule="auto"/>
        <w:ind w:right="916"/>
      </w:pPr>
      <w:r>
        <w:rPr>
          <w:color w:val="000000"/>
        </w:rPr>
        <w:t xml:space="preserve">heart attack </w:t>
      </w:r>
    </w:p>
    <w:p w14:paraId="2CA11AD1" w14:textId="77777777" w:rsidR="00187849" w:rsidRDefault="00D06FD2">
      <w:pPr>
        <w:numPr>
          <w:ilvl w:val="0"/>
          <w:numId w:val="1"/>
        </w:numPr>
        <w:pBdr>
          <w:top w:val="nil"/>
          <w:left w:val="nil"/>
          <w:bottom w:val="nil"/>
          <w:right w:val="nil"/>
          <w:between w:val="nil"/>
        </w:pBdr>
        <w:spacing w:line="480" w:lineRule="auto"/>
        <w:ind w:right="916"/>
      </w:pPr>
      <w:r>
        <w:rPr>
          <w:color w:val="000000"/>
        </w:rPr>
        <w:t xml:space="preserve">coronary artery </w:t>
      </w:r>
    </w:p>
    <w:p w14:paraId="3B8E9526" w14:textId="77777777" w:rsidR="00187849" w:rsidRDefault="00D06FD2">
      <w:pPr>
        <w:numPr>
          <w:ilvl w:val="0"/>
          <w:numId w:val="1"/>
        </w:numPr>
        <w:pBdr>
          <w:top w:val="nil"/>
          <w:left w:val="nil"/>
          <w:bottom w:val="nil"/>
          <w:right w:val="nil"/>
          <w:between w:val="nil"/>
        </w:pBdr>
        <w:spacing w:line="480" w:lineRule="auto"/>
        <w:ind w:right="916"/>
      </w:pPr>
      <w:r>
        <w:rPr>
          <w:color w:val="000000"/>
        </w:rPr>
        <w:t>neurodegenerative disorders</w:t>
      </w:r>
    </w:p>
    <w:p w14:paraId="67FCA8BF" w14:textId="77777777" w:rsidR="00187849" w:rsidRDefault="00D06FD2">
      <w:pPr>
        <w:numPr>
          <w:ilvl w:val="0"/>
          <w:numId w:val="1"/>
        </w:numPr>
        <w:pBdr>
          <w:top w:val="nil"/>
          <w:left w:val="nil"/>
          <w:bottom w:val="nil"/>
          <w:right w:val="nil"/>
          <w:between w:val="nil"/>
        </w:pBdr>
        <w:spacing w:line="480" w:lineRule="auto"/>
        <w:ind w:right="916"/>
      </w:pPr>
      <w:r>
        <w:rPr>
          <w:color w:val="000000"/>
        </w:rPr>
        <w:lastRenderedPageBreak/>
        <w:t>kidney disease</w:t>
      </w:r>
    </w:p>
    <w:p w14:paraId="62E28E56" w14:textId="77777777" w:rsidR="00187849" w:rsidRDefault="00D06FD2">
      <w:pPr>
        <w:numPr>
          <w:ilvl w:val="0"/>
          <w:numId w:val="1"/>
        </w:numPr>
        <w:pBdr>
          <w:top w:val="nil"/>
          <w:left w:val="nil"/>
          <w:bottom w:val="nil"/>
          <w:right w:val="nil"/>
          <w:between w:val="nil"/>
        </w:pBdr>
        <w:spacing w:line="480" w:lineRule="auto"/>
        <w:ind w:right="916"/>
      </w:pPr>
      <w:r>
        <w:t>currently pregnant</w:t>
      </w:r>
    </w:p>
    <w:p w14:paraId="287B691D" w14:textId="77777777" w:rsidR="00187849" w:rsidRDefault="00D06FD2">
      <w:pPr>
        <w:numPr>
          <w:ilvl w:val="0"/>
          <w:numId w:val="1"/>
        </w:numPr>
        <w:pBdr>
          <w:top w:val="nil"/>
          <w:left w:val="nil"/>
          <w:bottom w:val="nil"/>
          <w:right w:val="nil"/>
          <w:between w:val="nil"/>
        </w:pBdr>
        <w:spacing w:line="480" w:lineRule="auto"/>
        <w:ind w:right="916"/>
      </w:pPr>
      <w:r>
        <w:rPr>
          <w:color w:val="000000"/>
        </w:rPr>
        <w:t>currently taking blood pressure medication</w:t>
      </w:r>
    </w:p>
    <w:p w14:paraId="217C3848" w14:textId="77777777" w:rsidR="00187849" w:rsidRDefault="00D06FD2" w:rsidP="00AD030F">
      <w:pPr>
        <w:pBdr>
          <w:top w:val="nil"/>
          <w:left w:val="nil"/>
          <w:bottom w:val="nil"/>
          <w:right w:val="nil"/>
          <w:between w:val="nil"/>
        </w:pBdr>
        <w:spacing w:before="1" w:line="480" w:lineRule="auto"/>
        <w:rPr>
          <w:color w:val="000000"/>
        </w:rPr>
      </w:pPr>
      <w:r>
        <w:t>were</w:t>
      </w:r>
      <w:r>
        <w:rPr>
          <w:color w:val="000000"/>
        </w:rPr>
        <w:t xml:space="preserve"> excluded from participation.</w:t>
      </w:r>
      <w:r>
        <w:t xml:space="preserve"> Participants who reported health conditions not explicitly included in the exclusionary criteria and not considered absolute contraindications to exercise were contacted on a case-by-case basis to ensure safety of participation.</w:t>
      </w:r>
    </w:p>
    <w:p w14:paraId="3587E538" w14:textId="7B78F25A" w:rsidR="00187849" w:rsidRDefault="00D06FD2" w:rsidP="005975E8">
      <w:pPr>
        <w:widowControl w:val="0"/>
        <w:pBdr>
          <w:top w:val="nil"/>
          <w:left w:val="nil"/>
          <w:bottom w:val="nil"/>
          <w:right w:val="nil"/>
          <w:between w:val="nil"/>
        </w:pBdr>
        <w:spacing w:line="480" w:lineRule="auto"/>
        <w:ind w:firstLine="720"/>
        <w:rPr>
          <w:color w:val="000000"/>
        </w:rPr>
      </w:pPr>
      <w:r>
        <w:rPr>
          <w:b/>
          <w:color w:val="000000"/>
        </w:rPr>
        <w:t xml:space="preserve">The Physical Activity Readiness Questionnaire (PAR-Q). </w:t>
      </w:r>
      <w:r>
        <w:rPr>
          <w:color w:val="000000"/>
        </w:rPr>
        <w:t xml:space="preserve">The PAR-Q assessed whether individuals should consult their physician before beginning a new exercise program. Its original validation report </w:t>
      </w:r>
      <w:r w:rsidR="00BE3AE6">
        <w:rPr>
          <w:color w:val="000000"/>
        </w:rPr>
        <w:fldChar w:fldCharType="begin"/>
      </w:r>
      <w:r w:rsidR="005E6B14">
        <w:rPr>
          <w:color w:val="000000"/>
        </w:rPr>
        <w:instrText xml:space="preserve"> ADDIN ZOTERO_ITEM CSL_CITATION {"citationID":"n5K2hmoX","properties":{"formattedCitation":"(Chisholm et al., 1975)","plainCitation":"(Chisholm et al., 1975)","noteIndex":0},"citationItems":[{"id":5075,"uris":["http://zotero.org/users/3430614/items/NMBJV978"],"itemData":{"id":5075,"type":"article-journal","container-title":"BC Med J","issue":"2","journalAbbreviation":"BC Med J","page":"375-8","title":"Physical activity readiness","volume":"17","author":[{"family":"Chisholm","given":"DM"},{"family":"Collis","given":"ML"},{"family":"Kulak","given":"LL"},{"family":"Davenport","given":"W"},{"family":"Gruber","given":"N"}],"issued":{"date-parts":[["1975"]]}}}],"schema":"https://github.com/citation-style-language/schema/raw/master/csl-citation.json"} </w:instrText>
      </w:r>
      <w:r w:rsidR="00BE3AE6">
        <w:rPr>
          <w:color w:val="000000"/>
        </w:rPr>
        <w:fldChar w:fldCharType="separate"/>
      </w:r>
      <w:r w:rsidR="005E6B14">
        <w:rPr>
          <w:noProof/>
          <w:color w:val="000000"/>
        </w:rPr>
        <w:t>(Chisholm et al., 1975)</w:t>
      </w:r>
      <w:r w:rsidR="00BE3AE6">
        <w:rPr>
          <w:color w:val="000000"/>
        </w:rPr>
        <w:fldChar w:fldCharType="end"/>
      </w:r>
      <w:r>
        <w:rPr>
          <w:color w:val="000000"/>
        </w:rPr>
        <w:t xml:space="preserve"> indicated high sensitivity and specificity to detect potential health risks associated with increased physical activity. Slight revisions to the wording were applied in 2002 by an Expert Advisory Committee assembled by the Canadian Society for Exercise Physiology, and it remains one of the foremost pre-exercise screening tools </w:t>
      </w:r>
      <w:r w:rsidR="005E6B14">
        <w:rPr>
          <w:color w:val="000000"/>
        </w:rPr>
        <w:fldChar w:fldCharType="begin"/>
      </w:r>
      <w:r w:rsidR="005E6B14">
        <w:rPr>
          <w:color w:val="000000"/>
        </w:rPr>
        <w:instrText xml:space="preserve"> ADDIN ZOTERO_ITEM CSL_CITATION {"citationID":"AImQjXqX","properties":{"formattedCitation":"(Shephard, 2015)","plainCitation":"(Shephard, 2015)","noteIndex":0},"citationItems":[{"id":4481,"uris":["http://zotero.org/users/3430614/items/2WIA9VK7"],"itemData":{"id":4481,"type":"article-journal","abstract":"Background: Traditional approaches to exercise prescription have included a preliminary medical screening followed by exercise tests of varying sophistication. To maximize population involvement, qualified fitness and exercise professionals (QFEPs) have used a self-administered screening questionnaire (the Physical Activity Readiness Questionnaire, PAR-Q) and a simple measure of aerobic performance (the Canadian Aerobic Fitness Test, CAFT). However, problems have arisen in applying the original protocol to those with chronic disease. Recent developments have addressed these issues. Methods: Evolution of the PAR-Q and CAFT protocol is reviewed from their origins in 1974 to the current electronic decision tree model of exercise screening and prescription. Results: About a fifth of apparently healthy adults responded positively to the original PAR-Q instrument, thus requiring an often unwarranted referral to a physician. Minor changes of wording did not overcome this problem. However, a consensus process has now developed an electronic decision tree for stratification of exercise risk not only for healthy individuals, but also for those with various types of chronic disease. Conclusions: The new approach to clearance greatly reduces physician referrals and extends the role of QFEPs. The availability of effective screening and simple fitness testing should contribute to the goal of maximizing physical activity in the entire population. ABSTRACT FROM AUTHOR","container-title":"Journal of Physical Activity &amp; Health","ISSN":"15433080","issue":"4","page":"454-461","source":"EBSCOhost","title":"Qualified Fitness and Exercise as Professionals and Exercise Prescription: Evolution of the PAR-Q and Canadian Aerobic Fitness Test","title-short":"Qualified Fitness and Exercise as Professionals and Exercise Prescription","volume":"12","author":[{"family":"Shephard","given":"Roy J."}],"issued":{"date-parts":[["2015",4]]}}}],"schema":"https://github.com/citation-style-language/schema/raw/master/csl-citation.json"} </w:instrText>
      </w:r>
      <w:r w:rsidR="005E6B14">
        <w:rPr>
          <w:color w:val="000000"/>
        </w:rPr>
        <w:fldChar w:fldCharType="separate"/>
      </w:r>
      <w:r w:rsidR="005E6B14">
        <w:rPr>
          <w:noProof/>
          <w:color w:val="000000"/>
        </w:rPr>
        <w:t>(Shephard, 2015)</w:t>
      </w:r>
      <w:r w:rsidR="005E6B14">
        <w:rPr>
          <w:color w:val="000000"/>
        </w:rPr>
        <w:fldChar w:fldCharType="end"/>
      </w:r>
      <w:r w:rsidR="005E6B14">
        <w:rPr>
          <w:color w:val="000000"/>
        </w:rPr>
        <w:t xml:space="preserve">. </w:t>
      </w:r>
      <w:r>
        <w:rPr>
          <w:color w:val="000000"/>
        </w:rPr>
        <w:t>Importantly, health risks such as poor cardiovascular outcomes</w:t>
      </w:r>
      <w:r>
        <w:t xml:space="preserve"> are</w:t>
      </w:r>
      <w:r>
        <w:rPr>
          <w:color w:val="000000"/>
        </w:rPr>
        <w:t xml:space="preserve"> well-predicted by responses to the PAR-Q, according to a longitudinal study completed by the Surveillance and Risk Assessment Division of the Public Health Agency of Canada </w:t>
      </w:r>
      <w:r w:rsidR="005E6B14">
        <w:rPr>
          <w:color w:val="000000"/>
        </w:rPr>
        <w:fldChar w:fldCharType="begin"/>
      </w:r>
      <w:r w:rsidR="005E6B14">
        <w:rPr>
          <w:color w:val="000000"/>
        </w:rPr>
        <w:instrText xml:space="preserve"> ADDIN ZOTERO_ITEM CSL_CITATION {"citationID":"Ywv5sqtf","properties":{"formattedCitation":"(Arraiz et al., 1992)","plainCitation":"(Arraiz et al., 1992)","noteIndex":0},"citationItems":[{"id":4483,"uris":["http://zotero.org/users/3430614/items/GBKRYN9V"],"itemData":{"id":4483,"type":"article-journal","abstract":"&lt;h2&gt;Abstract&lt;/h2&gt;&lt;p&gt;The effect of physical fitness and physical activity on all-cause mortality and mortality due to cardiovascular disease (CVD), cancer and other causes was examined using a population-based representative sample of the Canadian population. A total of 691 deaths occurred among persons age 30—69 during the 7-year follow-up period. Of these, 37, 33 and 30% died of CVD, cancer and other causes, respectively. The effect of each risk factor on mortality was assessed using logistic regression analysis. Adjustment was made for age, sex, smoking and body mass index in the case of mortality due to CVD, all causes and causes other than CVD and cancer. Models for mortality due to cancer included adjustment for age, sex, smoking and alcohol consumption. For all cause mortality, those individuals who did not pass the physical fitness tests had significantly higher risks of death than those that passed. For CVD mortality, subjects whose physical activity was moderate were protected, and those who did not pass the physical fitness tests had substantially higher risks of death due to CVD. The risk of death due to cancer was not significantly related to physical activity or physical fitness. Persons who failed the physical fitness tests had significantly elevated risks of death due to causes other than CVD or cancer. Our findings support the conclusion that persons who are physically fit have an overall reduced risk of death independent of other major risk factors. Moderate levels of physical activity appear to be protective against cardiovascular disease.&lt;/p&gt;","container-title":"Journal of Clinical Epidemiology","DOI":"10.1016/0895-4356(92)90043-M","ISSN":"0895-4356, 1878-5921","issue":"4","journalAbbreviation":"Journal of Clinical Epidemiology","language":"English","note":"publisher: Elsevier\nPMID: 1569438","page":"419-428","source":"www.jclinepi.com","title":"Risk assessment of physical activity and physical fitness in the Canada health survey mortality follow-up study","volume":"45","author":[{"family":"Arraiz","given":"Gustavo A."},{"family":"Wigle","given":"Donald T."},{"family":"Mao","given":"Yang"}],"issued":{"date-parts":[["1992",4,1]]}}}],"schema":"https://github.com/citation-style-language/schema/raw/master/csl-citation.json"} </w:instrText>
      </w:r>
      <w:r w:rsidR="005E6B14">
        <w:rPr>
          <w:color w:val="000000"/>
        </w:rPr>
        <w:fldChar w:fldCharType="separate"/>
      </w:r>
      <w:r w:rsidR="005E6B14">
        <w:rPr>
          <w:noProof/>
          <w:color w:val="000000"/>
        </w:rPr>
        <w:t>(Arraiz et al., 1992)</w:t>
      </w:r>
      <w:r w:rsidR="005E6B14">
        <w:rPr>
          <w:color w:val="000000"/>
        </w:rPr>
        <w:fldChar w:fldCharType="end"/>
      </w:r>
      <w:r w:rsidR="005E6B14">
        <w:rPr>
          <w:color w:val="000000"/>
        </w:rPr>
        <w:t>.</w:t>
      </w:r>
    </w:p>
    <w:p w14:paraId="39715EA0" w14:textId="77777777" w:rsidR="00187849" w:rsidRDefault="00D06FD2" w:rsidP="00AD030F">
      <w:pPr>
        <w:pBdr>
          <w:top w:val="nil"/>
          <w:left w:val="nil"/>
          <w:bottom w:val="nil"/>
          <w:right w:val="nil"/>
          <w:between w:val="nil"/>
        </w:pBdr>
        <w:spacing w:line="480" w:lineRule="auto"/>
        <w:ind w:firstLine="720"/>
        <w:rPr>
          <w:color w:val="000000"/>
        </w:rPr>
      </w:pPr>
      <w:r>
        <w:rPr>
          <w:color w:val="000000"/>
        </w:rPr>
        <w:t xml:space="preserve">Vigorous exercise may not be appropriate for individuals who respond in the affirmative to the questions included on the questionnaire. Thus, </w:t>
      </w:r>
      <w:r>
        <w:t xml:space="preserve">those individuals were </w:t>
      </w:r>
      <w:r>
        <w:rPr>
          <w:color w:val="000000"/>
        </w:rPr>
        <w:t>excluded from participation to mitigate risks and maintain participant safety. The questionnaire consist</w:t>
      </w:r>
      <w:r>
        <w:t>s</w:t>
      </w:r>
      <w:r>
        <w:rPr>
          <w:color w:val="000000"/>
        </w:rPr>
        <w:t xml:space="preserve"> of 7 questions and takes less than five minutes to complete.</w:t>
      </w:r>
    </w:p>
    <w:p w14:paraId="4D47EC54" w14:textId="220ABB4B" w:rsidR="00187849" w:rsidRDefault="00D06FD2" w:rsidP="00AD030F">
      <w:pPr>
        <w:pBdr>
          <w:top w:val="nil"/>
          <w:left w:val="nil"/>
          <w:bottom w:val="nil"/>
          <w:right w:val="nil"/>
          <w:between w:val="nil"/>
        </w:pBdr>
        <w:spacing w:line="480" w:lineRule="auto"/>
        <w:ind w:firstLine="720"/>
        <w:jc w:val="both"/>
        <w:rPr>
          <w:color w:val="000000"/>
        </w:rPr>
      </w:pPr>
      <w:r>
        <w:rPr>
          <w:b/>
          <w:color w:val="000000"/>
        </w:rPr>
        <w:t>P</w:t>
      </w:r>
      <w:r w:rsidR="00CE4C8A">
        <w:rPr>
          <w:b/>
          <w:color w:val="000000"/>
        </w:rPr>
        <w:t>ain Catastrophizing Scale (P</w:t>
      </w:r>
      <w:r>
        <w:rPr>
          <w:b/>
          <w:color w:val="000000"/>
        </w:rPr>
        <w:t>CS</w:t>
      </w:r>
      <w:r w:rsidR="00CE4C8A">
        <w:rPr>
          <w:b/>
          <w:color w:val="000000"/>
        </w:rPr>
        <w:t>)</w:t>
      </w:r>
      <w:r>
        <w:rPr>
          <w:b/>
          <w:color w:val="000000"/>
        </w:rPr>
        <w:t xml:space="preserve">. </w:t>
      </w:r>
      <w:r>
        <w:rPr>
          <w:color w:val="000000"/>
        </w:rPr>
        <w:t xml:space="preserve">The </w:t>
      </w:r>
      <w:r w:rsidR="001A0C28">
        <w:rPr>
          <w:color w:val="000000"/>
        </w:rPr>
        <w:t>PCS</w:t>
      </w:r>
      <w:r>
        <w:rPr>
          <w:color w:val="000000"/>
        </w:rPr>
        <w:t xml:space="preserve"> was devised to assess individuals’ levels of catastrophic thinking about pain. Prior investigations of pain catastrophizing and pain experience were used to compile the items, and factor analyses have revealed three primary constructs: </w:t>
      </w:r>
      <w:r>
        <w:rPr>
          <w:color w:val="000000"/>
        </w:rPr>
        <w:lastRenderedPageBreak/>
        <w:t>rumination, magnification, and helplessness. It consists of 13 Likert-style items with high internal consistency (rumination: α</w:t>
      </w:r>
      <w:r>
        <w:t xml:space="preserve"> </w:t>
      </w:r>
      <w:r>
        <w:rPr>
          <w:color w:val="000000"/>
        </w:rPr>
        <w:t>=</w:t>
      </w:r>
      <w:r>
        <w:t xml:space="preserve"> </w:t>
      </w:r>
      <w:r>
        <w:rPr>
          <w:color w:val="000000"/>
        </w:rPr>
        <w:t xml:space="preserve">.87; magnification: α = .66; helplessness: α = .78; total PCS: α = .87; Sullivan et al., 1995) and can be completed in five minutes or less. </w:t>
      </w:r>
    </w:p>
    <w:p w14:paraId="6DCF45C3" w14:textId="77777777" w:rsidR="005C3A28" w:rsidRDefault="00D06FD2" w:rsidP="00AD030F">
      <w:pPr>
        <w:pBdr>
          <w:top w:val="nil"/>
          <w:left w:val="nil"/>
          <w:bottom w:val="nil"/>
          <w:right w:val="nil"/>
          <w:between w:val="nil"/>
        </w:pBdr>
        <w:spacing w:line="480" w:lineRule="auto"/>
        <w:ind w:firstLine="720"/>
      </w:pPr>
      <w:r>
        <w:rPr>
          <w:color w:val="000000"/>
        </w:rPr>
        <w:t xml:space="preserve">The questionnaire directs participants to consider occasions in which they’ve experienced pain and then indicate the degree to which they endorsed a list of thoughts and feelings about pain, with 0 meaning “not at all” and four meaning “all the time.” For example, item one reads, “I worry all the time about whether the pain will end” (Sullivan, 1995). </w:t>
      </w:r>
      <w:r>
        <w:t>It is scored by summing the responses, with higher responses indicating higher levels of pain catastrophizing.</w:t>
      </w:r>
    </w:p>
    <w:p w14:paraId="5B4221F0" w14:textId="595A01E7" w:rsidR="00187849" w:rsidRDefault="005C3A28" w:rsidP="00AD030F">
      <w:pPr>
        <w:pBdr>
          <w:top w:val="nil"/>
          <w:left w:val="nil"/>
          <w:bottom w:val="nil"/>
          <w:right w:val="nil"/>
          <w:between w:val="nil"/>
        </w:pBdr>
        <w:spacing w:line="480" w:lineRule="auto"/>
        <w:ind w:firstLine="720"/>
        <w:rPr>
          <w:color w:val="000000"/>
        </w:rPr>
      </w:pPr>
      <w:r>
        <w:t xml:space="preserve">Given the timing of the administration of the pain catastrophizing assessment and the nature of the primary research question under investigation in the present study, utilizing the PCS to evaluate pain catastrophizing from a dispositional perspective is most appropriate. </w:t>
      </w:r>
    </w:p>
    <w:p w14:paraId="131CE2B6" w14:textId="77777777" w:rsidR="00187849" w:rsidRPr="00EB26EA" w:rsidRDefault="00D06FD2" w:rsidP="00441E1E">
      <w:pPr>
        <w:pStyle w:val="Heading3"/>
        <w:ind w:left="0"/>
        <w:rPr>
          <w:rFonts w:ascii="Times New Roman" w:hAnsi="Times New Roman" w:cs="Times New Roman"/>
        </w:rPr>
      </w:pPr>
      <w:r w:rsidRPr="00EB26EA">
        <w:rPr>
          <w:rFonts w:ascii="Times New Roman" w:hAnsi="Times New Roman" w:cs="Times New Roman"/>
        </w:rPr>
        <w:t>Physiological Instruments</w:t>
      </w:r>
    </w:p>
    <w:p w14:paraId="56321085" w14:textId="77777777" w:rsidR="00187849" w:rsidRDefault="00187849">
      <w:pPr>
        <w:pBdr>
          <w:top w:val="nil"/>
          <w:left w:val="nil"/>
          <w:bottom w:val="nil"/>
          <w:right w:val="nil"/>
          <w:between w:val="nil"/>
        </w:pBdr>
        <w:rPr>
          <w:rFonts w:ascii="Times" w:eastAsia="Times" w:hAnsi="Times" w:cs="Times"/>
          <w:b/>
          <w:i/>
          <w:color w:val="000000"/>
        </w:rPr>
      </w:pPr>
    </w:p>
    <w:p w14:paraId="0536B18A" w14:textId="51D65D7F" w:rsidR="005975E8" w:rsidRDefault="00D06FD2" w:rsidP="00CE4C8A">
      <w:pPr>
        <w:pBdr>
          <w:top w:val="nil"/>
          <w:left w:val="nil"/>
          <w:bottom w:val="nil"/>
          <w:right w:val="nil"/>
          <w:between w:val="nil"/>
        </w:pBdr>
        <w:spacing w:line="480" w:lineRule="auto"/>
        <w:ind w:firstLine="720"/>
      </w:pPr>
      <w:r>
        <w:rPr>
          <w:b/>
        </w:rPr>
        <w:t xml:space="preserve">Garmin HRM-PRO PLUS™️. </w:t>
      </w:r>
      <w:r>
        <w:t xml:space="preserve">A Garmin chest measured and stored real-time heart rate (HR) data for the duration of the graded exercise task. The strap was positioned around the torso, just below the sternum, with the Garmin logo facing upward. Adjustments to the strap size were made before the initiation of each test to ensure a snug but unrestrictive fit. </w:t>
      </w:r>
    </w:p>
    <w:p w14:paraId="51AD0E9F" w14:textId="59CED9D1" w:rsidR="005975E8" w:rsidRDefault="005975E8" w:rsidP="00441E1E">
      <w:pPr>
        <w:pBdr>
          <w:top w:val="nil"/>
          <w:left w:val="nil"/>
          <w:bottom w:val="nil"/>
          <w:right w:val="nil"/>
          <w:between w:val="nil"/>
        </w:pBdr>
        <w:spacing w:line="480" w:lineRule="auto"/>
      </w:pPr>
      <w:r>
        <w:t>Figure 1</w:t>
      </w:r>
    </w:p>
    <w:p w14:paraId="6BBD0BD1" w14:textId="300FC701" w:rsidR="005975E8" w:rsidRPr="00341AFB" w:rsidRDefault="005975E8" w:rsidP="00441E1E">
      <w:pPr>
        <w:pBdr>
          <w:top w:val="nil"/>
          <w:left w:val="nil"/>
          <w:bottom w:val="nil"/>
          <w:right w:val="nil"/>
          <w:between w:val="nil"/>
        </w:pBdr>
        <w:spacing w:line="480" w:lineRule="auto"/>
        <w:rPr>
          <w:i/>
          <w:iCs/>
        </w:rPr>
      </w:pPr>
      <w:r w:rsidRPr="00341AFB">
        <w:rPr>
          <w:i/>
          <w:iCs/>
        </w:rPr>
        <w:t>Garmin HRM-PRO Placement</w:t>
      </w:r>
    </w:p>
    <w:p w14:paraId="4B0287C7" w14:textId="0B350AD9" w:rsidR="005975E8" w:rsidRPr="005975E8" w:rsidRDefault="00D06FD2" w:rsidP="005975E8">
      <w:pPr>
        <w:pBdr>
          <w:top w:val="nil"/>
          <w:left w:val="nil"/>
          <w:bottom w:val="nil"/>
          <w:right w:val="nil"/>
          <w:between w:val="nil"/>
        </w:pBdr>
        <w:spacing w:line="480" w:lineRule="auto"/>
        <w:ind w:firstLine="720"/>
        <w:jc w:val="center"/>
      </w:pPr>
      <w:r>
        <w:rPr>
          <w:noProof/>
        </w:rPr>
        <w:drawing>
          <wp:inline distT="114300" distB="114300" distL="114300" distR="114300" wp14:anchorId="1A4A20DE" wp14:editId="2DD50379">
            <wp:extent cx="2408555" cy="1872320"/>
            <wp:effectExtent l="0" t="0" r="4445" b="0"/>
            <wp:docPr id="10" name="image4.png" descr="Garmin HRM-PRO PLUS manual, page 1."/>
            <wp:cNvGraphicFramePr/>
            <a:graphic xmlns:a="http://schemas.openxmlformats.org/drawingml/2006/main">
              <a:graphicData uri="http://schemas.openxmlformats.org/drawingml/2006/picture">
                <pic:pic xmlns:pic="http://schemas.openxmlformats.org/drawingml/2006/picture">
                  <pic:nvPicPr>
                    <pic:cNvPr id="0" name="image4.png" descr="Garmin HRM-PRO PLUS manual, page 1."/>
                    <pic:cNvPicPr preferRelativeResize="0"/>
                  </pic:nvPicPr>
                  <pic:blipFill>
                    <a:blip r:embed="rId18"/>
                    <a:srcRect/>
                    <a:stretch>
                      <a:fillRect/>
                    </a:stretch>
                  </pic:blipFill>
                  <pic:spPr>
                    <a:xfrm>
                      <a:off x="0" y="0"/>
                      <a:ext cx="2523803" cy="1961909"/>
                    </a:xfrm>
                    <a:prstGeom prst="rect">
                      <a:avLst/>
                    </a:prstGeom>
                    <a:ln/>
                  </pic:spPr>
                </pic:pic>
              </a:graphicData>
            </a:graphic>
          </wp:inline>
        </w:drawing>
      </w:r>
    </w:p>
    <w:p w14:paraId="63858541" w14:textId="77777777" w:rsidR="00187849" w:rsidRDefault="00D06FD2" w:rsidP="00AD030F">
      <w:pPr>
        <w:pBdr>
          <w:top w:val="nil"/>
          <w:left w:val="nil"/>
          <w:bottom w:val="nil"/>
          <w:right w:val="nil"/>
          <w:between w:val="nil"/>
        </w:pBdr>
        <w:spacing w:line="480" w:lineRule="auto"/>
        <w:ind w:firstLine="720"/>
      </w:pPr>
      <w:r>
        <w:lastRenderedPageBreak/>
        <w:t>To assess HR in real-time, the strap was paired with a performance analytics application, STRAVA, and displayed on an iPad. Each GXT was recorded as an activity in STRAVA, allowing for the export and analysis of each participant’s de-identified data on a second-by-second basis.</w:t>
      </w:r>
    </w:p>
    <w:p w14:paraId="1455F7AA" w14:textId="77777777" w:rsidR="00187849" w:rsidRDefault="00D06FD2" w:rsidP="00AD030F">
      <w:pPr>
        <w:pBdr>
          <w:top w:val="nil"/>
          <w:left w:val="nil"/>
          <w:bottom w:val="nil"/>
          <w:right w:val="nil"/>
          <w:between w:val="nil"/>
        </w:pBdr>
        <w:spacing w:line="480" w:lineRule="auto"/>
        <w:ind w:firstLine="720"/>
        <w:rPr>
          <w:color w:val="000000"/>
        </w:rPr>
      </w:pPr>
      <w:r>
        <w:rPr>
          <w:color w:val="000000"/>
        </w:rPr>
        <w:t>HR</w:t>
      </w:r>
      <w:r>
        <w:t xml:space="preserve"> was then used</w:t>
      </w:r>
      <w:r>
        <w:rPr>
          <w:color w:val="000000"/>
        </w:rPr>
        <w:t xml:space="preserve"> to calculate Heart Rate Reserve (%HRR = (</w:t>
      </w:r>
      <w:proofErr w:type="spellStart"/>
      <w:r>
        <w:rPr>
          <w:color w:val="000000"/>
        </w:rPr>
        <w:t>HR</w:t>
      </w:r>
      <w:r>
        <w:rPr>
          <w:color w:val="000000"/>
          <w:sz w:val="16"/>
          <w:szCs w:val="16"/>
        </w:rPr>
        <w:t>exercise</w:t>
      </w:r>
      <w:proofErr w:type="spellEnd"/>
      <w:r>
        <w:rPr>
          <w:color w:val="000000"/>
        </w:rPr>
        <w:t>–</w:t>
      </w:r>
      <w:proofErr w:type="spellStart"/>
      <w:r>
        <w:rPr>
          <w:color w:val="000000"/>
        </w:rPr>
        <w:t>HR</w:t>
      </w:r>
      <w:r>
        <w:rPr>
          <w:color w:val="000000"/>
          <w:sz w:val="16"/>
          <w:szCs w:val="16"/>
        </w:rPr>
        <w:t>rest</w:t>
      </w:r>
      <w:proofErr w:type="spellEnd"/>
      <w:r>
        <w:rPr>
          <w:color w:val="000000"/>
        </w:rPr>
        <w:t>) / (HR</w:t>
      </w:r>
      <w:r>
        <w:rPr>
          <w:color w:val="000000"/>
          <w:sz w:val="16"/>
          <w:szCs w:val="16"/>
        </w:rPr>
        <w:t>max</w:t>
      </w:r>
      <w:r>
        <w:rPr>
          <w:color w:val="000000"/>
        </w:rPr>
        <w:t>–</w:t>
      </w:r>
      <w:proofErr w:type="spellStart"/>
      <w:r>
        <w:rPr>
          <w:color w:val="000000"/>
        </w:rPr>
        <w:t>HR</w:t>
      </w:r>
      <w:r>
        <w:rPr>
          <w:color w:val="000000"/>
          <w:sz w:val="16"/>
          <w:szCs w:val="16"/>
        </w:rPr>
        <w:t>rest</w:t>
      </w:r>
      <w:proofErr w:type="spellEnd"/>
      <w:r>
        <w:rPr>
          <w:color w:val="000000"/>
        </w:rPr>
        <w:t>)), which is an established method of estimating or prescribing exercise intensity (Mann et al., 2013). Compared to absolute intensity measurements such as stage or duration of the graded exercise task, treadmill speed, etc., %HR</w:t>
      </w:r>
      <w:r>
        <w:t>R a</w:t>
      </w:r>
      <w:r>
        <w:rPr>
          <w:color w:val="000000"/>
        </w:rPr>
        <w:t>llows exercise intensity to be measured relative to the individual. This account</w:t>
      </w:r>
      <w:r>
        <w:t>s</w:t>
      </w:r>
      <w:r>
        <w:rPr>
          <w:color w:val="000000"/>
        </w:rPr>
        <w:t xml:space="preserve"> for potential differences in overall fitness level and time to exhaustion (i.e., one participant might reach 90% HRR in stage 7, while another might reach 90% HRR in stage 10). %HRR served as the present study's primary measure for exercise intensity.</w:t>
      </w:r>
    </w:p>
    <w:p w14:paraId="410B018F" w14:textId="77777777" w:rsidR="00187849" w:rsidRPr="00EB26EA" w:rsidRDefault="00D06FD2" w:rsidP="00441E1E">
      <w:pPr>
        <w:pStyle w:val="Heading3"/>
        <w:ind w:left="0"/>
        <w:jc w:val="both"/>
        <w:rPr>
          <w:rFonts w:ascii="Times New Roman" w:hAnsi="Times New Roman" w:cs="Times New Roman"/>
        </w:rPr>
      </w:pPr>
      <w:r w:rsidRPr="00EB26EA">
        <w:rPr>
          <w:rFonts w:ascii="Times New Roman" w:hAnsi="Times New Roman" w:cs="Times New Roman"/>
        </w:rPr>
        <w:t>Cognitive Assessment</w:t>
      </w:r>
    </w:p>
    <w:p w14:paraId="5E47ABC1" w14:textId="77777777" w:rsidR="00187849" w:rsidRDefault="00187849">
      <w:pPr>
        <w:pBdr>
          <w:top w:val="nil"/>
          <w:left w:val="nil"/>
          <w:bottom w:val="nil"/>
          <w:right w:val="nil"/>
          <w:between w:val="nil"/>
        </w:pBdr>
        <w:rPr>
          <w:rFonts w:ascii="Times" w:eastAsia="Times" w:hAnsi="Times" w:cs="Times"/>
          <w:b/>
          <w:i/>
          <w:color w:val="000000"/>
        </w:rPr>
      </w:pPr>
    </w:p>
    <w:p w14:paraId="7E94FF06" w14:textId="69F65F7A" w:rsidR="00187849" w:rsidRDefault="00D06FD2" w:rsidP="00AD030F">
      <w:pPr>
        <w:pBdr>
          <w:top w:val="nil"/>
          <w:left w:val="nil"/>
          <w:bottom w:val="nil"/>
          <w:right w:val="nil"/>
          <w:between w:val="nil"/>
        </w:pBdr>
        <w:spacing w:line="480" w:lineRule="auto"/>
        <w:ind w:firstLine="720"/>
        <w:rPr>
          <w:color w:val="000000"/>
        </w:rPr>
      </w:pPr>
      <w:r>
        <w:rPr>
          <w:b/>
          <w:color w:val="000000"/>
        </w:rPr>
        <w:t xml:space="preserve">The Cedar Operator Workload Assessment Tool </w:t>
      </w:r>
      <w:r>
        <w:rPr>
          <w:color w:val="000000"/>
        </w:rPr>
        <w:t xml:space="preserve">(OWAT; </w:t>
      </w:r>
      <w:proofErr w:type="spellStart"/>
      <w:r>
        <w:rPr>
          <w:color w:val="000000"/>
        </w:rPr>
        <w:t>elmTEK</w:t>
      </w:r>
      <w:proofErr w:type="spellEnd"/>
      <w:r>
        <w:rPr>
          <w:color w:val="000000"/>
        </w:rPr>
        <w:t>, Australia)</w:t>
      </w:r>
      <w:r>
        <w:t>. The OWAT is</w:t>
      </w:r>
      <w:r>
        <w:rPr>
          <w:color w:val="000000"/>
        </w:rPr>
        <w:t xml:space="preserve"> a tablet-based adaptation of the NASA Multi-Attribute Task Battery-II (MATB–II) used to evaluate cognition. The OWAT is completed on an iPad and employs a multitasking model to assess domains of executive function such as decision-making, working memory, and sustained attention. While the tasks </w:t>
      </w:r>
      <w:r>
        <w:t>administered</w:t>
      </w:r>
      <w:r>
        <w:rPr>
          <w:color w:val="000000"/>
        </w:rPr>
        <w:t xml:space="preserve"> by the OWAT and MATB-II were initially developed to simulate those relevant to flight crews, the paradigm has proven suitable for civilian populations</w:t>
      </w:r>
      <w:r w:rsidR="005E6B14">
        <w:rPr>
          <w:color w:val="000000"/>
        </w:rPr>
        <w:t xml:space="preserve"> </w:t>
      </w:r>
      <w:r w:rsidR="005E6B14">
        <w:rPr>
          <w:color w:val="000000"/>
        </w:rPr>
        <w:fldChar w:fldCharType="begin"/>
      </w:r>
      <w:r w:rsidR="005E6B14">
        <w:rPr>
          <w:color w:val="000000"/>
        </w:rPr>
        <w:instrText xml:space="preserve"> ADDIN ZOTERO_ITEM CSL_CITATION {"citationID":"07ZBgiMh","properties":{"formattedCitation":"(Cegarra et al., 2020; Comstock &amp; Arnegard, 1992)","plainCitation":"(Cegarra et al., 2020; Comstock &amp; Arnegard, 1992)","noteIndex":0},"citationItems":[{"id":4436,"uris":["http://zotero.org/users/3430614/items/DXJSL7UE"],"itemData":{"id":4436,"type":"article-journal","abstract":"OpenMATB is an open-source variant of the Multi-Attribute Task Battery (MATB) and is available under a free software license. MATB consists of a set of tasks representative of those performed in aircraft piloting. It is used, in particular, to study the effect of automation on decision-making, mental workload, and vigilance. Since the publication of MATB 20 years ago, the subject of automation has grown considerably in importance. After introducing the task battery, this article highlights three main requirements for an up-to-date implementation of MATB. First, there is a need for task customization, to make it possible to change the values, appearance or integrated components (such as rating scales) of the tasks. Second, researchers need software extensibility to enable them to integrate specific features, such as synchronization with psychophysiological devices. Third, to achieve experiment replicability, it is necessary that the source code and the scenario files are easily available and auditable. In the present paper, we explain how these aspects are implemented in OpenMATB by presenting the software architecture and features, while placing special emphasis on the crucial role of the plugin system and the simplicity of the format used in the script files. Finally, we present a number of general trends for the future study of automation in human factors research and ergonomics.","container-title":"Behavior Research Methods","DOI":"10.3758/s13428-020-01364-w","ISSN":"1554-3528","issue":"5","journalAbbreviation":"Behav Res","language":"en","page":"1980-1990","source":"DOI.org (Crossref)","title":"OpenMATB: A Multi-Attribute Task Battery promoting task customization, software extensibility and experiment replicability","title-short":"OpenMATB","volume":"52","author":[{"family":"Cegarra","given":"J."},{"family":"Valéry","given":"B."},{"family":"Avril","given":"E."},{"family":"Calmettes","given":"C."},{"family":"Navarro","given":"J."}],"issued":{"date-parts":[["2020",10]]}}},{"id":4431,"uris":["http://zotero.org/users/3430614/items/2PYCYKBC"],"itemData":{"id":4431,"type":"article-journal","container-title":"NASA Technical Memorandum 104174","language":"en","page":"115","source":"Zotero","title":"The Multi-Attribute Task Battery for Human Operator Workload and Strategic Behavior Research","author":[{"family":"Comstock","given":"J Raymond"},{"family":"Arnegard","given":"Ruth J"}],"issued":{"date-parts":[["1992"]]}}}],"schema":"https://github.com/citation-style-language/schema/raw/master/csl-citation.json"} </w:instrText>
      </w:r>
      <w:r w:rsidR="005E6B14">
        <w:rPr>
          <w:color w:val="000000"/>
        </w:rPr>
        <w:fldChar w:fldCharType="separate"/>
      </w:r>
      <w:r w:rsidR="005E6B14">
        <w:rPr>
          <w:noProof/>
          <w:color w:val="000000"/>
        </w:rPr>
        <w:t>(Cegarra et al., 2020; Comstock &amp; Arnegard, 1992)</w:t>
      </w:r>
      <w:r w:rsidR="005E6B14">
        <w:rPr>
          <w:color w:val="000000"/>
        </w:rPr>
        <w:fldChar w:fldCharType="end"/>
      </w:r>
      <w:r w:rsidR="005E6B14">
        <w:rPr>
          <w:color w:val="000000"/>
        </w:rPr>
        <w:t>.</w:t>
      </w:r>
    </w:p>
    <w:p w14:paraId="2A0B46EE" w14:textId="77777777" w:rsidR="005D6B9C" w:rsidRDefault="005D6B9C" w:rsidP="00AD030F">
      <w:pPr>
        <w:pBdr>
          <w:top w:val="nil"/>
          <w:left w:val="nil"/>
          <w:bottom w:val="nil"/>
          <w:right w:val="nil"/>
          <w:between w:val="nil"/>
        </w:pBdr>
        <w:spacing w:line="480" w:lineRule="auto"/>
        <w:ind w:firstLine="720"/>
        <w:rPr>
          <w:color w:val="000000"/>
        </w:rPr>
      </w:pPr>
    </w:p>
    <w:p w14:paraId="3E4E4BDA" w14:textId="77777777" w:rsidR="005D6B9C" w:rsidRDefault="005D6B9C" w:rsidP="00AD030F">
      <w:pPr>
        <w:pBdr>
          <w:top w:val="nil"/>
          <w:left w:val="nil"/>
          <w:bottom w:val="nil"/>
          <w:right w:val="nil"/>
          <w:between w:val="nil"/>
        </w:pBdr>
        <w:spacing w:line="480" w:lineRule="auto"/>
        <w:ind w:firstLine="720"/>
        <w:rPr>
          <w:color w:val="000000"/>
        </w:rPr>
      </w:pPr>
    </w:p>
    <w:p w14:paraId="6B02155E" w14:textId="77777777" w:rsidR="005D6B9C" w:rsidRDefault="005D6B9C" w:rsidP="00AD030F">
      <w:pPr>
        <w:pBdr>
          <w:top w:val="nil"/>
          <w:left w:val="nil"/>
          <w:bottom w:val="nil"/>
          <w:right w:val="nil"/>
          <w:between w:val="nil"/>
        </w:pBdr>
        <w:spacing w:line="480" w:lineRule="auto"/>
        <w:ind w:firstLine="720"/>
        <w:rPr>
          <w:color w:val="000000"/>
        </w:rPr>
      </w:pPr>
    </w:p>
    <w:p w14:paraId="678AC0AF" w14:textId="77777777" w:rsidR="005975E8" w:rsidRDefault="005975E8" w:rsidP="005975E8">
      <w:pPr>
        <w:pBdr>
          <w:top w:val="nil"/>
          <w:left w:val="nil"/>
          <w:bottom w:val="nil"/>
          <w:right w:val="nil"/>
          <w:between w:val="nil"/>
        </w:pBdr>
        <w:spacing w:line="480" w:lineRule="auto"/>
      </w:pPr>
      <w:r>
        <w:lastRenderedPageBreak/>
        <w:t>Figure 2</w:t>
      </w:r>
    </w:p>
    <w:p w14:paraId="510ED7AF" w14:textId="77777777" w:rsidR="005975E8" w:rsidRPr="002F4A86" w:rsidRDefault="005975E8" w:rsidP="005975E8">
      <w:pPr>
        <w:pBdr>
          <w:top w:val="nil"/>
          <w:left w:val="nil"/>
          <w:bottom w:val="nil"/>
          <w:right w:val="nil"/>
          <w:between w:val="nil"/>
        </w:pBdr>
        <w:spacing w:line="480" w:lineRule="auto"/>
        <w:rPr>
          <w:i/>
          <w:iCs/>
        </w:rPr>
      </w:pPr>
      <w:r w:rsidRPr="002F4A86">
        <w:rPr>
          <w:i/>
          <w:iCs/>
        </w:rPr>
        <w:t xml:space="preserve">The OWAT </w:t>
      </w:r>
    </w:p>
    <w:p w14:paraId="2F9C3783" w14:textId="1D6523AB" w:rsidR="005975E8" w:rsidRDefault="005975E8" w:rsidP="005975E8">
      <w:pPr>
        <w:pBdr>
          <w:top w:val="nil"/>
          <w:left w:val="nil"/>
          <w:bottom w:val="nil"/>
          <w:right w:val="nil"/>
          <w:between w:val="nil"/>
        </w:pBdr>
        <w:spacing w:line="480" w:lineRule="auto"/>
        <w:ind w:firstLine="720"/>
        <w:jc w:val="center"/>
        <w:rPr>
          <w:color w:val="000000"/>
        </w:rPr>
      </w:pPr>
      <w:r>
        <w:rPr>
          <w:noProof/>
          <w:color w:val="000000"/>
        </w:rPr>
        <w:drawing>
          <wp:inline distT="114300" distB="114300" distL="114300" distR="114300" wp14:anchorId="4C162592" wp14:editId="0E507017">
            <wp:extent cx="3103684" cy="3965331"/>
            <wp:effectExtent l="0" t="0" r="0" b="0"/>
            <wp:docPr id="37885707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3186600" cy="4071266"/>
                    </a:xfrm>
                    <a:prstGeom prst="rect">
                      <a:avLst/>
                    </a:prstGeom>
                    <a:ln/>
                  </pic:spPr>
                </pic:pic>
              </a:graphicData>
            </a:graphic>
          </wp:inline>
        </w:drawing>
      </w:r>
    </w:p>
    <w:p w14:paraId="2388668E" w14:textId="4F9DE3BB" w:rsidR="00187849" w:rsidRDefault="00D06FD2" w:rsidP="00EB26EA">
      <w:pPr>
        <w:pBdr>
          <w:top w:val="nil"/>
          <w:left w:val="nil"/>
          <w:bottom w:val="nil"/>
          <w:right w:val="nil"/>
          <w:between w:val="nil"/>
        </w:pBdr>
        <w:spacing w:line="480" w:lineRule="auto"/>
        <w:ind w:firstLine="720"/>
      </w:pPr>
      <w:r>
        <w:t>The OWAT requires participants</w:t>
      </w:r>
      <w:r>
        <w:rPr>
          <w:color w:val="000000"/>
        </w:rPr>
        <w:t xml:space="preserve"> to simultaneously perform</w:t>
      </w:r>
      <w:r>
        <w:t xml:space="preserve"> communications, </w:t>
      </w:r>
      <w:r>
        <w:rPr>
          <w:color w:val="000000"/>
        </w:rPr>
        <w:t>systems monitoring, and resource management tasks (</w:t>
      </w:r>
      <w:r w:rsidR="00DB10A3">
        <w:rPr>
          <w:color w:val="000000"/>
        </w:rPr>
        <w:t>Figure 2</w:t>
      </w:r>
      <w:r>
        <w:rPr>
          <w:color w:val="000000"/>
        </w:rPr>
        <w:t xml:space="preserve">). </w:t>
      </w:r>
      <w:r>
        <w:t>The communications task is designed to simulate tactical transmissions. A series of speakers provide one of several possible call signs, accompanied by instructions to turn a specific radio channel to a specific frequency</w:t>
      </w:r>
      <w:r>
        <w:rPr>
          <w:color w:val="000000"/>
        </w:rPr>
        <w:t xml:space="preserve">. </w:t>
      </w:r>
      <w:r>
        <w:t xml:space="preserve">The participant is assigned a call sign, “NASA 504”, before the initiation of the task and instructed only to respond when they hear their call sign. In the systems monitoring task, participants are asked to attend to warning bars and a set of scales with fluctuating bars. Participants respond by tapping the bars when they turn red. </w:t>
      </w:r>
      <w:r>
        <w:rPr>
          <w:color w:val="000000"/>
        </w:rPr>
        <w:t xml:space="preserve">The task presented </w:t>
      </w:r>
      <w:r>
        <w:t>on</w:t>
      </w:r>
      <w:r>
        <w:rPr>
          <w:color w:val="000000"/>
        </w:rPr>
        <w:t xml:space="preserve"> the final 1/3 of the iPad screen is resource management, which involves monitoring a set of fuel tanks and ensuring that they stay </w:t>
      </w:r>
      <w:r>
        <w:rPr>
          <w:color w:val="000000"/>
        </w:rPr>
        <w:lastRenderedPageBreak/>
        <w:t xml:space="preserve">filled to a certain level; as the levels drop, the participant must </w:t>
      </w:r>
      <w:proofErr w:type="gramStart"/>
      <w:r>
        <w:rPr>
          <w:color w:val="000000"/>
        </w:rPr>
        <w:t>open</w:t>
      </w:r>
      <w:proofErr w:type="gramEnd"/>
      <w:r>
        <w:rPr>
          <w:color w:val="000000"/>
        </w:rPr>
        <w:t xml:space="preserve"> or close valves shown on the screen (by tapping them) to send fuel from one of the supply tanks into the main tanks.</w:t>
      </w:r>
    </w:p>
    <w:p w14:paraId="42D31AAC" w14:textId="77777777" w:rsidR="00187849" w:rsidRDefault="00D06FD2" w:rsidP="00AD030F">
      <w:pPr>
        <w:pBdr>
          <w:top w:val="nil"/>
          <w:left w:val="nil"/>
          <w:bottom w:val="nil"/>
          <w:right w:val="nil"/>
          <w:between w:val="nil"/>
        </w:pBdr>
        <w:spacing w:line="480" w:lineRule="auto"/>
        <w:ind w:firstLine="720"/>
        <w:rPr>
          <w:color w:val="000000"/>
        </w:rPr>
      </w:pPr>
      <w:r>
        <w:t>T</w:t>
      </w:r>
      <w:r>
        <w:rPr>
          <w:color w:val="000000"/>
        </w:rPr>
        <w:t xml:space="preserve">he OWAT is better suited to evaluate executive function continuously across exercise intensity than many available task batteries, as the OWAT is not divided into individual tasks presented </w:t>
      </w:r>
      <w:r>
        <w:t>one after another</w:t>
      </w:r>
      <w:r>
        <w:rPr>
          <w:color w:val="000000"/>
        </w:rPr>
        <w:t xml:space="preserve">. </w:t>
      </w:r>
      <w:r>
        <w:t>Because</w:t>
      </w:r>
      <w:r>
        <w:rPr>
          <w:color w:val="000000"/>
        </w:rPr>
        <w:t xml:space="preserve"> the OWAT is comp</w:t>
      </w:r>
      <w:r>
        <w:t>rised</w:t>
      </w:r>
      <w:r>
        <w:rPr>
          <w:color w:val="000000"/>
        </w:rPr>
        <w:t xml:space="preserve"> of three tasks performed concurrently</w:t>
      </w:r>
      <w:r>
        <w:t>, it</w:t>
      </w:r>
      <w:r>
        <w:rPr>
          <w:color w:val="000000"/>
        </w:rPr>
        <w:t xml:space="preserve"> allows multiple facets of executive function to be measured simultaneously across the exercise duration. This </w:t>
      </w:r>
      <w:proofErr w:type="gramStart"/>
      <w:r>
        <w:rPr>
          <w:color w:val="000000"/>
        </w:rPr>
        <w:t>is in contrast to</w:t>
      </w:r>
      <w:proofErr w:type="gramEnd"/>
      <w:r>
        <w:t xml:space="preserve"> </w:t>
      </w:r>
      <w:r>
        <w:rPr>
          <w:color w:val="000000"/>
        </w:rPr>
        <w:t>task batter</w:t>
      </w:r>
      <w:r>
        <w:t>ies</w:t>
      </w:r>
      <w:r>
        <w:rPr>
          <w:color w:val="000000"/>
        </w:rPr>
        <w:t xml:space="preserve"> such as CANTAB or ANAM</w:t>
      </w:r>
      <w:r>
        <w:t xml:space="preserve">, whose </w:t>
      </w:r>
      <w:r>
        <w:rPr>
          <w:color w:val="000000"/>
        </w:rPr>
        <w:t>tasks are typically shorter in duration and presented sequentially. Given that the demands on cognition will increase across exercise intensity, se</w:t>
      </w:r>
      <w:r>
        <w:t>rially</w:t>
      </w:r>
      <w:r>
        <w:rPr>
          <w:color w:val="000000"/>
        </w:rPr>
        <w:t xml:space="preserve"> ordered task performance w</w:t>
      </w:r>
      <w:r>
        <w:t>ould</w:t>
      </w:r>
      <w:r>
        <w:rPr>
          <w:color w:val="000000"/>
        </w:rPr>
        <w:t xml:space="preserve"> be biased by what point each task is encountered during the graded exercise task. Likewise, many available task batteries are validated for use over certain, often short, time durations. The design of the OWAT tasks allows for sustained measurement of executive function across longer time spans than many readily available testing paradigms. As such, the OWAT is particularly well-suited for the present investigation.</w:t>
      </w:r>
    </w:p>
    <w:p w14:paraId="37B2FE18" w14:textId="77777777" w:rsidR="00187849" w:rsidRDefault="00D06FD2" w:rsidP="00CC1B60">
      <w:pPr>
        <w:widowControl w:val="0"/>
        <w:pBdr>
          <w:top w:val="nil"/>
          <w:left w:val="nil"/>
          <w:bottom w:val="nil"/>
          <w:right w:val="nil"/>
          <w:between w:val="nil"/>
        </w:pBdr>
        <w:spacing w:line="480" w:lineRule="auto"/>
        <w:ind w:firstLine="720"/>
        <w:rPr>
          <w:color w:val="000000"/>
        </w:rPr>
      </w:pPr>
      <w:r>
        <w:rPr>
          <w:color w:val="000000"/>
        </w:rPr>
        <w:t>The OWAT provides two global measures of executive function, hit rate and precision, both of which will be included in the analyses as dependent variables. The hit rate is the number of correct ‘hits’ divided by the total number of responses (hits + false positives + misses).</w:t>
      </w:r>
    </w:p>
    <w:p w14:paraId="429E8890" w14:textId="218717BE" w:rsidR="00187849" w:rsidRDefault="00D06FD2" w:rsidP="00CC1B60">
      <w:pPr>
        <w:widowControl w:val="0"/>
        <w:pBdr>
          <w:top w:val="nil"/>
          <w:left w:val="nil"/>
          <w:bottom w:val="nil"/>
          <w:right w:val="nil"/>
          <w:between w:val="nil"/>
        </w:pBdr>
        <w:spacing w:line="480" w:lineRule="auto"/>
        <w:ind w:firstLine="720"/>
        <w:rPr>
          <w:color w:val="000000"/>
        </w:rPr>
      </w:pPr>
      <w:r>
        <w:rPr>
          <w:color w:val="000000"/>
        </w:rPr>
        <w:t>Precision is defined as the number of correct hits divided by total hits (hit + false positives).</w:t>
      </w:r>
    </w:p>
    <w:p w14:paraId="56E9D879" w14:textId="77777777" w:rsidR="00187849" w:rsidRDefault="00D06FD2" w:rsidP="00CE4C8A">
      <w:pPr>
        <w:pStyle w:val="Heading2"/>
        <w:ind w:left="0"/>
      </w:pPr>
      <w:r>
        <w:t>Procedure</w:t>
      </w:r>
    </w:p>
    <w:p w14:paraId="642283D4" w14:textId="77777777" w:rsidR="00187849" w:rsidRDefault="00187849" w:rsidP="00AD030F">
      <w:pPr>
        <w:pBdr>
          <w:top w:val="nil"/>
          <w:left w:val="nil"/>
          <w:bottom w:val="nil"/>
          <w:right w:val="nil"/>
          <w:between w:val="nil"/>
        </w:pBdr>
        <w:ind w:firstLine="720"/>
        <w:rPr>
          <w:b/>
          <w:color w:val="000000"/>
        </w:rPr>
      </w:pPr>
    </w:p>
    <w:p w14:paraId="1B284F1C" w14:textId="77777777" w:rsidR="00187849" w:rsidRDefault="00D06FD2" w:rsidP="00AD030F">
      <w:pPr>
        <w:pBdr>
          <w:top w:val="nil"/>
          <w:left w:val="nil"/>
          <w:bottom w:val="nil"/>
          <w:right w:val="nil"/>
          <w:between w:val="nil"/>
        </w:pBdr>
        <w:spacing w:line="480" w:lineRule="auto"/>
        <w:ind w:firstLine="720"/>
        <w:rPr>
          <w:color w:val="000000"/>
        </w:rPr>
      </w:pPr>
      <w:r>
        <w:t>Those who were interested</w:t>
      </w:r>
      <w:r>
        <w:rPr>
          <w:color w:val="000000"/>
        </w:rPr>
        <w:t xml:space="preserve"> </w:t>
      </w:r>
      <w:r>
        <w:t>began by completing the online screening and questionnaire battery</w:t>
      </w:r>
      <w:r>
        <w:rPr>
          <w:color w:val="000000"/>
        </w:rPr>
        <w:t xml:space="preserve"> via Qualtrics (Qualtrics, Provo, UT). Screening responses were reviewed </w:t>
      </w:r>
      <w:r>
        <w:t xml:space="preserve">to identify potential health conditions that would preclude participants from completing the exercise portion </w:t>
      </w:r>
      <w:r>
        <w:lastRenderedPageBreak/>
        <w:t>of the study. Those eligible to participate further were invited to the lab to complete two in-person visits. When scheduling the in-person visits, p</w:t>
      </w:r>
      <w:r>
        <w:rPr>
          <w:color w:val="000000"/>
        </w:rPr>
        <w:t>articipants w</w:t>
      </w:r>
      <w:r>
        <w:t>ere</w:t>
      </w:r>
      <w:r>
        <w:rPr>
          <w:color w:val="000000"/>
        </w:rPr>
        <w:t xml:space="preserve"> provided with a description of study pro</w:t>
      </w:r>
      <w:r>
        <w:t xml:space="preserve">tocols and </w:t>
      </w:r>
      <w:r>
        <w:rPr>
          <w:color w:val="000000"/>
        </w:rPr>
        <w:t>asked to refrain from vigorously exercising 24 hours before their visits and consuming caffeinated beverages before participation. Pa</w:t>
      </w:r>
      <w:r>
        <w:t>rticipants were also instructed to wear comfortable exercise clothing and close-toed shoes suitable for treadmill training.</w:t>
      </w:r>
    </w:p>
    <w:p w14:paraId="746F98A5" w14:textId="77777777" w:rsidR="00187849" w:rsidRDefault="00D06FD2" w:rsidP="00AD030F">
      <w:pPr>
        <w:spacing w:line="480" w:lineRule="auto"/>
        <w:ind w:firstLine="720"/>
      </w:pPr>
      <w:r>
        <w:t xml:space="preserve">Visit one involved task familiarization and maximal graded exercise testing (GXT). Research staff began the initial visit by reviewing the informed consent document with participants, who were given the opportunity to ask questions and take as much time as needed to consider before signing. The same procedure was followed for the completion of the HIPPA form. From there, female participants were required to undergo a pregnancy test as an IRB-stipulated prerequisite for study eligibility </w:t>
      </w:r>
      <w:proofErr w:type="gramStart"/>
      <w:r>
        <w:t>in an effort to</w:t>
      </w:r>
      <w:proofErr w:type="gramEnd"/>
      <w:r>
        <w:t xml:space="preserve"> prevent those who might unknowingly be pregnant from experiencing undue risks as a result of participation. </w:t>
      </w:r>
    </w:p>
    <w:p w14:paraId="783FE9F9" w14:textId="77777777" w:rsidR="00187849" w:rsidRDefault="00D06FD2" w:rsidP="005D6B9C">
      <w:pPr>
        <w:widowControl w:val="0"/>
        <w:spacing w:line="480" w:lineRule="auto"/>
        <w:ind w:firstLine="720"/>
        <w:rPr>
          <w:color w:val="000000"/>
        </w:rPr>
      </w:pPr>
      <w:r>
        <w:t xml:space="preserve">Following the completion of paperwork and prerequisite testing, research staff provided a verbal overview of the OWAT, including specific instructions for each task. Written and </w:t>
      </w:r>
      <w:r>
        <w:rPr>
          <w:color w:val="000000"/>
        </w:rPr>
        <w:t xml:space="preserve">standardized instructions </w:t>
      </w:r>
      <w:r>
        <w:t>were then provided for participants to read</w:t>
      </w:r>
      <w:r>
        <w:rPr>
          <w:color w:val="000000"/>
        </w:rPr>
        <w:t>. After providing an opportunity to ask questions and clarify any aspects of the task</w:t>
      </w:r>
      <w:r>
        <w:t>s that were still unclear, part</w:t>
      </w:r>
      <w:r>
        <w:rPr>
          <w:color w:val="000000"/>
        </w:rPr>
        <w:t xml:space="preserve">icipants </w:t>
      </w:r>
      <w:r>
        <w:t>were given</w:t>
      </w:r>
      <w:r>
        <w:rPr>
          <w:color w:val="000000"/>
        </w:rPr>
        <w:t xml:space="preserve"> two 8-minute opportunities to practice the task, with 10 minutes intervening between practice sessions. Extant research has demonstrated that improvements due to task familiarity for some higher-order cognitive tasks are typically completely attenuated following two test administrations sessions separated by as little as 10 minutes (i.e., no further learning effects are seen following the second administrations; Collie et al., 2003; Falleti et al., 2006; Goldberg et al., 2015), </w:t>
      </w:r>
      <w:r>
        <w:t xml:space="preserve">and the training/practice performance blocks were selected to ensure that performance reached asymptotic levels prior to the initiation of the combined </w:t>
      </w:r>
      <w:r>
        <w:lastRenderedPageBreak/>
        <w:t xml:space="preserve">exercise and cognitive task to avoid learning effects (Schlegel &amp; Gilliland, 1990). </w:t>
      </w:r>
    </w:p>
    <w:p w14:paraId="46FFF55C" w14:textId="77777777" w:rsidR="00187849" w:rsidRDefault="00D06FD2" w:rsidP="00AD030F">
      <w:pPr>
        <w:pBdr>
          <w:top w:val="nil"/>
          <w:left w:val="nil"/>
          <w:bottom w:val="nil"/>
          <w:right w:val="nil"/>
          <w:between w:val="nil"/>
        </w:pBdr>
        <w:spacing w:line="480" w:lineRule="auto"/>
        <w:ind w:firstLine="720"/>
      </w:pPr>
      <w:r>
        <w:rPr>
          <w:color w:val="000000"/>
        </w:rPr>
        <w:t>After completing the OWAT practice, participants w</w:t>
      </w:r>
      <w:r>
        <w:t xml:space="preserve">ere </w:t>
      </w:r>
      <w:r>
        <w:rPr>
          <w:color w:val="000000"/>
        </w:rPr>
        <w:t>outfitted with physiological monitors and familiarized with the procedures for completing the treadmill GXT, including instr</w:t>
      </w:r>
      <w:r>
        <w:t xml:space="preserve">uctions for signaling volitional exhaustion and safely exiting the treadmill. At the outset of the task, participants were instructed to stand still and quietly on the treadmill for 2 minutes to obtain baseline measurements. After the baseline period, research staff provided a “3, 2, 1, go” countdown and the treadmill speed was set to 3.5 mph at a 0% incline (Nelson et al., 2009). The inline was then increased by 2% every 2 minutes until a grade of 16% was reached; if participants completed 2 minutes at a 16% incline, the speed was then increased by 0.5 mph for the remaining duration of the test (Nelson et al., 2009). Research staff encouraged participants to continue the test for as long as safely possible but reminded them prior to the baseline period that they could end the test at any point. </w:t>
      </w:r>
    </w:p>
    <w:p w14:paraId="6474A6A8" w14:textId="77777777" w:rsidR="00187849" w:rsidRDefault="00D06FD2" w:rsidP="006A6FA1">
      <w:pPr>
        <w:widowControl w:val="0"/>
        <w:pBdr>
          <w:top w:val="nil"/>
          <w:left w:val="nil"/>
          <w:bottom w:val="nil"/>
          <w:right w:val="nil"/>
          <w:between w:val="nil"/>
        </w:pBdr>
        <w:spacing w:line="480" w:lineRule="auto"/>
        <w:ind w:firstLine="720"/>
        <w:rPr>
          <w:color w:val="000000"/>
        </w:rPr>
      </w:pPr>
      <w:r>
        <w:t>When ready to signal volitional exhaustion and the end of the test, participants placed t</w:t>
      </w:r>
      <w:r>
        <w:rPr>
          <w:color w:val="000000"/>
        </w:rPr>
        <w:t>heir hands on the treadmill railing and carefully moved their feet</w:t>
      </w:r>
      <w:r>
        <w:t xml:space="preserve"> </w:t>
      </w:r>
      <w:r>
        <w:rPr>
          <w:color w:val="000000"/>
        </w:rPr>
        <w:t>off the belt</w:t>
      </w:r>
      <w:r>
        <w:t xml:space="preserve">. </w:t>
      </w:r>
      <w:r>
        <w:rPr>
          <w:color w:val="000000"/>
        </w:rPr>
        <w:t>At this point, a researcher stationed at the head of the treadmill</w:t>
      </w:r>
      <w:r>
        <w:t xml:space="preserve"> brought the incline down to 0% and the speed to 2.0 (or lower, as required by participant tolerance) to allow participants to complete a 2-minute cooldown period</w:t>
      </w:r>
      <w:r>
        <w:rPr>
          <w:color w:val="000000"/>
        </w:rPr>
        <w:t xml:space="preserve">. Upon completion of the GXT, participants </w:t>
      </w:r>
      <w:r>
        <w:t>wer</w:t>
      </w:r>
      <w:r>
        <w:rPr>
          <w:color w:val="000000"/>
        </w:rPr>
        <w:t xml:space="preserve">e thanked for participating, and their appointment for Visit 2 </w:t>
      </w:r>
      <w:r>
        <w:t>was</w:t>
      </w:r>
      <w:r>
        <w:rPr>
          <w:color w:val="000000"/>
        </w:rPr>
        <w:t xml:space="preserve"> confirmed.</w:t>
      </w:r>
    </w:p>
    <w:p w14:paraId="6A2A6BDF" w14:textId="77777777" w:rsidR="00187849" w:rsidRDefault="00D06FD2" w:rsidP="006A6FA1">
      <w:pPr>
        <w:widowControl w:val="0"/>
        <w:pBdr>
          <w:top w:val="nil"/>
          <w:left w:val="nil"/>
          <w:bottom w:val="nil"/>
          <w:right w:val="nil"/>
          <w:between w:val="nil"/>
        </w:pBdr>
        <w:spacing w:line="480" w:lineRule="auto"/>
        <w:ind w:firstLine="720"/>
        <w:rPr>
          <w:color w:val="000000"/>
        </w:rPr>
      </w:pPr>
      <w:r>
        <w:rPr>
          <w:color w:val="000000"/>
        </w:rPr>
        <w:t xml:space="preserve">Visit 2 </w:t>
      </w:r>
      <w:r>
        <w:t>was</w:t>
      </w:r>
      <w:r>
        <w:rPr>
          <w:color w:val="000000"/>
        </w:rPr>
        <w:t xml:space="preserve"> scheduled for at least 24 hours, no more than two weeks intervening, and involved a combined exercise and cognitive test. While the same proc</w:t>
      </w:r>
      <w:r>
        <w:t xml:space="preserve">edures for the exercise portion of Visit 2 remained the same, the iPad loaded with the </w:t>
      </w:r>
      <w:r>
        <w:rPr>
          <w:color w:val="000000"/>
        </w:rPr>
        <w:t xml:space="preserve">OWAT task </w:t>
      </w:r>
      <w:r>
        <w:t xml:space="preserve">was affixed to the front of the treadmill to allow participants to complete the OWAT concurrently throughout exercise. </w:t>
      </w:r>
      <w:r>
        <w:rPr>
          <w:color w:val="000000"/>
        </w:rPr>
        <w:t>When the participant signal</w:t>
      </w:r>
      <w:r>
        <w:t>ed</w:t>
      </w:r>
      <w:r>
        <w:rPr>
          <w:color w:val="000000"/>
        </w:rPr>
        <w:t xml:space="preserve"> exhaustion, </w:t>
      </w:r>
      <w:r>
        <w:t xml:space="preserve">a </w:t>
      </w:r>
      <w:r>
        <w:rPr>
          <w:color w:val="000000"/>
        </w:rPr>
        <w:t xml:space="preserve">researcher stationed at the head of the </w:t>
      </w:r>
      <w:r>
        <w:rPr>
          <w:color w:val="000000"/>
        </w:rPr>
        <w:lastRenderedPageBreak/>
        <w:t xml:space="preserve">treadmill </w:t>
      </w:r>
      <w:r>
        <w:t>ended the</w:t>
      </w:r>
      <w:r>
        <w:rPr>
          <w:color w:val="000000"/>
        </w:rPr>
        <w:t xml:space="preserve"> OWAT task. At </w:t>
      </w:r>
      <w:r>
        <w:t>the</w:t>
      </w:r>
      <w:r>
        <w:rPr>
          <w:color w:val="000000"/>
        </w:rPr>
        <w:t xml:space="preserve"> c</w:t>
      </w:r>
      <w:r>
        <w:t xml:space="preserve">onclusion of the cooldown period, participants were allowed to rest as long as needed and thanked for their participation. </w:t>
      </w:r>
    </w:p>
    <w:p w14:paraId="787938FA" w14:textId="77777777" w:rsidR="00187849" w:rsidRDefault="00D06FD2">
      <w:pPr>
        <w:pStyle w:val="Heading2"/>
        <w:ind w:left="0"/>
        <w:jc w:val="center"/>
      </w:pPr>
      <w:r>
        <w:t>Results</w:t>
      </w:r>
    </w:p>
    <w:p w14:paraId="5D8BCF65" w14:textId="77777777" w:rsidR="00187849" w:rsidRDefault="00187849">
      <w:pPr>
        <w:pBdr>
          <w:top w:val="nil"/>
          <w:left w:val="nil"/>
          <w:bottom w:val="nil"/>
          <w:right w:val="nil"/>
          <w:between w:val="nil"/>
        </w:pBdr>
        <w:rPr>
          <w:b/>
          <w:color w:val="000000"/>
        </w:rPr>
      </w:pPr>
    </w:p>
    <w:p w14:paraId="57A04A34" w14:textId="77777777" w:rsidR="00187849" w:rsidRDefault="00D06FD2" w:rsidP="00EB26EA">
      <w:pPr>
        <w:pStyle w:val="Heading2"/>
        <w:ind w:left="0"/>
      </w:pPr>
      <w:bookmarkStart w:id="7" w:name="_1t3h5sf" w:colFirst="0" w:colLast="0"/>
      <w:bookmarkEnd w:id="7"/>
      <w:r>
        <w:t>Statistical Analyses</w:t>
      </w:r>
    </w:p>
    <w:p w14:paraId="3B4B980A" w14:textId="77777777" w:rsidR="00187849" w:rsidRDefault="00187849" w:rsidP="00AD030F">
      <w:pPr>
        <w:ind w:firstLine="720"/>
      </w:pPr>
    </w:p>
    <w:p w14:paraId="5E1487BB" w14:textId="77777777" w:rsidR="00187849" w:rsidRDefault="00D06FD2" w:rsidP="00AD030F">
      <w:pPr>
        <w:pBdr>
          <w:top w:val="nil"/>
          <w:left w:val="nil"/>
          <w:bottom w:val="nil"/>
          <w:right w:val="nil"/>
          <w:between w:val="nil"/>
        </w:pBdr>
        <w:spacing w:line="480" w:lineRule="auto"/>
        <w:ind w:firstLine="720"/>
        <w:rPr>
          <w:color w:val="000000"/>
        </w:rPr>
      </w:pPr>
      <w:r>
        <w:t xml:space="preserve">Data cleaning, compiling, and statistical analyses were completed using a combination of </w:t>
      </w:r>
      <w:r>
        <w:rPr>
          <w:color w:val="000000"/>
        </w:rPr>
        <w:t xml:space="preserve">SAS </w:t>
      </w:r>
      <w:r>
        <w:t>OnDemand for Academics (SAS Institute</w:t>
      </w:r>
      <w:r>
        <w:rPr>
          <w:color w:val="000000"/>
        </w:rPr>
        <w:t xml:space="preserve">, </w:t>
      </w:r>
      <w:r>
        <w:t>2024)</w:t>
      </w:r>
      <w:r>
        <w:rPr>
          <w:color w:val="000000"/>
        </w:rPr>
        <w:t xml:space="preserve"> and RStudi</w:t>
      </w:r>
      <w:r>
        <w:t>o (Posit Software, 2023)</w:t>
      </w:r>
      <w:r>
        <w:rPr>
          <w:color w:val="000000"/>
        </w:rPr>
        <w:t xml:space="preserve">. </w:t>
      </w:r>
    </w:p>
    <w:p w14:paraId="252661D8" w14:textId="06CFFC43" w:rsidR="00923677" w:rsidRDefault="00D06FD2" w:rsidP="00AD030F">
      <w:pPr>
        <w:pBdr>
          <w:top w:val="nil"/>
          <w:left w:val="nil"/>
          <w:bottom w:val="nil"/>
          <w:right w:val="nil"/>
          <w:between w:val="nil"/>
        </w:pBdr>
        <w:spacing w:line="480" w:lineRule="auto"/>
        <w:ind w:firstLine="720"/>
      </w:pPr>
      <w:r w:rsidRPr="4CF31978">
        <w:t>R</w:t>
      </w:r>
      <w:r w:rsidRPr="4CF31978">
        <w:rPr>
          <w:color w:val="000000" w:themeColor="text1"/>
        </w:rPr>
        <w:t>epeated measures</w:t>
      </w:r>
      <w:r w:rsidRPr="4CF31978">
        <w:t xml:space="preserve"> </w:t>
      </w:r>
      <w:r w:rsidRPr="4CF31978">
        <w:rPr>
          <w:color w:val="000000" w:themeColor="text1"/>
        </w:rPr>
        <w:t xml:space="preserve">general linear models (RMGLMs) </w:t>
      </w:r>
      <w:r w:rsidRPr="4CF31978">
        <w:t>were</w:t>
      </w:r>
      <w:r w:rsidRPr="4CF31978">
        <w:rPr>
          <w:color w:val="000000" w:themeColor="text1"/>
        </w:rPr>
        <w:t xml:space="preserve"> used to assess primary and seconda</w:t>
      </w:r>
      <w:r w:rsidRPr="4CF31978">
        <w:t>ry</w:t>
      </w:r>
      <w:r w:rsidRPr="4CF31978">
        <w:rPr>
          <w:color w:val="000000" w:themeColor="text1"/>
        </w:rPr>
        <w:t xml:space="preserve"> study </w:t>
      </w:r>
      <w:r w:rsidRPr="4CF31978">
        <w:t>hypotheses</w:t>
      </w:r>
      <w:r w:rsidRPr="4CF31978">
        <w:rPr>
          <w:color w:val="000000" w:themeColor="text1"/>
        </w:rPr>
        <w:t xml:space="preserve"> re</w:t>
      </w:r>
      <w:r w:rsidRPr="4CF31978">
        <w:t xml:space="preserve">lating to </w:t>
      </w:r>
      <w:r w:rsidRPr="4CF31978">
        <w:rPr>
          <w:color w:val="000000" w:themeColor="text1"/>
        </w:rPr>
        <w:t>the relationship between pain catastrophizing, exercise intensity, and cognitive performance.</w:t>
      </w:r>
      <w:r w:rsidRPr="4CF31978">
        <w:t xml:space="preserve"> </w:t>
      </w:r>
      <w:r w:rsidRPr="4CF31978">
        <w:rPr>
          <w:color w:val="000000" w:themeColor="text1"/>
        </w:rPr>
        <w:t xml:space="preserve">While this question could also </w:t>
      </w:r>
      <w:r w:rsidRPr="4CF31978">
        <w:t>have been</w:t>
      </w:r>
      <w:r w:rsidRPr="4CF31978">
        <w:rPr>
          <w:color w:val="000000" w:themeColor="text1"/>
        </w:rPr>
        <w:t xml:space="preserve"> analyzed using a repeated measures analysis of variance, the GLM allows for less “loss” of information and va</w:t>
      </w:r>
      <w:r w:rsidRPr="4CF31978">
        <w:t xml:space="preserve">riability </w:t>
      </w:r>
      <w:r w:rsidRPr="4CF31978">
        <w:rPr>
          <w:color w:val="000000" w:themeColor="text1"/>
        </w:rPr>
        <w:t xml:space="preserve">by using individual’s scores on the PCS within the model instead of “binned” categories of </w:t>
      </w:r>
      <w:r w:rsidRPr="4CF31978">
        <w:t>“low” and “high” and greater statistical power.</w:t>
      </w:r>
      <w:r w:rsidRPr="4CF31978">
        <w:rPr>
          <w:color w:val="000000" w:themeColor="text1"/>
        </w:rPr>
        <w:t xml:space="preserve"> </w:t>
      </w:r>
      <w:r w:rsidRPr="4CF31978">
        <w:t xml:space="preserve">Observations were nested by subject ID to account for the repeated measures nature of the data, with the precise mathematical representations of the models listed below. </w:t>
      </w:r>
      <w:r w:rsidR="008F40B0">
        <w:t>RMGLMs were</w:t>
      </w:r>
      <w:r w:rsidR="000860EC">
        <w:t xml:space="preserve"> then</w:t>
      </w:r>
      <w:r w:rsidR="008F40B0">
        <w:t xml:space="preserve"> repeated with values below 50% HRR eliminated and compared with model results </w:t>
      </w:r>
      <w:r w:rsidR="000860EC">
        <w:t xml:space="preserve">including data from </w:t>
      </w:r>
      <w:r w:rsidR="008F40B0">
        <w:t xml:space="preserve">baseline to 100% HRR </w:t>
      </w:r>
      <w:proofErr w:type="gramStart"/>
      <w:r w:rsidR="008F40B0">
        <w:t>in order to</w:t>
      </w:r>
      <w:proofErr w:type="gramEnd"/>
      <w:r w:rsidR="008F40B0">
        <w:t xml:space="preserve"> ensure </w:t>
      </w:r>
      <w:r w:rsidR="000860EC">
        <w:t>initial variability or outliers in cognitive performance, likely observed due to the adjustment period for responding to the task on the treadmill, did not artificially skew results or result in falsely positives.</w:t>
      </w:r>
    </w:p>
    <w:p w14:paraId="06F67C57" w14:textId="4549D659" w:rsidR="008F40B0" w:rsidRDefault="008F40B0" w:rsidP="008F40B0">
      <w:pPr>
        <w:pBdr>
          <w:top w:val="nil"/>
          <w:left w:val="nil"/>
          <w:bottom w:val="nil"/>
          <w:right w:val="nil"/>
          <w:between w:val="nil"/>
        </w:pBdr>
        <w:spacing w:line="480" w:lineRule="auto"/>
      </w:pPr>
      <w:r>
        <w:t xml:space="preserve">Figure 3. </w:t>
      </w:r>
    </w:p>
    <w:p w14:paraId="6D5877E1" w14:textId="70F9B211" w:rsidR="008F40B0" w:rsidRDefault="008F40B0" w:rsidP="004D037C">
      <w:pPr>
        <w:pBdr>
          <w:top w:val="nil"/>
          <w:left w:val="nil"/>
          <w:bottom w:val="nil"/>
          <w:right w:val="nil"/>
          <w:between w:val="nil"/>
        </w:pBdr>
        <w:spacing w:line="480" w:lineRule="auto"/>
      </w:pPr>
      <w:r>
        <w:t>Mathematical representations of RMGLMs.</w:t>
      </w:r>
    </w:p>
    <w:p w14:paraId="78CD3A9F" w14:textId="77777777" w:rsidR="00923677" w:rsidRDefault="00923677" w:rsidP="00AD030F">
      <w:pPr>
        <w:pBdr>
          <w:top w:val="nil"/>
          <w:left w:val="nil"/>
          <w:bottom w:val="nil"/>
          <w:right w:val="nil"/>
          <w:between w:val="nil"/>
        </w:pBdr>
        <w:spacing w:line="480" w:lineRule="auto"/>
        <w:ind w:firstLine="720"/>
      </w:pPr>
      <w:r>
        <w:rPr>
          <w:noProof/>
        </w:rPr>
        <w:drawing>
          <wp:inline distT="114300" distB="114300" distL="114300" distR="114300" wp14:anchorId="35553AF6" wp14:editId="76A64A14">
            <wp:extent cx="4229100" cy="257175"/>
            <wp:effectExtent l="0" t="0" r="0" b="0"/>
            <wp:docPr id="1289771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451807" cy="270718"/>
                    </a:xfrm>
                    <a:prstGeom prst="rect">
                      <a:avLst/>
                    </a:prstGeom>
                    <a:ln/>
                  </pic:spPr>
                </pic:pic>
              </a:graphicData>
            </a:graphic>
          </wp:inline>
        </w:drawing>
      </w:r>
    </w:p>
    <w:p w14:paraId="73E61CE8" w14:textId="0FE4012F" w:rsidR="008F40B0" w:rsidRDefault="00D06FD2" w:rsidP="00E37559">
      <w:pPr>
        <w:widowControl w:val="0"/>
        <w:pBdr>
          <w:top w:val="nil"/>
          <w:left w:val="nil"/>
          <w:bottom w:val="nil"/>
          <w:right w:val="nil"/>
          <w:between w:val="nil"/>
        </w:pBdr>
        <w:spacing w:line="480" w:lineRule="auto"/>
        <w:ind w:firstLine="720"/>
        <w:rPr>
          <w:color w:val="000000"/>
        </w:rPr>
      </w:pPr>
      <w:r>
        <w:rPr>
          <w:noProof/>
        </w:rPr>
        <w:drawing>
          <wp:inline distT="114300" distB="114300" distL="114300" distR="114300" wp14:anchorId="279EF8BC" wp14:editId="1DA5791D">
            <wp:extent cx="4229100" cy="254635"/>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4513553" cy="271762"/>
                    </a:xfrm>
                    <a:prstGeom prst="rect">
                      <a:avLst/>
                    </a:prstGeom>
                    <a:ln/>
                  </pic:spPr>
                </pic:pic>
              </a:graphicData>
            </a:graphic>
          </wp:inline>
        </w:drawing>
      </w:r>
    </w:p>
    <w:p w14:paraId="1B996384" w14:textId="595AC50C" w:rsidR="00187849" w:rsidRDefault="002633F5" w:rsidP="002F4A86">
      <w:pPr>
        <w:widowControl w:val="0"/>
        <w:pBdr>
          <w:top w:val="nil"/>
          <w:left w:val="nil"/>
          <w:bottom w:val="nil"/>
          <w:right w:val="nil"/>
          <w:between w:val="nil"/>
        </w:pBdr>
        <w:spacing w:line="480" w:lineRule="auto"/>
        <w:ind w:firstLine="720"/>
        <w:rPr>
          <w:color w:val="000000"/>
        </w:rPr>
      </w:pPr>
      <w:proofErr w:type="gramStart"/>
      <w:r>
        <w:t>In order to</w:t>
      </w:r>
      <w:proofErr w:type="gramEnd"/>
      <w:r>
        <w:t xml:space="preserve"> ensure test assumptions were met prior to final analyses, variable residuals </w:t>
      </w:r>
      <w:r>
        <w:lastRenderedPageBreak/>
        <w:t xml:space="preserve">were plotted and visually expected for normality. </w:t>
      </w:r>
      <w:r w:rsidR="00D06FD2">
        <w:rPr>
          <w:color w:val="000000"/>
        </w:rPr>
        <w:t xml:space="preserve">Total error for the study </w:t>
      </w:r>
      <w:r w:rsidR="00D06FD2">
        <w:t>was</w:t>
      </w:r>
      <w:r w:rsidR="00D06FD2">
        <w:rPr>
          <w:color w:val="000000"/>
        </w:rPr>
        <w:t xml:space="preserve"> set </w:t>
      </w:r>
      <w:r w:rsidR="00D06FD2">
        <w:t>to</w:t>
      </w:r>
      <w:r w:rsidR="00D06FD2">
        <w:rPr>
          <w:color w:val="000000"/>
        </w:rPr>
        <w:t xml:space="preserve"> p &lt; 0.05 and controlled using Bonferroni adjustments. </w:t>
      </w:r>
    </w:p>
    <w:p w14:paraId="668B842F" w14:textId="77777777" w:rsidR="00187849" w:rsidRDefault="00D06FD2" w:rsidP="00EB26EA">
      <w:pPr>
        <w:spacing w:line="480" w:lineRule="auto"/>
        <w:rPr>
          <w:b/>
        </w:rPr>
      </w:pPr>
      <w:r>
        <w:rPr>
          <w:b/>
        </w:rPr>
        <w:t>Descriptive Statistics</w:t>
      </w:r>
    </w:p>
    <w:p w14:paraId="115AF8FC" w14:textId="72343C24" w:rsidR="00187849" w:rsidRDefault="00D06FD2" w:rsidP="00AD030F">
      <w:pPr>
        <w:spacing w:line="480" w:lineRule="auto"/>
        <w:ind w:firstLine="720"/>
      </w:pPr>
      <w:r w:rsidRPr="4CF31978">
        <w:t>A total of 28 healthy students aged 18-35 from the University of Oklahoma (Norman, Tulsa, and Health Sciences Center campuses) accepted invitations to complete the in-person portion of the study following the initial screening and online collection through Qualtrics. All 28 students consented to participate</w:t>
      </w:r>
      <w:r w:rsidR="00923677">
        <w:t xml:space="preserve"> in-person</w:t>
      </w:r>
      <w:r w:rsidRPr="4CF31978">
        <w:t xml:space="preserve"> and completed both </w:t>
      </w:r>
      <w:r w:rsidR="00923677">
        <w:t>required</w:t>
      </w:r>
      <w:r w:rsidRPr="4CF31978">
        <w:t xml:space="preserve"> visits (i.e., no loss to follow-up between Visit 1 and Visit 2)</w:t>
      </w:r>
      <w:r w:rsidR="00923677">
        <w:t xml:space="preserve">. </w:t>
      </w:r>
      <w:r w:rsidRPr="4CF31978">
        <w:t xml:space="preserve"> </w:t>
      </w:r>
      <w:r w:rsidR="00923677">
        <w:t>O</w:t>
      </w:r>
      <w:r w:rsidRPr="4CF31978">
        <w:t xml:space="preserve">ne participant’s data was excluded from analysis due to significant anomalies 1) in baseline heart rate data from Visit 1 to Visit 2, and 2) in cognitive task scores during the first 6 minutes of the combined task. As such, data from 27 participants were included in the final analysis, as required to achieve 80% power. Demographic data are reported in Table </w:t>
      </w:r>
      <w:r w:rsidR="61CF6718" w:rsidRPr="4CF31978">
        <w:t>1</w:t>
      </w:r>
      <w:r w:rsidRPr="4CF31978">
        <w:t xml:space="preserve"> with values reported as </w:t>
      </w:r>
      <w:proofErr w:type="spellStart"/>
      <w:r w:rsidRPr="4CF31978">
        <w:t>mean±SD</w:t>
      </w:r>
      <w:proofErr w:type="spellEnd"/>
      <w:r w:rsidRPr="4CF31978">
        <w:t xml:space="preserve"> or frequency.</w:t>
      </w:r>
    </w:p>
    <w:p w14:paraId="2E07545F" w14:textId="62199683" w:rsidR="002F4A86" w:rsidRDefault="002F4A86" w:rsidP="002F4A86">
      <w:pPr>
        <w:spacing w:line="480" w:lineRule="auto"/>
      </w:pPr>
      <w:r>
        <w:t>Table 1</w:t>
      </w:r>
    </w:p>
    <w:p w14:paraId="6AFC6D47" w14:textId="64F423ED" w:rsidR="002F4A86" w:rsidRPr="005E59FD" w:rsidRDefault="005E59FD" w:rsidP="005E59FD">
      <w:pPr>
        <w:spacing w:line="480" w:lineRule="auto"/>
        <w:rPr>
          <w:i/>
          <w:iCs/>
        </w:rPr>
      </w:pPr>
      <w:r w:rsidRPr="005E59FD">
        <w:rPr>
          <w:i/>
          <w:iCs/>
        </w:rPr>
        <w:t>Demographic and Summary Statistics</w:t>
      </w:r>
    </w:p>
    <w:tbl>
      <w:tblPr>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6A0" w:firstRow="1" w:lastRow="0" w:firstColumn="1" w:lastColumn="0" w:noHBand="1" w:noVBand="1"/>
      </w:tblPr>
      <w:tblGrid>
        <w:gridCol w:w="3797"/>
        <w:gridCol w:w="2064"/>
      </w:tblGrid>
      <w:tr w:rsidR="0042022B" w14:paraId="5DEDF749" w14:textId="77777777" w:rsidTr="004D037C">
        <w:trPr>
          <w:trHeight w:val="256"/>
          <w:jc w:val="center"/>
        </w:trPr>
        <w:tc>
          <w:tcPr>
            <w:tcW w:w="3797" w:type="dxa"/>
            <w:tcBorders>
              <w:bottom w:val="single" w:sz="4" w:space="0" w:color="44B3E1"/>
              <w:right w:val="nil"/>
            </w:tcBorders>
            <w:shd w:val="clear" w:color="auto" w:fill="BFBFBF" w:themeFill="background1" w:themeFillShade="BF"/>
            <w:tcMar>
              <w:top w:w="15" w:type="dxa"/>
              <w:left w:w="15" w:type="dxa"/>
              <w:right w:w="15" w:type="dxa"/>
            </w:tcMar>
            <w:vAlign w:val="bottom"/>
          </w:tcPr>
          <w:p w14:paraId="26DCD742" w14:textId="0C3BF98A" w:rsidR="4CF31978" w:rsidRPr="009F1971" w:rsidRDefault="4CF31978">
            <w:pPr>
              <w:rPr>
                <w:b/>
                <w:bCs/>
                <w:color w:val="FFFFFF" w:themeColor="background1"/>
                <w:sz w:val="18"/>
                <w:szCs w:val="18"/>
              </w:rPr>
            </w:pPr>
            <w:r w:rsidRPr="009F1971">
              <w:rPr>
                <w:b/>
                <w:bCs/>
                <w:color w:val="FFFFFF" w:themeColor="background1"/>
                <w:sz w:val="18"/>
                <w:szCs w:val="18"/>
              </w:rPr>
              <w:t xml:space="preserve">     </w:t>
            </w:r>
          </w:p>
        </w:tc>
        <w:tc>
          <w:tcPr>
            <w:tcW w:w="2064" w:type="dxa"/>
            <w:tcBorders>
              <w:left w:val="nil"/>
              <w:bottom w:val="single" w:sz="4" w:space="0" w:color="44B3E1"/>
            </w:tcBorders>
            <w:shd w:val="clear" w:color="auto" w:fill="BFBFBF" w:themeFill="background1" w:themeFillShade="BF"/>
            <w:tcMar>
              <w:top w:w="15" w:type="dxa"/>
              <w:left w:w="15" w:type="dxa"/>
              <w:right w:w="15" w:type="dxa"/>
            </w:tcMar>
            <w:vAlign w:val="bottom"/>
          </w:tcPr>
          <w:p w14:paraId="3D98CEDA" w14:textId="112AD43A" w:rsidR="4CF31978" w:rsidRPr="009F1971" w:rsidRDefault="4CF31978" w:rsidP="4CF31978">
            <w:pPr>
              <w:rPr>
                <w:b/>
                <w:bCs/>
                <w:color w:val="FFFFFF" w:themeColor="background1"/>
                <w:sz w:val="18"/>
                <w:szCs w:val="18"/>
              </w:rPr>
            </w:pPr>
            <w:proofErr w:type="spellStart"/>
            <w:r w:rsidRPr="009F1971">
              <w:rPr>
                <w:b/>
                <w:bCs/>
                <w:color w:val="FFFFFF" w:themeColor="background1"/>
                <w:sz w:val="18"/>
                <w:szCs w:val="18"/>
              </w:rPr>
              <w:t>mean+SD</w:t>
            </w:r>
            <w:proofErr w:type="spellEnd"/>
          </w:p>
        </w:tc>
      </w:tr>
      <w:tr w:rsidR="0042022B" w14:paraId="20A7B61F" w14:textId="77777777" w:rsidTr="004D037C">
        <w:trPr>
          <w:trHeight w:val="333"/>
          <w:jc w:val="center"/>
        </w:trPr>
        <w:tc>
          <w:tcPr>
            <w:tcW w:w="3797" w:type="dxa"/>
            <w:tcBorders>
              <w:top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122113DA" w14:textId="1F78AFDF" w:rsidR="4CF31978" w:rsidRPr="009F1971" w:rsidRDefault="4CF31978">
            <w:pPr>
              <w:rPr>
                <w:color w:val="000000" w:themeColor="text1"/>
                <w:sz w:val="18"/>
                <w:szCs w:val="18"/>
              </w:rPr>
            </w:pPr>
            <w:r w:rsidRPr="009F1971">
              <w:rPr>
                <w:color w:val="000000" w:themeColor="text1"/>
                <w:sz w:val="18"/>
                <w:szCs w:val="18"/>
              </w:rPr>
              <w:t>Age (years)</w:t>
            </w:r>
          </w:p>
        </w:tc>
        <w:tc>
          <w:tcPr>
            <w:tcW w:w="2064" w:type="dxa"/>
            <w:tcBorders>
              <w:top w:val="single" w:sz="4" w:space="0" w:color="44B3E1"/>
              <w:left w:val="nil"/>
              <w:bottom w:val="single" w:sz="4" w:space="0" w:color="44B3E1"/>
            </w:tcBorders>
            <w:shd w:val="clear" w:color="auto" w:fill="F2F2F2" w:themeFill="background1" w:themeFillShade="F2"/>
            <w:tcMar>
              <w:top w:w="15" w:type="dxa"/>
              <w:left w:w="15" w:type="dxa"/>
              <w:right w:w="15" w:type="dxa"/>
            </w:tcMar>
            <w:vAlign w:val="bottom"/>
          </w:tcPr>
          <w:p w14:paraId="79486A98" w14:textId="21297D45" w:rsidR="4CF31978" w:rsidRPr="009F1971" w:rsidRDefault="4CF31978" w:rsidP="4CF31978">
            <w:pPr>
              <w:rPr>
                <w:color w:val="000000" w:themeColor="text1"/>
                <w:sz w:val="18"/>
                <w:szCs w:val="18"/>
              </w:rPr>
            </w:pPr>
            <w:r w:rsidRPr="009F1971">
              <w:rPr>
                <w:color w:val="000000" w:themeColor="text1"/>
                <w:sz w:val="18"/>
                <w:szCs w:val="18"/>
              </w:rPr>
              <w:t xml:space="preserve"> </w:t>
            </w:r>
            <w:r w:rsidR="001C206C">
              <w:rPr>
                <w:color w:val="000000" w:themeColor="text1"/>
                <w:sz w:val="18"/>
                <w:szCs w:val="18"/>
              </w:rPr>
              <w:t xml:space="preserve">                 23</w:t>
            </w:r>
            <w:r w:rsidR="001C206C" w:rsidRPr="009F1971">
              <w:rPr>
                <w:color w:val="000000" w:themeColor="text1"/>
                <w:sz w:val="18"/>
                <w:szCs w:val="18"/>
              </w:rPr>
              <w:t>±</w:t>
            </w:r>
            <w:r w:rsidR="001C206C">
              <w:rPr>
                <w:color w:val="000000" w:themeColor="text1"/>
                <w:sz w:val="18"/>
                <w:szCs w:val="18"/>
              </w:rPr>
              <w:t>6</w:t>
            </w:r>
          </w:p>
        </w:tc>
      </w:tr>
      <w:tr w:rsidR="0042022B" w14:paraId="26D9B9B7" w14:textId="77777777" w:rsidTr="004D037C">
        <w:trPr>
          <w:trHeight w:val="333"/>
          <w:jc w:val="center"/>
        </w:trPr>
        <w:tc>
          <w:tcPr>
            <w:tcW w:w="3797" w:type="dxa"/>
            <w:tcBorders>
              <w:top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6F7814BE" w14:textId="0B774081" w:rsidR="4CF31978" w:rsidRPr="009F1971" w:rsidRDefault="4CF31978">
            <w:pPr>
              <w:rPr>
                <w:color w:val="000000" w:themeColor="text1"/>
                <w:sz w:val="18"/>
                <w:szCs w:val="18"/>
              </w:rPr>
            </w:pPr>
            <w:r w:rsidRPr="009F1971">
              <w:rPr>
                <w:color w:val="000000" w:themeColor="text1"/>
                <w:sz w:val="18"/>
                <w:szCs w:val="18"/>
              </w:rPr>
              <w:t>Pain Catastrophizing Score</w:t>
            </w:r>
          </w:p>
        </w:tc>
        <w:tc>
          <w:tcPr>
            <w:tcW w:w="2064" w:type="dxa"/>
            <w:tcBorders>
              <w:top w:val="single" w:sz="4" w:space="0" w:color="44B3E1"/>
              <w:left w:val="nil"/>
              <w:bottom w:val="single" w:sz="4" w:space="0" w:color="44B3E1"/>
            </w:tcBorders>
            <w:shd w:val="clear" w:color="auto" w:fill="F2F2F2" w:themeFill="background1" w:themeFillShade="F2"/>
            <w:tcMar>
              <w:top w:w="15" w:type="dxa"/>
              <w:left w:w="15" w:type="dxa"/>
              <w:right w:w="15" w:type="dxa"/>
            </w:tcMar>
            <w:vAlign w:val="bottom"/>
          </w:tcPr>
          <w:p w14:paraId="42CECCEB" w14:textId="7050C002" w:rsidR="4CF31978" w:rsidRPr="009F1971" w:rsidRDefault="4CF31978" w:rsidP="00923677">
            <w:pPr>
              <w:jc w:val="center"/>
              <w:rPr>
                <w:color w:val="000000" w:themeColor="text1"/>
                <w:sz w:val="18"/>
                <w:szCs w:val="18"/>
              </w:rPr>
            </w:pPr>
            <w:r w:rsidRPr="009F1971">
              <w:rPr>
                <w:color w:val="000000" w:themeColor="text1"/>
                <w:sz w:val="18"/>
                <w:szCs w:val="18"/>
              </w:rPr>
              <w:t>5.8±7.8</w:t>
            </w:r>
          </w:p>
        </w:tc>
      </w:tr>
      <w:tr w:rsidR="0042022B" w14:paraId="6534F2C6" w14:textId="77777777" w:rsidTr="004D037C">
        <w:trPr>
          <w:trHeight w:val="333"/>
          <w:jc w:val="center"/>
        </w:trPr>
        <w:tc>
          <w:tcPr>
            <w:tcW w:w="3797" w:type="dxa"/>
            <w:tcBorders>
              <w:top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57B9E730" w14:textId="25C71B6F" w:rsidR="4CF31978" w:rsidRPr="009F1971" w:rsidRDefault="4CF31978">
            <w:pPr>
              <w:rPr>
                <w:color w:val="000000" w:themeColor="text1"/>
                <w:sz w:val="18"/>
                <w:szCs w:val="18"/>
              </w:rPr>
            </w:pPr>
            <w:r w:rsidRPr="009F1971">
              <w:rPr>
                <w:color w:val="000000" w:themeColor="text1"/>
                <w:sz w:val="18"/>
                <w:szCs w:val="18"/>
              </w:rPr>
              <w:t xml:space="preserve">Duration of </w:t>
            </w:r>
            <w:r w:rsidR="00923677" w:rsidRPr="009F1971">
              <w:rPr>
                <w:color w:val="000000" w:themeColor="text1"/>
                <w:sz w:val="18"/>
                <w:szCs w:val="18"/>
              </w:rPr>
              <w:t xml:space="preserve"> Exercise-</w:t>
            </w:r>
            <w:r w:rsidRPr="009F1971">
              <w:rPr>
                <w:color w:val="000000" w:themeColor="text1"/>
                <w:sz w:val="18"/>
                <w:szCs w:val="18"/>
              </w:rPr>
              <w:t>Visit 1 (seconds)</w:t>
            </w:r>
          </w:p>
        </w:tc>
        <w:tc>
          <w:tcPr>
            <w:tcW w:w="2064" w:type="dxa"/>
            <w:tcBorders>
              <w:top w:val="single" w:sz="4" w:space="0" w:color="44B3E1"/>
              <w:left w:val="nil"/>
              <w:bottom w:val="single" w:sz="4" w:space="0" w:color="44B3E1"/>
            </w:tcBorders>
            <w:shd w:val="clear" w:color="auto" w:fill="F2F2F2" w:themeFill="background1" w:themeFillShade="F2"/>
            <w:tcMar>
              <w:top w:w="15" w:type="dxa"/>
              <w:left w:w="15" w:type="dxa"/>
              <w:right w:w="15" w:type="dxa"/>
            </w:tcMar>
            <w:vAlign w:val="bottom"/>
          </w:tcPr>
          <w:p w14:paraId="430C1A3F" w14:textId="22771650" w:rsidR="4CF31978" w:rsidRPr="009F1971" w:rsidRDefault="4CF31978" w:rsidP="00923677">
            <w:pPr>
              <w:jc w:val="center"/>
              <w:rPr>
                <w:color w:val="000000" w:themeColor="text1"/>
                <w:sz w:val="18"/>
                <w:szCs w:val="18"/>
              </w:rPr>
            </w:pPr>
            <w:r w:rsidRPr="009F1971">
              <w:rPr>
                <w:color w:val="000000" w:themeColor="text1"/>
                <w:sz w:val="18"/>
                <w:szCs w:val="18"/>
              </w:rPr>
              <w:t>1217.8±324.5</w:t>
            </w:r>
          </w:p>
        </w:tc>
      </w:tr>
      <w:tr w:rsidR="0042022B" w14:paraId="63D94B40" w14:textId="77777777" w:rsidTr="004D037C">
        <w:trPr>
          <w:trHeight w:val="333"/>
          <w:jc w:val="center"/>
        </w:trPr>
        <w:tc>
          <w:tcPr>
            <w:tcW w:w="3797" w:type="dxa"/>
            <w:tcBorders>
              <w:top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5783847E" w14:textId="16CBEDE4" w:rsidR="4CF31978" w:rsidRPr="009F1971" w:rsidRDefault="4CF31978">
            <w:pPr>
              <w:rPr>
                <w:color w:val="000000" w:themeColor="text1"/>
                <w:sz w:val="18"/>
                <w:szCs w:val="18"/>
              </w:rPr>
            </w:pPr>
            <w:r w:rsidRPr="009F1971">
              <w:rPr>
                <w:color w:val="000000" w:themeColor="text1"/>
                <w:sz w:val="18"/>
                <w:szCs w:val="18"/>
              </w:rPr>
              <w:t xml:space="preserve">Duration of </w:t>
            </w:r>
            <w:r w:rsidR="00923677" w:rsidRPr="009F1971">
              <w:rPr>
                <w:color w:val="000000" w:themeColor="text1"/>
                <w:sz w:val="18"/>
                <w:szCs w:val="18"/>
              </w:rPr>
              <w:t>Exercise-</w:t>
            </w:r>
            <w:r w:rsidRPr="009F1971">
              <w:rPr>
                <w:color w:val="000000" w:themeColor="text1"/>
                <w:sz w:val="18"/>
                <w:szCs w:val="18"/>
              </w:rPr>
              <w:t>Visit 2 (seconds)</w:t>
            </w:r>
          </w:p>
        </w:tc>
        <w:tc>
          <w:tcPr>
            <w:tcW w:w="2064" w:type="dxa"/>
            <w:tcBorders>
              <w:top w:val="single" w:sz="4" w:space="0" w:color="44B3E1"/>
              <w:left w:val="nil"/>
              <w:bottom w:val="single" w:sz="4" w:space="0" w:color="44B3E1"/>
            </w:tcBorders>
            <w:shd w:val="clear" w:color="auto" w:fill="F2F2F2" w:themeFill="background1" w:themeFillShade="F2"/>
            <w:tcMar>
              <w:top w:w="15" w:type="dxa"/>
              <w:left w:w="15" w:type="dxa"/>
              <w:right w:w="15" w:type="dxa"/>
            </w:tcMar>
            <w:vAlign w:val="bottom"/>
          </w:tcPr>
          <w:p w14:paraId="47D03BC8" w14:textId="4B037DB9" w:rsidR="4CF31978" w:rsidRPr="009F1971" w:rsidRDefault="4CF31978" w:rsidP="00923677">
            <w:pPr>
              <w:jc w:val="center"/>
              <w:rPr>
                <w:color w:val="000000" w:themeColor="text1"/>
                <w:sz w:val="18"/>
                <w:szCs w:val="18"/>
              </w:rPr>
            </w:pPr>
            <w:r w:rsidRPr="009F1971">
              <w:rPr>
                <w:color w:val="000000" w:themeColor="text1"/>
                <w:sz w:val="18"/>
                <w:szCs w:val="18"/>
              </w:rPr>
              <w:t>1212.7±315.5</w:t>
            </w:r>
          </w:p>
        </w:tc>
      </w:tr>
      <w:tr w:rsidR="0042022B" w14:paraId="1F54F634" w14:textId="77777777" w:rsidTr="004D037C">
        <w:trPr>
          <w:trHeight w:val="228"/>
          <w:jc w:val="center"/>
        </w:trPr>
        <w:tc>
          <w:tcPr>
            <w:tcW w:w="3797" w:type="dxa"/>
            <w:tcBorders>
              <w:top w:val="single" w:sz="4" w:space="0" w:color="44B3E1"/>
              <w:bottom w:val="single" w:sz="4" w:space="0" w:color="44B3E1"/>
              <w:right w:val="nil"/>
            </w:tcBorders>
            <w:shd w:val="clear" w:color="auto" w:fill="BFBFBF" w:themeFill="background1" w:themeFillShade="BF"/>
            <w:tcMar>
              <w:top w:w="15" w:type="dxa"/>
              <w:left w:w="15" w:type="dxa"/>
              <w:right w:w="15" w:type="dxa"/>
            </w:tcMar>
            <w:vAlign w:val="bottom"/>
          </w:tcPr>
          <w:p w14:paraId="27982673" w14:textId="255B2F81" w:rsidR="4CF31978" w:rsidRPr="009F1971" w:rsidRDefault="4CF31978">
            <w:pPr>
              <w:rPr>
                <w:color w:val="000000" w:themeColor="text1"/>
                <w:sz w:val="18"/>
                <w:szCs w:val="18"/>
              </w:rPr>
            </w:pPr>
            <w:r w:rsidRPr="009F1971">
              <w:rPr>
                <w:color w:val="000000" w:themeColor="text1"/>
                <w:sz w:val="18"/>
                <w:szCs w:val="18"/>
              </w:rPr>
              <w:t xml:space="preserve"> </w:t>
            </w:r>
          </w:p>
        </w:tc>
        <w:tc>
          <w:tcPr>
            <w:tcW w:w="2064" w:type="dxa"/>
            <w:tcBorders>
              <w:top w:val="single" w:sz="4" w:space="0" w:color="44B3E1"/>
              <w:left w:val="nil"/>
              <w:bottom w:val="single" w:sz="4" w:space="0" w:color="44B3E1"/>
            </w:tcBorders>
            <w:shd w:val="clear" w:color="auto" w:fill="BFBFBF" w:themeFill="background1" w:themeFillShade="BF"/>
            <w:tcMar>
              <w:top w:w="15" w:type="dxa"/>
              <w:left w:w="15" w:type="dxa"/>
              <w:right w:w="15" w:type="dxa"/>
            </w:tcMar>
            <w:vAlign w:val="bottom"/>
          </w:tcPr>
          <w:p w14:paraId="61FA6DFF" w14:textId="749FEDEB" w:rsidR="4CF31978" w:rsidRPr="009F1971" w:rsidRDefault="4CF31978" w:rsidP="4CF31978">
            <w:pPr>
              <w:rPr>
                <w:b/>
                <w:bCs/>
                <w:color w:val="FFFFFF" w:themeColor="background1"/>
                <w:sz w:val="18"/>
                <w:szCs w:val="18"/>
              </w:rPr>
            </w:pPr>
            <w:r w:rsidRPr="009F1971">
              <w:rPr>
                <w:b/>
                <w:bCs/>
                <w:color w:val="FFFFFF" w:themeColor="background1"/>
                <w:sz w:val="18"/>
                <w:szCs w:val="18"/>
              </w:rPr>
              <w:t>frequency</w:t>
            </w:r>
          </w:p>
        </w:tc>
      </w:tr>
      <w:tr w:rsidR="0042022B" w14:paraId="45B17C72" w14:textId="77777777" w:rsidTr="004D037C">
        <w:trPr>
          <w:trHeight w:val="333"/>
          <w:jc w:val="center"/>
        </w:trPr>
        <w:tc>
          <w:tcPr>
            <w:tcW w:w="3797" w:type="dxa"/>
            <w:tcBorders>
              <w:top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61F1DFD7" w14:textId="0C04848F" w:rsidR="4CF31978" w:rsidRPr="009F1971" w:rsidRDefault="4CF31978">
            <w:pPr>
              <w:rPr>
                <w:color w:val="000000" w:themeColor="text1"/>
                <w:sz w:val="18"/>
                <w:szCs w:val="18"/>
              </w:rPr>
            </w:pPr>
            <w:r w:rsidRPr="009F1971">
              <w:rPr>
                <w:color w:val="000000" w:themeColor="text1"/>
                <w:sz w:val="18"/>
                <w:szCs w:val="18"/>
              </w:rPr>
              <w:t>Sex</w:t>
            </w:r>
          </w:p>
        </w:tc>
        <w:tc>
          <w:tcPr>
            <w:tcW w:w="2064" w:type="dxa"/>
            <w:tcBorders>
              <w:top w:val="single" w:sz="4" w:space="0" w:color="44B3E1"/>
              <w:left w:val="nil"/>
              <w:bottom w:val="single" w:sz="4" w:space="0" w:color="44B3E1"/>
            </w:tcBorders>
            <w:shd w:val="clear" w:color="auto" w:fill="F2F2F2" w:themeFill="background1" w:themeFillShade="F2"/>
            <w:tcMar>
              <w:top w:w="15" w:type="dxa"/>
              <w:left w:w="270" w:type="dxa"/>
              <w:right w:w="15" w:type="dxa"/>
            </w:tcMar>
            <w:vAlign w:val="bottom"/>
          </w:tcPr>
          <w:p w14:paraId="1CB2E938" w14:textId="3021680C" w:rsidR="4CF31978" w:rsidRPr="009F1971" w:rsidRDefault="4CF31978">
            <w:pPr>
              <w:rPr>
                <w:color w:val="000000" w:themeColor="text1"/>
                <w:sz w:val="18"/>
                <w:szCs w:val="18"/>
              </w:rPr>
            </w:pPr>
            <w:r w:rsidRPr="009F1971">
              <w:rPr>
                <w:color w:val="000000" w:themeColor="text1"/>
                <w:sz w:val="18"/>
                <w:szCs w:val="18"/>
              </w:rPr>
              <w:t xml:space="preserve"> </w:t>
            </w:r>
          </w:p>
        </w:tc>
      </w:tr>
      <w:tr w:rsidR="0042022B" w14:paraId="17E4939A" w14:textId="77777777" w:rsidTr="004D037C">
        <w:trPr>
          <w:trHeight w:val="333"/>
          <w:jc w:val="center"/>
        </w:trPr>
        <w:tc>
          <w:tcPr>
            <w:tcW w:w="3797" w:type="dxa"/>
            <w:tcBorders>
              <w:top w:val="single" w:sz="4" w:space="0" w:color="44B3E1"/>
              <w:bottom w:val="single" w:sz="4" w:space="0" w:color="44B3E1"/>
              <w:right w:val="nil"/>
            </w:tcBorders>
            <w:shd w:val="clear" w:color="auto" w:fill="F2F2F2" w:themeFill="background1" w:themeFillShade="F2"/>
            <w:tcMar>
              <w:top w:w="15" w:type="dxa"/>
              <w:left w:w="270" w:type="dxa"/>
              <w:right w:w="15" w:type="dxa"/>
            </w:tcMar>
            <w:vAlign w:val="bottom"/>
          </w:tcPr>
          <w:p w14:paraId="0A05D833" w14:textId="0B985CE9" w:rsidR="4CF31978" w:rsidRPr="009F1971" w:rsidRDefault="4CF31978">
            <w:pPr>
              <w:rPr>
                <w:color w:val="000000" w:themeColor="text1"/>
                <w:sz w:val="18"/>
                <w:szCs w:val="18"/>
              </w:rPr>
            </w:pPr>
            <w:r w:rsidRPr="009F1971">
              <w:rPr>
                <w:color w:val="000000" w:themeColor="text1"/>
                <w:sz w:val="18"/>
                <w:szCs w:val="18"/>
              </w:rPr>
              <w:t>Male</w:t>
            </w:r>
          </w:p>
        </w:tc>
        <w:tc>
          <w:tcPr>
            <w:tcW w:w="2064" w:type="dxa"/>
            <w:tcBorders>
              <w:top w:val="single" w:sz="4" w:space="0" w:color="44B3E1"/>
              <w:left w:val="nil"/>
              <w:bottom w:val="single" w:sz="4" w:space="0" w:color="44B3E1"/>
            </w:tcBorders>
            <w:shd w:val="clear" w:color="auto" w:fill="F2F2F2" w:themeFill="background1" w:themeFillShade="F2"/>
            <w:tcMar>
              <w:top w:w="15" w:type="dxa"/>
              <w:left w:w="15" w:type="dxa"/>
              <w:right w:w="15" w:type="dxa"/>
            </w:tcMar>
            <w:vAlign w:val="bottom"/>
          </w:tcPr>
          <w:p w14:paraId="3CE3B1D7" w14:textId="69A61DCF" w:rsidR="4CF31978" w:rsidRPr="009F1971" w:rsidRDefault="4CF31978" w:rsidP="00923677">
            <w:pPr>
              <w:jc w:val="center"/>
              <w:rPr>
                <w:color w:val="000000" w:themeColor="text1"/>
                <w:sz w:val="18"/>
                <w:szCs w:val="18"/>
              </w:rPr>
            </w:pPr>
            <w:r w:rsidRPr="009F1971">
              <w:rPr>
                <w:color w:val="000000" w:themeColor="text1"/>
                <w:sz w:val="18"/>
                <w:szCs w:val="18"/>
              </w:rPr>
              <w:t>14 (52%)</w:t>
            </w:r>
          </w:p>
        </w:tc>
      </w:tr>
      <w:tr w:rsidR="0042022B" w14:paraId="181FAE95" w14:textId="77777777" w:rsidTr="004D037C">
        <w:trPr>
          <w:trHeight w:val="333"/>
          <w:jc w:val="center"/>
        </w:trPr>
        <w:tc>
          <w:tcPr>
            <w:tcW w:w="3797" w:type="dxa"/>
            <w:tcBorders>
              <w:top w:val="single" w:sz="4" w:space="0" w:color="44B3E1"/>
              <w:bottom w:val="single" w:sz="4" w:space="0" w:color="44B3E1"/>
              <w:right w:val="nil"/>
            </w:tcBorders>
            <w:shd w:val="clear" w:color="auto" w:fill="F2F2F2" w:themeFill="background1" w:themeFillShade="F2"/>
            <w:tcMar>
              <w:top w:w="15" w:type="dxa"/>
              <w:left w:w="270" w:type="dxa"/>
              <w:right w:w="15" w:type="dxa"/>
            </w:tcMar>
            <w:vAlign w:val="bottom"/>
          </w:tcPr>
          <w:p w14:paraId="45D7B562" w14:textId="060156EC" w:rsidR="4CF31978" w:rsidRPr="009F1971" w:rsidRDefault="4CF31978">
            <w:pPr>
              <w:rPr>
                <w:color w:val="000000" w:themeColor="text1"/>
                <w:sz w:val="18"/>
                <w:szCs w:val="18"/>
              </w:rPr>
            </w:pPr>
            <w:r w:rsidRPr="009F1971">
              <w:rPr>
                <w:color w:val="000000" w:themeColor="text1"/>
                <w:sz w:val="18"/>
                <w:szCs w:val="18"/>
              </w:rPr>
              <w:t>Female</w:t>
            </w:r>
          </w:p>
        </w:tc>
        <w:tc>
          <w:tcPr>
            <w:tcW w:w="2064" w:type="dxa"/>
            <w:tcBorders>
              <w:top w:val="single" w:sz="4" w:space="0" w:color="44B3E1"/>
              <w:left w:val="nil"/>
              <w:bottom w:val="single" w:sz="4" w:space="0" w:color="44B3E1"/>
            </w:tcBorders>
            <w:shd w:val="clear" w:color="auto" w:fill="F2F2F2" w:themeFill="background1" w:themeFillShade="F2"/>
            <w:tcMar>
              <w:top w:w="15" w:type="dxa"/>
              <w:left w:w="15" w:type="dxa"/>
              <w:right w:w="15" w:type="dxa"/>
            </w:tcMar>
            <w:vAlign w:val="bottom"/>
          </w:tcPr>
          <w:p w14:paraId="2871EAAD" w14:textId="53CE052F" w:rsidR="4CF31978" w:rsidRPr="009F1971" w:rsidRDefault="4CF31978" w:rsidP="4CF31978">
            <w:pPr>
              <w:jc w:val="center"/>
              <w:rPr>
                <w:color w:val="000000" w:themeColor="text1"/>
                <w:sz w:val="18"/>
                <w:szCs w:val="18"/>
              </w:rPr>
            </w:pPr>
            <w:r w:rsidRPr="009F1971">
              <w:rPr>
                <w:color w:val="000000" w:themeColor="text1"/>
                <w:sz w:val="18"/>
                <w:szCs w:val="18"/>
              </w:rPr>
              <w:t>13(48%)</w:t>
            </w:r>
          </w:p>
        </w:tc>
      </w:tr>
      <w:tr w:rsidR="0042022B" w14:paraId="48108E90" w14:textId="77777777" w:rsidTr="004D037C">
        <w:trPr>
          <w:trHeight w:val="333"/>
          <w:jc w:val="center"/>
        </w:trPr>
        <w:tc>
          <w:tcPr>
            <w:tcW w:w="3797" w:type="dxa"/>
            <w:tcBorders>
              <w:top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0E3BFAC4" w14:textId="20F6B4A5" w:rsidR="4CF31978" w:rsidRPr="009F1971" w:rsidRDefault="4CF31978">
            <w:pPr>
              <w:rPr>
                <w:color w:val="000000" w:themeColor="text1"/>
                <w:sz w:val="18"/>
                <w:szCs w:val="18"/>
              </w:rPr>
            </w:pPr>
            <w:r w:rsidRPr="009F1971">
              <w:rPr>
                <w:color w:val="000000" w:themeColor="text1"/>
                <w:sz w:val="18"/>
                <w:szCs w:val="18"/>
              </w:rPr>
              <w:t>Race</w:t>
            </w:r>
          </w:p>
        </w:tc>
        <w:tc>
          <w:tcPr>
            <w:tcW w:w="2064" w:type="dxa"/>
            <w:tcBorders>
              <w:top w:val="single" w:sz="4" w:space="0" w:color="44B3E1"/>
              <w:left w:val="nil"/>
              <w:bottom w:val="single" w:sz="4" w:space="0" w:color="44B3E1"/>
            </w:tcBorders>
            <w:shd w:val="clear" w:color="auto" w:fill="F2F2F2" w:themeFill="background1" w:themeFillShade="F2"/>
            <w:tcMar>
              <w:top w:w="15" w:type="dxa"/>
              <w:left w:w="15" w:type="dxa"/>
              <w:right w:w="15" w:type="dxa"/>
            </w:tcMar>
            <w:vAlign w:val="bottom"/>
          </w:tcPr>
          <w:p w14:paraId="73214404" w14:textId="79AC768A" w:rsidR="4CF31978" w:rsidRPr="009F1971" w:rsidRDefault="4CF31978" w:rsidP="4CF31978">
            <w:pPr>
              <w:jc w:val="center"/>
              <w:rPr>
                <w:color w:val="000000" w:themeColor="text1"/>
                <w:sz w:val="18"/>
                <w:szCs w:val="18"/>
              </w:rPr>
            </w:pPr>
            <w:r w:rsidRPr="009F1971">
              <w:rPr>
                <w:color w:val="000000" w:themeColor="text1"/>
                <w:sz w:val="18"/>
                <w:szCs w:val="18"/>
              </w:rPr>
              <w:t xml:space="preserve"> </w:t>
            </w:r>
          </w:p>
        </w:tc>
      </w:tr>
      <w:tr w:rsidR="0042022B" w14:paraId="73770647" w14:textId="77777777" w:rsidTr="004D037C">
        <w:trPr>
          <w:trHeight w:val="333"/>
          <w:jc w:val="center"/>
        </w:trPr>
        <w:tc>
          <w:tcPr>
            <w:tcW w:w="3797" w:type="dxa"/>
            <w:tcBorders>
              <w:top w:val="single" w:sz="4" w:space="0" w:color="44B3E1"/>
              <w:bottom w:val="single" w:sz="4" w:space="0" w:color="44B3E1"/>
              <w:right w:val="nil"/>
            </w:tcBorders>
            <w:shd w:val="clear" w:color="auto" w:fill="F2F2F2" w:themeFill="background1" w:themeFillShade="F2"/>
            <w:tcMar>
              <w:top w:w="15" w:type="dxa"/>
              <w:left w:w="270" w:type="dxa"/>
              <w:right w:w="15" w:type="dxa"/>
            </w:tcMar>
            <w:vAlign w:val="bottom"/>
          </w:tcPr>
          <w:p w14:paraId="653E94F7" w14:textId="64450F5C" w:rsidR="4CF31978" w:rsidRPr="009F1971" w:rsidRDefault="4CF31978">
            <w:pPr>
              <w:rPr>
                <w:color w:val="000000" w:themeColor="text1"/>
                <w:sz w:val="18"/>
                <w:szCs w:val="18"/>
              </w:rPr>
            </w:pPr>
            <w:r w:rsidRPr="009F1971">
              <w:rPr>
                <w:color w:val="000000" w:themeColor="text1"/>
                <w:sz w:val="18"/>
                <w:szCs w:val="18"/>
              </w:rPr>
              <w:t>White, non-Hispanic</w:t>
            </w:r>
          </w:p>
        </w:tc>
        <w:tc>
          <w:tcPr>
            <w:tcW w:w="2064" w:type="dxa"/>
            <w:tcBorders>
              <w:top w:val="single" w:sz="4" w:space="0" w:color="44B3E1"/>
              <w:left w:val="nil"/>
              <w:bottom w:val="single" w:sz="4" w:space="0" w:color="44B3E1"/>
            </w:tcBorders>
            <w:shd w:val="clear" w:color="auto" w:fill="F2F2F2" w:themeFill="background1" w:themeFillShade="F2"/>
            <w:tcMar>
              <w:top w:w="15" w:type="dxa"/>
              <w:left w:w="15" w:type="dxa"/>
              <w:right w:w="15" w:type="dxa"/>
            </w:tcMar>
            <w:vAlign w:val="bottom"/>
          </w:tcPr>
          <w:p w14:paraId="4F9D82EE" w14:textId="526CFA2B" w:rsidR="4CF31978" w:rsidRPr="009F1971" w:rsidRDefault="4CF31978" w:rsidP="00923677">
            <w:pPr>
              <w:jc w:val="center"/>
              <w:rPr>
                <w:color w:val="000000" w:themeColor="text1"/>
                <w:sz w:val="18"/>
                <w:szCs w:val="18"/>
              </w:rPr>
            </w:pPr>
            <w:r w:rsidRPr="009F1971">
              <w:rPr>
                <w:color w:val="000000" w:themeColor="text1"/>
                <w:sz w:val="18"/>
                <w:szCs w:val="18"/>
              </w:rPr>
              <w:t>19(70%)</w:t>
            </w:r>
          </w:p>
        </w:tc>
      </w:tr>
      <w:tr w:rsidR="0042022B" w14:paraId="33643610" w14:textId="77777777" w:rsidTr="004D037C">
        <w:trPr>
          <w:trHeight w:val="333"/>
          <w:jc w:val="center"/>
        </w:trPr>
        <w:tc>
          <w:tcPr>
            <w:tcW w:w="3797" w:type="dxa"/>
            <w:tcBorders>
              <w:top w:val="single" w:sz="4" w:space="0" w:color="44B3E1"/>
              <w:bottom w:val="single" w:sz="4" w:space="0" w:color="44B3E1"/>
              <w:right w:val="nil"/>
            </w:tcBorders>
            <w:shd w:val="clear" w:color="auto" w:fill="F2F2F2" w:themeFill="background1" w:themeFillShade="F2"/>
            <w:tcMar>
              <w:top w:w="15" w:type="dxa"/>
              <w:left w:w="270" w:type="dxa"/>
              <w:right w:w="15" w:type="dxa"/>
            </w:tcMar>
            <w:vAlign w:val="bottom"/>
          </w:tcPr>
          <w:p w14:paraId="110CAABD" w14:textId="6D764A70" w:rsidR="4CF31978" w:rsidRPr="009F1971" w:rsidRDefault="4CF31978">
            <w:pPr>
              <w:rPr>
                <w:color w:val="000000" w:themeColor="text1"/>
                <w:sz w:val="18"/>
                <w:szCs w:val="18"/>
              </w:rPr>
            </w:pPr>
            <w:r w:rsidRPr="009F1971">
              <w:rPr>
                <w:color w:val="000000" w:themeColor="text1"/>
                <w:sz w:val="18"/>
                <w:szCs w:val="18"/>
              </w:rPr>
              <w:t xml:space="preserve">Black or </w:t>
            </w:r>
            <w:proofErr w:type="gramStart"/>
            <w:r w:rsidRPr="009F1971">
              <w:rPr>
                <w:color w:val="000000" w:themeColor="text1"/>
                <w:sz w:val="18"/>
                <w:szCs w:val="18"/>
              </w:rPr>
              <w:t>African-American</w:t>
            </w:r>
            <w:proofErr w:type="gramEnd"/>
          </w:p>
        </w:tc>
        <w:tc>
          <w:tcPr>
            <w:tcW w:w="2064" w:type="dxa"/>
            <w:tcBorders>
              <w:top w:val="single" w:sz="4" w:space="0" w:color="44B3E1"/>
              <w:left w:val="nil"/>
              <w:bottom w:val="single" w:sz="4" w:space="0" w:color="44B3E1"/>
            </w:tcBorders>
            <w:shd w:val="clear" w:color="auto" w:fill="F2F2F2" w:themeFill="background1" w:themeFillShade="F2"/>
            <w:tcMar>
              <w:top w:w="15" w:type="dxa"/>
              <w:left w:w="15" w:type="dxa"/>
              <w:right w:w="15" w:type="dxa"/>
            </w:tcMar>
            <w:vAlign w:val="bottom"/>
          </w:tcPr>
          <w:p w14:paraId="539E48C6" w14:textId="562C817C" w:rsidR="4CF31978" w:rsidRPr="009F1971" w:rsidRDefault="4CF31978" w:rsidP="4CF31978">
            <w:pPr>
              <w:jc w:val="center"/>
              <w:rPr>
                <w:color w:val="000000" w:themeColor="text1"/>
                <w:sz w:val="18"/>
                <w:szCs w:val="18"/>
              </w:rPr>
            </w:pPr>
            <w:r w:rsidRPr="009F1971">
              <w:rPr>
                <w:color w:val="000000" w:themeColor="text1"/>
                <w:sz w:val="18"/>
                <w:szCs w:val="18"/>
              </w:rPr>
              <w:t>3(11%)</w:t>
            </w:r>
          </w:p>
        </w:tc>
      </w:tr>
      <w:tr w:rsidR="0042022B" w14:paraId="630DEF46" w14:textId="77777777" w:rsidTr="005D6B9C">
        <w:trPr>
          <w:trHeight w:val="263"/>
          <w:jc w:val="center"/>
        </w:trPr>
        <w:tc>
          <w:tcPr>
            <w:tcW w:w="3797" w:type="dxa"/>
            <w:tcBorders>
              <w:top w:val="single" w:sz="4" w:space="0" w:color="44B3E1"/>
              <w:bottom w:val="single" w:sz="4" w:space="0" w:color="44B3E1"/>
              <w:right w:val="nil"/>
            </w:tcBorders>
            <w:shd w:val="clear" w:color="auto" w:fill="F2F2F2" w:themeFill="background1" w:themeFillShade="F2"/>
            <w:tcMar>
              <w:top w:w="15" w:type="dxa"/>
              <w:left w:w="270" w:type="dxa"/>
              <w:right w:w="15" w:type="dxa"/>
            </w:tcMar>
            <w:vAlign w:val="bottom"/>
          </w:tcPr>
          <w:p w14:paraId="2FE56E84" w14:textId="5C55D88D" w:rsidR="4CF31978" w:rsidRPr="009F1971" w:rsidRDefault="4CF31978">
            <w:pPr>
              <w:rPr>
                <w:color w:val="000000" w:themeColor="text1"/>
                <w:sz w:val="18"/>
                <w:szCs w:val="18"/>
              </w:rPr>
            </w:pPr>
            <w:r w:rsidRPr="009F1971">
              <w:rPr>
                <w:color w:val="000000" w:themeColor="text1"/>
                <w:sz w:val="18"/>
                <w:szCs w:val="18"/>
              </w:rPr>
              <w:t>Hispanic or Latino</w:t>
            </w:r>
          </w:p>
        </w:tc>
        <w:tc>
          <w:tcPr>
            <w:tcW w:w="2064" w:type="dxa"/>
            <w:tcBorders>
              <w:top w:val="single" w:sz="4" w:space="0" w:color="44B3E1"/>
              <w:left w:val="nil"/>
              <w:bottom w:val="single" w:sz="4" w:space="0" w:color="44B3E1"/>
            </w:tcBorders>
            <w:shd w:val="clear" w:color="auto" w:fill="F2F2F2" w:themeFill="background1" w:themeFillShade="F2"/>
            <w:tcMar>
              <w:top w:w="15" w:type="dxa"/>
              <w:left w:w="15" w:type="dxa"/>
              <w:right w:w="15" w:type="dxa"/>
            </w:tcMar>
            <w:vAlign w:val="bottom"/>
          </w:tcPr>
          <w:p w14:paraId="17463AF5" w14:textId="072F2862" w:rsidR="4CF31978" w:rsidRPr="009F1971" w:rsidRDefault="4CF31978" w:rsidP="00923677">
            <w:pPr>
              <w:jc w:val="center"/>
              <w:rPr>
                <w:color w:val="000000" w:themeColor="text1"/>
                <w:sz w:val="18"/>
                <w:szCs w:val="18"/>
              </w:rPr>
            </w:pPr>
            <w:r w:rsidRPr="009F1971">
              <w:rPr>
                <w:color w:val="000000" w:themeColor="text1"/>
                <w:sz w:val="18"/>
                <w:szCs w:val="18"/>
              </w:rPr>
              <w:t>3(11%)</w:t>
            </w:r>
          </w:p>
        </w:tc>
      </w:tr>
      <w:tr w:rsidR="0042022B" w14:paraId="68F32E71" w14:textId="77777777" w:rsidTr="004D037C">
        <w:trPr>
          <w:trHeight w:val="333"/>
          <w:jc w:val="center"/>
        </w:trPr>
        <w:tc>
          <w:tcPr>
            <w:tcW w:w="3797" w:type="dxa"/>
            <w:tcBorders>
              <w:top w:val="single" w:sz="4" w:space="0" w:color="44B3E1"/>
              <w:bottom w:val="single" w:sz="4" w:space="0" w:color="44B3E1"/>
              <w:right w:val="nil"/>
            </w:tcBorders>
            <w:shd w:val="clear" w:color="auto" w:fill="F2F2F2" w:themeFill="background1" w:themeFillShade="F2"/>
            <w:tcMar>
              <w:top w:w="15" w:type="dxa"/>
              <w:left w:w="270" w:type="dxa"/>
              <w:right w:w="15" w:type="dxa"/>
            </w:tcMar>
            <w:vAlign w:val="bottom"/>
          </w:tcPr>
          <w:p w14:paraId="1EC893B0" w14:textId="2BCC799A" w:rsidR="4CF31978" w:rsidRPr="009F1971" w:rsidRDefault="4CF31978">
            <w:pPr>
              <w:rPr>
                <w:color w:val="000000" w:themeColor="text1"/>
                <w:sz w:val="18"/>
                <w:szCs w:val="18"/>
              </w:rPr>
            </w:pPr>
            <w:r w:rsidRPr="009F1971">
              <w:rPr>
                <w:color w:val="000000" w:themeColor="text1"/>
                <w:sz w:val="18"/>
                <w:szCs w:val="18"/>
              </w:rPr>
              <w:t>Asian</w:t>
            </w:r>
          </w:p>
        </w:tc>
        <w:tc>
          <w:tcPr>
            <w:tcW w:w="2064" w:type="dxa"/>
            <w:tcBorders>
              <w:top w:val="single" w:sz="4" w:space="0" w:color="44B3E1"/>
              <w:left w:val="nil"/>
              <w:bottom w:val="single" w:sz="4" w:space="0" w:color="44B3E1"/>
            </w:tcBorders>
            <w:shd w:val="clear" w:color="auto" w:fill="F2F2F2" w:themeFill="background1" w:themeFillShade="F2"/>
            <w:tcMar>
              <w:top w:w="15" w:type="dxa"/>
              <w:left w:w="15" w:type="dxa"/>
              <w:right w:w="15" w:type="dxa"/>
            </w:tcMar>
            <w:vAlign w:val="bottom"/>
          </w:tcPr>
          <w:p w14:paraId="73676D32" w14:textId="3F1FE1E6" w:rsidR="4CF31978" w:rsidRPr="009F1971" w:rsidRDefault="4CF31978" w:rsidP="00923677">
            <w:pPr>
              <w:jc w:val="center"/>
              <w:rPr>
                <w:color w:val="000000" w:themeColor="text1"/>
                <w:sz w:val="18"/>
                <w:szCs w:val="18"/>
              </w:rPr>
            </w:pPr>
            <w:r w:rsidRPr="009F1971">
              <w:rPr>
                <w:color w:val="000000" w:themeColor="text1"/>
                <w:sz w:val="18"/>
                <w:szCs w:val="18"/>
              </w:rPr>
              <w:t>1(4%)</w:t>
            </w:r>
          </w:p>
        </w:tc>
      </w:tr>
      <w:tr w:rsidR="0042022B" w14:paraId="404D1597" w14:textId="77777777" w:rsidTr="004D037C">
        <w:trPr>
          <w:trHeight w:val="333"/>
          <w:jc w:val="center"/>
        </w:trPr>
        <w:tc>
          <w:tcPr>
            <w:tcW w:w="3797" w:type="dxa"/>
            <w:tcBorders>
              <w:top w:val="single" w:sz="4" w:space="0" w:color="44B3E1"/>
              <w:right w:val="nil"/>
            </w:tcBorders>
            <w:shd w:val="clear" w:color="auto" w:fill="F2F2F2" w:themeFill="background1" w:themeFillShade="F2"/>
            <w:tcMar>
              <w:top w:w="15" w:type="dxa"/>
              <w:left w:w="270" w:type="dxa"/>
              <w:right w:w="15" w:type="dxa"/>
            </w:tcMar>
            <w:vAlign w:val="bottom"/>
          </w:tcPr>
          <w:p w14:paraId="1F1B227F" w14:textId="39548A30" w:rsidR="4CF31978" w:rsidRPr="009F1971" w:rsidRDefault="4CF31978">
            <w:pPr>
              <w:rPr>
                <w:color w:val="000000" w:themeColor="text1"/>
                <w:sz w:val="18"/>
                <w:szCs w:val="18"/>
              </w:rPr>
            </w:pPr>
            <w:r w:rsidRPr="009F1971">
              <w:rPr>
                <w:color w:val="000000" w:themeColor="text1"/>
                <w:sz w:val="18"/>
                <w:szCs w:val="18"/>
              </w:rPr>
              <w:t>American Indian or Alaska Native</w:t>
            </w:r>
          </w:p>
        </w:tc>
        <w:tc>
          <w:tcPr>
            <w:tcW w:w="2064" w:type="dxa"/>
            <w:tcBorders>
              <w:top w:val="single" w:sz="4" w:space="0" w:color="44B3E1"/>
              <w:left w:val="nil"/>
            </w:tcBorders>
            <w:shd w:val="clear" w:color="auto" w:fill="F2F2F2" w:themeFill="background1" w:themeFillShade="F2"/>
            <w:tcMar>
              <w:top w:w="15" w:type="dxa"/>
              <w:left w:w="15" w:type="dxa"/>
              <w:right w:w="15" w:type="dxa"/>
            </w:tcMar>
            <w:vAlign w:val="bottom"/>
          </w:tcPr>
          <w:p w14:paraId="177BD686" w14:textId="2E6D0779" w:rsidR="4CF31978" w:rsidRPr="009F1971" w:rsidRDefault="4CF31978" w:rsidP="00923677">
            <w:pPr>
              <w:jc w:val="center"/>
              <w:rPr>
                <w:color w:val="000000" w:themeColor="text1"/>
                <w:sz w:val="18"/>
                <w:szCs w:val="18"/>
              </w:rPr>
            </w:pPr>
            <w:r w:rsidRPr="009F1971">
              <w:rPr>
                <w:color w:val="000000" w:themeColor="text1"/>
                <w:sz w:val="18"/>
                <w:szCs w:val="18"/>
              </w:rPr>
              <w:t>1(4%)</w:t>
            </w:r>
          </w:p>
        </w:tc>
      </w:tr>
    </w:tbl>
    <w:p w14:paraId="7014A32E" w14:textId="77777777" w:rsidR="00844C29" w:rsidRDefault="00844C29" w:rsidP="005D6B9C">
      <w:pPr>
        <w:widowControl w:val="0"/>
        <w:pBdr>
          <w:top w:val="nil"/>
          <w:left w:val="nil"/>
          <w:bottom w:val="nil"/>
          <w:right w:val="nil"/>
          <w:between w:val="nil"/>
        </w:pBdr>
        <w:spacing w:line="480" w:lineRule="auto"/>
        <w:rPr>
          <w:b/>
        </w:rPr>
      </w:pPr>
    </w:p>
    <w:p w14:paraId="6A0EA353" w14:textId="5301332A" w:rsidR="00187849" w:rsidRDefault="00D06FD2" w:rsidP="005D6B9C">
      <w:pPr>
        <w:widowControl w:val="0"/>
        <w:pBdr>
          <w:top w:val="nil"/>
          <w:left w:val="nil"/>
          <w:bottom w:val="nil"/>
          <w:right w:val="nil"/>
          <w:between w:val="nil"/>
        </w:pBdr>
        <w:spacing w:line="480" w:lineRule="auto"/>
        <w:rPr>
          <w:b/>
        </w:rPr>
      </w:pPr>
      <w:r>
        <w:rPr>
          <w:b/>
        </w:rPr>
        <w:t>RMGLMs</w:t>
      </w:r>
    </w:p>
    <w:p w14:paraId="48F6E462" w14:textId="616EFC96" w:rsidR="003D6509" w:rsidRPr="00F20573" w:rsidRDefault="02342DD3" w:rsidP="005D6B9C">
      <w:pPr>
        <w:widowControl w:val="0"/>
        <w:pBdr>
          <w:top w:val="nil"/>
          <w:left w:val="nil"/>
          <w:bottom w:val="nil"/>
          <w:right w:val="nil"/>
          <w:between w:val="nil"/>
        </w:pBdr>
        <w:spacing w:line="480" w:lineRule="auto"/>
        <w:ind w:firstLine="720"/>
        <w:rPr>
          <w:color w:val="000000"/>
        </w:rPr>
      </w:pPr>
      <w:r w:rsidRPr="59820F33">
        <w:t>It was hypothesized that increases in exercise intensity would be associated with decrements in cognitive performance</w:t>
      </w:r>
      <w:r w:rsidR="00F20573">
        <w:t>,</w:t>
      </w:r>
      <w:r w:rsidRPr="59820F33">
        <w:t xml:space="preserve"> </w:t>
      </w:r>
      <w:r w:rsidR="00F20573">
        <w:t xml:space="preserve">measured as hit rate (correct hits / </w:t>
      </w:r>
      <w:r w:rsidR="00F20573">
        <w:rPr>
          <w:color w:val="000000"/>
        </w:rPr>
        <w:t>hits + false positives + misses</w:t>
      </w:r>
      <w:r w:rsidR="00F20573">
        <w:t>) and precision (</w:t>
      </w:r>
      <w:r w:rsidR="00F20573">
        <w:rPr>
          <w:color w:val="000000"/>
        </w:rPr>
        <w:t>correct hits / hit + false positives</w:t>
      </w:r>
      <w:r w:rsidR="00F20573">
        <w:t xml:space="preserve">), </w:t>
      </w:r>
      <w:r w:rsidRPr="59820F33">
        <w:t xml:space="preserve">and that pain catastrophizing would moderate that relationship. As </w:t>
      </w:r>
      <w:proofErr w:type="gramStart"/>
      <w:r w:rsidRPr="59820F33">
        <w:t>expected</w:t>
      </w:r>
      <w:proofErr w:type="gramEnd"/>
      <w:r w:rsidRPr="59820F33">
        <w:t xml:space="preserve"> based on previous findings, relative exercise intensity measured as HRR had a significant main effect on both Hit Rate (β = </w:t>
      </w:r>
      <w:r w:rsidR="1D76C1F6" w:rsidRPr="59820F33">
        <w:t>-0.0619</w:t>
      </w:r>
      <w:r w:rsidRPr="59820F33">
        <w:t xml:space="preserve">, SE = </w:t>
      </w:r>
      <w:r w:rsidR="4A57295E" w:rsidRPr="59820F33">
        <w:t>0.00</w:t>
      </w:r>
      <w:r w:rsidR="000A2D34">
        <w:t>238</w:t>
      </w:r>
      <w:r w:rsidRPr="59820F33">
        <w:t>, t = -</w:t>
      </w:r>
      <w:r w:rsidR="000A2D34">
        <w:t>26</w:t>
      </w:r>
      <w:r w:rsidRPr="59820F33">
        <w:t>.</w:t>
      </w:r>
      <w:r w:rsidR="000A2D34">
        <w:t>49</w:t>
      </w:r>
      <w:r w:rsidRPr="59820F33">
        <w:t>, p &lt; 0.00</w:t>
      </w:r>
      <w:r w:rsidR="000A2D34">
        <w:t>0</w:t>
      </w:r>
      <w:r w:rsidRPr="59820F33">
        <w:t>1) and Precision (β = -0.0</w:t>
      </w:r>
      <w:r w:rsidR="000A2D34">
        <w:t>530</w:t>
      </w:r>
      <w:r w:rsidRPr="59820F33">
        <w:t>, SE = 0.001</w:t>
      </w:r>
      <w:r w:rsidR="000A2D34">
        <w:t>45</w:t>
      </w:r>
      <w:r w:rsidRPr="59820F33">
        <w:t>, t = -</w:t>
      </w:r>
      <w:r w:rsidR="000A2D34">
        <w:t>36</w:t>
      </w:r>
      <w:r w:rsidRPr="59820F33">
        <w:t>.</w:t>
      </w:r>
      <w:r w:rsidR="000A2D34">
        <w:t>555</w:t>
      </w:r>
      <w:r w:rsidRPr="59820F33">
        <w:t>, p &lt; 0.0</w:t>
      </w:r>
      <w:r w:rsidR="000A2D34">
        <w:t>0</w:t>
      </w:r>
      <w:r w:rsidRPr="59820F33">
        <w:t>01), with both cognitive indices declining as relative exercise intensity increased</w:t>
      </w:r>
      <w:r w:rsidR="003D6509">
        <w:t xml:space="preserve"> (Table 2)</w:t>
      </w:r>
      <w:r w:rsidRPr="59820F33">
        <w:t>. Based on the coefficients associated with the models’ fixed effects, hit rate decreases by 0.2085%, while precision decreases by -0.0837% for every one unit increase in heart rate reserve.</w:t>
      </w:r>
    </w:p>
    <w:p w14:paraId="366EF060" w14:textId="77777777" w:rsidR="003D6509" w:rsidRDefault="003D6509" w:rsidP="003D6509">
      <w:pPr>
        <w:spacing w:line="480" w:lineRule="auto"/>
      </w:pPr>
      <w:r>
        <w:t>Table 2</w:t>
      </w:r>
    </w:p>
    <w:p w14:paraId="4CEF1805" w14:textId="0BB97141" w:rsidR="003D6509" w:rsidRPr="00666E4C" w:rsidRDefault="003D6509" w:rsidP="003D6509">
      <w:pPr>
        <w:spacing w:line="480" w:lineRule="auto"/>
        <w:rPr>
          <w:i/>
          <w:iCs/>
        </w:rPr>
      </w:pPr>
      <w:r w:rsidRPr="00666E4C">
        <w:rPr>
          <w:i/>
          <w:iCs/>
        </w:rPr>
        <w:t>RMGLM Results</w:t>
      </w:r>
    </w:p>
    <w:tbl>
      <w:tblPr>
        <w:tblW w:w="9090" w:type="dxa"/>
        <w:jc w:val="center"/>
        <w:tblLayout w:type="fixed"/>
        <w:tblLook w:val="06A0" w:firstRow="1" w:lastRow="0" w:firstColumn="1" w:lastColumn="0" w:noHBand="1" w:noVBand="1"/>
      </w:tblPr>
      <w:tblGrid>
        <w:gridCol w:w="5358"/>
        <w:gridCol w:w="1290"/>
        <w:gridCol w:w="912"/>
        <w:gridCol w:w="1170"/>
        <w:gridCol w:w="360"/>
      </w:tblGrid>
      <w:tr w:rsidR="00471206" w14:paraId="3FF8D03F" w14:textId="77777777" w:rsidTr="00681A33">
        <w:trPr>
          <w:trHeight w:val="450"/>
          <w:jc w:val="center"/>
        </w:trPr>
        <w:tc>
          <w:tcPr>
            <w:tcW w:w="5358" w:type="dxa"/>
            <w:tcBorders>
              <w:top w:val="nil"/>
              <w:left w:val="nil"/>
              <w:bottom w:val="nil"/>
              <w:right w:val="nil"/>
            </w:tcBorders>
            <w:tcMar>
              <w:top w:w="15" w:type="dxa"/>
              <w:left w:w="15" w:type="dxa"/>
              <w:right w:w="15" w:type="dxa"/>
            </w:tcMar>
            <w:vAlign w:val="bottom"/>
          </w:tcPr>
          <w:p w14:paraId="32D23F11" w14:textId="77777777" w:rsidR="003D6509" w:rsidRDefault="003D6509" w:rsidP="007B6B4D">
            <w:r>
              <w:rPr>
                <w:noProof/>
              </w:rPr>
              <w:drawing>
                <wp:inline distT="114300" distB="114300" distL="114300" distR="114300" wp14:anchorId="6DAC30F9" wp14:editId="01DFC2E9">
                  <wp:extent cx="3510844" cy="394335"/>
                  <wp:effectExtent l="0" t="0" r="0" b="0"/>
                  <wp:docPr id="20911755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3630093" cy="407729"/>
                          </a:xfrm>
                          <a:prstGeom prst="rect">
                            <a:avLst/>
                          </a:prstGeom>
                          <a:ln/>
                        </pic:spPr>
                      </pic:pic>
                    </a:graphicData>
                  </a:graphic>
                </wp:inline>
              </w:drawing>
            </w:r>
          </w:p>
        </w:tc>
        <w:tc>
          <w:tcPr>
            <w:tcW w:w="1290" w:type="dxa"/>
            <w:tcBorders>
              <w:top w:val="single" w:sz="4" w:space="0" w:color="44B3E1"/>
              <w:left w:val="nil"/>
              <w:bottom w:val="single" w:sz="4" w:space="0" w:color="44B3E1"/>
              <w:right w:val="nil"/>
            </w:tcBorders>
            <w:shd w:val="clear" w:color="auto" w:fill="BFBFBF" w:themeFill="background1" w:themeFillShade="BF"/>
            <w:tcMar>
              <w:top w:w="15" w:type="dxa"/>
              <w:left w:w="15" w:type="dxa"/>
              <w:right w:w="15" w:type="dxa"/>
            </w:tcMar>
            <w:vAlign w:val="bottom"/>
          </w:tcPr>
          <w:p w14:paraId="46CA4BB6" w14:textId="77777777" w:rsidR="003D6509" w:rsidRDefault="003D6509" w:rsidP="007B6B4D">
            <w:pPr>
              <w:jc w:val="center"/>
              <w:rPr>
                <w:rFonts w:ascii="Aptos Narrow" w:eastAsia="Aptos Narrow" w:hAnsi="Aptos Narrow" w:cs="Aptos Narrow"/>
                <w:b/>
                <w:bCs/>
                <w:color w:val="FFFFFF" w:themeColor="background1"/>
                <w:sz w:val="20"/>
                <w:szCs w:val="20"/>
              </w:rPr>
            </w:pPr>
            <w:r w:rsidRPr="59820F33">
              <w:rPr>
                <w:rFonts w:ascii="Aptos Narrow" w:eastAsia="Aptos Narrow" w:hAnsi="Aptos Narrow" w:cs="Aptos Narrow"/>
                <w:b/>
                <w:bCs/>
                <w:color w:val="FFFFFF" w:themeColor="background1"/>
                <w:sz w:val="20"/>
                <w:szCs w:val="20"/>
              </w:rPr>
              <w:t>β</w:t>
            </w:r>
          </w:p>
        </w:tc>
        <w:tc>
          <w:tcPr>
            <w:tcW w:w="912" w:type="dxa"/>
            <w:tcBorders>
              <w:top w:val="single" w:sz="4" w:space="0" w:color="44B3E1"/>
              <w:left w:val="nil"/>
              <w:bottom w:val="single" w:sz="4" w:space="0" w:color="44B3E1"/>
              <w:right w:val="nil"/>
            </w:tcBorders>
            <w:shd w:val="clear" w:color="auto" w:fill="BFBFBF" w:themeFill="background1" w:themeFillShade="BF"/>
            <w:tcMar>
              <w:top w:w="15" w:type="dxa"/>
              <w:left w:w="15" w:type="dxa"/>
              <w:right w:w="15" w:type="dxa"/>
            </w:tcMar>
            <w:vAlign w:val="bottom"/>
          </w:tcPr>
          <w:p w14:paraId="59C76B78" w14:textId="77777777" w:rsidR="003D6509" w:rsidRDefault="003D6509" w:rsidP="007B6B4D">
            <w:pPr>
              <w:jc w:val="center"/>
              <w:rPr>
                <w:rFonts w:ascii="Aptos Narrow" w:eastAsia="Aptos Narrow" w:hAnsi="Aptos Narrow" w:cs="Aptos Narrow"/>
                <w:b/>
                <w:bCs/>
                <w:color w:val="FFFFFF" w:themeColor="background1"/>
                <w:sz w:val="20"/>
                <w:szCs w:val="20"/>
              </w:rPr>
            </w:pPr>
            <w:r w:rsidRPr="59820F33">
              <w:rPr>
                <w:rFonts w:ascii="Aptos Narrow" w:eastAsia="Aptos Narrow" w:hAnsi="Aptos Narrow" w:cs="Aptos Narrow"/>
                <w:b/>
                <w:bCs/>
                <w:color w:val="FFFFFF" w:themeColor="background1"/>
                <w:sz w:val="20"/>
                <w:szCs w:val="20"/>
              </w:rPr>
              <w:t>t-value</w:t>
            </w:r>
          </w:p>
        </w:tc>
        <w:tc>
          <w:tcPr>
            <w:tcW w:w="1170" w:type="dxa"/>
            <w:tcBorders>
              <w:top w:val="single" w:sz="4" w:space="0" w:color="44B3E1"/>
              <w:left w:val="nil"/>
              <w:bottom w:val="single" w:sz="4" w:space="0" w:color="44B3E1"/>
              <w:right w:val="nil"/>
            </w:tcBorders>
            <w:shd w:val="clear" w:color="auto" w:fill="BFBFBF" w:themeFill="background1" w:themeFillShade="BF"/>
            <w:tcMar>
              <w:top w:w="15" w:type="dxa"/>
              <w:left w:w="15" w:type="dxa"/>
              <w:right w:w="15" w:type="dxa"/>
            </w:tcMar>
            <w:vAlign w:val="bottom"/>
          </w:tcPr>
          <w:p w14:paraId="5272B914" w14:textId="77777777" w:rsidR="003D6509" w:rsidRDefault="003D6509" w:rsidP="007B6B4D">
            <w:pPr>
              <w:jc w:val="center"/>
              <w:rPr>
                <w:rFonts w:ascii="Aptos Narrow" w:eastAsia="Aptos Narrow" w:hAnsi="Aptos Narrow" w:cs="Aptos Narrow"/>
                <w:b/>
                <w:bCs/>
                <w:color w:val="FFFFFF" w:themeColor="background1"/>
                <w:sz w:val="20"/>
                <w:szCs w:val="20"/>
              </w:rPr>
            </w:pPr>
            <w:proofErr w:type="spellStart"/>
            <w:r w:rsidRPr="59820F33">
              <w:rPr>
                <w:rFonts w:ascii="Aptos Narrow" w:eastAsia="Aptos Narrow" w:hAnsi="Aptos Narrow" w:cs="Aptos Narrow"/>
                <w:b/>
                <w:bCs/>
                <w:color w:val="FFFFFF" w:themeColor="background1"/>
                <w:sz w:val="20"/>
                <w:szCs w:val="20"/>
              </w:rPr>
              <w:t>Pr</w:t>
            </w:r>
            <w:proofErr w:type="spellEnd"/>
            <w:r w:rsidRPr="59820F33">
              <w:rPr>
                <w:rFonts w:ascii="Aptos Narrow" w:eastAsia="Aptos Narrow" w:hAnsi="Aptos Narrow" w:cs="Aptos Narrow"/>
                <w:b/>
                <w:bCs/>
                <w:color w:val="FFFFFF" w:themeColor="background1"/>
                <w:sz w:val="20"/>
                <w:szCs w:val="20"/>
              </w:rPr>
              <w:t>(&gt;|t|)</w:t>
            </w:r>
          </w:p>
        </w:tc>
        <w:tc>
          <w:tcPr>
            <w:tcW w:w="360" w:type="dxa"/>
            <w:tcBorders>
              <w:top w:val="single" w:sz="4" w:space="0" w:color="44B3E1"/>
              <w:left w:val="nil"/>
              <w:bottom w:val="single" w:sz="4" w:space="0" w:color="44B3E1"/>
              <w:right w:val="single" w:sz="4" w:space="0" w:color="44B3E1"/>
            </w:tcBorders>
            <w:shd w:val="clear" w:color="auto" w:fill="BFBFBF" w:themeFill="background1" w:themeFillShade="BF"/>
            <w:tcMar>
              <w:top w:w="15" w:type="dxa"/>
              <w:left w:w="15" w:type="dxa"/>
              <w:right w:w="15" w:type="dxa"/>
            </w:tcMar>
            <w:vAlign w:val="bottom"/>
          </w:tcPr>
          <w:p w14:paraId="16330FFB" w14:textId="77777777" w:rsidR="003D6509" w:rsidRDefault="003D6509" w:rsidP="007B6B4D">
            <w:pPr>
              <w:rPr>
                <w:rFonts w:ascii="Aptos Narrow" w:eastAsia="Aptos Narrow" w:hAnsi="Aptos Narrow" w:cs="Aptos Narrow"/>
                <w:b/>
                <w:bCs/>
                <w:color w:val="FFFFFF" w:themeColor="background1"/>
                <w:sz w:val="20"/>
                <w:szCs w:val="20"/>
              </w:rPr>
            </w:pPr>
            <w:r w:rsidRPr="59820F33">
              <w:rPr>
                <w:rFonts w:ascii="Aptos Narrow" w:eastAsia="Aptos Narrow" w:hAnsi="Aptos Narrow" w:cs="Aptos Narrow"/>
                <w:b/>
                <w:bCs/>
                <w:color w:val="FFFFFF" w:themeColor="background1"/>
                <w:sz w:val="20"/>
                <w:szCs w:val="20"/>
              </w:rPr>
              <w:t xml:space="preserve"> </w:t>
            </w:r>
          </w:p>
        </w:tc>
      </w:tr>
      <w:tr w:rsidR="00471206" w14:paraId="22828DDA" w14:textId="77777777" w:rsidTr="00681A33">
        <w:trPr>
          <w:trHeight w:val="466"/>
          <w:jc w:val="center"/>
        </w:trPr>
        <w:tc>
          <w:tcPr>
            <w:tcW w:w="5358" w:type="dxa"/>
            <w:tcBorders>
              <w:top w:val="single" w:sz="4" w:space="0" w:color="44B3E1"/>
              <w:left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4759E657" w14:textId="77777777" w:rsidR="003D6509" w:rsidRPr="00682B69" w:rsidRDefault="003D6509" w:rsidP="007B6B4D">
            <w:pPr>
              <w:jc w:val="right"/>
              <w:rPr>
                <w:rFonts w:eastAsia="Aptos Narrow"/>
                <w:color w:val="000000" w:themeColor="text1"/>
                <w:sz w:val="20"/>
                <w:szCs w:val="20"/>
              </w:rPr>
            </w:pPr>
            <w:r w:rsidRPr="00682B69">
              <w:rPr>
                <w:rFonts w:eastAsia="Aptos Narrow"/>
                <w:color w:val="000000" w:themeColor="text1"/>
                <w:sz w:val="20"/>
                <w:szCs w:val="20"/>
              </w:rPr>
              <w:t>HRR</w:t>
            </w:r>
          </w:p>
        </w:tc>
        <w:tc>
          <w:tcPr>
            <w:tcW w:w="129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5EE66F32"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-6.29E-02</w:t>
            </w:r>
          </w:p>
        </w:tc>
        <w:tc>
          <w:tcPr>
            <w:tcW w:w="912"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4944B7F7"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-26.492</w:t>
            </w:r>
          </w:p>
        </w:tc>
        <w:tc>
          <w:tcPr>
            <w:tcW w:w="117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6C5260A9"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&lt; 2e-16</w:t>
            </w:r>
          </w:p>
        </w:tc>
        <w:tc>
          <w:tcPr>
            <w:tcW w:w="360" w:type="dxa"/>
            <w:tcBorders>
              <w:top w:val="single" w:sz="4" w:space="0" w:color="44B3E1"/>
              <w:left w:val="nil"/>
              <w:bottom w:val="single" w:sz="4" w:space="0" w:color="44B3E1"/>
              <w:right w:val="single" w:sz="4" w:space="0" w:color="44B3E1"/>
            </w:tcBorders>
            <w:shd w:val="clear" w:color="auto" w:fill="F2F2F2" w:themeFill="background1" w:themeFillShade="F2"/>
            <w:tcMar>
              <w:top w:w="15" w:type="dxa"/>
              <w:left w:w="15" w:type="dxa"/>
              <w:right w:w="15" w:type="dxa"/>
            </w:tcMar>
            <w:vAlign w:val="center"/>
          </w:tcPr>
          <w:p w14:paraId="2F531CBF"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w:t>
            </w:r>
          </w:p>
        </w:tc>
      </w:tr>
      <w:tr w:rsidR="00471206" w14:paraId="3EAEFAAA" w14:textId="77777777" w:rsidTr="00681A33">
        <w:trPr>
          <w:trHeight w:val="466"/>
          <w:jc w:val="center"/>
        </w:trPr>
        <w:tc>
          <w:tcPr>
            <w:tcW w:w="5358" w:type="dxa"/>
            <w:tcBorders>
              <w:top w:val="single" w:sz="4" w:space="0" w:color="44B3E1"/>
              <w:left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05889C19" w14:textId="77777777" w:rsidR="003D6509" w:rsidRPr="00682B69" w:rsidRDefault="003D6509" w:rsidP="007B6B4D">
            <w:pPr>
              <w:jc w:val="right"/>
              <w:rPr>
                <w:rFonts w:eastAsia="Aptos Narrow"/>
                <w:color w:val="000000" w:themeColor="text1"/>
                <w:sz w:val="20"/>
                <w:szCs w:val="20"/>
              </w:rPr>
            </w:pPr>
            <w:r w:rsidRPr="00682B69">
              <w:rPr>
                <w:rFonts w:eastAsia="Aptos Narrow"/>
                <w:color w:val="000000" w:themeColor="text1"/>
                <w:sz w:val="20"/>
                <w:szCs w:val="20"/>
              </w:rPr>
              <w:t>PC score</w:t>
            </w:r>
          </w:p>
        </w:tc>
        <w:tc>
          <w:tcPr>
            <w:tcW w:w="129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64D90B86"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2.82E-03</w:t>
            </w:r>
          </w:p>
        </w:tc>
        <w:tc>
          <w:tcPr>
            <w:tcW w:w="912"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759C0678"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1.676</w:t>
            </w:r>
          </w:p>
        </w:tc>
        <w:tc>
          <w:tcPr>
            <w:tcW w:w="117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7DB10DEB"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0.106</w:t>
            </w:r>
          </w:p>
        </w:tc>
        <w:tc>
          <w:tcPr>
            <w:tcW w:w="360" w:type="dxa"/>
            <w:tcBorders>
              <w:top w:val="single" w:sz="4" w:space="0" w:color="44B3E1"/>
              <w:left w:val="nil"/>
              <w:bottom w:val="single" w:sz="4" w:space="0" w:color="44B3E1"/>
              <w:right w:val="single" w:sz="4" w:space="0" w:color="44B3E1"/>
            </w:tcBorders>
            <w:shd w:val="clear" w:color="auto" w:fill="F2F2F2" w:themeFill="background1" w:themeFillShade="F2"/>
            <w:tcMar>
              <w:top w:w="15" w:type="dxa"/>
              <w:left w:w="15" w:type="dxa"/>
              <w:right w:w="15" w:type="dxa"/>
            </w:tcMar>
            <w:vAlign w:val="center"/>
          </w:tcPr>
          <w:p w14:paraId="0C6FF8F8" w14:textId="77777777" w:rsidR="003D6509" w:rsidRPr="00682B69" w:rsidRDefault="003D6509" w:rsidP="007B6B4D">
            <w:pPr>
              <w:jc w:val="center"/>
              <w:rPr>
                <w:rFonts w:eastAsia="Aptos Narrow"/>
                <w:color w:val="000000" w:themeColor="text1"/>
                <w:sz w:val="20"/>
                <w:szCs w:val="20"/>
              </w:rPr>
            </w:pPr>
          </w:p>
        </w:tc>
      </w:tr>
      <w:tr w:rsidR="00471206" w14:paraId="10CCAE02" w14:textId="77777777" w:rsidTr="00681A33">
        <w:trPr>
          <w:trHeight w:val="466"/>
          <w:jc w:val="center"/>
        </w:trPr>
        <w:tc>
          <w:tcPr>
            <w:tcW w:w="5358" w:type="dxa"/>
            <w:tcBorders>
              <w:top w:val="single" w:sz="4" w:space="0" w:color="44B3E1"/>
              <w:left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59D32AEA" w14:textId="77777777" w:rsidR="003D6509" w:rsidRPr="00682B69" w:rsidRDefault="003D6509" w:rsidP="007B6B4D">
            <w:pPr>
              <w:jc w:val="right"/>
              <w:rPr>
                <w:rFonts w:eastAsia="Aptos Narrow"/>
                <w:color w:val="000000" w:themeColor="text1"/>
                <w:sz w:val="20"/>
                <w:szCs w:val="20"/>
              </w:rPr>
            </w:pPr>
            <w:r w:rsidRPr="00682B69">
              <w:rPr>
                <w:rFonts w:eastAsia="Aptos Narrow"/>
                <w:color w:val="000000" w:themeColor="text1"/>
                <w:sz w:val="20"/>
                <w:szCs w:val="20"/>
              </w:rPr>
              <w:t>HRR*PC score</w:t>
            </w:r>
          </w:p>
        </w:tc>
        <w:tc>
          <w:tcPr>
            <w:tcW w:w="129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15224713"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-1.90E-03</w:t>
            </w:r>
          </w:p>
        </w:tc>
        <w:tc>
          <w:tcPr>
            <w:tcW w:w="912"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5F0D653D"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-7.386</w:t>
            </w:r>
          </w:p>
        </w:tc>
        <w:tc>
          <w:tcPr>
            <w:tcW w:w="117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1FF1BDFD"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1.65E-13</w:t>
            </w:r>
          </w:p>
        </w:tc>
        <w:tc>
          <w:tcPr>
            <w:tcW w:w="360" w:type="dxa"/>
            <w:tcBorders>
              <w:top w:val="single" w:sz="4" w:space="0" w:color="44B3E1"/>
              <w:left w:val="nil"/>
              <w:bottom w:val="single" w:sz="4" w:space="0" w:color="44B3E1"/>
              <w:right w:val="single" w:sz="4" w:space="0" w:color="44B3E1"/>
            </w:tcBorders>
            <w:shd w:val="clear" w:color="auto" w:fill="F2F2F2" w:themeFill="background1" w:themeFillShade="F2"/>
            <w:tcMar>
              <w:top w:w="15" w:type="dxa"/>
              <w:left w:w="15" w:type="dxa"/>
              <w:right w:w="15" w:type="dxa"/>
            </w:tcMar>
            <w:vAlign w:val="center"/>
          </w:tcPr>
          <w:p w14:paraId="18124ACF"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w:t>
            </w:r>
          </w:p>
        </w:tc>
      </w:tr>
      <w:tr w:rsidR="00471206" w14:paraId="2CD50EA5" w14:textId="77777777" w:rsidTr="00681A33">
        <w:trPr>
          <w:trHeight w:val="624"/>
          <w:jc w:val="center"/>
        </w:trPr>
        <w:tc>
          <w:tcPr>
            <w:tcW w:w="5358" w:type="dxa"/>
            <w:tcBorders>
              <w:top w:val="single" w:sz="4" w:space="0" w:color="44B3E1"/>
              <w:left w:val="nil"/>
              <w:bottom w:val="nil"/>
              <w:right w:val="nil"/>
            </w:tcBorders>
            <w:tcMar>
              <w:top w:w="15" w:type="dxa"/>
              <w:left w:w="15" w:type="dxa"/>
              <w:right w:w="15" w:type="dxa"/>
            </w:tcMar>
            <w:vAlign w:val="bottom"/>
          </w:tcPr>
          <w:p w14:paraId="173C4F28" w14:textId="77777777" w:rsidR="003D6509" w:rsidRPr="00682B69" w:rsidRDefault="003D6509" w:rsidP="007B6B4D">
            <w:r w:rsidRPr="00682B69">
              <w:rPr>
                <w:noProof/>
              </w:rPr>
              <w:drawing>
                <wp:inline distT="114300" distB="114300" distL="114300" distR="114300" wp14:anchorId="00452144" wp14:editId="7719DF28">
                  <wp:extent cx="3505328" cy="327377"/>
                  <wp:effectExtent l="0" t="0" r="0" b="3175"/>
                  <wp:docPr id="14533215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3682671" cy="343940"/>
                          </a:xfrm>
                          <a:prstGeom prst="rect">
                            <a:avLst/>
                          </a:prstGeom>
                          <a:ln/>
                        </pic:spPr>
                      </pic:pic>
                    </a:graphicData>
                  </a:graphic>
                </wp:inline>
              </w:drawing>
            </w:r>
          </w:p>
        </w:tc>
        <w:tc>
          <w:tcPr>
            <w:tcW w:w="1290" w:type="dxa"/>
            <w:tcBorders>
              <w:top w:val="single" w:sz="4" w:space="0" w:color="44B3E1"/>
              <w:left w:val="nil"/>
              <w:bottom w:val="single" w:sz="4" w:space="0" w:color="44B3E1"/>
              <w:right w:val="nil"/>
            </w:tcBorders>
            <w:shd w:val="clear" w:color="auto" w:fill="BFBFBF" w:themeFill="background1" w:themeFillShade="BF"/>
            <w:tcMar>
              <w:top w:w="15" w:type="dxa"/>
              <w:left w:w="15" w:type="dxa"/>
              <w:right w:w="15" w:type="dxa"/>
            </w:tcMar>
            <w:vAlign w:val="bottom"/>
          </w:tcPr>
          <w:p w14:paraId="7FB56F7E" w14:textId="77777777" w:rsidR="003D6509" w:rsidRPr="00682B69" w:rsidRDefault="003D6509" w:rsidP="007B6B4D">
            <w:pPr>
              <w:jc w:val="center"/>
              <w:rPr>
                <w:rFonts w:eastAsia="Aptos Narrow"/>
                <w:color w:val="000000" w:themeColor="text1"/>
                <w:sz w:val="20"/>
                <w:szCs w:val="20"/>
              </w:rPr>
            </w:pPr>
            <w:r w:rsidRPr="59820F33">
              <w:rPr>
                <w:rFonts w:ascii="Aptos Narrow" w:eastAsia="Aptos Narrow" w:hAnsi="Aptos Narrow" w:cs="Aptos Narrow"/>
                <w:b/>
                <w:bCs/>
                <w:color w:val="FFFFFF" w:themeColor="background1"/>
                <w:sz w:val="20"/>
                <w:szCs w:val="20"/>
              </w:rPr>
              <w:t>β</w:t>
            </w:r>
          </w:p>
        </w:tc>
        <w:tc>
          <w:tcPr>
            <w:tcW w:w="912" w:type="dxa"/>
            <w:tcBorders>
              <w:top w:val="single" w:sz="4" w:space="0" w:color="44B3E1"/>
              <w:left w:val="nil"/>
              <w:bottom w:val="single" w:sz="4" w:space="0" w:color="44B3E1"/>
              <w:right w:val="nil"/>
            </w:tcBorders>
            <w:shd w:val="clear" w:color="auto" w:fill="BFBFBF" w:themeFill="background1" w:themeFillShade="BF"/>
            <w:tcMar>
              <w:top w:w="15" w:type="dxa"/>
              <w:left w:w="15" w:type="dxa"/>
              <w:right w:w="15" w:type="dxa"/>
            </w:tcMar>
            <w:vAlign w:val="bottom"/>
          </w:tcPr>
          <w:p w14:paraId="6E833D4A" w14:textId="77777777" w:rsidR="003D6509" w:rsidRPr="00682B69" w:rsidRDefault="003D6509" w:rsidP="007B6B4D">
            <w:pPr>
              <w:jc w:val="center"/>
              <w:rPr>
                <w:rFonts w:eastAsia="Aptos Narrow"/>
                <w:color w:val="000000" w:themeColor="text1"/>
                <w:sz w:val="20"/>
                <w:szCs w:val="20"/>
              </w:rPr>
            </w:pPr>
            <w:r w:rsidRPr="59820F33">
              <w:rPr>
                <w:rFonts w:ascii="Aptos Narrow" w:eastAsia="Aptos Narrow" w:hAnsi="Aptos Narrow" w:cs="Aptos Narrow"/>
                <w:b/>
                <w:bCs/>
                <w:color w:val="FFFFFF" w:themeColor="background1"/>
                <w:sz w:val="20"/>
                <w:szCs w:val="20"/>
              </w:rPr>
              <w:t>t-value</w:t>
            </w:r>
          </w:p>
        </w:tc>
        <w:tc>
          <w:tcPr>
            <w:tcW w:w="1170" w:type="dxa"/>
            <w:tcBorders>
              <w:top w:val="single" w:sz="4" w:space="0" w:color="44B3E1"/>
              <w:left w:val="nil"/>
              <w:bottom w:val="single" w:sz="4" w:space="0" w:color="44B3E1"/>
              <w:right w:val="nil"/>
            </w:tcBorders>
            <w:shd w:val="clear" w:color="auto" w:fill="BFBFBF" w:themeFill="background1" w:themeFillShade="BF"/>
            <w:tcMar>
              <w:top w:w="15" w:type="dxa"/>
              <w:left w:w="15" w:type="dxa"/>
              <w:right w:w="15" w:type="dxa"/>
            </w:tcMar>
            <w:vAlign w:val="bottom"/>
          </w:tcPr>
          <w:p w14:paraId="3BD33E4A" w14:textId="77777777" w:rsidR="003D6509" w:rsidRPr="00682B69" w:rsidRDefault="003D6509" w:rsidP="007B6B4D">
            <w:pPr>
              <w:jc w:val="center"/>
              <w:rPr>
                <w:rFonts w:eastAsia="Aptos Narrow"/>
                <w:color w:val="000000" w:themeColor="text1"/>
                <w:sz w:val="20"/>
                <w:szCs w:val="20"/>
              </w:rPr>
            </w:pPr>
            <w:proofErr w:type="spellStart"/>
            <w:r w:rsidRPr="59820F33">
              <w:rPr>
                <w:rFonts w:ascii="Aptos Narrow" w:eastAsia="Aptos Narrow" w:hAnsi="Aptos Narrow" w:cs="Aptos Narrow"/>
                <w:b/>
                <w:bCs/>
                <w:color w:val="FFFFFF" w:themeColor="background1"/>
                <w:sz w:val="20"/>
                <w:szCs w:val="20"/>
              </w:rPr>
              <w:t>Pr</w:t>
            </w:r>
            <w:proofErr w:type="spellEnd"/>
            <w:r w:rsidRPr="59820F33">
              <w:rPr>
                <w:rFonts w:ascii="Aptos Narrow" w:eastAsia="Aptos Narrow" w:hAnsi="Aptos Narrow" w:cs="Aptos Narrow"/>
                <w:b/>
                <w:bCs/>
                <w:color w:val="FFFFFF" w:themeColor="background1"/>
                <w:sz w:val="20"/>
                <w:szCs w:val="20"/>
              </w:rPr>
              <w:t xml:space="preserve">(&gt;|t|) </w:t>
            </w:r>
          </w:p>
        </w:tc>
        <w:tc>
          <w:tcPr>
            <w:tcW w:w="360" w:type="dxa"/>
            <w:tcBorders>
              <w:top w:val="single" w:sz="4" w:space="0" w:color="44B3E1"/>
              <w:left w:val="nil"/>
              <w:bottom w:val="single" w:sz="4" w:space="0" w:color="44B3E1"/>
              <w:right w:val="single" w:sz="4" w:space="0" w:color="44B3E1"/>
            </w:tcBorders>
            <w:shd w:val="clear" w:color="auto" w:fill="BFBFBF" w:themeFill="background1" w:themeFillShade="BF"/>
            <w:tcMar>
              <w:top w:w="15" w:type="dxa"/>
              <w:left w:w="15" w:type="dxa"/>
              <w:right w:w="15" w:type="dxa"/>
            </w:tcMar>
            <w:vAlign w:val="bottom"/>
          </w:tcPr>
          <w:p w14:paraId="320960D8" w14:textId="77777777" w:rsidR="003D6509" w:rsidRPr="00682B69" w:rsidRDefault="003D6509" w:rsidP="007B6B4D">
            <w:pPr>
              <w:jc w:val="center"/>
              <w:rPr>
                <w:rFonts w:eastAsia="Aptos Narrow"/>
                <w:color w:val="000000" w:themeColor="text1"/>
                <w:sz w:val="20"/>
                <w:szCs w:val="20"/>
              </w:rPr>
            </w:pPr>
            <w:r w:rsidRPr="59820F33">
              <w:rPr>
                <w:rFonts w:ascii="Aptos Narrow" w:eastAsia="Aptos Narrow" w:hAnsi="Aptos Narrow" w:cs="Aptos Narrow"/>
                <w:b/>
                <w:bCs/>
                <w:color w:val="FFFFFF" w:themeColor="background1"/>
                <w:sz w:val="20"/>
                <w:szCs w:val="20"/>
              </w:rPr>
              <w:t xml:space="preserve"> </w:t>
            </w:r>
          </w:p>
        </w:tc>
      </w:tr>
      <w:tr w:rsidR="00471206" w14:paraId="2E3F2DED" w14:textId="77777777" w:rsidTr="00681A33">
        <w:trPr>
          <w:trHeight w:val="466"/>
          <w:jc w:val="center"/>
        </w:trPr>
        <w:tc>
          <w:tcPr>
            <w:tcW w:w="5358" w:type="dxa"/>
            <w:tcBorders>
              <w:top w:val="single" w:sz="4" w:space="0" w:color="44B3E1"/>
              <w:left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049F910F" w14:textId="77777777" w:rsidR="003D6509" w:rsidRPr="00682B69" w:rsidRDefault="003D6509" w:rsidP="007B6B4D">
            <w:pPr>
              <w:jc w:val="right"/>
              <w:rPr>
                <w:rFonts w:eastAsia="Aptos Narrow"/>
                <w:color w:val="000000" w:themeColor="text1"/>
                <w:sz w:val="20"/>
                <w:szCs w:val="20"/>
              </w:rPr>
            </w:pPr>
            <w:r w:rsidRPr="00682B69">
              <w:rPr>
                <w:rFonts w:eastAsia="Aptos Narrow"/>
                <w:color w:val="000000" w:themeColor="text1"/>
                <w:sz w:val="20"/>
                <w:szCs w:val="20"/>
              </w:rPr>
              <w:t>HRR</w:t>
            </w:r>
          </w:p>
        </w:tc>
        <w:tc>
          <w:tcPr>
            <w:tcW w:w="129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788C9A01"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-5.30E-02</w:t>
            </w:r>
          </w:p>
        </w:tc>
        <w:tc>
          <w:tcPr>
            <w:tcW w:w="912"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44FD02FC"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-36.555</w:t>
            </w:r>
          </w:p>
        </w:tc>
        <w:tc>
          <w:tcPr>
            <w:tcW w:w="117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396869AB"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&lt; 2e-16</w:t>
            </w:r>
          </w:p>
        </w:tc>
        <w:tc>
          <w:tcPr>
            <w:tcW w:w="360" w:type="dxa"/>
            <w:tcBorders>
              <w:top w:val="single" w:sz="4" w:space="0" w:color="44B3E1"/>
              <w:left w:val="nil"/>
              <w:bottom w:val="single" w:sz="4" w:space="0" w:color="44B3E1"/>
              <w:right w:val="single" w:sz="4" w:space="0" w:color="44B3E1"/>
            </w:tcBorders>
            <w:shd w:val="clear" w:color="auto" w:fill="F2F2F2" w:themeFill="background1" w:themeFillShade="F2"/>
            <w:tcMar>
              <w:top w:w="15" w:type="dxa"/>
              <w:left w:w="15" w:type="dxa"/>
              <w:right w:w="15" w:type="dxa"/>
            </w:tcMar>
            <w:vAlign w:val="center"/>
          </w:tcPr>
          <w:p w14:paraId="75AAA314"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w:t>
            </w:r>
          </w:p>
        </w:tc>
      </w:tr>
      <w:tr w:rsidR="00471206" w14:paraId="71C18B43" w14:textId="77777777" w:rsidTr="00681A33">
        <w:trPr>
          <w:trHeight w:val="466"/>
          <w:jc w:val="center"/>
        </w:trPr>
        <w:tc>
          <w:tcPr>
            <w:tcW w:w="5358" w:type="dxa"/>
            <w:tcBorders>
              <w:top w:val="single" w:sz="4" w:space="0" w:color="44B3E1"/>
              <w:left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48D1BA15" w14:textId="77777777" w:rsidR="003D6509" w:rsidRPr="00682B69" w:rsidRDefault="003D6509" w:rsidP="007B6B4D">
            <w:pPr>
              <w:jc w:val="right"/>
              <w:rPr>
                <w:rFonts w:eastAsia="Aptos Narrow"/>
                <w:color w:val="000000" w:themeColor="text1"/>
                <w:sz w:val="20"/>
                <w:szCs w:val="20"/>
              </w:rPr>
            </w:pPr>
            <w:r w:rsidRPr="00682B69">
              <w:rPr>
                <w:rFonts w:eastAsia="Aptos Narrow"/>
                <w:color w:val="000000" w:themeColor="text1"/>
                <w:sz w:val="20"/>
                <w:szCs w:val="20"/>
              </w:rPr>
              <w:t>PC score</w:t>
            </w:r>
          </w:p>
        </w:tc>
        <w:tc>
          <w:tcPr>
            <w:tcW w:w="129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30DCA16E"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-6.95E-04</w:t>
            </w:r>
          </w:p>
        </w:tc>
        <w:tc>
          <w:tcPr>
            <w:tcW w:w="912"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1B29BEB9"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-1.182</w:t>
            </w:r>
          </w:p>
        </w:tc>
        <w:tc>
          <w:tcPr>
            <w:tcW w:w="117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2B8676CE"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0.247633</w:t>
            </w:r>
          </w:p>
        </w:tc>
        <w:tc>
          <w:tcPr>
            <w:tcW w:w="360" w:type="dxa"/>
            <w:tcBorders>
              <w:top w:val="single" w:sz="4" w:space="0" w:color="44B3E1"/>
              <w:left w:val="nil"/>
              <w:bottom w:val="single" w:sz="4" w:space="0" w:color="44B3E1"/>
              <w:right w:val="single" w:sz="4" w:space="0" w:color="44B3E1"/>
            </w:tcBorders>
            <w:shd w:val="clear" w:color="auto" w:fill="F2F2F2" w:themeFill="background1" w:themeFillShade="F2"/>
            <w:tcMar>
              <w:top w:w="15" w:type="dxa"/>
              <w:left w:w="15" w:type="dxa"/>
              <w:right w:w="15" w:type="dxa"/>
            </w:tcMar>
            <w:vAlign w:val="center"/>
          </w:tcPr>
          <w:p w14:paraId="60888E22" w14:textId="77777777" w:rsidR="003D6509" w:rsidRPr="00682B69" w:rsidRDefault="003D6509" w:rsidP="007B6B4D">
            <w:pPr>
              <w:jc w:val="center"/>
              <w:rPr>
                <w:rFonts w:eastAsia="Aptos Narrow"/>
                <w:color w:val="000000" w:themeColor="text1"/>
                <w:sz w:val="20"/>
                <w:szCs w:val="20"/>
              </w:rPr>
            </w:pPr>
          </w:p>
        </w:tc>
      </w:tr>
      <w:tr w:rsidR="00471206" w14:paraId="10C9C2BC" w14:textId="77777777" w:rsidTr="00681A33">
        <w:trPr>
          <w:trHeight w:val="466"/>
          <w:jc w:val="center"/>
        </w:trPr>
        <w:tc>
          <w:tcPr>
            <w:tcW w:w="5358" w:type="dxa"/>
            <w:tcBorders>
              <w:top w:val="single" w:sz="4" w:space="0" w:color="44B3E1"/>
              <w:left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29086C2C" w14:textId="77777777" w:rsidR="003D6509" w:rsidRPr="00682B69" w:rsidRDefault="003D6509" w:rsidP="007B6B4D">
            <w:pPr>
              <w:jc w:val="right"/>
              <w:rPr>
                <w:rFonts w:eastAsia="Aptos Narrow"/>
                <w:color w:val="000000" w:themeColor="text1"/>
                <w:sz w:val="20"/>
                <w:szCs w:val="20"/>
              </w:rPr>
            </w:pPr>
            <w:r w:rsidRPr="00682B69">
              <w:rPr>
                <w:rFonts w:eastAsia="Aptos Narrow"/>
                <w:color w:val="000000" w:themeColor="text1"/>
                <w:sz w:val="20"/>
                <w:szCs w:val="20"/>
              </w:rPr>
              <w:t>HRR*PC score</w:t>
            </w:r>
          </w:p>
        </w:tc>
        <w:tc>
          <w:tcPr>
            <w:tcW w:w="129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432A9DF0"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5.63E-04</w:t>
            </w:r>
          </w:p>
        </w:tc>
        <w:tc>
          <w:tcPr>
            <w:tcW w:w="912"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54F9E4BE"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3.582</w:t>
            </w:r>
          </w:p>
        </w:tc>
        <w:tc>
          <w:tcPr>
            <w:tcW w:w="117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11C91DB9"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3.43E-04</w:t>
            </w:r>
          </w:p>
        </w:tc>
        <w:tc>
          <w:tcPr>
            <w:tcW w:w="360" w:type="dxa"/>
            <w:tcBorders>
              <w:top w:val="single" w:sz="4" w:space="0" w:color="44B3E1"/>
              <w:left w:val="nil"/>
              <w:bottom w:val="single" w:sz="4" w:space="0" w:color="44B3E1"/>
              <w:right w:val="single" w:sz="4" w:space="0" w:color="44B3E1"/>
            </w:tcBorders>
            <w:shd w:val="clear" w:color="auto" w:fill="F2F2F2" w:themeFill="background1" w:themeFillShade="F2"/>
            <w:tcMar>
              <w:top w:w="15" w:type="dxa"/>
              <w:left w:w="15" w:type="dxa"/>
              <w:right w:w="15" w:type="dxa"/>
            </w:tcMar>
            <w:vAlign w:val="center"/>
          </w:tcPr>
          <w:p w14:paraId="6B860DBB" w14:textId="77777777" w:rsidR="003D6509" w:rsidRPr="00682B69" w:rsidRDefault="003D6509" w:rsidP="007B6B4D">
            <w:pPr>
              <w:jc w:val="center"/>
              <w:rPr>
                <w:rFonts w:eastAsia="Aptos Narrow"/>
                <w:color w:val="000000" w:themeColor="text1"/>
                <w:sz w:val="20"/>
                <w:szCs w:val="20"/>
              </w:rPr>
            </w:pPr>
            <w:r w:rsidRPr="00682B69">
              <w:rPr>
                <w:rFonts w:eastAsia="Aptos Narrow"/>
                <w:color w:val="000000" w:themeColor="text1"/>
                <w:sz w:val="20"/>
                <w:szCs w:val="20"/>
              </w:rPr>
              <w:t>***</w:t>
            </w:r>
          </w:p>
        </w:tc>
      </w:tr>
    </w:tbl>
    <w:p w14:paraId="62C6C652" w14:textId="5B80B443" w:rsidR="003D6509" w:rsidRDefault="003D6509" w:rsidP="00F20573">
      <w:pPr>
        <w:spacing w:line="480" w:lineRule="auto"/>
        <w:ind w:right="995"/>
      </w:pPr>
      <w:r>
        <w:rPr>
          <w:sz w:val="22"/>
          <w:szCs w:val="22"/>
        </w:rPr>
        <w:t>***p &lt; 0.001</w:t>
      </w:r>
    </w:p>
    <w:p w14:paraId="2A93A443" w14:textId="63CBBBB1" w:rsidR="006F606D" w:rsidRDefault="00910A82" w:rsidP="00F20573">
      <w:pPr>
        <w:spacing w:line="480" w:lineRule="auto"/>
        <w:ind w:firstLine="720"/>
      </w:pPr>
      <w:r>
        <w:t>Independently, p</w:t>
      </w:r>
      <w:r w:rsidR="02342DD3" w:rsidRPr="59820F33">
        <w:t>ain catastrophizing did not have a significant main effect on hit rate (β = 0.00</w:t>
      </w:r>
      <w:r>
        <w:t>282</w:t>
      </w:r>
      <w:r w:rsidR="02342DD3" w:rsidRPr="59820F33">
        <w:t xml:space="preserve">, t = </w:t>
      </w:r>
      <w:r>
        <w:t>1</w:t>
      </w:r>
      <w:r w:rsidR="02342DD3" w:rsidRPr="59820F33">
        <w:t>.</w:t>
      </w:r>
      <w:r>
        <w:t>676</w:t>
      </w:r>
      <w:r w:rsidR="02342DD3" w:rsidRPr="59820F33">
        <w:t>, p = 0.</w:t>
      </w:r>
      <w:r>
        <w:t>106</w:t>
      </w:r>
      <w:r w:rsidR="02342DD3" w:rsidRPr="59820F33">
        <w:t>) or precision (β = -0.00</w:t>
      </w:r>
      <w:r>
        <w:t>0659</w:t>
      </w:r>
      <w:r w:rsidR="02342DD3" w:rsidRPr="59820F33">
        <w:t>, t = -</w:t>
      </w:r>
      <w:r>
        <w:t>1</w:t>
      </w:r>
      <w:r w:rsidR="02342DD3" w:rsidRPr="59820F33">
        <w:t>.</w:t>
      </w:r>
      <w:r>
        <w:t>182</w:t>
      </w:r>
      <w:r w:rsidR="02342DD3" w:rsidRPr="59820F33">
        <w:t>, p = 0.</w:t>
      </w:r>
      <w:r>
        <w:t>248</w:t>
      </w:r>
      <w:r w:rsidR="1A707315" w:rsidRPr="59820F33">
        <w:t xml:space="preserve">; Figure </w:t>
      </w:r>
      <w:r w:rsidR="00FD03D1">
        <w:t>4</w:t>
      </w:r>
      <w:r w:rsidR="008F40B0">
        <w:t xml:space="preserve">; </w:t>
      </w:r>
      <w:r w:rsidR="008F40B0">
        <w:lastRenderedPageBreak/>
        <w:t>Appendix A</w:t>
      </w:r>
      <w:r w:rsidR="02342DD3" w:rsidRPr="59820F33">
        <w:t>)</w:t>
      </w:r>
      <w:r>
        <w:t xml:space="preserve">. </w:t>
      </w:r>
      <w:r w:rsidR="5FE8AA9E" w:rsidRPr="59820F33">
        <w:t>However</w:t>
      </w:r>
      <w:r w:rsidR="02342DD3" w:rsidRPr="59820F33">
        <w:t xml:space="preserve">, pain catastrophizing did moderate the relationship between exercise </w:t>
      </w:r>
      <w:proofErr w:type="gramStart"/>
      <w:r w:rsidR="02342DD3" w:rsidRPr="59820F33">
        <w:t>intensity</w:t>
      </w:r>
      <w:proofErr w:type="gramEnd"/>
      <w:r w:rsidR="02342DD3" w:rsidRPr="59820F33">
        <w:t xml:space="preserve"> and</w:t>
      </w:r>
      <w:r>
        <w:t xml:space="preserve"> both</w:t>
      </w:r>
      <w:r w:rsidR="02342DD3" w:rsidRPr="59820F33">
        <w:t xml:space="preserve"> hit rate (β = -0.</w:t>
      </w:r>
      <w:r w:rsidR="008239DE">
        <w:t>00190</w:t>
      </w:r>
      <w:r w:rsidR="02342DD3" w:rsidRPr="59820F33">
        <w:t>,</w:t>
      </w:r>
      <w:r w:rsidR="008239DE">
        <w:t xml:space="preserve"> </w:t>
      </w:r>
      <w:r w:rsidR="008239DE" w:rsidRPr="59820F33">
        <w:t>p &lt; .00</w:t>
      </w:r>
      <w:r w:rsidR="008239DE">
        <w:t>0</w:t>
      </w:r>
      <w:r w:rsidR="008239DE" w:rsidRPr="59820F33">
        <w:t>1</w:t>
      </w:r>
      <w:r w:rsidR="25ED7989" w:rsidRPr="59820F33">
        <w:t xml:space="preserve">; Figure </w:t>
      </w:r>
      <w:r w:rsidR="6A2130FB" w:rsidRPr="59820F33">
        <w:t>3</w:t>
      </w:r>
      <w:r w:rsidR="004C504C">
        <w:t>&amp;4</w:t>
      </w:r>
      <w:r w:rsidR="02342DD3" w:rsidRPr="59820F33">
        <w:t>)</w:t>
      </w:r>
      <w:r w:rsidR="03395140" w:rsidRPr="59820F33">
        <w:t xml:space="preserve"> </w:t>
      </w:r>
      <w:r w:rsidR="02342DD3" w:rsidRPr="59820F33">
        <w:t>and precision</w:t>
      </w:r>
      <w:r w:rsidR="00FD03D1">
        <w:t xml:space="preserve"> </w:t>
      </w:r>
      <w:r w:rsidR="00FD03D1" w:rsidRPr="59820F33">
        <w:t xml:space="preserve">(β = </w:t>
      </w:r>
      <w:r w:rsidR="00FD03D1" w:rsidRPr="00FD03D1">
        <w:t>0.00056</w:t>
      </w:r>
      <w:r w:rsidR="00FD03D1">
        <w:t>3</w:t>
      </w:r>
      <w:r w:rsidR="00FD03D1" w:rsidRPr="59820F33">
        <w:t>,</w:t>
      </w:r>
      <w:r w:rsidR="00FD03D1">
        <w:t xml:space="preserve"> </w:t>
      </w:r>
      <w:r w:rsidR="00FD03D1" w:rsidRPr="59820F33">
        <w:t xml:space="preserve">p &lt; .001; Figure </w:t>
      </w:r>
      <w:r w:rsidR="00FD03D1">
        <w:t>5</w:t>
      </w:r>
      <w:r w:rsidR="008F40B0">
        <w:t>, Appendix B</w:t>
      </w:r>
      <w:r w:rsidR="00FD03D1" w:rsidRPr="59820F33">
        <w:t>)</w:t>
      </w:r>
      <w:r w:rsidR="02342DD3" w:rsidRPr="59820F33">
        <w:t>, with highly significant t-value</w:t>
      </w:r>
      <w:r w:rsidR="4B0D490B" w:rsidRPr="59820F33">
        <w:t>s</w:t>
      </w:r>
      <w:r w:rsidR="02342DD3" w:rsidRPr="59820F33">
        <w:t xml:space="preserve"> of </w:t>
      </w:r>
      <w:r w:rsidR="008239DE">
        <w:t xml:space="preserve">-7.386 </w:t>
      </w:r>
      <w:r w:rsidR="3865D520" w:rsidRPr="59820F33">
        <w:t xml:space="preserve">and </w:t>
      </w:r>
      <w:r w:rsidR="008239DE">
        <w:t>3.582</w:t>
      </w:r>
      <w:r w:rsidR="008239DE" w:rsidRPr="59820F33">
        <w:t xml:space="preserve"> </w:t>
      </w:r>
      <w:r w:rsidR="3865D520" w:rsidRPr="59820F33">
        <w:t>respectively</w:t>
      </w:r>
      <w:r w:rsidR="02342DD3" w:rsidRPr="59820F33">
        <w:t xml:space="preserve">. This suggests </w:t>
      </w:r>
      <w:r w:rsidR="005C4270">
        <w:t xml:space="preserve">both </w:t>
      </w:r>
      <w:r w:rsidR="02342DD3" w:rsidRPr="59820F33">
        <w:t xml:space="preserve">that the extent to which exercise intensity impacts </w:t>
      </w:r>
      <w:r w:rsidR="005C4270">
        <w:t>cognition</w:t>
      </w:r>
      <w:r>
        <w:t xml:space="preserve"> </w:t>
      </w:r>
      <w:r w:rsidR="02342DD3" w:rsidRPr="59820F33">
        <w:t>varies based on the degree of pain catastrophizing</w:t>
      </w:r>
      <w:r w:rsidR="005C4270">
        <w:t>, and that pain catastrophizing has a complex</w:t>
      </w:r>
      <w:r w:rsidR="00C83E7E">
        <w:t>,</w:t>
      </w:r>
      <w:r w:rsidR="005C4270">
        <w:t xml:space="preserve"> </w:t>
      </w:r>
      <w:r w:rsidR="00CC1B60">
        <w:t xml:space="preserve">multidirectional impact on cognitive indices via </w:t>
      </w:r>
      <w:r w:rsidR="003D6509">
        <w:t xml:space="preserve">improvements in positive predictions </w:t>
      </w:r>
      <w:r w:rsidR="00CC1B60">
        <w:t>(</w:t>
      </w:r>
      <w:r w:rsidR="003D6509">
        <w:t xml:space="preserve">i.e. fewer false positives, greater </w:t>
      </w:r>
      <w:r w:rsidR="00C83E7E">
        <w:t>precision</w:t>
      </w:r>
      <w:r w:rsidR="00CC1B60">
        <w:t>) and declines in</w:t>
      </w:r>
      <w:r w:rsidR="003D6509">
        <w:t xml:space="preserve"> overall accuracy</w:t>
      </w:r>
      <w:r w:rsidR="00CC1B60">
        <w:t xml:space="preserve"> (</w:t>
      </w:r>
      <w:r w:rsidR="003D6509">
        <w:t>i.e. missing more true positives</w:t>
      </w:r>
      <w:r w:rsidR="00BC6855">
        <w:t>, lower hit rate</w:t>
      </w:r>
      <w:r w:rsidR="00CC1B60">
        <w:t>)</w:t>
      </w:r>
      <w:r w:rsidR="004C504C">
        <w:t xml:space="preserve">. </w:t>
      </w:r>
      <w:r w:rsidR="00C83E7E">
        <w:t>T</w:t>
      </w:r>
      <w:r w:rsidR="004C504C">
        <w:t xml:space="preserve">his partially </w:t>
      </w:r>
      <w:r w:rsidR="02342DD3" w:rsidRPr="59820F33">
        <w:t>support</w:t>
      </w:r>
      <w:r w:rsidR="005A5BB4">
        <w:t>s</w:t>
      </w:r>
      <w:r w:rsidR="02342DD3" w:rsidRPr="59820F33">
        <w:t xml:space="preserve"> the primary study hypothesis</w:t>
      </w:r>
      <w:r w:rsidR="00220A93">
        <w:t xml:space="preserve"> but</w:t>
      </w:r>
      <w:r w:rsidR="00BC6855">
        <w:t xml:space="preserve"> potentially</w:t>
      </w:r>
      <w:r w:rsidR="00220A93">
        <w:t xml:space="preserve"> indicates a more complex relationship between pain catastrophizing and cognition than originally hypothesized</w:t>
      </w:r>
      <w:r w:rsidR="02342DD3" w:rsidRPr="59820F33">
        <w:t xml:space="preserve">. These results are summarized in Table </w:t>
      </w:r>
      <w:r w:rsidR="00F94FA3">
        <w:t>2.</w:t>
      </w:r>
    </w:p>
    <w:p w14:paraId="03F57D3B" w14:textId="715A97E0" w:rsidR="00812F43" w:rsidRDefault="00812F43" w:rsidP="00EB26EA">
      <w:pPr>
        <w:pBdr>
          <w:top w:val="nil"/>
          <w:left w:val="nil"/>
          <w:bottom w:val="nil"/>
          <w:right w:val="nil"/>
          <w:between w:val="nil"/>
        </w:pBdr>
        <w:spacing w:line="480" w:lineRule="auto"/>
      </w:pPr>
      <w:r>
        <w:t xml:space="preserve">Figure </w:t>
      </w:r>
      <w:r w:rsidR="007F2C49">
        <w:t>4</w:t>
      </w:r>
    </w:p>
    <w:p w14:paraId="7BD1EFEF" w14:textId="15C66A89" w:rsidR="00812F43" w:rsidRPr="007B6B4D" w:rsidRDefault="00812F43" w:rsidP="00EB26EA">
      <w:pPr>
        <w:pBdr>
          <w:top w:val="nil"/>
          <w:left w:val="nil"/>
          <w:bottom w:val="nil"/>
          <w:right w:val="nil"/>
          <w:between w:val="nil"/>
        </w:pBdr>
        <w:spacing w:line="480" w:lineRule="auto"/>
        <w:rPr>
          <w:i/>
          <w:iCs/>
        </w:rPr>
      </w:pPr>
      <w:r>
        <w:rPr>
          <w:i/>
          <w:iCs/>
        </w:rPr>
        <w:t>The Impact of Exercise Intensity (Heart Rate Reserve) on Hit Rate</w:t>
      </w:r>
      <w:r w:rsidR="004C504C">
        <w:rPr>
          <w:i/>
          <w:iCs/>
        </w:rPr>
        <w:t>: Aggregate</w:t>
      </w:r>
    </w:p>
    <w:p w14:paraId="6D4DFAAE" w14:textId="33BC5C77" w:rsidR="00EB26EA" w:rsidRDefault="00C32F29">
      <w:pPr>
        <w:spacing w:line="480" w:lineRule="auto"/>
        <w:ind w:left="909" w:right="995"/>
        <w:jc w:val="center"/>
      </w:pPr>
      <w:r>
        <w:rPr>
          <w:noProof/>
        </w:rPr>
        <w:drawing>
          <wp:inline distT="0" distB="0" distL="0" distR="0" wp14:anchorId="5C33FDC5" wp14:editId="59E643D2">
            <wp:extent cx="5253228" cy="3781702"/>
            <wp:effectExtent l="0" t="0" r="5080" b="3175"/>
            <wp:docPr id="1697231787" name="Picture 7"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31787" name="Picture 7" descr="A graph with a lin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302686" cy="3817306"/>
                    </a:xfrm>
                    <a:prstGeom prst="rect">
                      <a:avLst/>
                    </a:prstGeom>
                  </pic:spPr>
                </pic:pic>
              </a:graphicData>
            </a:graphic>
          </wp:inline>
        </w:drawing>
      </w:r>
    </w:p>
    <w:p w14:paraId="5CCF4447" w14:textId="3514524D" w:rsidR="008F40B0" w:rsidRPr="004D037C" w:rsidRDefault="006E5F62" w:rsidP="004D037C">
      <w:pPr>
        <w:spacing w:line="480" w:lineRule="auto"/>
        <w:rPr>
          <w:sz w:val="16"/>
          <w:szCs w:val="16"/>
        </w:rPr>
      </w:pPr>
      <w:r>
        <w:rPr>
          <w:sz w:val="16"/>
          <w:szCs w:val="16"/>
        </w:rPr>
        <w:lastRenderedPageBreak/>
        <w:t>Note: d</w:t>
      </w:r>
      <w:r w:rsidR="00C32F29">
        <w:rPr>
          <w:sz w:val="16"/>
          <w:szCs w:val="16"/>
        </w:rPr>
        <w:t xml:space="preserve">emonstrates the </w:t>
      </w:r>
      <w:r>
        <w:rPr>
          <w:sz w:val="16"/>
          <w:szCs w:val="16"/>
        </w:rPr>
        <w:t xml:space="preserve">regression line </w:t>
      </w:r>
      <w:r w:rsidR="00C32F29">
        <w:rPr>
          <w:sz w:val="16"/>
          <w:szCs w:val="16"/>
        </w:rPr>
        <w:t>for the relationship between exercise intensity</w:t>
      </w:r>
      <w:r>
        <w:rPr>
          <w:sz w:val="16"/>
          <w:szCs w:val="16"/>
        </w:rPr>
        <w:t>,</w:t>
      </w:r>
      <w:r w:rsidR="00C32F29">
        <w:rPr>
          <w:sz w:val="16"/>
          <w:szCs w:val="16"/>
        </w:rPr>
        <w:t xml:space="preserve"> measured as </w:t>
      </w:r>
      <w:r>
        <w:rPr>
          <w:sz w:val="16"/>
          <w:szCs w:val="16"/>
        </w:rPr>
        <w:t xml:space="preserve">heart rate reserve, and cognitive performance, measured as </w:t>
      </w:r>
      <w:r w:rsidR="008F40B0">
        <w:rPr>
          <w:sz w:val="16"/>
          <w:szCs w:val="16"/>
        </w:rPr>
        <w:t xml:space="preserve">hit rate. </w:t>
      </w:r>
    </w:p>
    <w:p w14:paraId="0B93CAFF" w14:textId="7D9AF791" w:rsidR="004C504C" w:rsidRDefault="004C504C" w:rsidP="00441E1E">
      <w:pPr>
        <w:pBdr>
          <w:top w:val="nil"/>
          <w:left w:val="nil"/>
          <w:bottom w:val="nil"/>
          <w:right w:val="nil"/>
          <w:between w:val="nil"/>
        </w:pBdr>
        <w:spacing w:line="480" w:lineRule="auto"/>
      </w:pPr>
      <w:r>
        <w:t>Figure 5</w:t>
      </w:r>
    </w:p>
    <w:p w14:paraId="3FDF5853" w14:textId="13AC987A" w:rsidR="004C504C" w:rsidRPr="007B6B4D" w:rsidRDefault="004C504C" w:rsidP="00441E1E">
      <w:pPr>
        <w:pBdr>
          <w:top w:val="nil"/>
          <w:left w:val="nil"/>
          <w:bottom w:val="nil"/>
          <w:right w:val="nil"/>
          <w:between w:val="nil"/>
        </w:pBdr>
        <w:spacing w:line="480" w:lineRule="auto"/>
        <w:rPr>
          <w:i/>
          <w:iCs/>
        </w:rPr>
      </w:pPr>
      <w:r>
        <w:rPr>
          <w:i/>
          <w:iCs/>
        </w:rPr>
        <w:t>The Impact of Exercise Intensity (Heart Rate Reserve) on Precision: Aggregate</w:t>
      </w:r>
    </w:p>
    <w:p w14:paraId="0571BAD3" w14:textId="01FB51B9" w:rsidR="00293780" w:rsidRDefault="008F40B0" w:rsidP="004D037C">
      <w:pPr>
        <w:spacing w:line="480" w:lineRule="auto"/>
        <w:ind w:right="995" w:firstLine="720"/>
        <w:jc w:val="center"/>
      </w:pPr>
      <w:r>
        <w:rPr>
          <w:noProof/>
        </w:rPr>
        <w:drawing>
          <wp:inline distT="0" distB="0" distL="0" distR="0" wp14:anchorId="0B8E8191" wp14:editId="547DC512">
            <wp:extent cx="5372100" cy="4017010"/>
            <wp:effectExtent l="0" t="0" r="0" b="0"/>
            <wp:docPr id="348054843" name="Picture 10"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054843" name="Picture 10" descr="A graph with a lin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81714" cy="4024199"/>
                    </a:xfrm>
                    <a:prstGeom prst="rect">
                      <a:avLst/>
                    </a:prstGeom>
                  </pic:spPr>
                </pic:pic>
              </a:graphicData>
            </a:graphic>
          </wp:inline>
        </w:drawing>
      </w:r>
    </w:p>
    <w:p w14:paraId="6DDFDF75" w14:textId="062A9A77" w:rsidR="008F40B0" w:rsidRDefault="008F40B0" w:rsidP="005D6B9C">
      <w:pPr>
        <w:spacing w:line="480" w:lineRule="auto"/>
        <w:rPr>
          <w:sz w:val="16"/>
          <w:szCs w:val="16"/>
        </w:rPr>
      </w:pPr>
      <w:r>
        <w:rPr>
          <w:sz w:val="16"/>
          <w:szCs w:val="16"/>
        </w:rPr>
        <w:t xml:space="preserve">Note: demonstrates the regression line for the relationship between exercise intensity, measured as heart rate reserve, and cognitive performance, measured as precision. </w:t>
      </w:r>
    </w:p>
    <w:p w14:paraId="6E69438B" w14:textId="77777777" w:rsidR="008F40B0" w:rsidRPr="004D037C" w:rsidRDefault="008F40B0" w:rsidP="00322D33">
      <w:pPr>
        <w:spacing w:line="480" w:lineRule="auto"/>
        <w:ind w:right="995"/>
        <w:rPr>
          <w:sz w:val="16"/>
          <w:szCs w:val="16"/>
        </w:rPr>
      </w:pPr>
    </w:p>
    <w:p w14:paraId="48F0178C" w14:textId="117CCB48" w:rsidR="00BA5F28" w:rsidRDefault="001C206C" w:rsidP="004C504C">
      <w:pPr>
        <w:pBdr>
          <w:top w:val="nil"/>
          <w:left w:val="nil"/>
          <w:bottom w:val="nil"/>
          <w:right w:val="nil"/>
          <w:between w:val="nil"/>
        </w:pBdr>
        <w:spacing w:line="480" w:lineRule="auto"/>
        <w:ind w:firstLine="720"/>
      </w:pPr>
      <w:r>
        <w:t xml:space="preserve">Increased variability in cognitive task performance during the initial stages of exercise was apparent for </w:t>
      </w:r>
      <w:proofErr w:type="gramStart"/>
      <w:r>
        <w:t>a number of</w:t>
      </w:r>
      <w:proofErr w:type="gramEnd"/>
      <w:r>
        <w:t xml:space="preserve"> participants (</w:t>
      </w:r>
      <w:r w:rsidR="001D4D3B">
        <w:t>see Appendix A and B for individual data plots)</w:t>
      </w:r>
      <w:r>
        <w:t xml:space="preserve">. Although some degree of variation in performance is expected initially as participants adjust to the challenge of responding to the task on the treadmill, </w:t>
      </w:r>
      <w:proofErr w:type="gramStart"/>
      <w:r>
        <w:t>in an effort to</w:t>
      </w:r>
      <w:proofErr w:type="gramEnd"/>
      <w:r>
        <w:t xml:space="preserve"> ensure this additional “noise” in the data</w:t>
      </w:r>
      <w:r w:rsidR="001D4D3B">
        <w:t xml:space="preserve"> did not unduly skew the trend line, the analyses were </w:t>
      </w:r>
      <w:r w:rsidR="008F40B0">
        <w:t xml:space="preserve">repeated </w:t>
      </w:r>
      <w:r w:rsidR="001D4D3B">
        <w:t xml:space="preserve">with data from 50% heart rate reserve and above. </w:t>
      </w:r>
      <w:r w:rsidR="003A060B">
        <w:t xml:space="preserve">The main effect of HRR and modifying effect of pain </w:t>
      </w:r>
      <w:r w:rsidR="003A060B">
        <w:lastRenderedPageBreak/>
        <w:t>catastrophizing</w:t>
      </w:r>
      <w:r w:rsidR="00BA5F28">
        <w:t xml:space="preserve"> remained highly significant for both cognitive indice</w:t>
      </w:r>
      <w:r w:rsidR="008F40B0">
        <w:t xml:space="preserve">s </w:t>
      </w:r>
      <w:r w:rsidR="003A060B">
        <w:t>(Table 3)</w:t>
      </w:r>
      <w:r w:rsidR="008F40B0">
        <w:t xml:space="preserve">, with relatively small deviations in </w:t>
      </w:r>
      <w:r w:rsidR="008F40B0" w:rsidRPr="59820F33">
        <w:rPr>
          <w:rFonts w:ascii="Aptos Narrow" w:eastAsia="Aptos Narrow" w:hAnsi="Aptos Narrow" w:cs="Aptos Narrow"/>
          <w:b/>
          <w:bCs/>
          <w:color w:val="FFFFFF" w:themeColor="background1"/>
          <w:sz w:val="20"/>
          <w:szCs w:val="20"/>
        </w:rPr>
        <w:t>β</w:t>
      </w:r>
      <w:r w:rsidR="008F40B0">
        <w:rPr>
          <w:rFonts w:ascii="Aptos Narrow" w:eastAsia="Aptos Narrow" w:hAnsi="Aptos Narrow" w:cs="Aptos Narrow"/>
          <w:b/>
          <w:bCs/>
          <w:color w:val="FFFFFF" w:themeColor="background1"/>
          <w:sz w:val="20"/>
          <w:szCs w:val="20"/>
        </w:rPr>
        <w:t xml:space="preserve"> </w:t>
      </w:r>
      <w:r w:rsidR="008F40B0">
        <w:t xml:space="preserve">values or significance levels (Table 3). This indicates that the </w:t>
      </w:r>
      <w:r w:rsidR="00510800">
        <w:t>heightened levels of variability on the cognitive performance task in the initial stages of exercise</w:t>
      </w:r>
      <w:r w:rsidR="008F40B0">
        <w:t xml:space="preserve">, which appeared to be due primarily to participant’s adjusting to </w:t>
      </w:r>
      <w:r w:rsidR="00510800">
        <w:t>responding</w:t>
      </w:r>
      <w:r w:rsidR="008F40B0">
        <w:t xml:space="preserve"> to the task while moving on the treadmill</w:t>
      </w:r>
      <w:r w:rsidR="00510800">
        <w:t>, did not significantly impact the study results.</w:t>
      </w:r>
    </w:p>
    <w:p w14:paraId="373D59D7" w14:textId="39BDCED6" w:rsidR="00BA5F28" w:rsidRDefault="00BA5F28" w:rsidP="00BA5F28">
      <w:pPr>
        <w:spacing w:line="480" w:lineRule="auto"/>
      </w:pPr>
      <w:r>
        <w:t>Table 3</w:t>
      </w:r>
    </w:p>
    <w:p w14:paraId="47AC64FF" w14:textId="73603678" w:rsidR="00BA5F28" w:rsidRPr="00666E4C" w:rsidRDefault="00BA5F28" w:rsidP="00BA5F28">
      <w:pPr>
        <w:spacing w:line="480" w:lineRule="auto"/>
        <w:rPr>
          <w:i/>
          <w:iCs/>
        </w:rPr>
      </w:pPr>
      <w:r w:rsidRPr="00666E4C">
        <w:rPr>
          <w:i/>
          <w:iCs/>
        </w:rPr>
        <w:t>RMGLM Results</w:t>
      </w:r>
      <w:r>
        <w:rPr>
          <w:i/>
          <w:iCs/>
        </w:rPr>
        <w:t>: 50% HRR and Above</w:t>
      </w:r>
    </w:p>
    <w:tbl>
      <w:tblPr>
        <w:tblW w:w="8730" w:type="dxa"/>
        <w:jc w:val="center"/>
        <w:tblLayout w:type="fixed"/>
        <w:tblLook w:val="06A0" w:firstRow="1" w:lastRow="0" w:firstColumn="1" w:lastColumn="0" w:noHBand="1" w:noVBand="1"/>
      </w:tblPr>
      <w:tblGrid>
        <w:gridCol w:w="5115"/>
        <w:gridCol w:w="1316"/>
        <w:gridCol w:w="859"/>
        <w:gridCol w:w="1080"/>
        <w:gridCol w:w="360"/>
      </w:tblGrid>
      <w:tr w:rsidR="00E37559" w14:paraId="12EC31DE" w14:textId="77777777" w:rsidTr="005D6B9C">
        <w:trPr>
          <w:trHeight w:val="478"/>
          <w:jc w:val="center"/>
        </w:trPr>
        <w:tc>
          <w:tcPr>
            <w:tcW w:w="5115" w:type="dxa"/>
            <w:tcBorders>
              <w:top w:val="nil"/>
              <w:left w:val="nil"/>
              <w:bottom w:val="nil"/>
              <w:right w:val="nil"/>
            </w:tcBorders>
            <w:tcMar>
              <w:top w:w="15" w:type="dxa"/>
              <w:left w:w="15" w:type="dxa"/>
              <w:right w:w="15" w:type="dxa"/>
            </w:tcMar>
            <w:vAlign w:val="bottom"/>
          </w:tcPr>
          <w:p w14:paraId="3BAB66F3" w14:textId="77777777" w:rsidR="00BA5F28" w:rsidRDefault="00BA5F28" w:rsidP="006C3B18">
            <w:r>
              <w:rPr>
                <w:noProof/>
              </w:rPr>
              <w:drawing>
                <wp:inline distT="114300" distB="114300" distL="114300" distR="114300" wp14:anchorId="08B25593" wp14:editId="3C899403">
                  <wp:extent cx="3510844" cy="394335"/>
                  <wp:effectExtent l="0" t="0" r="0" b="0"/>
                  <wp:docPr id="69309746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3630093" cy="407729"/>
                          </a:xfrm>
                          <a:prstGeom prst="rect">
                            <a:avLst/>
                          </a:prstGeom>
                          <a:ln/>
                        </pic:spPr>
                      </pic:pic>
                    </a:graphicData>
                  </a:graphic>
                </wp:inline>
              </w:drawing>
            </w:r>
          </w:p>
        </w:tc>
        <w:tc>
          <w:tcPr>
            <w:tcW w:w="1316" w:type="dxa"/>
            <w:tcBorders>
              <w:top w:val="single" w:sz="4" w:space="0" w:color="44B3E1"/>
              <w:left w:val="nil"/>
              <w:bottom w:val="single" w:sz="4" w:space="0" w:color="44B3E1"/>
              <w:right w:val="nil"/>
            </w:tcBorders>
            <w:shd w:val="clear" w:color="auto" w:fill="BFBFBF" w:themeFill="background1" w:themeFillShade="BF"/>
            <w:tcMar>
              <w:top w:w="15" w:type="dxa"/>
              <w:left w:w="15" w:type="dxa"/>
              <w:right w:w="15" w:type="dxa"/>
            </w:tcMar>
            <w:vAlign w:val="bottom"/>
          </w:tcPr>
          <w:p w14:paraId="399949BA" w14:textId="77777777" w:rsidR="00BA5F28" w:rsidRDefault="00BA5F28" w:rsidP="006C3B18">
            <w:pPr>
              <w:jc w:val="center"/>
              <w:rPr>
                <w:rFonts w:ascii="Aptos Narrow" w:eastAsia="Aptos Narrow" w:hAnsi="Aptos Narrow" w:cs="Aptos Narrow"/>
                <w:b/>
                <w:bCs/>
                <w:color w:val="FFFFFF" w:themeColor="background1"/>
                <w:sz w:val="20"/>
                <w:szCs w:val="20"/>
              </w:rPr>
            </w:pPr>
            <w:r w:rsidRPr="59820F33">
              <w:rPr>
                <w:rFonts w:ascii="Aptos Narrow" w:eastAsia="Aptos Narrow" w:hAnsi="Aptos Narrow" w:cs="Aptos Narrow"/>
                <w:b/>
                <w:bCs/>
                <w:color w:val="FFFFFF" w:themeColor="background1"/>
                <w:sz w:val="20"/>
                <w:szCs w:val="20"/>
              </w:rPr>
              <w:t>β</w:t>
            </w:r>
          </w:p>
        </w:tc>
        <w:tc>
          <w:tcPr>
            <w:tcW w:w="859" w:type="dxa"/>
            <w:tcBorders>
              <w:top w:val="single" w:sz="4" w:space="0" w:color="44B3E1"/>
              <w:left w:val="nil"/>
              <w:bottom w:val="single" w:sz="4" w:space="0" w:color="44B3E1"/>
              <w:right w:val="nil"/>
            </w:tcBorders>
            <w:shd w:val="clear" w:color="auto" w:fill="BFBFBF" w:themeFill="background1" w:themeFillShade="BF"/>
            <w:tcMar>
              <w:top w:w="15" w:type="dxa"/>
              <w:left w:w="15" w:type="dxa"/>
              <w:right w:w="15" w:type="dxa"/>
            </w:tcMar>
            <w:vAlign w:val="bottom"/>
          </w:tcPr>
          <w:p w14:paraId="48AE290E" w14:textId="77777777" w:rsidR="00BA5F28" w:rsidRDefault="00BA5F28" w:rsidP="006C3B18">
            <w:pPr>
              <w:jc w:val="center"/>
              <w:rPr>
                <w:rFonts w:ascii="Aptos Narrow" w:eastAsia="Aptos Narrow" w:hAnsi="Aptos Narrow" w:cs="Aptos Narrow"/>
                <w:b/>
                <w:bCs/>
                <w:color w:val="FFFFFF" w:themeColor="background1"/>
                <w:sz w:val="20"/>
                <w:szCs w:val="20"/>
              </w:rPr>
            </w:pPr>
            <w:r w:rsidRPr="59820F33">
              <w:rPr>
                <w:rFonts w:ascii="Aptos Narrow" w:eastAsia="Aptos Narrow" w:hAnsi="Aptos Narrow" w:cs="Aptos Narrow"/>
                <w:b/>
                <w:bCs/>
                <w:color w:val="FFFFFF" w:themeColor="background1"/>
                <w:sz w:val="20"/>
                <w:szCs w:val="20"/>
              </w:rPr>
              <w:t>t-value</w:t>
            </w:r>
          </w:p>
        </w:tc>
        <w:tc>
          <w:tcPr>
            <w:tcW w:w="1080" w:type="dxa"/>
            <w:tcBorders>
              <w:top w:val="single" w:sz="4" w:space="0" w:color="44B3E1"/>
              <w:left w:val="nil"/>
              <w:bottom w:val="single" w:sz="4" w:space="0" w:color="44B3E1"/>
              <w:right w:val="nil"/>
            </w:tcBorders>
            <w:shd w:val="clear" w:color="auto" w:fill="BFBFBF" w:themeFill="background1" w:themeFillShade="BF"/>
            <w:tcMar>
              <w:top w:w="15" w:type="dxa"/>
              <w:left w:w="15" w:type="dxa"/>
              <w:right w:w="15" w:type="dxa"/>
            </w:tcMar>
            <w:vAlign w:val="bottom"/>
          </w:tcPr>
          <w:p w14:paraId="5C69D8AC" w14:textId="77777777" w:rsidR="00BA5F28" w:rsidRDefault="00BA5F28" w:rsidP="006C3B18">
            <w:pPr>
              <w:jc w:val="center"/>
              <w:rPr>
                <w:rFonts w:ascii="Aptos Narrow" w:eastAsia="Aptos Narrow" w:hAnsi="Aptos Narrow" w:cs="Aptos Narrow"/>
                <w:b/>
                <w:bCs/>
                <w:color w:val="FFFFFF" w:themeColor="background1"/>
                <w:sz w:val="20"/>
                <w:szCs w:val="20"/>
              </w:rPr>
            </w:pPr>
            <w:proofErr w:type="spellStart"/>
            <w:r w:rsidRPr="59820F33">
              <w:rPr>
                <w:rFonts w:ascii="Aptos Narrow" w:eastAsia="Aptos Narrow" w:hAnsi="Aptos Narrow" w:cs="Aptos Narrow"/>
                <w:b/>
                <w:bCs/>
                <w:color w:val="FFFFFF" w:themeColor="background1"/>
                <w:sz w:val="20"/>
                <w:szCs w:val="20"/>
              </w:rPr>
              <w:t>Pr</w:t>
            </w:r>
            <w:proofErr w:type="spellEnd"/>
            <w:r w:rsidRPr="59820F33">
              <w:rPr>
                <w:rFonts w:ascii="Aptos Narrow" w:eastAsia="Aptos Narrow" w:hAnsi="Aptos Narrow" w:cs="Aptos Narrow"/>
                <w:b/>
                <w:bCs/>
                <w:color w:val="FFFFFF" w:themeColor="background1"/>
                <w:sz w:val="20"/>
                <w:szCs w:val="20"/>
              </w:rPr>
              <w:t>(&gt;|t|)</w:t>
            </w:r>
          </w:p>
        </w:tc>
        <w:tc>
          <w:tcPr>
            <w:tcW w:w="360" w:type="dxa"/>
            <w:tcBorders>
              <w:top w:val="single" w:sz="4" w:space="0" w:color="44B3E1"/>
              <w:left w:val="nil"/>
              <w:bottom w:val="single" w:sz="4" w:space="0" w:color="44B3E1"/>
              <w:right w:val="single" w:sz="4" w:space="0" w:color="44B3E1"/>
            </w:tcBorders>
            <w:shd w:val="clear" w:color="auto" w:fill="BFBFBF" w:themeFill="background1" w:themeFillShade="BF"/>
            <w:tcMar>
              <w:top w:w="15" w:type="dxa"/>
              <w:left w:w="15" w:type="dxa"/>
              <w:right w:w="15" w:type="dxa"/>
            </w:tcMar>
            <w:vAlign w:val="bottom"/>
          </w:tcPr>
          <w:p w14:paraId="63AA2F79" w14:textId="77777777" w:rsidR="00BA5F28" w:rsidRDefault="00BA5F28" w:rsidP="006C3B18">
            <w:pPr>
              <w:rPr>
                <w:rFonts w:ascii="Aptos Narrow" w:eastAsia="Aptos Narrow" w:hAnsi="Aptos Narrow" w:cs="Aptos Narrow"/>
                <w:b/>
                <w:bCs/>
                <w:color w:val="FFFFFF" w:themeColor="background1"/>
                <w:sz w:val="20"/>
                <w:szCs w:val="20"/>
              </w:rPr>
            </w:pPr>
            <w:r w:rsidRPr="59820F33">
              <w:rPr>
                <w:rFonts w:ascii="Aptos Narrow" w:eastAsia="Aptos Narrow" w:hAnsi="Aptos Narrow" w:cs="Aptos Narrow"/>
                <w:b/>
                <w:bCs/>
                <w:color w:val="FFFFFF" w:themeColor="background1"/>
                <w:sz w:val="20"/>
                <w:szCs w:val="20"/>
              </w:rPr>
              <w:t xml:space="preserve"> </w:t>
            </w:r>
          </w:p>
        </w:tc>
      </w:tr>
      <w:tr w:rsidR="00E37559" w14:paraId="12D18275" w14:textId="77777777" w:rsidTr="005D6B9C">
        <w:trPr>
          <w:trHeight w:val="495"/>
          <w:jc w:val="center"/>
        </w:trPr>
        <w:tc>
          <w:tcPr>
            <w:tcW w:w="5115" w:type="dxa"/>
            <w:tcBorders>
              <w:top w:val="single" w:sz="4" w:space="0" w:color="44B3E1"/>
              <w:left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0A41BD43" w14:textId="77777777" w:rsidR="00BA5F28" w:rsidRPr="00682B69" w:rsidRDefault="00BA5F28" w:rsidP="006C3B18">
            <w:pPr>
              <w:jc w:val="right"/>
              <w:rPr>
                <w:rFonts w:eastAsia="Aptos Narrow"/>
                <w:color w:val="000000" w:themeColor="text1"/>
                <w:sz w:val="20"/>
                <w:szCs w:val="20"/>
              </w:rPr>
            </w:pPr>
            <w:r w:rsidRPr="00682B69">
              <w:rPr>
                <w:rFonts w:eastAsia="Aptos Narrow"/>
                <w:color w:val="000000" w:themeColor="text1"/>
                <w:sz w:val="20"/>
                <w:szCs w:val="20"/>
              </w:rPr>
              <w:t>HRR</w:t>
            </w:r>
          </w:p>
        </w:tc>
        <w:tc>
          <w:tcPr>
            <w:tcW w:w="1316"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17065BE1" w14:textId="0389F8EB"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-6.</w:t>
            </w:r>
            <w:r>
              <w:rPr>
                <w:rFonts w:eastAsia="Aptos Narrow"/>
                <w:color w:val="000000" w:themeColor="text1"/>
                <w:sz w:val="20"/>
                <w:szCs w:val="20"/>
              </w:rPr>
              <w:t>72</w:t>
            </w:r>
            <w:r w:rsidRPr="00682B69">
              <w:rPr>
                <w:rFonts w:eastAsia="Aptos Narrow"/>
                <w:color w:val="000000" w:themeColor="text1"/>
                <w:sz w:val="20"/>
                <w:szCs w:val="20"/>
              </w:rPr>
              <w:t>E-02</w:t>
            </w:r>
          </w:p>
        </w:tc>
        <w:tc>
          <w:tcPr>
            <w:tcW w:w="859"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69FF847A" w14:textId="15B29D2B"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-2</w:t>
            </w:r>
            <w:r>
              <w:rPr>
                <w:rFonts w:eastAsia="Aptos Narrow"/>
                <w:color w:val="000000" w:themeColor="text1"/>
                <w:sz w:val="20"/>
                <w:szCs w:val="20"/>
              </w:rPr>
              <w:t>5</w:t>
            </w:r>
            <w:r w:rsidRPr="00682B69">
              <w:rPr>
                <w:rFonts w:eastAsia="Aptos Narrow"/>
                <w:color w:val="000000" w:themeColor="text1"/>
                <w:sz w:val="20"/>
                <w:szCs w:val="20"/>
              </w:rPr>
              <w:t>.</w:t>
            </w:r>
            <w:r>
              <w:rPr>
                <w:rFonts w:eastAsia="Aptos Narrow"/>
                <w:color w:val="000000" w:themeColor="text1"/>
                <w:sz w:val="20"/>
                <w:szCs w:val="20"/>
              </w:rPr>
              <w:t>902</w:t>
            </w:r>
          </w:p>
        </w:tc>
        <w:tc>
          <w:tcPr>
            <w:tcW w:w="108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0A8A2FF0" w14:textId="77777777"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&lt; 2e-16</w:t>
            </w:r>
          </w:p>
        </w:tc>
        <w:tc>
          <w:tcPr>
            <w:tcW w:w="360" w:type="dxa"/>
            <w:tcBorders>
              <w:top w:val="single" w:sz="4" w:space="0" w:color="44B3E1"/>
              <w:left w:val="nil"/>
              <w:bottom w:val="single" w:sz="4" w:space="0" w:color="44B3E1"/>
              <w:right w:val="single" w:sz="4" w:space="0" w:color="44B3E1"/>
            </w:tcBorders>
            <w:shd w:val="clear" w:color="auto" w:fill="F2F2F2" w:themeFill="background1" w:themeFillShade="F2"/>
            <w:tcMar>
              <w:top w:w="15" w:type="dxa"/>
              <w:left w:w="15" w:type="dxa"/>
              <w:right w:w="15" w:type="dxa"/>
            </w:tcMar>
            <w:vAlign w:val="center"/>
          </w:tcPr>
          <w:p w14:paraId="725DC813" w14:textId="77777777"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w:t>
            </w:r>
          </w:p>
        </w:tc>
      </w:tr>
      <w:tr w:rsidR="00E37559" w14:paraId="421159A5" w14:textId="77777777" w:rsidTr="005D6B9C">
        <w:trPr>
          <w:trHeight w:val="495"/>
          <w:jc w:val="center"/>
        </w:trPr>
        <w:tc>
          <w:tcPr>
            <w:tcW w:w="5115" w:type="dxa"/>
            <w:tcBorders>
              <w:top w:val="single" w:sz="4" w:space="0" w:color="44B3E1"/>
              <w:left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0A86783B" w14:textId="77777777" w:rsidR="00BA5F28" w:rsidRPr="00682B69" w:rsidRDefault="00BA5F28" w:rsidP="006C3B18">
            <w:pPr>
              <w:jc w:val="right"/>
              <w:rPr>
                <w:rFonts w:eastAsia="Aptos Narrow"/>
                <w:color w:val="000000" w:themeColor="text1"/>
                <w:sz w:val="20"/>
                <w:szCs w:val="20"/>
              </w:rPr>
            </w:pPr>
            <w:r w:rsidRPr="00682B69">
              <w:rPr>
                <w:rFonts w:eastAsia="Aptos Narrow"/>
                <w:color w:val="000000" w:themeColor="text1"/>
                <w:sz w:val="20"/>
                <w:szCs w:val="20"/>
              </w:rPr>
              <w:t>PC score</w:t>
            </w:r>
          </w:p>
        </w:tc>
        <w:tc>
          <w:tcPr>
            <w:tcW w:w="1316"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63BF2BF9" w14:textId="1349EE63"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2.</w:t>
            </w:r>
            <w:r>
              <w:rPr>
                <w:rFonts w:eastAsia="Aptos Narrow"/>
                <w:color w:val="000000" w:themeColor="text1"/>
                <w:sz w:val="20"/>
                <w:szCs w:val="20"/>
              </w:rPr>
              <w:t>79</w:t>
            </w:r>
            <w:r w:rsidRPr="00682B69">
              <w:rPr>
                <w:rFonts w:eastAsia="Aptos Narrow"/>
                <w:color w:val="000000" w:themeColor="text1"/>
                <w:sz w:val="20"/>
                <w:szCs w:val="20"/>
              </w:rPr>
              <w:t>E-03</w:t>
            </w:r>
          </w:p>
        </w:tc>
        <w:tc>
          <w:tcPr>
            <w:tcW w:w="859"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3806E6AB" w14:textId="062EC52B"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1.67</w:t>
            </w:r>
            <w:r>
              <w:rPr>
                <w:rFonts w:eastAsia="Aptos Narrow"/>
                <w:color w:val="000000" w:themeColor="text1"/>
                <w:sz w:val="20"/>
                <w:szCs w:val="20"/>
              </w:rPr>
              <w:t>3</w:t>
            </w:r>
          </w:p>
        </w:tc>
        <w:tc>
          <w:tcPr>
            <w:tcW w:w="108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7BCC0795" w14:textId="77777777"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0.106</w:t>
            </w:r>
          </w:p>
        </w:tc>
        <w:tc>
          <w:tcPr>
            <w:tcW w:w="360" w:type="dxa"/>
            <w:tcBorders>
              <w:top w:val="single" w:sz="4" w:space="0" w:color="44B3E1"/>
              <w:left w:val="nil"/>
              <w:bottom w:val="single" w:sz="4" w:space="0" w:color="44B3E1"/>
              <w:right w:val="single" w:sz="4" w:space="0" w:color="44B3E1"/>
            </w:tcBorders>
            <w:shd w:val="clear" w:color="auto" w:fill="F2F2F2" w:themeFill="background1" w:themeFillShade="F2"/>
            <w:tcMar>
              <w:top w:w="15" w:type="dxa"/>
              <w:left w:w="15" w:type="dxa"/>
              <w:right w:w="15" w:type="dxa"/>
            </w:tcMar>
            <w:vAlign w:val="center"/>
          </w:tcPr>
          <w:p w14:paraId="5D4BDAAF" w14:textId="77777777" w:rsidR="00BA5F28" w:rsidRPr="00682B69" w:rsidRDefault="00BA5F28" w:rsidP="006C3B18">
            <w:pPr>
              <w:jc w:val="center"/>
              <w:rPr>
                <w:rFonts w:eastAsia="Aptos Narrow"/>
                <w:color w:val="000000" w:themeColor="text1"/>
                <w:sz w:val="20"/>
                <w:szCs w:val="20"/>
              </w:rPr>
            </w:pPr>
          </w:p>
        </w:tc>
      </w:tr>
      <w:tr w:rsidR="00E37559" w14:paraId="7FDD994C" w14:textId="77777777" w:rsidTr="005D6B9C">
        <w:trPr>
          <w:trHeight w:val="495"/>
          <w:jc w:val="center"/>
        </w:trPr>
        <w:tc>
          <w:tcPr>
            <w:tcW w:w="5115" w:type="dxa"/>
            <w:tcBorders>
              <w:top w:val="single" w:sz="4" w:space="0" w:color="44B3E1"/>
              <w:left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2EA8E243" w14:textId="77777777" w:rsidR="00BA5F28" w:rsidRPr="00682B69" w:rsidRDefault="00BA5F28" w:rsidP="006C3B18">
            <w:pPr>
              <w:jc w:val="right"/>
              <w:rPr>
                <w:rFonts w:eastAsia="Aptos Narrow"/>
                <w:color w:val="000000" w:themeColor="text1"/>
                <w:sz w:val="20"/>
                <w:szCs w:val="20"/>
              </w:rPr>
            </w:pPr>
            <w:r w:rsidRPr="00682B69">
              <w:rPr>
                <w:rFonts w:eastAsia="Aptos Narrow"/>
                <w:color w:val="000000" w:themeColor="text1"/>
                <w:sz w:val="20"/>
                <w:szCs w:val="20"/>
              </w:rPr>
              <w:t>HRR*PC score</w:t>
            </w:r>
          </w:p>
        </w:tc>
        <w:tc>
          <w:tcPr>
            <w:tcW w:w="1316"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1FFCFD95" w14:textId="2DAAEAD0"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-1.9</w:t>
            </w:r>
            <w:r>
              <w:rPr>
                <w:rFonts w:eastAsia="Aptos Narrow"/>
                <w:color w:val="000000" w:themeColor="text1"/>
                <w:sz w:val="20"/>
                <w:szCs w:val="20"/>
              </w:rPr>
              <w:t>6</w:t>
            </w:r>
            <w:r w:rsidRPr="00682B69">
              <w:rPr>
                <w:rFonts w:eastAsia="Aptos Narrow"/>
                <w:color w:val="000000" w:themeColor="text1"/>
                <w:sz w:val="20"/>
                <w:szCs w:val="20"/>
              </w:rPr>
              <w:t>E-03</w:t>
            </w:r>
          </w:p>
        </w:tc>
        <w:tc>
          <w:tcPr>
            <w:tcW w:w="859"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4798FD6B" w14:textId="58A2A782"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w:t>
            </w:r>
            <w:r>
              <w:rPr>
                <w:rFonts w:eastAsia="Aptos Narrow"/>
                <w:color w:val="000000" w:themeColor="text1"/>
                <w:sz w:val="20"/>
                <w:szCs w:val="20"/>
              </w:rPr>
              <w:t>6</w:t>
            </w:r>
            <w:r w:rsidRPr="00682B69">
              <w:rPr>
                <w:rFonts w:eastAsia="Aptos Narrow"/>
                <w:color w:val="000000" w:themeColor="text1"/>
                <w:sz w:val="20"/>
                <w:szCs w:val="20"/>
              </w:rPr>
              <w:t>.</w:t>
            </w:r>
            <w:r>
              <w:rPr>
                <w:rFonts w:eastAsia="Aptos Narrow"/>
                <w:color w:val="000000" w:themeColor="text1"/>
                <w:sz w:val="20"/>
                <w:szCs w:val="20"/>
              </w:rPr>
              <w:t>639</w:t>
            </w:r>
          </w:p>
        </w:tc>
        <w:tc>
          <w:tcPr>
            <w:tcW w:w="108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533EC5DD" w14:textId="35B9BE6F" w:rsidR="00BA5F28" w:rsidRPr="00682B69" w:rsidRDefault="00BA5F28" w:rsidP="006C3B18">
            <w:pPr>
              <w:jc w:val="center"/>
              <w:rPr>
                <w:rFonts w:eastAsia="Aptos Narrow"/>
                <w:color w:val="000000" w:themeColor="text1"/>
                <w:sz w:val="20"/>
                <w:szCs w:val="20"/>
              </w:rPr>
            </w:pPr>
            <w:r>
              <w:rPr>
                <w:rFonts w:eastAsia="Aptos Narrow"/>
                <w:color w:val="000000" w:themeColor="text1"/>
                <w:sz w:val="20"/>
                <w:szCs w:val="20"/>
              </w:rPr>
              <w:t>3</w:t>
            </w:r>
            <w:r w:rsidRPr="00682B69">
              <w:rPr>
                <w:rFonts w:eastAsia="Aptos Narrow"/>
                <w:color w:val="000000" w:themeColor="text1"/>
                <w:sz w:val="20"/>
                <w:szCs w:val="20"/>
              </w:rPr>
              <w:t>.</w:t>
            </w:r>
            <w:r>
              <w:rPr>
                <w:rFonts w:eastAsia="Aptos Narrow"/>
                <w:color w:val="000000" w:themeColor="text1"/>
                <w:sz w:val="20"/>
                <w:szCs w:val="20"/>
              </w:rPr>
              <w:t>4</w:t>
            </w:r>
            <w:r w:rsidRPr="00682B69">
              <w:rPr>
                <w:rFonts w:eastAsia="Aptos Narrow"/>
                <w:color w:val="000000" w:themeColor="text1"/>
                <w:sz w:val="20"/>
                <w:szCs w:val="20"/>
              </w:rPr>
              <w:t>E-1</w:t>
            </w:r>
            <w:r>
              <w:rPr>
                <w:rFonts w:eastAsia="Aptos Narrow"/>
                <w:color w:val="000000" w:themeColor="text1"/>
                <w:sz w:val="20"/>
                <w:szCs w:val="20"/>
              </w:rPr>
              <w:t>1</w:t>
            </w:r>
          </w:p>
        </w:tc>
        <w:tc>
          <w:tcPr>
            <w:tcW w:w="360" w:type="dxa"/>
            <w:tcBorders>
              <w:top w:val="single" w:sz="4" w:space="0" w:color="44B3E1"/>
              <w:left w:val="nil"/>
              <w:bottom w:val="single" w:sz="4" w:space="0" w:color="44B3E1"/>
              <w:right w:val="single" w:sz="4" w:space="0" w:color="44B3E1"/>
            </w:tcBorders>
            <w:shd w:val="clear" w:color="auto" w:fill="F2F2F2" w:themeFill="background1" w:themeFillShade="F2"/>
            <w:tcMar>
              <w:top w:w="15" w:type="dxa"/>
              <w:left w:w="15" w:type="dxa"/>
              <w:right w:w="15" w:type="dxa"/>
            </w:tcMar>
            <w:vAlign w:val="center"/>
          </w:tcPr>
          <w:p w14:paraId="2A39A0E1" w14:textId="77777777"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w:t>
            </w:r>
          </w:p>
        </w:tc>
      </w:tr>
      <w:tr w:rsidR="00E37559" w14:paraId="44F06C98" w14:textId="77777777" w:rsidTr="005D6B9C">
        <w:trPr>
          <w:trHeight w:val="664"/>
          <w:jc w:val="center"/>
        </w:trPr>
        <w:tc>
          <w:tcPr>
            <w:tcW w:w="5115" w:type="dxa"/>
            <w:tcBorders>
              <w:top w:val="single" w:sz="4" w:space="0" w:color="44B3E1"/>
              <w:left w:val="nil"/>
              <w:bottom w:val="nil"/>
              <w:right w:val="nil"/>
            </w:tcBorders>
            <w:tcMar>
              <w:top w:w="15" w:type="dxa"/>
              <w:left w:w="15" w:type="dxa"/>
              <w:right w:w="15" w:type="dxa"/>
            </w:tcMar>
            <w:vAlign w:val="bottom"/>
          </w:tcPr>
          <w:p w14:paraId="734EF656" w14:textId="77777777" w:rsidR="00BA5F28" w:rsidRPr="00682B69" w:rsidRDefault="00BA5F28" w:rsidP="006C3B18">
            <w:r w:rsidRPr="00682B69">
              <w:rPr>
                <w:noProof/>
              </w:rPr>
              <w:drawing>
                <wp:inline distT="114300" distB="114300" distL="114300" distR="114300" wp14:anchorId="050005FE" wp14:editId="6CF29F03">
                  <wp:extent cx="3505328" cy="327377"/>
                  <wp:effectExtent l="0" t="0" r="0" b="3175"/>
                  <wp:docPr id="13761000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3682671" cy="343940"/>
                          </a:xfrm>
                          <a:prstGeom prst="rect">
                            <a:avLst/>
                          </a:prstGeom>
                          <a:ln/>
                        </pic:spPr>
                      </pic:pic>
                    </a:graphicData>
                  </a:graphic>
                </wp:inline>
              </w:drawing>
            </w:r>
          </w:p>
        </w:tc>
        <w:tc>
          <w:tcPr>
            <w:tcW w:w="1316" w:type="dxa"/>
            <w:tcBorders>
              <w:top w:val="single" w:sz="4" w:space="0" w:color="44B3E1"/>
              <w:left w:val="nil"/>
              <w:bottom w:val="single" w:sz="4" w:space="0" w:color="44B3E1"/>
              <w:right w:val="nil"/>
            </w:tcBorders>
            <w:shd w:val="clear" w:color="auto" w:fill="BFBFBF" w:themeFill="background1" w:themeFillShade="BF"/>
            <w:tcMar>
              <w:top w:w="15" w:type="dxa"/>
              <w:left w:w="15" w:type="dxa"/>
              <w:right w:w="15" w:type="dxa"/>
            </w:tcMar>
            <w:vAlign w:val="bottom"/>
          </w:tcPr>
          <w:p w14:paraId="374D39A7" w14:textId="77777777" w:rsidR="00BA5F28" w:rsidRPr="00682B69" w:rsidRDefault="00BA5F28" w:rsidP="006C3B18">
            <w:pPr>
              <w:jc w:val="center"/>
              <w:rPr>
                <w:rFonts w:eastAsia="Aptos Narrow"/>
                <w:color w:val="000000" w:themeColor="text1"/>
                <w:sz w:val="20"/>
                <w:szCs w:val="20"/>
              </w:rPr>
            </w:pPr>
            <w:r w:rsidRPr="59820F33">
              <w:rPr>
                <w:rFonts w:ascii="Aptos Narrow" w:eastAsia="Aptos Narrow" w:hAnsi="Aptos Narrow" w:cs="Aptos Narrow"/>
                <w:b/>
                <w:bCs/>
                <w:color w:val="FFFFFF" w:themeColor="background1"/>
                <w:sz w:val="20"/>
                <w:szCs w:val="20"/>
              </w:rPr>
              <w:t>β</w:t>
            </w:r>
          </w:p>
        </w:tc>
        <w:tc>
          <w:tcPr>
            <w:tcW w:w="859" w:type="dxa"/>
            <w:tcBorders>
              <w:top w:val="single" w:sz="4" w:space="0" w:color="44B3E1"/>
              <w:left w:val="nil"/>
              <w:bottom w:val="single" w:sz="4" w:space="0" w:color="44B3E1"/>
              <w:right w:val="nil"/>
            </w:tcBorders>
            <w:shd w:val="clear" w:color="auto" w:fill="BFBFBF" w:themeFill="background1" w:themeFillShade="BF"/>
            <w:tcMar>
              <w:top w:w="15" w:type="dxa"/>
              <w:left w:w="15" w:type="dxa"/>
              <w:right w:w="15" w:type="dxa"/>
            </w:tcMar>
            <w:vAlign w:val="bottom"/>
          </w:tcPr>
          <w:p w14:paraId="28A9919D" w14:textId="77777777" w:rsidR="00BA5F28" w:rsidRPr="00682B69" w:rsidRDefault="00BA5F28" w:rsidP="006C3B18">
            <w:pPr>
              <w:jc w:val="center"/>
              <w:rPr>
                <w:rFonts w:eastAsia="Aptos Narrow"/>
                <w:color w:val="000000" w:themeColor="text1"/>
                <w:sz w:val="20"/>
                <w:szCs w:val="20"/>
              </w:rPr>
            </w:pPr>
            <w:r w:rsidRPr="59820F33">
              <w:rPr>
                <w:rFonts w:ascii="Aptos Narrow" w:eastAsia="Aptos Narrow" w:hAnsi="Aptos Narrow" w:cs="Aptos Narrow"/>
                <w:b/>
                <w:bCs/>
                <w:color w:val="FFFFFF" w:themeColor="background1"/>
                <w:sz w:val="20"/>
                <w:szCs w:val="20"/>
              </w:rPr>
              <w:t>t-value</w:t>
            </w:r>
          </w:p>
        </w:tc>
        <w:tc>
          <w:tcPr>
            <w:tcW w:w="1080" w:type="dxa"/>
            <w:tcBorders>
              <w:top w:val="single" w:sz="4" w:space="0" w:color="44B3E1"/>
              <w:left w:val="nil"/>
              <w:bottom w:val="single" w:sz="4" w:space="0" w:color="44B3E1"/>
              <w:right w:val="nil"/>
            </w:tcBorders>
            <w:shd w:val="clear" w:color="auto" w:fill="BFBFBF" w:themeFill="background1" w:themeFillShade="BF"/>
            <w:tcMar>
              <w:top w:w="15" w:type="dxa"/>
              <w:left w:w="15" w:type="dxa"/>
              <w:right w:w="15" w:type="dxa"/>
            </w:tcMar>
            <w:vAlign w:val="bottom"/>
          </w:tcPr>
          <w:p w14:paraId="0C43F4A0" w14:textId="77777777" w:rsidR="00BA5F28" w:rsidRPr="00682B69" w:rsidRDefault="00BA5F28" w:rsidP="006C3B18">
            <w:pPr>
              <w:jc w:val="center"/>
              <w:rPr>
                <w:rFonts w:eastAsia="Aptos Narrow"/>
                <w:color w:val="000000" w:themeColor="text1"/>
                <w:sz w:val="20"/>
                <w:szCs w:val="20"/>
              </w:rPr>
            </w:pPr>
            <w:proofErr w:type="spellStart"/>
            <w:r w:rsidRPr="59820F33">
              <w:rPr>
                <w:rFonts w:ascii="Aptos Narrow" w:eastAsia="Aptos Narrow" w:hAnsi="Aptos Narrow" w:cs="Aptos Narrow"/>
                <w:b/>
                <w:bCs/>
                <w:color w:val="FFFFFF" w:themeColor="background1"/>
                <w:sz w:val="20"/>
                <w:szCs w:val="20"/>
              </w:rPr>
              <w:t>Pr</w:t>
            </w:r>
            <w:proofErr w:type="spellEnd"/>
            <w:r w:rsidRPr="59820F33">
              <w:rPr>
                <w:rFonts w:ascii="Aptos Narrow" w:eastAsia="Aptos Narrow" w:hAnsi="Aptos Narrow" w:cs="Aptos Narrow"/>
                <w:b/>
                <w:bCs/>
                <w:color w:val="FFFFFF" w:themeColor="background1"/>
                <w:sz w:val="20"/>
                <w:szCs w:val="20"/>
              </w:rPr>
              <w:t xml:space="preserve">(&gt;|t|) </w:t>
            </w:r>
          </w:p>
        </w:tc>
        <w:tc>
          <w:tcPr>
            <w:tcW w:w="360" w:type="dxa"/>
            <w:tcBorders>
              <w:top w:val="single" w:sz="4" w:space="0" w:color="44B3E1"/>
              <w:left w:val="nil"/>
              <w:bottom w:val="single" w:sz="4" w:space="0" w:color="44B3E1"/>
              <w:right w:val="single" w:sz="4" w:space="0" w:color="44B3E1"/>
            </w:tcBorders>
            <w:shd w:val="clear" w:color="auto" w:fill="BFBFBF" w:themeFill="background1" w:themeFillShade="BF"/>
            <w:tcMar>
              <w:top w:w="15" w:type="dxa"/>
              <w:left w:w="15" w:type="dxa"/>
              <w:right w:w="15" w:type="dxa"/>
            </w:tcMar>
            <w:vAlign w:val="bottom"/>
          </w:tcPr>
          <w:p w14:paraId="260C67A2" w14:textId="77777777" w:rsidR="00BA5F28" w:rsidRPr="00682B69" w:rsidRDefault="00BA5F28" w:rsidP="006C3B18">
            <w:pPr>
              <w:jc w:val="center"/>
              <w:rPr>
                <w:rFonts w:eastAsia="Aptos Narrow"/>
                <w:color w:val="000000" w:themeColor="text1"/>
                <w:sz w:val="20"/>
                <w:szCs w:val="20"/>
              </w:rPr>
            </w:pPr>
            <w:r w:rsidRPr="59820F33">
              <w:rPr>
                <w:rFonts w:ascii="Aptos Narrow" w:eastAsia="Aptos Narrow" w:hAnsi="Aptos Narrow" w:cs="Aptos Narrow"/>
                <w:b/>
                <w:bCs/>
                <w:color w:val="FFFFFF" w:themeColor="background1"/>
                <w:sz w:val="20"/>
                <w:szCs w:val="20"/>
              </w:rPr>
              <w:t xml:space="preserve"> </w:t>
            </w:r>
          </w:p>
        </w:tc>
      </w:tr>
      <w:tr w:rsidR="00E37559" w14:paraId="5F686652" w14:textId="77777777" w:rsidTr="005D6B9C">
        <w:trPr>
          <w:trHeight w:val="495"/>
          <w:jc w:val="center"/>
        </w:trPr>
        <w:tc>
          <w:tcPr>
            <w:tcW w:w="5115" w:type="dxa"/>
            <w:tcBorders>
              <w:top w:val="single" w:sz="4" w:space="0" w:color="44B3E1"/>
              <w:left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5682ECA4" w14:textId="77777777" w:rsidR="00BA5F28" w:rsidRPr="00682B69" w:rsidRDefault="00BA5F28" w:rsidP="006C3B18">
            <w:pPr>
              <w:jc w:val="right"/>
              <w:rPr>
                <w:rFonts w:eastAsia="Aptos Narrow"/>
                <w:color w:val="000000" w:themeColor="text1"/>
                <w:sz w:val="20"/>
                <w:szCs w:val="20"/>
              </w:rPr>
            </w:pPr>
            <w:r w:rsidRPr="00682B69">
              <w:rPr>
                <w:rFonts w:eastAsia="Aptos Narrow"/>
                <w:color w:val="000000" w:themeColor="text1"/>
                <w:sz w:val="20"/>
                <w:szCs w:val="20"/>
              </w:rPr>
              <w:t>HRR</w:t>
            </w:r>
          </w:p>
        </w:tc>
        <w:tc>
          <w:tcPr>
            <w:tcW w:w="1316"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77BD3F38" w14:textId="77777777"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-5.30E-02</w:t>
            </w:r>
          </w:p>
        </w:tc>
        <w:tc>
          <w:tcPr>
            <w:tcW w:w="859"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322F39E9" w14:textId="77777777"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-36.555</w:t>
            </w:r>
          </w:p>
        </w:tc>
        <w:tc>
          <w:tcPr>
            <w:tcW w:w="108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58CD6F24" w14:textId="77777777"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&lt; 2e-16</w:t>
            </w:r>
          </w:p>
        </w:tc>
        <w:tc>
          <w:tcPr>
            <w:tcW w:w="360" w:type="dxa"/>
            <w:tcBorders>
              <w:top w:val="single" w:sz="4" w:space="0" w:color="44B3E1"/>
              <w:left w:val="nil"/>
              <w:bottom w:val="single" w:sz="4" w:space="0" w:color="44B3E1"/>
              <w:right w:val="single" w:sz="4" w:space="0" w:color="44B3E1"/>
            </w:tcBorders>
            <w:shd w:val="clear" w:color="auto" w:fill="F2F2F2" w:themeFill="background1" w:themeFillShade="F2"/>
            <w:tcMar>
              <w:top w:w="15" w:type="dxa"/>
              <w:left w:w="15" w:type="dxa"/>
              <w:right w:w="15" w:type="dxa"/>
            </w:tcMar>
            <w:vAlign w:val="center"/>
          </w:tcPr>
          <w:p w14:paraId="5C2DAD90" w14:textId="77777777"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w:t>
            </w:r>
          </w:p>
        </w:tc>
      </w:tr>
      <w:tr w:rsidR="00E37559" w14:paraId="43CFCB2E" w14:textId="77777777" w:rsidTr="005D6B9C">
        <w:trPr>
          <w:trHeight w:val="495"/>
          <w:jc w:val="center"/>
        </w:trPr>
        <w:tc>
          <w:tcPr>
            <w:tcW w:w="5115" w:type="dxa"/>
            <w:tcBorders>
              <w:top w:val="single" w:sz="4" w:space="0" w:color="44B3E1"/>
              <w:left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432A3F0A" w14:textId="77777777" w:rsidR="00BA5F28" w:rsidRPr="00682B69" w:rsidRDefault="00BA5F28" w:rsidP="006C3B18">
            <w:pPr>
              <w:jc w:val="right"/>
              <w:rPr>
                <w:rFonts w:eastAsia="Aptos Narrow"/>
                <w:color w:val="000000" w:themeColor="text1"/>
                <w:sz w:val="20"/>
                <w:szCs w:val="20"/>
              </w:rPr>
            </w:pPr>
            <w:r w:rsidRPr="00682B69">
              <w:rPr>
                <w:rFonts w:eastAsia="Aptos Narrow"/>
                <w:color w:val="000000" w:themeColor="text1"/>
                <w:sz w:val="20"/>
                <w:szCs w:val="20"/>
              </w:rPr>
              <w:t>PC score</w:t>
            </w:r>
          </w:p>
        </w:tc>
        <w:tc>
          <w:tcPr>
            <w:tcW w:w="1316"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46C14803" w14:textId="77777777"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-6.95E-04</w:t>
            </w:r>
          </w:p>
        </w:tc>
        <w:tc>
          <w:tcPr>
            <w:tcW w:w="859"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7FF46BB6" w14:textId="77777777"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-1.182</w:t>
            </w:r>
          </w:p>
        </w:tc>
        <w:tc>
          <w:tcPr>
            <w:tcW w:w="108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5ED5100A" w14:textId="77777777"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0.247633</w:t>
            </w:r>
          </w:p>
        </w:tc>
        <w:tc>
          <w:tcPr>
            <w:tcW w:w="360" w:type="dxa"/>
            <w:tcBorders>
              <w:top w:val="single" w:sz="4" w:space="0" w:color="44B3E1"/>
              <w:left w:val="nil"/>
              <w:bottom w:val="single" w:sz="4" w:space="0" w:color="44B3E1"/>
              <w:right w:val="single" w:sz="4" w:space="0" w:color="44B3E1"/>
            </w:tcBorders>
            <w:shd w:val="clear" w:color="auto" w:fill="F2F2F2" w:themeFill="background1" w:themeFillShade="F2"/>
            <w:tcMar>
              <w:top w:w="15" w:type="dxa"/>
              <w:left w:w="15" w:type="dxa"/>
              <w:right w:w="15" w:type="dxa"/>
            </w:tcMar>
            <w:vAlign w:val="center"/>
          </w:tcPr>
          <w:p w14:paraId="2ED53144" w14:textId="77777777" w:rsidR="00BA5F28" w:rsidRPr="00682B69" w:rsidRDefault="00BA5F28" w:rsidP="006C3B18">
            <w:pPr>
              <w:jc w:val="center"/>
              <w:rPr>
                <w:rFonts w:eastAsia="Aptos Narrow"/>
                <w:color w:val="000000" w:themeColor="text1"/>
                <w:sz w:val="20"/>
                <w:szCs w:val="20"/>
              </w:rPr>
            </w:pPr>
          </w:p>
        </w:tc>
      </w:tr>
      <w:tr w:rsidR="00E37559" w14:paraId="035D953B" w14:textId="77777777" w:rsidTr="005D6B9C">
        <w:trPr>
          <w:trHeight w:val="495"/>
          <w:jc w:val="center"/>
        </w:trPr>
        <w:tc>
          <w:tcPr>
            <w:tcW w:w="5115" w:type="dxa"/>
            <w:tcBorders>
              <w:top w:val="single" w:sz="4" w:space="0" w:color="44B3E1"/>
              <w:left w:val="single" w:sz="4" w:space="0" w:color="44B3E1"/>
              <w:bottom w:val="single" w:sz="4" w:space="0" w:color="44B3E1"/>
              <w:right w:val="nil"/>
            </w:tcBorders>
            <w:shd w:val="clear" w:color="auto" w:fill="F2F2F2" w:themeFill="background1" w:themeFillShade="F2"/>
            <w:tcMar>
              <w:top w:w="15" w:type="dxa"/>
              <w:left w:w="15" w:type="dxa"/>
              <w:right w:w="15" w:type="dxa"/>
            </w:tcMar>
            <w:vAlign w:val="bottom"/>
          </w:tcPr>
          <w:p w14:paraId="15B27682" w14:textId="77777777" w:rsidR="00BA5F28" w:rsidRPr="00682B69" w:rsidRDefault="00BA5F28" w:rsidP="006C3B18">
            <w:pPr>
              <w:jc w:val="right"/>
              <w:rPr>
                <w:rFonts w:eastAsia="Aptos Narrow"/>
                <w:color w:val="000000" w:themeColor="text1"/>
                <w:sz w:val="20"/>
                <w:szCs w:val="20"/>
              </w:rPr>
            </w:pPr>
            <w:r w:rsidRPr="00682B69">
              <w:rPr>
                <w:rFonts w:eastAsia="Aptos Narrow"/>
                <w:color w:val="000000" w:themeColor="text1"/>
                <w:sz w:val="20"/>
                <w:szCs w:val="20"/>
              </w:rPr>
              <w:t>HRR*PC score</w:t>
            </w:r>
          </w:p>
        </w:tc>
        <w:tc>
          <w:tcPr>
            <w:tcW w:w="1316"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7A79280C" w14:textId="3B8B1856" w:rsidR="00BA5F28" w:rsidRPr="00682B69" w:rsidRDefault="00BA5F28" w:rsidP="006C3B18">
            <w:pPr>
              <w:jc w:val="center"/>
              <w:rPr>
                <w:rFonts w:eastAsia="Aptos Narrow"/>
                <w:color w:val="000000" w:themeColor="text1"/>
                <w:sz w:val="20"/>
                <w:szCs w:val="20"/>
              </w:rPr>
            </w:pPr>
            <w:r>
              <w:rPr>
                <w:rFonts w:eastAsia="Aptos Narrow"/>
                <w:color w:val="000000" w:themeColor="text1"/>
                <w:sz w:val="20"/>
                <w:szCs w:val="20"/>
              </w:rPr>
              <w:t>5</w:t>
            </w:r>
            <w:r w:rsidRPr="00682B69">
              <w:rPr>
                <w:rFonts w:eastAsia="Aptos Narrow"/>
                <w:color w:val="000000" w:themeColor="text1"/>
                <w:sz w:val="20"/>
                <w:szCs w:val="20"/>
              </w:rPr>
              <w:t>.</w:t>
            </w:r>
            <w:r>
              <w:rPr>
                <w:rFonts w:eastAsia="Aptos Narrow"/>
                <w:color w:val="000000" w:themeColor="text1"/>
                <w:sz w:val="20"/>
                <w:szCs w:val="20"/>
              </w:rPr>
              <w:t>00</w:t>
            </w:r>
            <w:r w:rsidRPr="00682B69">
              <w:rPr>
                <w:rFonts w:eastAsia="Aptos Narrow"/>
                <w:color w:val="000000" w:themeColor="text1"/>
                <w:sz w:val="20"/>
                <w:szCs w:val="20"/>
              </w:rPr>
              <w:t>E-04</w:t>
            </w:r>
          </w:p>
        </w:tc>
        <w:tc>
          <w:tcPr>
            <w:tcW w:w="859"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150257DD" w14:textId="70B369F3" w:rsidR="00BA5F28" w:rsidRPr="00682B69" w:rsidRDefault="00BA5F28" w:rsidP="006C3B18">
            <w:pPr>
              <w:jc w:val="center"/>
              <w:rPr>
                <w:rFonts w:eastAsia="Aptos Narrow"/>
                <w:color w:val="000000" w:themeColor="text1"/>
                <w:sz w:val="20"/>
                <w:szCs w:val="20"/>
              </w:rPr>
            </w:pPr>
            <w:r>
              <w:rPr>
                <w:rFonts w:eastAsia="Aptos Narrow"/>
                <w:color w:val="000000" w:themeColor="text1"/>
                <w:sz w:val="20"/>
                <w:szCs w:val="20"/>
              </w:rPr>
              <w:t>2</w:t>
            </w:r>
            <w:r w:rsidRPr="00682B69">
              <w:rPr>
                <w:rFonts w:eastAsia="Aptos Narrow"/>
                <w:color w:val="000000" w:themeColor="text1"/>
                <w:sz w:val="20"/>
                <w:szCs w:val="20"/>
              </w:rPr>
              <w:t>.</w:t>
            </w:r>
            <w:r>
              <w:rPr>
                <w:rFonts w:eastAsia="Aptos Narrow"/>
                <w:color w:val="000000" w:themeColor="text1"/>
                <w:sz w:val="20"/>
                <w:szCs w:val="20"/>
              </w:rPr>
              <w:t>860</w:t>
            </w:r>
          </w:p>
        </w:tc>
        <w:tc>
          <w:tcPr>
            <w:tcW w:w="1080" w:type="dxa"/>
            <w:tcBorders>
              <w:top w:val="single" w:sz="4" w:space="0" w:color="44B3E1"/>
              <w:left w:val="nil"/>
              <w:bottom w:val="single" w:sz="4" w:space="0" w:color="44B3E1"/>
              <w:right w:val="nil"/>
            </w:tcBorders>
            <w:shd w:val="clear" w:color="auto" w:fill="F2F2F2" w:themeFill="background1" w:themeFillShade="F2"/>
            <w:tcMar>
              <w:top w:w="15" w:type="dxa"/>
              <w:left w:w="15" w:type="dxa"/>
              <w:right w:w="15" w:type="dxa"/>
            </w:tcMar>
            <w:vAlign w:val="bottom"/>
          </w:tcPr>
          <w:p w14:paraId="15F1645F" w14:textId="5D6512D1" w:rsidR="00BA5F28" w:rsidRPr="00682B69" w:rsidRDefault="00BA5F28" w:rsidP="006C3B18">
            <w:pPr>
              <w:jc w:val="center"/>
              <w:rPr>
                <w:rFonts w:eastAsia="Aptos Narrow"/>
                <w:color w:val="000000" w:themeColor="text1"/>
                <w:sz w:val="20"/>
                <w:szCs w:val="20"/>
              </w:rPr>
            </w:pPr>
            <w:r>
              <w:rPr>
                <w:rFonts w:eastAsia="Aptos Narrow"/>
                <w:color w:val="000000" w:themeColor="text1"/>
                <w:sz w:val="20"/>
                <w:szCs w:val="20"/>
              </w:rPr>
              <w:t>0.004</w:t>
            </w:r>
          </w:p>
        </w:tc>
        <w:tc>
          <w:tcPr>
            <w:tcW w:w="360" w:type="dxa"/>
            <w:tcBorders>
              <w:top w:val="single" w:sz="4" w:space="0" w:color="44B3E1"/>
              <w:left w:val="nil"/>
              <w:bottom w:val="single" w:sz="4" w:space="0" w:color="44B3E1"/>
              <w:right w:val="single" w:sz="4" w:space="0" w:color="44B3E1"/>
            </w:tcBorders>
            <w:shd w:val="clear" w:color="auto" w:fill="F2F2F2" w:themeFill="background1" w:themeFillShade="F2"/>
            <w:tcMar>
              <w:top w:w="15" w:type="dxa"/>
              <w:left w:w="15" w:type="dxa"/>
              <w:right w:w="15" w:type="dxa"/>
            </w:tcMar>
            <w:vAlign w:val="center"/>
          </w:tcPr>
          <w:p w14:paraId="68A454FE" w14:textId="36BDE6CC" w:rsidR="00BA5F28" w:rsidRPr="00682B69" w:rsidRDefault="00BA5F28" w:rsidP="006C3B18">
            <w:pPr>
              <w:jc w:val="center"/>
              <w:rPr>
                <w:rFonts w:eastAsia="Aptos Narrow"/>
                <w:color w:val="000000" w:themeColor="text1"/>
                <w:sz w:val="20"/>
                <w:szCs w:val="20"/>
              </w:rPr>
            </w:pPr>
            <w:r w:rsidRPr="00682B69">
              <w:rPr>
                <w:rFonts w:eastAsia="Aptos Narrow"/>
                <w:color w:val="000000" w:themeColor="text1"/>
                <w:sz w:val="20"/>
                <w:szCs w:val="20"/>
              </w:rPr>
              <w:t>**</w:t>
            </w:r>
          </w:p>
        </w:tc>
      </w:tr>
    </w:tbl>
    <w:p w14:paraId="38329CB3" w14:textId="442C3C49" w:rsidR="00BA5F28" w:rsidRDefault="00BA5F28" w:rsidP="00BA5F28">
      <w:pPr>
        <w:spacing w:line="480" w:lineRule="auto"/>
        <w:ind w:right="995"/>
      </w:pPr>
      <w:r>
        <w:rPr>
          <w:sz w:val="22"/>
          <w:szCs w:val="22"/>
        </w:rPr>
        <w:t>***p &lt; 0.001; **p &lt; 0.01</w:t>
      </w:r>
    </w:p>
    <w:p w14:paraId="03497AA3" w14:textId="0E098391" w:rsidR="006F606D" w:rsidRDefault="006F606D" w:rsidP="00362AB8">
      <w:pPr>
        <w:spacing w:line="480" w:lineRule="auto"/>
        <w:ind w:right="995"/>
      </w:pPr>
    </w:p>
    <w:p w14:paraId="5B731CEF" w14:textId="5AB325E6" w:rsidR="00FB1EF2" w:rsidRDefault="00FB1EF2" w:rsidP="004C504C">
      <w:pPr>
        <w:pBdr>
          <w:top w:val="nil"/>
          <w:left w:val="nil"/>
          <w:bottom w:val="nil"/>
          <w:right w:val="nil"/>
          <w:between w:val="nil"/>
        </w:pBdr>
        <w:spacing w:line="480" w:lineRule="auto"/>
        <w:rPr>
          <w:b/>
        </w:rPr>
      </w:pPr>
      <w:r>
        <w:rPr>
          <w:b/>
        </w:rPr>
        <w:t>Secondary Analyses</w:t>
      </w:r>
    </w:p>
    <w:p w14:paraId="6A29D9F5" w14:textId="1BB229E5" w:rsidR="00FB1EF2" w:rsidRDefault="00FB1EF2" w:rsidP="00AD030F">
      <w:pPr>
        <w:pBdr>
          <w:top w:val="nil"/>
          <w:left w:val="nil"/>
          <w:bottom w:val="nil"/>
          <w:right w:val="nil"/>
          <w:between w:val="nil"/>
        </w:pBdr>
        <w:spacing w:line="480" w:lineRule="auto"/>
        <w:ind w:firstLine="720"/>
        <w:rPr>
          <w:bCs/>
        </w:rPr>
      </w:pPr>
      <w:proofErr w:type="gramStart"/>
      <w:r w:rsidRPr="00F65C00">
        <w:rPr>
          <w:bCs/>
        </w:rPr>
        <w:t>In order to</w:t>
      </w:r>
      <w:proofErr w:type="gramEnd"/>
      <w:r w:rsidRPr="00F65C00">
        <w:rPr>
          <w:bCs/>
        </w:rPr>
        <w:t xml:space="preserve"> </w:t>
      </w:r>
      <w:r w:rsidR="00F65C00">
        <w:rPr>
          <w:bCs/>
        </w:rPr>
        <w:t>further describe and evaluate</w:t>
      </w:r>
      <w:r w:rsidR="00F65C00" w:rsidRPr="00F65C00">
        <w:rPr>
          <w:bCs/>
        </w:rPr>
        <w:t xml:space="preserve"> </w:t>
      </w:r>
      <w:r w:rsidRPr="00F65C00">
        <w:rPr>
          <w:bCs/>
        </w:rPr>
        <w:t xml:space="preserve">secondary study variables, a series of t-tests and correlation matrices were completed. </w:t>
      </w:r>
      <w:r w:rsidR="007447C9" w:rsidRPr="00F65C00">
        <w:rPr>
          <w:bCs/>
        </w:rPr>
        <w:t xml:space="preserve">A paired sample t-test revealed </w:t>
      </w:r>
      <w:r w:rsidRPr="00F65C00">
        <w:rPr>
          <w:bCs/>
        </w:rPr>
        <w:t xml:space="preserve">no </w:t>
      </w:r>
      <w:r w:rsidR="007447C9" w:rsidRPr="00F65C00">
        <w:rPr>
          <w:bCs/>
        </w:rPr>
        <w:t>significant</w:t>
      </w:r>
      <w:r w:rsidRPr="00F65C00">
        <w:rPr>
          <w:bCs/>
        </w:rPr>
        <w:t xml:space="preserve"> differences in length of exercise </w:t>
      </w:r>
      <w:r w:rsidR="007447C9" w:rsidRPr="00F65C00">
        <w:rPr>
          <w:bCs/>
        </w:rPr>
        <w:t>between Visit 1 and Visit 2 (</w:t>
      </w:r>
      <w:r w:rsidR="00F65C00" w:rsidRPr="00F65C00">
        <w:rPr>
          <w:bCs/>
        </w:rPr>
        <w:t>t(26) = 0.27, p = .786</w:t>
      </w:r>
      <w:r w:rsidR="007447C9" w:rsidRPr="00F65C00">
        <w:rPr>
          <w:bCs/>
        </w:rPr>
        <w:t xml:space="preserve">). Similarly, while there is some extant evidence to </w:t>
      </w:r>
      <w:r w:rsidR="00DB10A3">
        <w:rPr>
          <w:bCs/>
        </w:rPr>
        <w:t>suggest</w:t>
      </w:r>
      <w:r w:rsidR="007447C9" w:rsidRPr="00F65C00">
        <w:rPr>
          <w:bCs/>
        </w:rPr>
        <w:t xml:space="preserve"> increased likelihood of PC in females, </w:t>
      </w:r>
      <w:r w:rsidR="00A85D09">
        <w:rPr>
          <w:bCs/>
        </w:rPr>
        <w:t xml:space="preserve">an independent t-test </w:t>
      </w:r>
      <w:r w:rsidR="00A85D09">
        <w:rPr>
          <w:bCs/>
        </w:rPr>
        <w:lastRenderedPageBreak/>
        <w:t xml:space="preserve">calculated to </w:t>
      </w:r>
      <w:r w:rsidR="00D460AA">
        <w:rPr>
          <w:bCs/>
        </w:rPr>
        <w:t>assess gender differences in indicated</w:t>
      </w:r>
      <w:r w:rsidR="007447C9" w:rsidRPr="00F65C00">
        <w:rPr>
          <w:bCs/>
        </w:rPr>
        <w:t xml:space="preserve"> no differences in PC score </w:t>
      </w:r>
      <w:r w:rsidR="00D0217D" w:rsidRPr="00F65C00">
        <w:rPr>
          <w:bCs/>
        </w:rPr>
        <w:t>(t(20.07) = 1.44, p = .166)</w:t>
      </w:r>
      <w:r w:rsidR="00442893">
        <w:rPr>
          <w:bCs/>
        </w:rPr>
        <w:t xml:space="preserve"> </w:t>
      </w:r>
      <w:r w:rsidR="00600271">
        <w:rPr>
          <w:bCs/>
        </w:rPr>
        <w:t xml:space="preserve">between men and women </w:t>
      </w:r>
      <w:r w:rsidR="00DB10A3">
        <w:rPr>
          <w:bCs/>
        </w:rPr>
        <w:t>in the present study</w:t>
      </w:r>
      <w:r w:rsidR="00442893">
        <w:rPr>
          <w:bCs/>
        </w:rPr>
        <w:t xml:space="preserve">. </w:t>
      </w:r>
      <w:r w:rsidRPr="00F65C00">
        <w:rPr>
          <w:bCs/>
        </w:rPr>
        <w:t xml:space="preserve">These results are summarized in Table 3. </w:t>
      </w:r>
      <w:r w:rsidR="00D0217D" w:rsidRPr="00F65C00">
        <w:rPr>
          <w:bCs/>
        </w:rPr>
        <w:t xml:space="preserve"> </w:t>
      </w:r>
    </w:p>
    <w:p w14:paraId="1800CB8D" w14:textId="167F200B" w:rsidR="005C4270" w:rsidRDefault="005C4270" w:rsidP="005C4270">
      <w:pPr>
        <w:pBdr>
          <w:top w:val="nil"/>
          <w:left w:val="nil"/>
          <w:bottom w:val="nil"/>
          <w:right w:val="nil"/>
          <w:between w:val="nil"/>
        </w:pBdr>
        <w:spacing w:line="480" w:lineRule="auto"/>
      </w:pPr>
      <w:r>
        <w:t>Table 3</w:t>
      </w:r>
    </w:p>
    <w:p w14:paraId="45D9FE48" w14:textId="0426C78C" w:rsidR="005C4270" w:rsidRPr="005C4270" w:rsidRDefault="005C4270" w:rsidP="005C4270">
      <w:pPr>
        <w:pBdr>
          <w:top w:val="nil"/>
          <w:left w:val="nil"/>
          <w:bottom w:val="nil"/>
          <w:right w:val="nil"/>
          <w:between w:val="nil"/>
        </w:pBdr>
        <w:spacing w:line="480" w:lineRule="auto"/>
        <w:rPr>
          <w:i/>
          <w:iCs/>
        </w:rPr>
      </w:pPr>
      <w:r>
        <w:rPr>
          <w:i/>
          <w:iCs/>
        </w:rPr>
        <w:t>T</w:t>
      </w:r>
      <w:r w:rsidR="006A1AD6">
        <w:rPr>
          <w:i/>
          <w:iCs/>
        </w:rPr>
        <w:t>-Tests for Secondary Variables</w:t>
      </w:r>
    </w:p>
    <w:tbl>
      <w:tblPr>
        <w:tblpPr w:leftFromText="180" w:rightFromText="180" w:vertAnchor="text" w:horzAnchor="page" w:tblpX="1877" w:tblpY="123"/>
        <w:tblW w:w="8370" w:type="dxa"/>
        <w:tblLook w:val="04A0" w:firstRow="1" w:lastRow="0" w:firstColumn="1" w:lastColumn="0" w:noHBand="0" w:noVBand="1"/>
      </w:tblPr>
      <w:tblGrid>
        <w:gridCol w:w="2610"/>
        <w:gridCol w:w="2340"/>
        <w:gridCol w:w="990"/>
        <w:gridCol w:w="990"/>
        <w:gridCol w:w="1440"/>
      </w:tblGrid>
      <w:tr w:rsidR="005C4270" w14:paraId="1AC691A0" w14:textId="77777777" w:rsidTr="005D6B9C">
        <w:trPr>
          <w:trHeight w:val="340"/>
        </w:trPr>
        <w:tc>
          <w:tcPr>
            <w:tcW w:w="2610" w:type="dxa"/>
            <w:tcBorders>
              <w:top w:val="single" w:sz="8" w:space="0" w:color="44B3E1"/>
              <w:left w:val="nil"/>
              <w:bottom w:val="single" w:sz="8" w:space="0" w:color="44B3E1"/>
              <w:right w:val="nil"/>
            </w:tcBorders>
            <w:shd w:val="clear" w:color="000000" w:fill="BFBFBF"/>
            <w:vAlign w:val="center"/>
            <w:hideMark/>
          </w:tcPr>
          <w:p w14:paraId="74B65A3F" w14:textId="77777777" w:rsidR="00F65C00" w:rsidRPr="005C4270" w:rsidRDefault="00F65C00" w:rsidP="00F65C00">
            <w:pPr>
              <w:jc w:val="center"/>
              <w:rPr>
                <w:rFonts w:ascii="Aptos Narrow" w:hAnsi="Aptos Narrow"/>
                <w:b/>
                <w:bCs/>
                <w:color w:val="FFFFFF"/>
                <w:sz w:val="18"/>
                <w:szCs w:val="18"/>
              </w:rPr>
            </w:pPr>
            <w:r w:rsidRPr="005C4270">
              <w:rPr>
                <w:rFonts w:ascii="Aptos Narrow" w:hAnsi="Aptos Narrow"/>
                <w:b/>
                <w:bCs/>
                <w:color w:val="FFFFFF"/>
                <w:sz w:val="18"/>
                <w:szCs w:val="18"/>
              </w:rPr>
              <w:t>One Sample Paired  T-Test</w:t>
            </w:r>
          </w:p>
        </w:tc>
        <w:tc>
          <w:tcPr>
            <w:tcW w:w="2340" w:type="dxa"/>
            <w:tcBorders>
              <w:top w:val="single" w:sz="8" w:space="0" w:color="44B3E1"/>
              <w:left w:val="nil"/>
              <w:bottom w:val="single" w:sz="8" w:space="0" w:color="44B3E1"/>
              <w:right w:val="nil"/>
            </w:tcBorders>
            <w:shd w:val="clear" w:color="000000" w:fill="BFBFBF"/>
            <w:vAlign w:val="center"/>
            <w:hideMark/>
          </w:tcPr>
          <w:p w14:paraId="12B12484" w14:textId="4A0CC8AB" w:rsidR="00F65C00" w:rsidRPr="005C4270" w:rsidRDefault="00F65C00" w:rsidP="00F65C00">
            <w:pPr>
              <w:jc w:val="center"/>
              <w:rPr>
                <w:rFonts w:ascii="Aptos Narrow" w:hAnsi="Aptos Narrow"/>
                <w:b/>
                <w:bCs/>
                <w:color w:val="FFFFFF"/>
                <w:sz w:val="18"/>
                <w:szCs w:val="18"/>
              </w:rPr>
            </w:pPr>
            <w:r w:rsidRPr="005C4270">
              <w:rPr>
                <w:rFonts w:ascii="Aptos Narrow" w:hAnsi="Aptos Narrow"/>
                <w:b/>
                <w:bCs/>
                <w:color w:val="FFFFFF"/>
                <w:sz w:val="18"/>
                <w:szCs w:val="18"/>
              </w:rPr>
              <w:t>Length of Visit  (</w:t>
            </w:r>
            <w:proofErr w:type="spellStart"/>
            <w:r w:rsidRPr="005C4270">
              <w:rPr>
                <w:rFonts w:ascii="Aptos Narrow" w:hAnsi="Aptos Narrow"/>
                <w:b/>
                <w:bCs/>
                <w:color w:val="FFFFFF"/>
                <w:sz w:val="18"/>
                <w:szCs w:val="18"/>
              </w:rPr>
              <w:t>mean+SD</w:t>
            </w:r>
            <w:proofErr w:type="spellEnd"/>
            <w:r w:rsidRPr="005C4270">
              <w:rPr>
                <w:rFonts w:ascii="Aptos Narrow" w:hAnsi="Aptos Narrow"/>
                <w:b/>
                <w:bCs/>
                <w:color w:val="FFFFFF"/>
                <w:sz w:val="18"/>
                <w:szCs w:val="18"/>
              </w:rPr>
              <w:t>)</w:t>
            </w:r>
          </w:p>
        </w:tc>
        <w:tc>
          <w:tcPr>
            <w:tcW w:w="990" w:type="dxa"/>
            <w:tcBorders>
              <w:top w:val="single" w:sz="8" w:space="0" w:color="44B3E1"/>
              <w:left w:val="nil"/>
              <w:bottom w:val="single" w:sz="8" w:space="0" w:color="44B3E1"/>
              <w:right w:val="nil"/>
            </w:tcBorders>
            <w:shd w:val="clear" w:color="000000" w:fill="BFBFBF"/>
            <w:vAlign w:val="center"/>
            <w:hideMark/>
          </w:tcPr>
          <w:p w14:paraId="30D298B9" w14:textId="77777777" w:rsidR="00F65C00" w:rsidRPr="005C4270" w:rsidRDefault="00F65C00" w:rsidP="00F65C00">
            <w:pPr>
              <w:jc w:val="center"/>
              <w:rPr>
                <w:rFonts w:ascii="Aptos Narrow" w:hAnsi="Aptos Narrow"/>
                <w:b/>
                <w:bCs/>
                <w:color w:val="FFFFFF"/>
                <w:sz w:val="18"/>
                <w:szCs w:val="18"/>
              </w:rPr>
            </w:pPr>
            <w:r w:rsidRPr="005C4270">
              <w:rPr>
                <w:rFonts w:ascii="Aptos Narrow" w:hAnsi="Aptos Narrow"/>
                <w:b/>
                <w:bCs/>
                <w:color w:val="FFFFFF"/>
                <w:sz w:val="18"/>
                <w:szCs w:val="18"/>
              </w:rPr>
              <w:t>t-value</w:t>
            </w:r>
          </w:p>
        </w:tc>
        <w:tc>
          <w:tcPr>
            <w:tcW w:w="990" w:type="dxa"/>
            <w:tcBorders>
              <w:top w:val="single" w:sz="8" w:space="0" w:color="44B3E1"/>
              <w:left w:val="nil"/>
              <w:bottom w:val="single" w:sz="8" w:space="0" w:color="44B3E1"/>
              <w:right w:val="nil"/>
            </w:tcBorders>
            <w:shd w:val="clear" w:color="000000" w:fill="BFBFBF"/>
            <w:vAlign w:val="center"/>
            <w:hideMark/>
          </w:tcPr>
          <w:p w14:paraId="1A39B099" w14:textId="77777777" w:rsidR="00F65C00" w:rsidRPr="005C4270" w:rsidRDefault="00F65C00" w:rsidP="00F65C00">
            <w:pPr>
              <w:jc w:val="center"/>
              <w:rPr>
                <w:rFonts w:ascii="Aptos Narrow" w:hAnsi="Aptos Narrow"/>
                <w:b/>
                <w:bCs/>
                <w:color w:val="FFFFFF"/>
                <w:sz w:val="18"/>
                <w:szCs w:val="18"/>
              </w:rPr>
            </w:pPr>
            <w:proofErr w:type="spellStart"/>
            <w:r w:rsidRPr="005C4270">
              <w:rPr>
                <w:rFonts w:ascii="Aptos Narrow" w:hAnsi="Aptos Narrow"/>
                <w:b/>
                <w:bCs/>
                <w:color w:val="FFFFFF"/>
                <w:sz w:val="18"/>
                <w:szCs w:val="18"/>
              </w:rPr>
              <w:t>Pr</w:t>
            </w:r>
            <w:proofErr w:type="spellEnd"/>
            <w:r w:rsidRPr="005C4270">
              <w:rPr>
                <w:rFonts w:ascii="Aptos Narrow" w:hAnsi="Aptos Narrow"/>
                <w:b/>
                <w:bCs/>
                <w:color w:val="FFFFFF"/>
                <w:sz w:val="18"/>
                <w:szCs w:val="18"/>
              </w:rPr>
              <w:t>(&gt;|t|)</w:t>
            </w:r>
          </w:p>
        </w:tc>
        <w:tc>
          <w:tcPr>
            <w:tcW w:w="1440" w:type="dxa"/>
            <w:tcBorders>
              <w:top w:val="single" w:sz="8" w:space="0" w:color="44B3E1"/>
              <w:left w:val="nil"/>
              <w:bottom w:val="single" w:sz="8" w:space="0" w:color="44B3E1"/>
              <w:right w:val="single" w:sz="8" w:space="0" w:color="44B3E1"/>
            </w:tcBorders>
            <w:shd w:val="clear" w:color="000000" w:fill="BFBFBF"/>
            <w:vAlign w:val="center"/>
            <w:hideMark/>
          </w:tcPr>
          <w:p w14:paraId="3238AAAF" w14:textId="77777777" w:rsidR="00F65C00" w:rsidRPr="005C4270" w:rsidRDefault="00F65C00" w:rsidP="00F65C00">
            <w:pPr>
              <w:jc w:val="center"/>
              <w:rPr>
                <w:rFonts w:ascii="Aptos Narrow" w:hAnsi="Aptos Narrow"/>
                <w:b/>
                <w:bCs/>
                <w:color w:val="FFFFFF"/>
                <w:sz w:val="18"/>
                <w:szCs w:val="18"/>
              </w:rPr>
            </w:pPr>
            <w:r w:rsidRPr="005C4270">
              <w:rPr>
                <w:rFonts w:ascii="Aptos Narrow" w:hAnsi="Aptos Narrow"/>
                <w:b/>
                <w:bCs/>
                <w:color w:val="FFFFFF"/>
                <w:sz w:val="18"/>
                <w:szCs w:val="18"/>
              </w:rPr>
              <w:t xml:space="preserve"> CI</w:t>
            </w:r>
          </w:p>
        </w:tc>
      </w:tr>
      <w:tr w:rsidR="005C4270" w14:paraId="52F9D8B4" w14:textId="77777777" w:rsidTr="005D6B9C">
        <w:trPr>
          <w:trHeight w:val="428"/>
        </w:trPr>
        <w:tc>
          <w:tcPr>
            <w:tcW w:w="2610" w:type="dxa"/>
            <w:tcBorders>
              <w:top w:val="nil"/>
              <w:left w:val="single" w:sz="8" w:space="0" w:color="44B3E1"/>
              <w:bottom w:val="single" w:sz="8" w:space="0" w:color="44B3E1"/>
              <w:right w:val="nil"/>
            </w:tcBorders>
            <w:shd w:val="clear" w:color="000000" w:fill="F2F2F2"/>
            <w:vAlign w:val="center"/>
            <w:hideMark/>
          </w:tcPr>
          <w:p w14:paraId="5E98FB42" w14:textId="3C91CE83" w:rsidR="00F65C00" w:rsidRPr="00220A93" w:rsidRDefault="00F65C00" w:rsidP="00F65C00">
            <w:pPr>
              <w:rPr>
                <w:color w:val="000000"/>
                <w:sz w:val="20"/>
                <w:szCs w:val="20"/>
              </w:rPr>
            </w:pPr>
            <w:r w:rsidRPr="00220A93">
              <w:rPr>
                <w:color w:val="000000"/>
                <w:sz w:val="20"/>
                <w:szCs w:val="20"/>
              </w:rPr>
              <w:t>Length of Visit</w:t>
            </w:r>
          </w:p>
        </w:tc>
        <w:tc>
          <w:tcPr>
            <w:tcW w:w="2340" w:type="dxa"/>
            <w:tcBorders>
              <w:top w:val="nil"/>
              <w:left w:val="nil"/>
              <w:bottom w:val="single" w:sz="8" w:space="0" w:color="44B3E1"/>
              <w:right w:val="nil"/>
            </w:tcBorders>
            <w:shd w:val="clear" w:color="000000" w:fill="F2F2F2"/>
            <w:vAlign w:val="center"/>
            <w:hideMark/>
          </w:tcPr>
          <w:p w14:paraId="2DEBEE3E" w14:textId="77777777" w:rsidR="00F65C00" w:rsidRPr="00220A93" w:rsidRDefault="00F65C00" w:rsidP="00F65C00">
            <w:pPr>
              <w:jc w:val="center"/>
              <w:rPr>
                <w:color w:val="000000"/>
                <w:sz w:val="20"/>
                <w:szCs w:val="20"/>
              </w:rPr>
            </w:pPr>
            <w:r w:rsidRPr="00220A93">
              <w:rPr>
                <w:color w:val="000000"/>
                <w:sz w:val="20"/>
                <w:szCs w:val="20"/>
              </w:rPr>
              <w:t> </w:t>
            </w:r>
          </w:p>
        </w:tc>
        <w:tc>
          <w:tcPr>
            <w:tcW w:w="990" w:type="dxa"/>
            <w:tcBorders>
              <w:top w:val="nil"/>
              <w:left w:val="nil"/>
              <w:bottom w:val="single" w:sz="8" w:space="0" w:color="44B3E1"/>
              <w:right w:val="nil"/>
            </w:tcBorders>
            <w:shd w:val="clear" w:color="000000" w:fill="F2F2F2"/>
            <w:vAlign w:val="center"/>
            <w:hideMark/>
          </w:tcPr>
          <w:p w14:paraId="4F1F7D24" w14:textId="77777777" w:rsidR="00F65C00" w:rsidRPr="00220A93" w:rsidRDefault="00F65C00" w:rsidP="00F65C00">
            <w:pPr>
              <w:jc w:val="center"/>
              <w:rPr>
                <w:color w:val="000000"/>
                <w:sz w:val="20"/>
                <w:szCs w:val="20"/>
              </w:rPr>
            </w:pPr>
            <w:r w:rsidRPr="00220A93">
              <w:rPr>
                <w:color w:val="000000"/>
                <w:sz w:val="20"/>
                <w:szCs w:val="20"/>
              </w:rPr>
              <w:t>0.274</w:t>
            </w:r>
          </w:p>
        </w:tc>
        <w:tc>
          <w:tcPr>
            <w:tcW w:w="990" w:type="dxa"/>
            <w:tcBorders>
              <w:top w:val="nil"/>
              <w:left w:val="nil"/>
              <w:bottom w:val="single" w:sz="8" w:space="0" w:color="44B3E1"/>
              <w:right w:val="nil"/>
            </w:tcBorders>
            <w:shd w:val="clear" w:color="000000" w:fill="F2F2F2"/>
            <w:vAlign w:val="center"/>
            <w:hideMark/>
          </w:tcPr>
          <w:p w14:paraId="0610A5E6" w14:textId="77777777" w:rsidR="00F65C00" w:rsidRPr="00220A93" w:rsidRDefault="00F65C00" w:rsidP="00F65C00">
            <w:pPr>
              <w:jc w:val="center"/>
              <w:rPr>
                <w:color w:val="000000"/>
                <w:sz w:val="20"/>
                <w:szCs w:val="20"/>
              </w:rPr>
            </w:pPr>
            <w:r w:rsidRPr="00220A93">
              <w:rPr>
                <w:color w:val="000000"/>
                <w:sz w:val="20"/>
                <w:szCs w:val="20"/>
              </w:rPr>
              <w:t>0.786</w:t>
            </w:r>
          </w:p>
        </w:tc>
        <w:tc>
          <w:tcPr>
            <w:tcW w:w="1440" w:type="dxa"/>
            <w:tcBorders>
              <w:top w:val="nil"/>
              <w:left w:val="nil"/>
              <w:bottom w:val="single" w:sz="8" w:space="0" w:color="44B3E1"/>
              <w:right w:val="single" w:sz="8" w:space="0" w:color="44B3E1"/>
            </w:tcBorders>
            <w:shd w:val="clear" w:color="000000" w:fill="F2F2F2"/>
            <w:vAlign w:val="center"/>
            <w:hideMark/>
          </w:tcPr>
          <w:p w14:paraId="47B91789" w14:textId="77777777" w:rsidR="00F65C00" w:rsidRPr="00220A93" w:rsidRDefault="00F65C00" w:rsidP="00F65C00">
            <w:pPr>
              <w:jc w:val="center"/>
              <w:rPr>
                <w:color w:val="000000"/>
                <w:sz w:val="20"/>
                <w:szCs w:val="20"/>
              </w:rPr>
            </w:pPr>
            <w:r w:rsidRPr="00220A93">
              <w:rPr>
                <w:color w:val="000000"/>
                <w:sz w:val="20"/>
                <w:szCs w:val="20"/>
              </w:rPr>
              <w:t>-32.96, 43.11</w:t>
            </w:r>
          </w:p>
        </w:tc>
      </w:tr>
      <w:tr w:rsidR="005C4270" w14:paraId="6F9C2534" w14:textId="77777777" w:rsidTr="005D6B9C">
        <w:trPr>
          <w:trHeight w:val="428"/>
        </w:trPr>
        <w:tc>
          <w:tcPr>
            <w:tcW w:w="2610" w:type="dxa"/>
            <w:tcBorders>
              <w:top w:val="nil"/>
              <w:left w:val="single" w:sz="8" w:space="0" w:color="44B3E1"/>
              <w:bottom w:val="single" w:sz="8" w:space="0" w:color="44B3E1"/>
              <w:right w:val="nil"/>
            </w:tcBorders>
            <w:shd w:val="clear" w:color="000000" w:fill="F2F2F2"/>
            <w:vAlign w:val="center"/>
            <w:hideMark/>
          </w:tcPr>
          <w:p w14:paraId="0954A5B8" w14:textId="77777777" w:rsidR="00F65C00" w:rsidRPr="00220A93" w:rsidRDefault="00F65C00" w:rsidP="00F65C00">
            <w:pPr>
              <w:jc w:val="right"/>
              <w:rPr>
                <w:color w:val="000000"/>
                <w:sz w:val="20"/>
                <w:szCs w:val="20"/>
              </w:rPr>
            </w:pPr>
            <w:r w:rsidRPr="00220A93">
              <w:rPr>
                <w:color w:val="000000"/>
                <w:sz w:val="20"/>
                <w:szCs w:val="20"/>
              </w:rPr>
              <w:t>Visit 1</w:t>
            </w:r>
          </w:p>
        </w:tc>
        <w:tc>
          <w:tcPr>
            <w:tcW w:w="2340" w:type="dxa"/>
            <w:tcBorders>
              <w:top w:val="nil"/>
              <w:left w:val="nil"/>
              <w:bottom w:val="single" w:sz="8" w:space="0" w:color="44B3E1"/>
              <w:right w:val="nil"/>
            </w:tcBorders>
            <w:shd w:val="clear" w:color="000000" w:fill="F2F2F2"/>
            <w:vAlign w:val="center"/>
            <w:hideMark/>
          </w:tcPr>
          <w:p w14:paraId="0F663B98" w14:textId="77777777" w:rsidR="00F65C00" w:rsidRPr="00220A93" w:rsidRDefault="00F65C00" w:rsidP="00F65C00">
            <w:pPr>
              <w:jc w:val="center"/>
              <w:rPr>
                <w:color w:val="000000"/>
                <w:sz w:val="20"/>
                <w:szCs w:val="20"/>
              </w:rPr>
            </w:pPr>
            <w:r w:rsidRPr="00220A93">
              <w:rPr>
                <w:color w:val="000000"/>
                <w:sz w:val="20"/>
                <w:szCs w:val="20"/>
              </w:rPr>
              <w:t>1217.8±324.5</w:t>
            </w:r>
          </w:p>
        </w:tc>
        <w:tc>
          <w:tcPr>
            <w:tcW w:w="990" w:type="dxa"/>
            <w:tcBorders>
              <w:top w:val="nil"/>
              <w:left w:val="nil"/>
              <w:bottom w:val="single" w:sz="8" w:space="0" w:color="44B3E1"/>
              <w:right w:val="nil"/>
            </w:tcBorders>
            <w:shd w:val="clear" w:color="000000" w:fill="F2F2F2"/>
            <w:vAlign w:val="center"/>
            <w:hideMark/>
          </w:tcPr>
          <w:p w14:paraId="6008EF16" w14:textId="77777777" w:rsidR="00F65C00" w:rsidRPr="00220A93" w:rsidRDefault="00F65C00" w:rsidP="00F65C00">
            <w:pPr>
              <w:jc w:val="center"/>
              <w:rPr>
                <w:color w:val="000000"/>
                <w:sz w:val="20"/>
                <w:szCs w:val="20"/>
              </w:rPr>
            </w:pPr>
            <w:r w:rsidRPr="00220A93">
              <w:rPr>
                <w:color w:val="000000"/>
                <w:sz w:val="20"/>
                <w:szCs w:val="20"/>
              </w:rPr>
              <w:t> </w:t>
            </w:r>
          </w:p>
        </w:tc>
        <w:tc>
          <w:tcPr>
            <w:tcW w:w="990" w:type="dxa"/>
            <w:tcBorders>
              <w:top w:val="nil"/>
              <w:left w:val="nil"/>
              <w:bottom w:val="single" w:sz="8" w:space="0" w:color="44B3E1"/>
              <w:right w:val="nil"/>
            </w:tcBorders>
            <w:shd w:val="clear" w:color="000000" w:fill="F2F2F2"/>
            <w:vAlign w:val="center"/>
            <w:hideMark/>
          </w:tcPr>
          <w:p w14:paraId="51C91A06" w14:textId="77777777" w:rsidR="00F65C00" w:rsidRPr="00220A93" w:rsidRDefault="00F65C00" w:rsidP="00F65C00">
            <w:pPr>
              <w:jc w:val="center"/>
              <w:rPr>
                <w:color w:val="000000"/>
                <w:sz w:val="20"/>
                <w:szCs w:val="20"/>
              </w:rPr>
            </w:pPr>
            <w:r w:rsidRPr="00220A93">
              <w:rPr>
                <w:color w:val="000000"/>
                <w:sz w:val="20"/>
                <w:szCs w:val="20"/>
              </w:rPr>
              <w:t> </w:t>
            </w:r>
          </w:p>
        </w:tc>
        <w:tc>
          <w:tcPr>
            <w:tcW w:w="1440" w:type="dxa"/>
            <w:tcBorders>
              <w:top w:val="nil"/>
              <w:left w:val="nil"/>
              <w:bottom w:val="single" w:sz="8" w:space="0" w:color="44B3E1"/>
              <w:right w:val="single" w:sz="8" w:space="0" w:color="44B3E1"/>
            </w:tcBorders>
            <w:shd w:val="clear" w:color="000000" w:fill="F2F2F2"/>
            <w:vAlign w:val="center"/>
            <w:hideMark/>
          </w:tcPr>
          <w:p w14:paraId="2AF83BC3" w14:textId="77777777" w:rsidR="00F65C00" w:rsidRPr="00220A93" w:rsidRDefault="00F65C00" w:rsidP="00F65C00">
            <w:pPr>
              <w:jc w:val="center"/>
              <w:rPr>
                <w:color w:val="000000"/>
                <w:sz w:val="20"/>
                <w:szCs w:val="20"/>
              </w:rPr>
            </w:pPr>
            <w:r w:rsidRPr="00220A93">
              <w:rPr>
                <w:color w:val="000000"/>
                <w:sz w:val="20"/>
                <w:szCs w:val="20"/>
              </w:rPr>
              <w:t> </w:t>
            </w:r>
          </w:p>
        </w:tc>
      </w:tr>
      <w:tr w:rsidR="005C4270" w14:paraId="6ADB3A6C" w14:textId="77777777" w:rsidTr="005D6B9C">
        <w:trPr>
          <w:trHeight w:val="428"/>
        </w:trPr>
        <w:tc>
          <w:tcPr>
            <w:tcW w:w="2610" w:type="dxa"/>
            <w:tcBorders>
              <w:top w:val="nil"/>
              <w:left w:val="single" w:sz="8" w:space="0" w:color="44B3E1"/>
              <w:bottom w:val="single" w:sz="8" w:space="0" w:color="44B3E1"/>
              <w:right w:val="nil"/>
            </w:tcBorders>
            <w:shd w:val="clear" w:color="000000" w:fill="F2F2F2"/>
            <w:vAlign w:val="center"/>
            <w:hideMark/>
          </w:tcPr>
          <w:p w14:paraId="3A1E4996" w14:textId="77777777" w:rsidR="00F65C00" w:rsidRPr="00220A93" w:rsidRDefault="00F65C00" w:rsidP="00F65C00">
            <w:pPr>
              <w:jc w:val="right"/>
              <w:rPr>
                <w:color w:val="000000"/>
                <w:sz w:val="20"/>
                <w:szCs w:val="20"/>
              </w:rPr>
            </w:pPr>
            <w:r w:rsidRPr="00220A93">
              <w:rPr>
                <w:rFonts w:eastAsia="Aptos Narrow"/>
                <w:color w:val="000000" w:themeColor="text1"/>
                <w:sz w:val="20"/>
                <w:szCs w:val="20"/>
              </w:rPr>
              <w:t>Visit 2</w:t>
            </w:r>
          </w:p>
        </w:tc>
        <w:tc>
          <w:tcPr>
            <w:tcW w:w="2340" w:type="dxa"/>
            <w:tcBorders>
              <w:top w:val="nil"/>
              <w:left w:val="nil"/>
              <w:bottom w:val="single" w:sz="8" w:space="0" w:color="44B3E1"/>
              <w:right w:val="nil"/>
            </w:tcBorders>
            <w:shd w:val="clear" w:color="000000" w:fill="F2F2F2"/>
            <w:vAlign w:val="center"/>
            <w:hideMark/>
          </w:tcPr>
          <w:p w14:paraId="36F9D80F" w14:textId="77777777" w:rsidR="00F65C00" w:rsidRPr="00220A93" w:rsidRDefault="00F65C00" w:rsidP="00F65C00">
            <w:pPr>
              <w:jc w:val="center"/>
              <w:rPr>
                <w:color w:val="000000"/>
                <w:sz w:val="20"/>
                <w:szCs w:val="20"/>
              </w:rPr>
            </w:pPr>
            <w:r w:rsidRPr="00220A93">
              <w:rPr>
                <w:color w:val="000000"/>
                <w:sz w:val="20"/>
                <w:szCs w:val="20"/>
              </w:rPr>
              <w:t>1212.7±315.5</w:t>
            </w:r>
          </w:p>
        </w:tc>
        <w:tc>
          <w:tcPr>
            <w:tcW w:w="990" w:type="dxa"/>
            <w:tcBorders>
              <w:top w:val="nil"/>
              <w:left w:val="nil"/>
              <w:bottom w:val="single" w:sz="8" w:space="0" w:color="44B3E1"/>
              <w:right w:val="nil"/>
            </w:tcBorders>
            <w:shd w:val="clear" w:color="000000" w:fill="F2F2F2"/>
            <w:vAlign w:val="center"/>
            <w:hideMark/>
          </w:tcPr>
          <w:p w14:paraId="29E285C0" w14:textId="77777777" w:rsidR="00F65C00" w:rsidRPr="00220A93" w:rsidRDefault="00F65C00" w:rsidP="00F65C00">
            <w:pPr>
              <w:jc w:val="center"/>
              <w:rPr>
                <w:color w:val="000000"/>
                <w:sz w:val="20"/>
                <w:szCs w:val="20"/>
              </w:rPr>
            </w:pPr>
            <w:r w:rsidRPr="00220A93">
              <w:rPr>
                <w:color w:val="000000"/>
                <w:sz w:val="20"/>
                <w:szCs w:val="20"/>
              </w:rPr>
              <w:t> </w:t>
            </w:r>
          </w:p>
        </w:tc>
        <w:tc>
          <w:tcPr>
            <w:tcW w:w="990" w:type="dxa"/>
            <w:tcBorders>
              <w:top w:val="nil"/>
              <w:left w:val="nil"/>
              <w:bottom w:val="single" w:sz="8" w:space="0" w:color="44B3E1"/>
              <w:right w:val="nil"/>
            </w:tcBorders>
            <w:shd w:val="clear" w:color="000000" w:fill="F2F2F2"/>
            <w:vAlign w:val="center"/>
            <w:hideMark/>
          </w:tcPr>
          <w:p w14:paraId="7231E978" w14:textId="77777777" w:rsidR="00F65C00" w:rsidRPr="00220A93" w:rsidRDefault="00F65C00" w:rsidP="00F65C00">
            <w:pPr>
              <w:jc w:val="center"/>
              <w:rPr>
                <w:color w:val="000000"/>
                <w:sz w:val="20"/>
                <w:szCs w:val="20"/>
              </w:rPr>
            </w:pPr>
            <w:r w:rsidRPr="00220A93">
              <w:rPr>
                <w:color w:val="000000"/>
                <w:sz w:val="20"/>
                <w:szCs w:val="20"/>
              </w:rPr>
              <w:t> </w:t>
            </w:r>
          </w:p>
        </w:tc>
        <w:tc>
          <w:tcPr>
            <w:tcW w:w="1440" w:type="dxa"/>
            <w:tcBorders>
              <w:top w:val="nil"/>
              <w:left w:val="nil"/>
              <w:bottom w:val="single" w:sz="8" w:space="0" w:color="44B3E1"/>
              <w:right w:val="single" w:sz="8" w:space="0" w:color="44B3E1"/>
            </w:tcBorders>
            <w:shd w:val="clear" w:color="000000" w:fill="F2F2F2"/>
            <w:vAlign w:val="center"/>
            <w:hideMark/>
          </w:tcPr>
          <w:p w14:paraId="7FD68ECF" w14:textId="77777777" w:rsidR="00F65C00" w:rsidRPr="00220A93" w:rsidRDefault="00F65C00" w:rsidP="00F65C00">
            <w:pPr>
              <w:jc w:val="center"/>
              <w:rPr>
                <w:color w:val="000000"/>
                <w:sz w:val="20"/>
                <w:szCs w:val="20"/>
              </w:rPr>
            </w:pPr>
            <w:r w:rsidRPr="00220A93">
              <w:rPr>
                <w:color w:val="000000"/>
                <w:sz w:val="20"/>
                <w:szCs w:val="20"/>
              </w:rPr>
              <w:t> </w:t>
            </w:r>
          </w:p>
        </w:tc>
      </w:tr>
      <w:tr w:rsidR="005C4270" w14:paraId="2097E693" w14:textId="77777777" w:rsidTr="005D6B9C">
        <w:trPr>
          <w:trHeight w:val="340"/>
        </w:trPr>
        <w:tc>
          <w:tcPr>
            <w:tcW w:w="2610" w:type="dxa"/>
            <w:tcBorders>
              <w:top w:val="nil"/>
              <w:left w:val="nil"/>
              <w:bottom w:val="single" w:sz="8" w:space="0" w:color="44B3E1"/>
              <w:right w:val="nil"/>
            </w:tcBorders>
            <w:shd w:val="clear" w:color="000000" w:fill="BFBFBF"/>
            <w:vAlign w:val="center"/>
            <w:hideMark/>
          </w:tcPr>
          <w:p w14:paraId="3C43033C" w14:textId="77777777" w:rsidR="00F65C00" w:rsidRPr="00220A93" w:rsidRDefault="00F65C00" w:rsidP="00F65C00">
            <w:pPr>
              <w:jc w:val="center"/>
              <w:rPr>
                <w:rFonts w:ascii="Aptos Narrow" w:hAnsi="Aptos Narrow"/>
                <w:b/>
                <w:bCs/>
                <w:color w:val="FFFFFF"/>
                <w:sz w:val="20"/>
                <w:szCs w:val="20"/>
              </w:rPr>
            </w:pPr>
            <w:r w:rsidRPr="00220A93">
              <w:rPr>
                <w:rFonts w:ascii="Aptos Narrow" w:hAnsi="Aptos Narrow"/>
                <w:b/>
                <w:bCs/>
                <w:color w:val="FFFFFF"/>
                <w:sz w:val="20"/>
                <w:szCs w:val="20"/>
              </w:rPr>
              <w:t>Two Sample T-Test</w:t>
            </w:r>
          </w:p>
        </w:tc>
        <w:tc>
          <w:tcPr>
            <w:tcW w:w="2340" w:type="dxa"/>
            <w:tcBorders>
              <w:top w:val="nil"/>
              <w:left w:val="nil"/>
              <w:bottom w:val="single" w:sz="8" w:space="0" w:color="44B3E1"/>
              <w:right w:val="nil"/>
            </w:tcBorders>
            <w:shd w:val="clear" w:color="000000" w:fill="BFBFBF"/>
            <w:vAlign w:val="center"/>
            <w:hideMark/>
          </w:tcPr>
          <w:p w14:paraId="71DFD8AE" w14:textId="77777777" w:rsidR="00F65C00" w:rsidRPr="00220A93" w:rsidRDefault="00F65C00" w:rsidP="00F65C00">
            <w:pPr>
              <w:jc w:val="center"/>
              <w:rPr>
                <w:rFonts w:ascii="Aptos Narrow" w:hAnsi="Aptos Narrow"/>
                <w:b/>
                <w:bCs/>
                <w:color w:val="FFFFFF"/>
                <w:sz w:val="20"/>
                <w:szCs w:val="20"/>
              </w:rPr>
            </w:pPr>
            <w:r w:rsidRPr="00220A93">
              <w:rPr>
                <w:rFonts w:ascii="Aptos Narrow" w:hAnsi="Aptos Narrow"/>
                <w:b/>
                <w:bCs/>
                <w:color w:val="FFFFFF"/>
                <w:sz w:val="20"/>
                <w:szCs w:val="20"/>
              </w:rPr>
              <w:t>PC Score (</w:t>
            </w:r>
            <w:proofErr w:type="spellStart"/>
            <w:r w:rsidRPr="00220A93">
              <w:rPr>
                <w:rFonts w:ascii="Aptos Narrow" w:hAnsi="Aptos Narrow"/>
                <w:b/>
                <w:bCs/>
                <w:color w:val="FFFFFF"/>
                <w:sz w:val="20"/>
                <w:szCs w:val="20"/>
              </w:rPr>
              <w:t>mean+SD</w:t>
            </w:r>
            <w:proofErr w:type="spellEnd"/>
            <w:r w:rsidRPr="00220A93">
              <w:rPr>
                <w:rFonts w:ascii="Aptos Narrow" w:hAnsi="Aptos Narrow"/>
                <w:b/>
                <w:bCs/>
                <w:color w:val="FFFFFF"/>
                <w:sz w:val="20"/>
                <w:szCs w:val="20"/>
              </w:rPr>
              <w:t>)</w:t>
            </w:r>
          </w:p>
        </w:tc>
        <w:tc>
          <w:tcPr>
            <w:tcW w:w="990" w:type="dxa"/>
            <w:tcBorders>
              <w:top w:val="nil"/>
              <w:left w:val="nil"/>
              <w:bottom w:val="single" w:sz="8" w:space="0" w:color="44B3E1"/>
              <w:right w:val="nil"/>
            </w:tcBorders>
            <w:shd w:val="clear" w:color="000000" w:fill="BFBFBF"/>
            <w:vAlign w:val="center"/>
            <w:hideMark/>
          </w:tcPr>
          <w:p w14:paraId="33887AC8" w14:textId="77777777" w:rsidR="00F65C00" w:rsidRPr="00220A93" w:rsidRDefault="00F65C00" w:rsidP="00F65C00">
            <w:pPr>
              <w:jc w:val="center"/>
              <w:rPr>
                <w:rFonts w:ascii="Aptos Narrow" w:hAnsi="Aptos Narrow"/>
                <w:b/>
                <w:bCs/>
                <w:color w:val="FFFFFF"/>
                <w:sz w:val="20"/>
                <w:szCs w:val="20"/>
              </w:rPr>
            </w:pPr>
            <w:r w:rsidRPr="00220A93">
              <w:rPr>
                <w:rFonts w:ascii="Aptos Narrow" w:hAnsi="Aptos Narrow"/>
                <w:b/>
                <w:bCs/>
                <w:color w:val="FFFFFF"/>
                <w:sz w:val="20"/>
                <w:szCs w:val="20"/>
              </w:rPr>
              <w:t>t-value</w:t>
            </w:r>
          </w:p>
        </w:tc>
        <w:tc>
          <w:tcPr>
            <w:tcW w:w="990" w:type="dxa"/>
            <w:tcBorders>
              <w:top w:val="nil"/>
              <w:left w:val="nil"/>
              <w:bottom w:val="single" w:sz="8" w:space="0" w:color="44B3E1"/>
              <w:right w:val="nil"/>
            </w:tcBorders>
            <w:shd w:val="clear" w:color="000000" w:fill="BFBFBF"/>
            <w:vAlign w:val="center"/>
            <w:hideMark/>
          </w:tcPr>
          <w:p w14:paraId="15DB0FF8" w14:textId="77777777" w:rsidR="00F65C00" w:rsidRPr="00220A93" w:rsidRDefault="00F65C00" w:rsidP="00F65C00">
            <w:pPr>
              <w:jc w:val="center"/>
              <w:rPr>
                <w:rFonts w:ascii="Aptos Narrow" w:hAnsi="Aptos Narrow"/>
                <w:b/>
                <w:bCs/>
                <w:color w:val="FFFFFF"/>
                <w:sz w:val="20"/>
                <w:szCs w:val="20"/>
              </w:rPr>
            </w:pPr>
            <w:proofErr w:type="spellStart"/>
            <w:r w:rsidRPr="00220A93">
              <w:rPr>
                <w:rFonts w:ascii="Aptos Narrow" w:hAnsi="Aptos Narrow"/>
                <w:b/>
                <w:bCs/>
                <w:color w:val="FFFFFF"/>
                <w:sz w:val="20"/>
                <w:szCs w:val="20"/>
              </w:rPr>
              <w:t>Pr</w:t>
            </w:r>
            <w:proofErr w:type="spellEnd"/>
            <w:r w:rsidRPr="00220A93">
              <w:rPr>
                <w:rFonts w:ascii="Aptos Narrow" w:hAnsi="Aptos Narrow"/>
                <w:b/>
                <w:bCs/>
                <w:color w:val="FFFFFF"/>
                <w:sz w:val="20"/>
                <w:szCs w:val="20"/>
              </w:rPr>
              <w:t xml:space="preserve">(&gt;|t|) </w:t>
            </w:r>
          </w:p>
        </w:tc>
        <w:tc>
          <w:tcPr>
            <w:tcW w:w="1440" w:type="dxa"/>
            <w:tcBorders>
              <w:top w:val="nil"/>
              <w:left w:val="nil"/>
              <w:bottom w:val="single" w:sz="8" w:space="0" w:color="44B3E1"/>
              <w:right w:val="single" w:sz="8" w:space="0" w:color="44B3E1"/>
            </w:tcBorders>
            <w:shd w:val="clear" w:color="000000" w:fill="BFBFBF"/>
            <w:vAlign w:val="center"/>
            <w:hideMark/>
          </w:tcPr>
          <w:p w14:paraId="1000513F" w14:textId="77777777" w:rsidR="00F65C00" w:rsidRPr="00220A93" w:rsidRDefault="00F65C00" w:rsidP="00F65C00">
            <w:pPr>
              <w:jc w:val="center"/>
              <w:rPr>
                <w:rFonts w:ascii="Aptos Narrow" w:hAnsi="Aptos Narrow"/>
                <w:b/>
                <w:bCs/>
                <w:color w:val="FFFFFF"/>
                <w:sz w:val="20"/>
                <w:szCs w:val="20"/>
              </w:rPr>
            </w:pPr>
            <w:r w:rsidRPr="00220A93">
              <w:rPr>
                <w:rFonts w:ascii="Aptos Narrow" w:hAnsi="Aptos Narrow"/>
                <w:b/>
                <w:bCs/>
                <w:color w:val="FFFFFF"/>
                <w:sz w:val="20"/>
                <w:szCs w:val="20"/>
              </w:rPr>
              <w:t> </w:t>
            </w:r>
          </w:p>
        </w:tc>
      </w:tr>
      <w:tr w:rsidR="005C4270" w14:paraId="1369B35F" w14:textId="77777777" w:rsidTr="005D6B9C">
        <w:trPr>
          <w:trHeight w:val="428"/>
        </w:trPr>
        <w:tc>
          <w:tcPr>
            <w:tcW w:w="2610" w:type="dxa"/>
            <w:tcBorders>
              <w:top w:val="nil"/>
              <w:left w:val="single" w:sz="8" w:space="0" w:color="44B3E1"/>
              <w:bottom w:val="single" w:sz="8" w:space="0" w:color="44B3E1"/>
              <w:right w:val="nil"/>
            </w:tcBorders>
            <w:shd w:val="clear" w:color="000000" w:fill="F2F2F2"/>
            <w:vAlign w:val="center"/>
            <w:hideMark/>
          </w:tcPr>
          <w:p w14:paraId="78F75285" w14:textId="77777777" w:rsidR="00F65C00" w:rsidRPr="00220A93" w:rsidRDefault="00F65C00" w:rsidP="00F65C00">
            <w:pPr>
              <w:rPr>
                <w:color w:val="000000"/>
                <w:sz w:val="20"/>
                <w:szCs w:val="20"/>
              </w:rPr>
            </w:pPr>
            <w:r w:rsidRPr="00220A93">
              <w:rPr>
                <w:rFonts w:eastAsia="Aptos Narrow"/>
                <w:color w:val="000000" w:themeColor="text1"/>
                <w:sz w:val="20"/>
                <w:szCs w:val="20"/>
              </w:rPr>
              <w:t>Gender</w:t>
            </w:r>
          </w:p>
        </w:tc>
        <w:tc>
          <w:tcPr>
            <w:tcW w:w="2340" w:type="dxa"/>
            <w:tcBorders>
              <w:top w:val="nil"/>
              <w:left w:val="nil"/>
              <w:bottom w:val="single" w:sz="8" w:space="0" w:color="44B3E1"/>
              <w:right w:val="nil"/>
            </w:tcBorders>
            <w:shd w:val="clear" w:color="000000" w:fill="F2F2F2"/>
            <w:vAlign w:val="center"/>
            <w:hideMark/>
          </w:tcPr>
          <w:p w14:paraId="4325B06D" w14:textId="77777777" w:rsidR="00F65C00" w:rsidRPr="00220A93" w:rsidRDefault="00F65C00" w:rsidP="00F65C00">
            <w:pPr>
              <w:jc w:val="center"/>
              <w:rPr>
                <w:color w:val="000000"/>
                <w:sz w:val="20"/>
                <w:szCs w:val="20"/>
              </w:rPr>
            </w:pPr>
            <w:r w:rsidRPr="00220A93">
              <w:rPr>
                <w:color w:val="000000"/>
                <w:sz w:val="20"/>
                <w:szCs w:val="20"/>
              </w:rPr>
              <w:t> </w:t>
            </w:r>
          </w:p>
        </w:tc>
        <w:tc>
          <w:tcPr>
            <w:tcW w:w="990" w:type="dxa"/>
            <w:tcBorders>
              <w:top w:val="nil"/>
              <w:left w:val="nil"/>
              <w:bottom w:val="single" w:sz="8" w:space="0" w:color="44B3E1"/>
              <w:right w:val="nil"/>
            </w:tcBorders>
            <w:shd w:val="clear" w:color="000000" w:fill="F2F2F2"/>
            <w:vAlign w:val="center"/>
            <w:hideMark/>
          </w:tcPr>
          <w:p w14:paraId="17EE2608" w14:textId="77777777" w:rsidR="00F65C00" w:rsidRPr="00220A93" w:rsidRDefault="00F65C00" w:rsidP="00F65C00">
            <w:pPr>
              <w:jc w:val="center"/>
              <w:rPr>
                <w:color w:val="000000"/>
                <w:sz w:val="20"/>
                <w:szCs w:val="20"/>
              </w:rPr>
            </w:pPr>
            <w:r w:rsidRPr="00220A93">
              <w:rPr>
                <w:color w:val="000000"/>
                <w:sz w:val="20"/>
                <w:szCs w:val="20"/>
              </w:rPr>
              <w:t>1.437</w:t>
            </w:r>
          </w:p>
        </w:tc>
        <w:tc>
          <w:tcPr>
            <w:tcW w:w="990" w:type="dxa"/>
            <w:tcBorders>
              <w:top w:val="nil"/>
              <w:left w:val="nil"/>
              <w:bottom w:val="single" w:sz="8" w:space="0" w:color="44B3E1"/>
              <w:right w:val="nil"/>
            </w:tcBorders>
            <w:shd w:val="clear" w:color="000000" w:fill="F2F2F2"/>
            <w:vAlign w:val="center"/>
            <w:hideMark/>
          </w:tcPr>
          <w:p w14:paraId="2635D1FB" w14:textId="77777777" w:rsidR="00F65C00" w:rsidRPr="00220A93" w:rsidRDefault="00F65C00" w:rsidP="00F65C00">
            <w:pPr>
              <w:jc w:val="center"/>
              <w:rPr>
                <w:color w:val="000000"/>
                <w:sz w:val="20"/>
                <w:szCs w:val="20"/>
              </w:rPr>
            </w:pPr>
            <w:r w:rsidRPr="00220A93">
              <w:rPr>
                <w:color w:val="000000"/>
                <w:sz w:val="20"/>
                <w:szCs w:val="20"/>
              </w:rPr>
              <w:t>0.166</w:t>
            </w:r>
          </w:p>
        </w:tc>
        <w:tc>
          <w:tcPr>
            <w:tcW w:w="1440" w:type="dxa"/>
            <w:tcBorders>
              <w:top w:val="nil"/>
              <w:left w:val="nil"/>
              <w:bottom w:val="single" w:sz="8" w:space="0" w:color="44B3E1"/>
              <w:right w:val="single" w:sz="8" w:space="0" w:color="44B3E1"/>
            </w:tcBorders>
            <w:shd w:val="clear" w:color="000000" w:fill="F2F2F2"/>
            <w:vAlign w:val="center"/>
            <w:hideMark/>
          </w:tcPr>
          <w:p w14:paraId="79C55230" w14:textId="77777777" w:rsidR="00F65C00" w:rsidRPr="00220A93" w:rsidRDefault="00F65C00" w:rsidP="00F65C00">
            <w:pPr>
              <w:jc w:val="center"/>
              <w:rPr>
                <w:color w:val="000000"/>
                <w:sz w:val="20"/>
                <w:szCs w:val="20"/>
              </w:rPr>
            </w:pPr>
            <w:r w:rsidRPr="00220A93">
              <w:rPr>
                <w:color w:val="000000"/>
                <w:sz w:val="20"/>
                <w:szCs w:val="20"/>
              </w:rPr>
              <w:t>-1.93, 10.51</w:t>
            </w:r>
          </w:p>
        </w:tc>
      </w:tr>
      <w:tr w:rsidR="005C4270" w14:paraId="44F9718A" w14:textId="77777777" w:rsidTr="005D6B9C">
        <w:trPr>
          <w:trHeight w:val="428"/>
        </w:trPr>
        <w:tc>
          <w:tcPr>
            <w:tcW w:w="2610" w:type="dxa"/>
            <w:tcBorders>
              <w:top w:val="nil"/>
              <w:left w:val="single" w:sz="8" w:space="0" w:color="44B3E1"/>
              <w:bottom w:val="single" w:sz="8" w:space="0" w:color="44B3E1"/>
              <w:right w:val="nil"/>
            </w:tcBorders>
            <w:shd w:val="clear" w:color="000000" w:fill="F2F2F2"/>
            <w:vAlign w:val="center"/>
            <w:hideMark/>
          </w:tcPr>
          <w:p w14:paraId="65AC119B" w14:textId="77777777" w:rsidR="00F65C00" w:rsidRPr="00220A93" w:rsidRDefault="00F65C00" w:rsidP="00F65C00">
            <w:pPr>
              <w:jc w:val="right"/>
              <w:rPr>
                <w:color w:val="000000"/>
                <w:sz w:val="20"/>
                <w:szCs w:val="20"/>
              </w:rPr>
            </w:pPr>
            <w:r w:rsidRPr="00220A93">
              <w:rPr>
                <w:rFonts w:eastAsia="Aptos Narrow"/>
                <w:color w:val="000000" w:themeColor="text1"/>
                <w:sz w:val="20"/>
                <w:szCs w:val="20"/>
              </w:rPr>
              <w:t>Female</w:t>
            </w:r>
          </w:p>
        </w:tc>
        <w:tc>
          <w:tcPr>
            <w:tcW w:w="2340" w:type="dxa"/>
            <w:tcBorders>
              <w:top w:val="nil"/>
              <w:left w:val="nil"/>
              <w:bottom w:val="single" w:sz="8" w:space="0" w:color="44B3E1"/>
              <w:right w:val="nil"/>
            </w:tcBorders>
            <w:shd w:val="clear" w:color="000000" w:fill="F2F2F2"/>
            <w:vAlign w:val="center"/>
            <w:hideMark/>
          </w:tcPr>
          <w:p w14:paraId="152C4F76" w14:textId="77777777" w:rsidR="00F65C00" w:rsidRPr="00220A93" w:rsidRDefault="00F65C00" w:rsidP="00F65C00">
            <w:pPr>
              <w:jc w:val="center"/>
              <w:rPr>
                <w:color w:val="000000"/>
                <w:sz w:val="20"/>
                <w:szCs w:val="20"/>
              </w:rPr>
            </w:pPr>
            <w:r w:rsidRPr="00220A93">
              <w:rPr>
                <w:color w:val="000000"/>
                <w:sz w:val="20"/>
                <w:szCs w:val="20"/>
              </w:rPr>
              <w:t>8±9.17</w:t>
            </w:r>
          </w:p>
        </w:tc>
        <w:tc>
          <w:tcPr>
            <w:tcW w:w="990" w:type="dxa"/>
            <w:tcBorders>
              <w:top w:val="nil"/>
              <w:left w:val="nil"/>
              <w:bottom w:val="single" w:sz="8" w:space="0" w:color="44B3E1"/>
              <w:right w:val="nil"/>
            </w:tcBorders>
            <w:shd w:val="clear" w:color="000000" w:fill="F2F2F2"/>
            <w:vAlign w:val="center"/>
            <w:hideMark/>
          </w:tcPr>
          <w:p w14:paraId="5FF127C6" w14:textId="77777777" w:rsidR="00F65C00" w:rsidRPr="00220A93" w:rsidRDefault="00F65C00" w:rsidP="00F65C00">
            <w:pPr>
              <w:jc w:val="center"/>
              <w:rPr>
                <w:color w:val="000000"/>
                <w:sz w:val="20"/>
                <w:szCs w:val="20"/>
              </w:rPr>
            </w:pPr>
            <w:r w:rsidRPr="00220A93">
              <w:rPr>
                <w:color w:val="000000"/>
                <w:sz w:val="20"/>
                <w:szCs w:val="20"/>
              </w:rPr>
              <w:t> </w:t>
            </w:r>
          </w:p>
        </w:tc>
        <w:tc>
          <w:tcPr>
            <w:tcW w:w="990" w:type="dxa"/>
            <w:tcBorders>
              <w:top w:val="nil"/>
              <w:left w:val="nil"/>
              <w:bottom w:val="single" w:sz="8" w:space="0" w:color="44B3E1"/>
              <w:right w:val="nil"/>
            </w:tcBorders>
            <w:shd w:val="clear" w:color="000000" w:fill="F2F2F2"/>
            <w:vAlign w:val="center"/>
            <w:hideMark/>
          </w:tcPr>
          <w:p w14:paraId="418FC2D4" w14:textId="77777777" w:rsidR="00F65C00" w:rsidRPr="00220A93" w:rsidRDefault="00F65C00" w:rsidP="00F65C00">
            <w:pPr>
              <w:jc w:val="center"/>
              <w:rPr>
                <w:color w:val="000000"/>
                <w:sz w:val="20"/>
                <w:szCs w:val="20"/>
              </w:rPr>
            </w:pPr>
            <w:r w:rsidRPr="00220A93">
              <w:rPr>
                <w:color w:val="000000"/>
                <w:sz w:val="20"/>
                <w:szCs w:val="20"/>
              </w:rPr>
              <w:t> </w:t>
            </w:r>
          </w:p>
        </w:tc>
        <w:tc>
          <w:tcPr>
            <w:tcW w:w="1440" w:type="dxa"/>
            <w:tcBorders>
              <w:top w:val="nil"/>
              <w:left w:val="nil"/>
              <w:bottom w:val="single" w:sz="8" w:space="0" w:color="44B3E1"/>
              <w:right w:val="single" w:sz="8" w:space="0" w:color="44B3E1"/>
            </w:tcBorders>
            <w:shd w:val="clear" w:color="000000" w:fill="F2F2F2"/>
            <w:vAlign w:val="center"/>
            <w:hideMark/>
          </w:tcPr>
          <w:p w14:paraId="43320812" w14:textId="77777777" w:rsidR="00F65C00" w:rsidRPr="00220A93" w:rsidRDefault="00F65C00" w:rsidP="00F65C00">
            <w:pPr>
              <w:jc w:val="center"/>
              <w:rPr>
                <w:color w:val="000000"/>
                <w:sz w:val="20"/>
                <w:szCs w:val="20"/>
              </w:rPr>
            </w:pPr>
            <w:r w:rsidRPr="00220A93">
              <w:rPr>
                <w:color w:val="000000"/>
                <w:sz w:val="20"/>
                <w:szCs w:val="20"/>
              </w:rPr>
              <w:t> </w:t>
            </w:r>
          </w:p>
        </w:tc>
      </w:tr>
      <w:tr w:rsidR="005C4270" w14:paraId="15E99BBB" w14:textId="77777777" w:rsidTr="005D6B9C">
        <w:trPr>
          <w:trHeight w:val="428"/>
        </w:trPr>
        <w:tc>
          <w:tcPr>
            <w:tcW w:w="2610" w:type="dxa"/>
            <w:tcBorders>
              <w:top w:val="nil"/>
              <w:left w:val="single" w:sz="8" w:space="0" w:color="44B3E1"/>
              <w:bottom w:val="single" w:sz="8" w:space="0" w:color="44B3E1"/>
              <w:right w:val="nil"/>
            </w:tcBorders>
            <w:shd w:val="clear" w:color="000000" w:fill="F2F2F2"/>
            <w:vAlign w:val="center"/>
            <w:hideMark/>
          </w:tcPr>
          <w:p w14:paraId="694C1850" w14:textId="77777777" w:rsidR="00F65C00" w:rsidRPr="00220A93" w:rsidRDefault="00F65C00" w:rsidP="00F65C00">
            <w:pPr>
              <w:jc w:val="right"/>
              <w:rPr>
                <w:color w:val="000000"/>
                <w:sz w:val="20"/>
                <w:szCs w:val="20"/>
              </w:rPr>
            </w:pPr>
            <w:r w:rsidRPr="00220A93">
              <w:rPr>
                <w:rFonts w:eastAsia="Aptos Narrow"/>
                <w:color w:val="000000" w:themeColor="text1"/>
                <w:sz w:val="20"/>
                <w:szCs w:val="20"/>
              </w:rPr>
              <w:t>Male</w:t>
            </w:r>
          </w:p>
        </w:tc>
        <w:tc>
          <w:tcPr>
            <w:tcW w:w="2340" w:type="dxa"/>
            <w:tcBorders>
              <w:top w:val="nil"/>
              <w:left w:val="nil"/>
              <w:bottom w:val="single" w:sz="8" w:space="0" w:color="44B3E1"/>
              <w:right w:val="nil"/>
            </w:tcBorders>
            <w:shd w:val="clear" w:color="000000" w:fill="F2F2F2"/>
            <w:vAlign w:val="center"/>
            <w:hideMark/>
          </w:tcPr>
          <w:p w14:paraId="274DA289" w14:textId="77777777" w:rsidR="00F65C00" w:rsidRPr="00220A93" w:rsidRDefault="00F65C00" w:rsidP="00F65C00">
            <w:pPr>
              <w:jc w:val="center"/>
              <w:rPr>
                <w:color w:val="000000"/>
                <w:sz w:val="20"/>
                <w:szCs w:val="20"/>
              </w:rPr>
            </w:pPr>
            <w:r w:rsidRPr="00220A93">
              <w:rPr>
                <w:color w:val="000000"/>
                <w:sz w:val="20"/>
                <w:szCs w:val="20"/>
              </w:rPr>
              <w:t>3.714±5.82</w:t>
            </w:r>
          </w:p>
        </w:tc>
        <w:tc>
          <w:tcPr>
            <w:tcW w:w="990" w:type="dxa"/>
            <w:tcBorders>
              <w:top w:val="nil"/>
              <w:left w:val="nil"/>
              <w:bottom w:val="single" w:sz="8" w:space="0" w:color="44B3E1"/>
              <w:right w:val="nil"/>
            </w:tcBorders>
            <w:shd w:val="clear" w:color="000000" w:fill="F2F2F2"/>
            <w:vAlign w:val="center"/>
            <w:hideMark/>
          </w:tcPr>
          <w:p w14:paraId="686123B4" w14:textId="77777777" w:rsidR="00F65C00" w:rsidRPr="00220A93" w:rsidRDefault="00F65C00" w:rsidP="00F65C00">
            <w:pPr>
              <w:jc w:val="center"/>
              <w:rPr>
                <w:color w:val="000000"/>
                <w:sz w:val="20"/>
                <w:szCs w:val="20"/>
              </w:rPr>
            </w:pPr>
            <w:r w:rsidRPr="00220A93">
              <w:rPr>
                <w:color w:val="000000"/>
                <w:sz w:val="20"/>
                <w:szCs w:val="20"/>
              </w:rPr>
              <w:t> </w:t>
            </w:r>
          </w:p>
        </w:tc>
        <w:tc>
          <w:tcPr>
            <w:tcW w:w="990" w:type="dxa"/>
            <w:tcBorders>
              <w:top w:val="nil"/>
              <w:left w:val="nil"/>
              <w:bottom w:val="single" w:sz="8" w:space="0" w:color="44B3E1"/>
              <w:right w:val="nil"/>
            </w:tcBorders>
            <w:shd w:val="clear" w:color="000000" w:fill="F2F2F2"/>
            <w:vAlign w:val="center"/>
            <w:hideMark/>
          </w:tcPr>
          <w:p w14:paraId="71A3AA99" w14:textId="77777777" w:rsidR="00F65C00" w:rsidRPr="00220A93" w:rsidRDefault="00F65C00" w:rsidP="00F65C00">
            <w:pPr>
              <w:jc w:val="center"/>
              <w:rPr>
                <w:color w:val="000000"/>
                <w:sz w:val="20"/>
                <w:szCs w:val="20"/>
              </w:rPr>
            </w:pPr>
            <w:r w:rsidRPr="00220A93">
              <w:rPr>
                <w:color w:val="000000"/>
                <w:sz w:val="20"/>
                <w:szCs w:val="20"/>
              </w:rPr>
              <w:t> </w:t>
            </w:r>
          </w:p>
        </w:tc>
        <w:tc>
          <w:tcPr>
            <w:tcW w:w="1440" w:type="dxa"/>
            <w:tcBorders>
              <w:top w:val="nil"/>
              <w:left w:val="nil"/>
              <w:bottom w:val="single" w:sz="8" w:space="0" w:color="44B3E1"/>
              <w:right w:val="single" w:sz="8" w:space="0" w:color="44B3E1"/>
            </w:tcBorders>
            <w:shd w:val="clear" w:color="000000" w:fill="F2F2F2"/>
            <w:vAlign w:val="center"/>
            <w:hideMark/>
          </w:tcPr>
          <w:p w14:paraId="2ED4933D" w14:textId="77777777" w:rsidR="00F65C00" w:rsidRPr="00220A93" w:rsidRDefault="00F65C00" w:rsidP="00F65C00">
            <w:pPr>
              <w:jc w:val="center"/>
              <w:rPr>
                <w:color w:val="000000"/>
                <w:sz w:val="20"/>
                <w:szCs w:val="20"/>
              </w:rPr>
            </w:pPr>
            <w:r w:rsidRPr="00220A93">
              <w:rPr>
                <w:color w:val="000000"/>
                <w:sz w:val="20"/>
                <w:szCs w:val="20"/>
              </w:rPr>
              <w:t> </w:t>
            </w:r>
          </w:p>
        </w:tc>
      </w:tr>
    </w:tbl>
    <w:p w14:paraId="63F72D2E" w14:textId="52DA6068" w:rsidR="00F65C00" w:rsidRPr="00F65C00" w:rsidRDefault="00F65C00" w:rsidP="005C4270">
      <w:pPr>
        <w:rPr>
          <w:sz w:val="22"/>
          <w:szCs w:val="22"/>
          <w:lang w:eastAsia="ja-JP"/>
        </w:rPr>
      </w:pPr>
      <w:bookmarkStart w:id="8" w:name="_4d34og8" w:colFirst="0" w:colLast="0"/>
      <w:bookmarkEnd w:id="8"/>
    </w:p>
    <w:p w14:paraId="525801F0" w14:textId="77777777" w:rsidR="00F65C00" w:rsidRDefault="00F65C00" w:rsidP="00220A93">
      <w:pPr>
        <w:pStyle w:val="Heading2"/>
        <w:ind w:left="0"/>
      </w:pPr>
    </w:p>
    <w:p w14:paraId="096A070B" w14:textId="61ED9B94" w:rsidR="0029184C" w:rsidRDefault="00D0147A" w:rsidP="005C4270">
      <w:pPr>
        <w:pBdr>
          <w:top w:val="nil"/>
          <w:left w:val="nil"/>
          <w:bottom w:val="nil"/>
          <w:right w:val="nil"/>
          <w:between w:val="nil"/>
        </w:pBdr>
        <w:spacing w:line="480" w:lineRule="auto"/>
      </w:pPr>
      <w:r>
        <w:rPr>
          <w:lang w:eastAsia="ja-JP"/>
        </w:rPr>
        <w:t xml:space="preserve">Spearman’s correlation coefficients for secondary study variables are reported in </w:t>
      </w:r>
      <w:r w:rsidR="00D059D4">
        <w:rPr>
          <w:lang w:eastAsia="ja-JP"/>
        </w:rPr>
        <w:t xml:space="preserve">Table 4. </w:t>
      </w:r>
      <w:r w:rsidR="00DB10A3">
        <w:rPr>
          <w:lang w:eastAsia="ja-JP"/>
        </w:rPr>
        <w:t>Consistent with existing literature</w:t>
      </w:r>
      <w:r w:rsidR="00D059D4">
        <w:rPr>
          <w:lang w:eastAsia="ja-JP"/>
        </w:rPr>
        <w:t xml:space="preserve">, measures of </w:t>
      </w:r>
      <w:r w:rsidR="00664346">
        <w:rPr>
          <w:lang w:eastAsia="ja-JP"/>
        </w:rPr>
        <w:t>h</w:t>
      </w:r>
      <w:r w:rsidR="00D059D4">
        <w:rPr>
          <w:lang w:eastAsia="ja-JP"/>
        </w:rPr>
        <w:t xml:space="preserve">eart rate were </w:t>
      </w:r>
      <w:r w:rsidR="00B328E1">
        <w:rPr>
          <w:lang w:eastAsia="ja-JP"/>
        </w:rPr>
        <w:t xml:space="preserve">significantly </w:t>
      </w:r>
      <w:r w:rsidR="00D059D4">
        <w:rPr>
          <w:lang w:eastAsia="ja-JP"/>
        </w:rPr>
        <w:t>associated with duration of exercise</w:t>
      </w:r>
      <w:r w:rsidR="00664346">
        <w:rPr>
          <w:lang w:eastAsia="ja-JP"/>
        </w:rPr>
        <w:t xml:space="preserve">. Pain </w:t>
      </w:r>
      <w:r w:rsidR="00B328E1">
        <w:rPr>
          <w:lang w:eastAsia="ja-JP"/>
        </w:rPr>
        <w:t>catastrophizing</w:t>
      </w:r>
      <w:r w:rsidR="00F70FC0">
        <w:rPr>
          <w:lang w:eastAsia="ja-JP"/>
        </w:rPr>
        <w:t>, however, was</w:t>
      </w:r>
      <w:r w:rsidR="00B328E1">
        <w:rPr>
          <w:lang w:eastAsia="ja-JP"/>
        </w:rPr>
        <w:t xml:space="preserve"> not correlated with</w:t>
      </w:r>
      <w:r w:rsidR="00F70FC0">
        <w:rPr>
          <w:lang w:eastAsia="ja-JP"/>
        </w:rPr>
        <w:t xml:space="preserve"> </w:t>
      </w:r>
      <w:r w:rsidR="00580F22">
        <w:rPr>
          <w:lang w:eastAsia="ja-JP"/>
        </w:rPr>
        <w:t xml:space="preserve">resting heart rate, maximal heart rate, </w:t>
      </w:r>
      <w:r w:rsidR="0049443A">
        <w:rPr>
          <w:lang w:eastAsia="ja-JP"/>
        </w:rPr>
        <w:t xml:space="preserve">or </w:t>
      </w:r>
      <w:r w:rsidR="00C14F68">
        <w:rPr>
          <w:lang w:eastAsia="ja-JP"/>
        </w:rPr>
        <w:t>duration of exercise for Visit 1 or Visit 2.</w:t>
      </w:r>
    </w:p>
    <w:p w14:paraId="4746FF1B" w14:textId="221B3918" w:rsidR="005C4270" w:rsidRDefault="005C4270" w:rsidP="005C4270">
      <w:pPr>
        <w:pBdr>
          <w:top w:val="nil"/>
          <w:left w:val="nil"/>
          <w:bottom w:val="nil"/>
          <w:right w:val="nil"/>
          <w:between w:val="nil"/>
        </w:pBdr>
        <w:spacing w:line="480" w:lineRule="auto"/>
      </w:pPr>
      <w:r>
        <w:t>Table 4</w:t>
      </w:r>
    </w:p>
    <w:p w14:paraId="2960ED03" w14:textId="23CD44C3" w:rsidR="00D059D4" w:rsidRDefault="005C4270" w:rsidP="006472EC">
      <w:pPr>
        <w:pBdr>
          <w:top w:val="nil"/>
          <w:left w:val="nil"/>
          <w:bottom w:val="nil"/>
          <w:right w:val="nil"/>
          <w:between w:val="nil"/>
        </w:pBdr>
        <w:spacing w:line="480" w:lineRule="auto"/>
        <w:rPr>
          <w:lang w:eastAsia="ja-JP"/>
        </w:rPr>
      </w:pPr>
      <w:r>
        <w:rPr>
          <w:i/>
          <w:iCs/>
        </w:rPr>
        <w:t>Correlation Matrix for Secondary Variables</w:t>
      </w:r>
    </w:p>
    <w:tbl>
      <w:tblPr>
        <w:tblW w:w="8285" w:type="dxa"/>
        <w:tblInd w:w="625" w:type="dxa"/>
        <w:tblLook w:val="04A0" w:firstRow="1" w:lastRow="0" w:firstColumn="1" w:lastColumn="0" w:noHBand="0" w:noVBand="1"/>
      </w:tblPr>
      <w:tblGrid>
        <w:gridCol w:w="1440"/>
        <w:gridCol w:w="90"/>
        <w:gridCol w:w="90"/>
        <w:gridCol w:w="1170"/>
        <w:gridCol w:w="1350"/>
        <w:gridCol w:w="1445"/>
        <w:gridCol w:w="1530"/>
        <w:gridCol w:w="1170"/>
      </w:tblGrid>
      <w:tr w:rsidR="005C4270" w14:paraId="5003EF2F" w14:textId="77777777" w:rsidTr="007067C3">
        <w:trPr>
          <w:trHeight w:val="458"/>
        </w:trPr>
        <w:tc>
          <w:tcPr>
            <w:tcW w:w="1620" w:type="dxa"/>
            <w:gridSpan w:val="3"/>
            <w:tcBorders>
              <w:top w:val="nil"/>
              <w:bottom w:val="single" w:sz="4" w:space="0" w:color="44B3E1"/>
              <w:right w:val="nil"/>
            </w:tcBorders>
            <w:shd w:val="clear" w:color="000000" w:fill="BFBFBF"/>
            <w:noWrap/>
            <w:vAlign w:val="bottom"/>
            <w:hideMark/>
          </w:tcPr>
          <w:p w14:paraId="73FEC619" w14:textId="77777777" w:rsidR="003D5017" w:rsidRPr="00E37559" w:rsidRDefault="003D5017">
            <w:pPr>
              <w:rPr>
                <w:color w:val="000000"/>
                <w:sz w:val="18"/>
                <w:szCs w:val="18"/>
              </w:rPr>
            </w:pPr>
            <w:r w:rsidRPr="00E37559">
              <w:rPr>
                <w:color w:val="000000"/>
                <w:sz w:val="18"/>
                <w:szCs w:val="18"/>
              </w:rPr>
              <w:t> </w:t>
            </w:r>
          </w:p>
        </w:tc>
        <w:tc>
          <w:tcPr>
            <w:tcW w:w="6665" w:type="dxa"/>
            <w:gridSpan w:val="5"/>
            <w:tcBorders>
              <w:top w:val="nil"/>
              <w:left w:val="nil"/>
              <w:bottom w:val="single" w:sz="4" w:space="0" w:color="44B3E1"/>
              <w:right w:val="single" w:sz="4" w:space="0" w:color="44B3E1"/>
            </w:tcBorders>
            <w:shd w:val="clear" w:color="000000" w:fill="BFBFBF"/>
            <w:noWrap/>
            <w:vAlign w:val="bottom"/>
            <w:hideMark/>
          </w:tcPr>
          <w:p w14:paraId="1002A1C0" w14:textId="77777777" w:rsidR="003D5017" w:rsidRPr="00E37559" w:rsidRDefault="003D5017">
            <w:pPr>
              <w:jc w:val="center"/>
              <w:rPr>
                <w:color w:val="000000"/>
                <w:sz w:val="18"/>
                <w:szCs w:val="18"/>
              </w:rPr>
            </w:pPr>
            <w:r w:rsidRPr="00E37559">
              <w:rPr>
                <w:color w:val="000000"/>
                <w:sz w:val="18"/>
                <w:szCs w:val="18"/>
              </w:rPr>
              <w:t>Correlation and P-Value Matrix</w:t>
            </w:r>
          </w:p>
        </w:tc>
      </w:tr>
      <w:tr w:rsidR="007067C3" w14:paraId="6F5FB18E" w14:textId="77777777" w:rsidTr="007067C3">
        <w:trPr>
          <w:trHeight w:val="458"/>
        </w:trPr>
        <w:tc>
          <w:tcPr>
            <w:tcW w:w="1530" w:type="dxa"/>
            <w:gridSpan w:val="2"/>
            <w:tcBorders>
              <w:top w:val="nil"/>
              <w:bottom w:val="single" w:sz="4" w:space="0" w:color="44B3E1"/>
              <w:right w:val="nil"/>
            </w:tcBorders>
            <w:shd w:val="clear" w:color="C0E6F5" w:fill="BFBFBF"/>
            <w:noWrap/>
            <w:vAlign w:val="bottom"/>
            <w:hideMark/>
          </w:tcPr>
          <w:p w14:paraId="41FBACE6" w14:textId="77777777" w:rsidR="003D5017" w:rsidRPr="00E37559" w:rsidRDefault="003D5017">
            <w:pPr>
              <w:rPr>
                <w:color w:val="000000"/>
                <w:sz w:val="18"/>
                <w:szCs w:val="18"/>
              </w:rPr>
            </w:pPr>
            <w:r w:rsidRPr="00E37559">
              <w:rPr>
                <w:color w:val="000000"/>
                <w:sz w:val="18"/>
                <w:szCs w:val="18"/>
              </w:rPr>
              <w:t> </w:t>
            </w:r>
          </w:p>
        </w:tc>
        <w:tc>
          <w:tcPr>
            <w:tcW w:w="1260" w:type="dxa"/>
            <w:gridSpan w:val="2"/>
            <w:tcBorders>
              <w:top w:val="nil"/>
              <w:left w:val="nil"/>
              <w:bottom w:val="single" w:sz="4" w:space="0" w:color="44B3E1"/>
            </w:tcBorders>
            <w:shd w:val="clear" w:color="000000" w:fill="BFBFBF"/>
            <w:noWrap/>
            <w:vAlign w:val="bottom"/>
            <w:hideMark/>
          </w:tcPr>
          <w:p w14:paraId="6F24D0B0" w14:textId="77777777" w:rsidR="003D5017" w:rsidRPr="00E37559" w:rsidRDefault="003D5017">
            <w:pPr>
              <w:rPr>
                <w:color w:val="000000"/>
                <w:sz w:val="18"/>
                <w:szCs w:val="18"/>
              </w:rPr>
            </w:pPr>
            <w:r w:rsidRPr="00E37559">
              <w:rPr>
                <w:color w:val="000000"/>
                <w:sz w:val="18"/>
                <w:szCs w:val="18"/>
              </w:rPr>
              <w:t xml:space="preserve">Resting Heart Rate </w:t>
            </w:r>
          </w:p>
        </w:tc>
        <w:tc>
          <w:tcPr>
            <w:tcW w:w="1350" w:type="dxa"/>
            <w:tcBorders>
              <w:top w:val="nil"/>
              <w:bottom w:val="single" w:sz="4" w:space="0" w:color="44B3E1"/>
            </w:tcBorders>
            <w:shd w:val="clear" w:color="C0E6F5" w:fill="BFBFBF"/>
            <w:noWrap/>
            <w:vAlign w:val="bottom"/>
            <w:hideMark/>
          </w:tcPr>
          <w:p w14:paraId="7266E7AC" w14:textId="77777777" w:rsidR="003D5017" w:rsidRPr="00E37559" w:rsidRDefault="003D5017">
            <w:pPr>
              <w:rPr>
                <w:color w:val="000000"/>
                <w:sz w:val="18"/>
                <w:szCs w:val="18"/>
              </w:rPr>
            </w:pPr>
            <w:r w:rsidRPr="00E37559">
              <w:rPr>
                <w:color w:val="000000"/>
                <w:sz w:val="18"/>
                <w:szCs w:val="18"/>
              </w:rPr>
              <w:t>Max Heart Rate</w:t>
            </w:r>
          </w:p>
        </w:tc>
        <w:tc>
          <w:tcPr>
            <w:tcW w:w="1445" w:type="dxa"/>
            <w:tcBorders>
              <w:top w:val="nil"/>
              <w:bottom w:val="single" w:sz="4" w:space="0" w:color="44B3E1"/>
            </w:tcBorders>
            <w:shd w:val="clear" w:color="000000" w:fill="BFBFBF"/>
            <w:noWrap/>
            <w:vAlign w:val="bottom"/>
            <w:hideMark/>
          </w:tcPr>
          <w:p w14:paraId="70D29583" w14:textId="77777777" w:rsidR="003D5017" w:rsidRPr="00E37559" w:rsidRDefault="003D5017">
            <w:pPr>
              <w:rPr>
                <w:color w:val="000000"/>
                <w:sz w:val="18"/>
                <w:szCs w:val="18"/>
              </w:rPr>
            </w:pPr>
            <w:r w:rsidRPr="00E37559">
              <w:rPr>
                <w:color w:val="000000"/>
                <w:sz w:val="18"/>
                <w:szCs w:val="18"/>
              </w:rPr>
              <w:t>Exercise Length (Visit 1)</w:t>
            </w:r>
          </w:p>
        </w:tc>
        <w:tc>
          <w:tcPr>
            <w:tcW w:w="1530" w:type="dxa"/>
            <w:tcBorders>
              <w:top w:val="nil"/>
              <w:bottom w:val="single" w:sz="4" w:space="0" w:color="44B3E1"/>
              <w:right w:val="nil"/>
            </w:tcBorders>
            <w:shd w:val="clear" w:color="000000" w:fill="BFBFBF"/>
            <w:noWrap/>
            <w:vAlign w:val="bottom"/>
            <w:hideMark/>
          </w:tcPr>
          <w:p w14:paraId="59BEAF4F" w14:textId="77777777" w:rsidR="003D5017" w:rsidRPr="00E37559" w:rsidRDefault="003D5017">
            <w:pPr>
              <w:rPr>
                <w:color w:val="000000"/>
                <w:sz w:val="18"/>
                <w:szCs w:val="18"/>
              </w:rPr>
            </w:pPr>
            <w:r w:rsidRPr="00E37559">
              <w:rPr>
                <w:color w:val="000000"/>
                <w:sz w:val="18"/>
                <w:szCs w:val="18"/>
              </w:rPr>
              <w:t>Exercise Length (Visit 2)</w:t>
            </w:r>
          </w:p>
        </w:tc>
        <w:tc>
          <w:tcPr>
            <w:tcW w:w="1170" w:type="dxa"/>
            <w:tcBorders>
              <w:top w:val="nil"/>
              <w:left w:val="nil"/>
              <w:bottom w:val="single" w:sz="4" w:space="0" w:color="44B3E1"/>
              <w:right w:val="single" w:sz="4" w:space="0" w:color="44B3E1"/>
            </w:tcBorders>
            <w:shd w:val="clear" w:color="000000" w:fill="BFBFBF"/>
            <w:noWrap/>
            <w:vAlign w:val="bottom"/>
            <w:hideMark/>
          </w:tcPr>
          <w:p w14:paraId="0358591F" w14:textId="769D6AE4" w:rsidR="003D5017" w:rsidRPr="00E37559" w:rsidRDefault="003D5017">
            <w:pPr>
              <w:rPr>
                <w:color w:val="000000"/>
                <w:sz w:val="18"/>
                <w:szCs w:val="18"/>
              </w:rPr>
            </w:pPr>
            <w:r w:rsidRPr="00E37559">
              <w:rPr>
                <w:color w:val="000000"/>
                <w:sz w:val="18"/>
                <w:szCs w:val="18"/>
              </w:rPr>
              <w:t>PC Score</w:t>
            </w:r>
          </w:p>
        </w:tc>
      </w:tr>
      <w:tr w:rsidR="007067C3" w14:paraId="51B2E0C9" w14:textId="77777777" w:rsidTr="007067C3">
        <w:trPr>
          <w:trHeight w:val="491"/>
        </w:trPr>
        <w:tc>
          <w:tcPr>
            <w:tcW w:w="1440" w:type="dxa"/>
            <w:tcBorders>
              <w:top w:val="nil"/>
              <w:left w:val="nil"/>
              <w:bottom w:val="single" w:sz="4" w:space="0" w:color="44B3E1"/>
              <w:right w:val="nil"/>
            </w:tcBorders>
            <w:shd w:val="clear" w:color="000000" w:fill="BFBFBF"/>
            <w:noWrap/>
            <w:vAlign w:val="bottom"/>
            <w:hideMark/>
          </w:tcPr>
          <w:p w14:paraId="452B96BD" w14:textId="77777777" w:rsidR="003D5017" w:rsidRPr="00E37559" w:rsidRDefault="003D5017">
            <w:pPr>
              <w:rPr>
                <w:color w:val="000000"/>
                <w:sz w:val="18"/>
                <w:szCs w:val="18"/>
              </w:rPr>
            </w:pPr>
            <w:r w:rsidRPr="00E37559">
              <w:rPr>
                <w:color w:val="000000"/>
                <w:sz w:val="18"/>
                <w:szCs w:val="18"/>
              </w:rPr>
              <w:t xml:space="preserve">Resting Heart Rate </w:t>
            </w:r>
          </w:p>
        </w:tc>
        <w:tc>
          <w:tcPr>
            <w:tcW w:w="1350" w:type="dxa"/>
            <w:gridSpan w:val="3"/>
            <w:tcBorders>
              <w:top w:val="nil"/>
              <w:left w:val="nil"/>
              <w:bottom w:val="single" w:sz="4" w:space="0" w:color="44B3E1"/>
              <w:right w:val="nil"/>
            </w:tcBorders>
            <w:shd w:val="clear" w:color="000000" w:fill="F2F2F2"/>
            <w:noWrap/>
            <w:vAlign w:val="bottom"/>
            <w:hideMark/>
          </w:tcPr>
          <w:p w14:paraId="344297C5" w14:textId="77777777" w:rsidR="003D5017" w:rsidRPr="00E37559" w:rsidRDefault="003D5017">
            <w:pPr>
              <w:rPr>
                <w:color w:val="000000"/>
                <w:sz w:val="18"/>
                <w:szCs w:val="18"/>
              </w:rPr>
            </w:pPr>
            <w:r w:rsidRPr="00E37559">
              <w:rPr>
                <w:color w:val="000000"/>
                <w:sz w:val="18"/>
                <w:szCs w:val="18"/>
              </w:rPr>
              <w:t> </w:t>
            </w:r>
          </w:p>
        </w:tc>
        <w:tc>
          <w:tcPr>
            <w:tcW w:w="1350" w:type="dxa"/>
            <w:tcBorders>
              <w:top w:val="nil"/>
              <w:left w:val="nil"/>
              <w:bottom w:val="single" w:sz="4" w:space="0" w:color="44B3E1"/>
              <w:right w:val="nil"/>
            </w:tcBorders>
            <w:shd w:val="clear" w:color="000000" w:fill="F2F2F2"/>
            <w:vAlign w:val="bottom"/>
            <w:hideMark/>
          </w:tcPr>
          <w:p w14:paraId="79C52280" w14:textId="77777777" w:rsidR="003D5017" w:rsidRPr="00E37559" w:rsidRDefault="003D5017">
            <w:pPr>
              <w:rPr>
                <w:color w:val="000000"/>
                <w:sz w:val="18"/>
                <w:szCs w:val="18"/>
              </w:rPr>
            </w:pPr>
            <w:r w:rsidRPr="00E37559">
              <w:rPr>
                <w:color w:val="000000"/>
                <w:sz w:val="18"/>
                <w:szCs w:val="18"/>
              </w:rPr>
              <w:t>rho = 0.472</w:t>
            </w:r>
          </w:p>
        </w:tc>
        <w:tc>
          <w:tcPr>
            <w:tcW w:w="1445" w:type="dxa"/>
            <w:tcBorders>
              <w:top w:val="nil"/>
              <w:left w:val="nil"/>
              <w:bottom w:val="single" w:sz="4" w:space="0" w:color="44B3E1"/>
              <w:right w:val="nil"/>
            </w:tcBorders>
            <w:shd w:val="clear" w:color="000000" w:fill="F2F2F2"/>
            <w:vAlign w:val="bottom"/>
            <w:hideMark/>
          </w:tcPr>
          <w:p w14:paraId="1AC982B6" w14:textId="77777777" w:rsidR="003D5017" w:rsidRPr="00E37559" w:rsidRDefault="003D5017">
            <w:pPr>
              <w:rPr>
                <w:color w:val="000000"/>
                <w:sz w:val="18"/>
                <w:szCs w:val="18"/>
              </w:rPr>
            </w:pPr>
            <w:r w:rsidRPr="00E37559">
              <w:rPr>
                <w:color w:val="000000"/>
                <w:sz w:val="18"/>
                <w:szCs w:val="18"/>
              </w:rPr>
              <w:t>rho = -0.505</w:t>
            </w:r>
          </w:p>
        </w:tc>
        <w:tc>
          <w:tcPr>
            <w:tcW w:w="1530" w:type="dxa"/>
            <w:tcBorders>
              <w:top w:val="nil"/>
              <w:left w:val="nil"/>
              <w:bottom w:val="single" w:sz="4" w:space="0" w:color="44B3E1"/>
              <w:right w:val="nil"/>
            </w:tcBorders>
            <w:shd w:val="clear" w:color="000000" w:fill="F2F2F2"/>
            <w:vAlign w:val="bottom"/>
            <w:hideMark/>
          </w:tcPr>
          <w:p w14:paraId="3FA83D7C" w14:textId="77777777" w:rsidR="003D5017" w:rsidRPr="00E37559" w:rsidRDefault="003D5017">
            <w:pPr>
              <w:rPr>
                <w:color w:val="000000"/>
                <w:sz w:val="18"/>
                <w:szCs w:val="18"/>
              </w:rPr>
            </w:pPr>
            <w:r w:rsidRPr="00E37559">
              <w:rPr>
                <w:color w:val="000000"/>
                <w:sz w:val="18"/>
                <w:szCs w:val="18"/>
              </w:rPr>
              <w:t>rho = -0.525</w:t>
            </w:r>
          </w:p>
        </w:tc>
        <w:tc>
          <w:tcPr>
            <w:tcW w:w="1170" w:type="dxa"/>
            <w:tcBorders>
              <w:top w:val="nil"/>
              <w:left w:val="nil"/>
              <w:bottom w:val="single" w:sz="4" w:space="0" w:color="44B3E1"/>
              <w:right w:val="nil"/>
            </w:tcBorders>
            <w:shd w:val="clear" w:color="000000" w:fill="F2F2F2"/>
            <w:vAlign w:val="bottom"/>
            <w:hideMark/>
          </w:tcPr>
          <w:p w14:paraId="344B8ED2" w14:textId="77777777" w:rsidR="003D5017" w:rsidRPr="00E37559" w:rsidRDefault="003D5017">
            <w:pPr>
              <w:rPr>
                <w:color w:val="000000"/>
                <w:sz w:val="18"/>
                <w:szCs w:val="18"/>
              </w:rPr>
            </w:pPr>
            <w:r w:rsidRPr="00E37559">
              <w:rPr>
                <w:color w:val="000000"/>
                <w:sz w:val="18"/>
                <w:szCs w:val="18"/>
              </w:rPr>
              <w:t>rho = 0.054</w:t>
            </w:r>
          </w:p>
        </w:tc>
      </w:tr>
      <w:tr w:rsidR="007067C3" w14:paraId="60BF34A6" w14:textId="77777777" w:rsidTr="007067C3">
        <w:trPr>
          <w:trHeight w:val="491"/>
        </w:trPr>
        <w:tc>
          <w:tcPr>
            <w:tcW w:w="1440" w:type="dxa"/>
            <w:tcBorders>
              <w:top w:val="nil"/>
              <w:bottom w:val="single" w:sz="4" w:space="0" w:color="44B3E1"/>
              <w:right w:val="nil"/>
            </w:tcBorders>
            <w:shd w:val="clear" w:color="C0E6F5" w:fill="BFBFBF"/>
            <w:noWrap/>
            <w:vAlign w:val="bottom"/>
            <w:hideMark/>
          </w:tcPr>
          <w:p w14:paraId="56665855" w14:textId="77777777" w:rsidR="003D5017" w:rsidRPr="00E37559" w:rsidRDefault="003D5017">
            <w:pPr>
              <w:rPr>
                <w:color w:val="000000"/>
                <w:sz w:val="18"/>
                <w:szCs w:val="18"/>
              </w:rPr>
            </w:pPr>
            <w:r w:rsidRPr="00E37559">
              <w:rPr>
                <w:color w:val="000000"/>
                <w:sz w:val="18"/>
                <w:szCs w:val="18"/>
              </w:rPr>
              <w:t>Max Heart Rate</w:t>
            </w:r>
          </w:p>
        </w:tc>
        <w:tc>
          <w:tcPr>
            <w:tcW w:w="1350" w:type="dxa"/>
            <w:gridSpan w:val="3"/>
            <w:tcBorders>
              <w:top w:val="nil"/>
              <w:left w:val="nil"/>
              <w:bottom w:val="single" w:sz="4" w:space="0" w:color="44B3E1"/>
              <w:right w:val="nil"/>
            </w:tcBorders>
            <w:shd w:val="clear" w:color="C0E6F5" w:fill="F2F2F2"/>
            <w:noWrap/>
            <w:vAlign w:val="bottom"/>
            <w:hideMark/>
          </w:tcPr>
          <w:p w14:paraId="2F57A280" w14:textId="77777777" w:rsidR="003D5017" w:rsidRPr="00E37559" w:rsidRDefault="003D5017">
            <w:pPr>
              <w:rPr>
                <w:color w:val="000000"/>
                <w:sz w:val="18"/>
                <w:szCs w:val="18"/>
              </w:rPr>
            </w:pPr>
            <w:r w:rsidRPr="00E37559">
              <w:rPr>
                <w:color w:val="000000"/>
                <w:sz w:val="18"/>
                <w:szCs w:val="18"/>
              </w:rPr>
              <w:t>p = 0.013**</w:t>
            </w:r>
          </w:p>
        </w:tc>
        <w:tc>
          <w:tcPr>
            <w:tcW w:w="1350" w:type="dxa"/>
            <w:tcBorders>
              <w:top w:val="nil"/>
              <w:left w:val="nil"/>
              <w:bottom w:val="single" w:sz="4" w:space="0" w:color="44B3E1"/>
              <w:right w:val="nil"/>
            </w:tcBorders>
            <w:shd w:val="clear" w:color="C0E6F5" w:fill="F2F2F2"/>
            <w:noWrap/>
            <w:vAlign w:val="bottom"/>
            <w:hideMark/>
          </w:tcPr>
          <w:p w14:paraId="5001D85F" w14:textId="77777777" w:rsidR="003D5017" w:rsidRPr="00E37559" w:rsidRDefault="003D5017">
            <w:pPr>
              <w:rPr>
                <w:color w:val="000000"/>
                <w:sz w:val="18"/>
                <w:szCs w:val="18"/>
              </w:rPr>
            </w:pPr>
            <w:r w:rsidRPr="00E37559">
              <w:rPr>
                <w:color w:val="000000"/>
                <w:sz w:val="18"/>
                <w:szCs w:val="18"/>
              </w:rPr>
              <w:t> </w:t>
            </w:r>
          </w:p>
        </w:tc>
        <w:tc>
          <w:tcPr>
            <w:tcW w:w="1445" w:type="dxa"/>
            <w:tcBorders>
              <w:top w:val="nil"/>
              <w:left w:val="nil"/>
              <w:bottom w:val="single" w:sz="4" w:space="0" w:color="44B3E1"/>
              <w:right w:val="nil"/>
            </w:tcBorders>
            <w:shd w:val="clear" w:color="000000" w:fill="F2F2F2"/>
            <w:vAlign w:val="bottom"/>
            <w:hideMark/>
          </w:tcPr>
          <w:p w14:paraId="71D6A67A" w14:textId="77777777" w:rsidR="003D5017" w:rsidRPr="00E37559" w:rsidRDefault="003D5017">
            <w:pPr>
              <w:rPr>
                <w:color w:val="000000"/>
                <w:sz w:val="18"/>
                <w:szCs w:val="18"/>
              </w:rPr>
            </w:pPr>
            <w:r w:rsidRPr="00E37559">
              <w:rPr>
                <w:color w:val="000000"/>
                <w:sz w:val="18"/>
                <w:szCs w:val="18"/>
              </w:rPr>
              <w:t>rho =- 0.160</w:t>
            </w:r>
          </w:p>
        </w:tc>
        <w:tc>
          <w:tcPr>
            <w:tcW w:w="1530" w:type="dxa"/>
            <w:tcBorders>
              <w:top w:val="nil"/>
              <w:left w:val="nil"/>
              <w:bottom w:val="single" w:sz="4" w:space="0" w:color="44B3E1"/>
              <w:right w:val="nil"/>
            </w:tcBorders>
            <w:shd w:val="clear" w:color="000000" w:fill="F2F2F2"/>
            <w:vAlign w:val="bottom"/>
            <w:hideMark/>
          </w:tcPr>
          <w:p w14:paraId="52BD7AB9" w14:textId="77777777" w:rsidR="003D5017" w:rsidRPr="00E37559" w:rsidRDefault="003D5017">
            <w:pPr>
              <w:rPr>
                <w:color w:val="000000"/>
                <w:sz w:val="18"/>
                <w:szCs w:val="18"/>
              </w:rPr>
            </w:pPr>
            <w:r w:rsidRPr="00E37559">
              <w:rPr>
                <w:color w:val="000000"/>
                <w:sz w:val="18"/>
                <w:szCs w:val="18"/>
              </w:rPr>
              <w:t>rho = -0.174</w:t>
            </w:r>
          </w:p>
        </w:tc>
        <w:tc>
          <w:tcPr>
            <w:tcW w:w="1170" w:type="dxa"/>
            <w:tcBorders>
              <w:top w:val="nil"/>
              <w:left w:val="nil"/>
              <w:bottom w:val="single" w:sz="4" w:space="0" w:color="44B3E1"/>
              <w:right w:val="nil"/>
            </w:tcBorders>
            <w:shd w:val="clear" w:color="000000" w:fill="F2F2F2"/>
            <w:vAlign w:val="bottom"/>
            <w:hideMark/>
          </w:tcPr>
          <w:p w14:paraId="4A19F455" w14:textId="77777777" w:rsidR="003D5017" w:rsidRPr="00E37559" w:rsidRDefault="003D5017">
            <w:pPr>
              <w:rPr>
                <w:color w:val="000000"/>
                <w:sz w:val="18"/>
                <w:szCs w:val="18"/>
              </w:rPr>
            </w:pPr>
            <w:r w:rsidRPr="00E37559">
              <w:rPr>
                <w:color w:val="000000"/>
                <w:sz w:val="18"/>
                <w:szCs w:val="18"/>
              </w:rPr>
              <w:t>rho = 0.229</w:t>
            </w:r>
          </w:p>
        </w:tc>
      </w:tr>
      <w:tr w:rsidR="007067C3" w14:paraId="64155FEE" w14:textId="77777777" w:rsidTr="007067C3">
        <w:trPr>
          <w:trHeight w:val="491"/>
        </w:trPr>
        <w:tc>
          <w:tcPr>
            <w:tcW w:w="1440" w:type="dxa"/>
            <w:tcBorders>
              <w:top w:val="nil"/>
              <w:bottom w:val="single" w:sz="4" w:space="0" w:color="44B3E1"/>
              <w:right w:val="nil"/>
            </w:tcBorders>
            <w:shd w:val="clear" w:color="000000" w:fill="BFBFBF"/>
            <w:noWrap/>
            <w:vAlign w:val="bottom"/>
            <w:hideMark/>
          </w:tcPr>
          <w:p w14:paraId="2253A0FE" w14:textId="2A4E7DFB" w:rsidR="003D5017" w:rsidRPr="00E37559" w:rsidRDefault="003D5017">
            <w:pPr>
              <w:rPr>
                <w:color w:val="000000"/>
                <w:sz w:val="18"/>
                <w:szCs w:val="18"/>
              </w:rPr>
            </w:pPr>
            <w:r w:rsidRPr="00E37559">
              <w:rPr>
                <w:color w:val="000000"/>
                <w:sz w:val="18"/>
                <w:szCs w:val="18"/>
              </w:rPr>
              <w:t>Exercise Length (V1)</w:t>
            </w:r>
          </w:p>
        </w:tc>
        <w:tc>
          <w:tcPr>
            <w:tcW w:w="1350" w:type="dxa"/>
            <w:gridSpan w:val="3"/>
            <w:tcBorders>
              <w:top w:val="nil"/>
              <w:left w:val="nil"/>
              <w:bottom w:val="single" w:sz="4" w:space="0" w:color="44B3E1"/>
              <w:right w:val="nil"/>
            </w:tcBorders>
            <w:shd w:val="clear" w:color="000000" w:fill="F2F2F2"/>
            <w:noWrap/>
            <w:vAlign w:val="bottom"/>
            <w:hideMark/>
          </w:tcPr>
          <w:p w14:paraId="7D53FE32" w14:textId="77777777" w:rsidR="003D5017" w:rsidRPr="00E37559" w:rsidRDefault="003D5017">
            <w:pPr>
              <w:rPr>
                <w:color w:val="000000"/>
                <w:sz w:val="18"/>
                <w:szCs w:val="18"/>
              </w:rPr>
            </w:pPr>
            <w:r w:rsidRPr="00E37559">
              <w:rPr>
                <w:color w:val="000000"/>
                <w:sz w:val="18"/>
                <w:szCs w:val="18"/>
              </w:rPr>
              <w:t>p = 0.007**</w:t>
            </w:r>
          </w:p>
        </w:tc>
        <w:tc>
          <w:tcPr>
            <w:tcW w:w="1350" w:type="dxa"/>
            <w:tcBorders>
              <w:top w:val="nil"/>
              <w:left w:val="nil"/>
              <w:bottom w:val="single" w:sz="4" w:space="0" w:color="44B3E1"/>
              <w:right w:val="nil"/>
            </w:tcBorders>
            <w:shd w:val="clear" w:color="000000" w:fill="F2F2F2"/>
            <w:noWrap/>
            <w:vAlign w:val="bottom"/>
            <w:hideMark/>
          </w:tcPr>
          <w:p w14:paraId="1A4BC0C6" w14:textId="77777777" w:rsidR="003D5017" w:rsidRPr="00E37559" w:rsidRDefault="003D5017">
            <w:pPr>
              <w:rPr>
                <w:color w:val="000000"/>
                <w:sz w:val="18"/>
                <w:szCs w:val="18"/>
              </w:rPr>
            </w:pPr>
            <w:r w:rsidRPr="00E37559">
              <w:rPr>
                <w:color w:val="000000"/>
                <w:sz w:val="18"/>
                <w:szCs w:val="18"/>
              </w:rPr>
              <w:t>p =  0.426</w:t>
            </w:r>
          </w:p>
        </w:tc>
        <w:tc>
          <w:tcPr>
            <w:tcW w:w="1445" w:type="dxa"/>
            <w:tcBorders>
              <w:top w:val="nil"/>
              <w:left w:val="nil"/>
              <w:bottom w:val="single" w:sz="4" w:space="0" w:color="44B3E1"/>
              <w:right w:val="nil"/>
            </w:tcBorders>
            <w:shd w:val="clear" w:color="000000" w:fill="F2F2F2"/>
            <w:noWrap/>
            <w:vAlign w:val="bottom"/>
            <w:hideMark/>
          </w:tcPr>
          <w:p w14:paraId="672F221A" w14:textId="77777777" w:rsidR="003D5017" w:rsidRPr="00E37559" w:rsidRDefault="003D5017">
            <w:pPr>
              <w:rPr>
                <w:color w:val="000000"/>
                <w:sz w:val="18"/>
                <w:szCs w:val="18"/>
              </w:rPr>
            </w:pPr>
            <w:r w:rsidRPr="00E37559">
              <w:rPr>
                <w:color w:val="000000"/>
                <w:sz w:val="18"/>
                <w:szCs w:val="18"/>
              </w:rPr>
              <w:t> </w:t>
            </w:r>
          </w:p>
        </w:tc>
        <w:tc>
          <w:tcPr>
            <w:tcW w:w="1530" w:type="dxa"/>
            <w:tcBorders>
              <w:top w:val="nil"/>
              <w:left w:val="nil"/>
              <w:bottom w:val="single" w:sz="4" w:space="0" w:color="44B3E1"/>
              <w:right w:val="nil"/>
            </w:tcBorders>
            <w:shd w:val="clear" w:color="000000" w:fill="F2F2F2"/>
            <w:vAlign w:val="bottom"/>
            <w:hideMark/>
          </w:tcPr>
          <w:p w14:paraId="163C25CD" w14:textId="77777777" w:rsidR="003D5017" w:rsidRPr="00E37559" w:rsidRDefault="003D5017">
            <w:pPr>
              <w:rPr>
                <w:color w:val="000000"/>
                <w:sz w:val="18"/>
                <w:szCs w:val="18"/>
              </w:rPr>
            </w:pPr>
            <w:r w:rsidRPr="00E37559">
              <w:rPr>
                <w:color w:val="000000"/>
                <w:sz w:val="18"/>
                <w:szCs w:val="18"/>
              </w:rPr>
              <w:t>rho = 0.955</w:t>
            </w:r>
          </w:p>
        </w:tc>
        <w:tc>
          <w:tcPr>
            <w:tcW w:w="1170" w:type="dxa"/>
            <w:tcBorders>
              <w:top w:val="nil"/>
              <w:left w:val="nil"/>
              <w:bottom w:val="single" w:sz="4" w:space="0" w:color="44B3E1"/>
              <w:right w:val="nil"/>
            </w:tcBorders>
            <w:shd w:val="clear" w:color="000000" w:fill="F2F2F2"/>
            <w:vAlign w:val="bottom"/>
            <w:hideMark/>
          </w:tcPr>
          <w:p w14:paraId="1C82E199" w14:textId="77777777" w:rsidR="003D5017" w:rsidRPr="00E37559" w:rsidRDefault="003D5017">
            <w:pPr>
              <w:rPr>
                <w:color w:val="000000"/>
                <w:sz w:val="18"/>
                <w:szCs w:val="18"/>
              </w:rPr>
            </w:pPr>
            <w:r w:rsidRPr="00E37559">
              <w:rPr>
                <w:color w:val="000000"/>
                <w:sz w:val="18"/>
                <w:szCs w:val="18"/>
              </w:rPr>
              <w:t>rho = -0.018</w:t>
            </w:r>
          </w:p>
        </w:tc>
      </w:tr>
      <w:tr w:rsidR="007067C3" w14:paraId="6E0BB8EA" w14:textId="77777777" w:rsidTr="007067C3">
        <w:trPr>
          <w:trHeight w:val="491"/>
        </w:trPr>
        <w:tc>
          <w:tcPr>
            <w:tcW w:w="1440" w:type="dxa"/>
            <w:tcBorders>
              <w:top w:val="nil"/>
              <w:bottom w:val="single" w:sz="4" w:space="0" w:color="44B3E1"/>
              <w:right w:val="nil"/>
            </w:tcBorders>
            <w:shd w:val="clear" w:color="000000" w:fill="BFBFBF"/>
            <w:noWrap/>
            <w:vAlign w:val="bottom"/>
            <w:hideMark/>
          </w:tcPr>
          <w:p w14:paraId="230E13E4" w14:textId="1AB50E48" w:rsidR="003D5017" w:rsidRPr="004D037C" w:rsidRDefault="003D5017">
            <w:pPr>
              <w:rPr>
                <w:color w:val="000000"/>
                <w:sz w:val="18"/>
                <w:szCs w:val="18"/>
              </w:rPr>
            </w:pPr>
            <w:r w:rsidRPr="004D037C">
              <w:rPr>
                <w:color w:val="000000"/>
                <w:sz w:val="18"/>
                <w:szCs w:val="18"/>
              </w:rPr>
              <w:t>Exercise Length (V2)</w:t>
            </w:r>
          </w:p>
        </w:tc>
        <w:tc>
          <w:tcPr>
            <w:tcW w:w="1350" w:type="dxa"/>
            <w:gridSpan w:val="3"/>
            <w:tcBorders>
              <w:top w:val="nil"/>
              <w:left w:val="nil"/>
              <w:bottom w:val="single" w:sz="4" w:space="0" w:color="44B3E1"/>
              <w:right w:val="nil"/>
            </w:tcBorders>
            <w:shd w:val="clear" w:color="C0E6F5" w:fill="F2F2F2"/>
            <w:noWrap/>
            <w:vAlign w:val="bottom"/>
            <w:hideMark/>
          </w:tcPr>
          <w:p w14:paraId="6E1DD0EA" w14:textId="77777777" w:rsidR="003D5017" w:rsidRPr="004D037C" w:rsidRDefault="003D5017">
            <w:pPr>
              <w:rPr>
                <w:color w:val="000000"/>
                <w:sz w:val="18"/>
                <w:szCs w:val="18"/>
              </w:rPr>
            </w:pPr>
            <w:r w:rsidRPr="004D037C">
              <w:rPr>
                <w:color w:val="000000"/>
                <w:sz w:val="18"/>
                <w:szCs w:val="18"/>
              </w:rPr>
              <w:t>p = 0.005**</w:t>
            </w:r>
          </w:p>
        </w:tc>
        <w:tc>
          <w:tcPr>
            <w:tcW w:w="1350" w:type="dxa"/>
            <w:tcBorders>
              <w:top w:val="nil"/>
              <w:left w:val="nil"/>
              <w:bottom w:val="single" w:sz="4" w:space="0" w:color="44B3E1"/>
              <w:right w:val="nil"/>
            </w:tcBorders>
            <w:shd w:val="clear" w:color="C0E6F5" w:fill="F2F2F2"/>
            <w:noWrap/>
            <w:vAlign w:val="bottom"/>
            <w:hideMark/>
          </w:tcPr>
          <w:p w14:paraId="08E49EF7" w14:textId="77777777" w:rsidR="003D5017" w:rsidRPr="004D037C" w:rsidRDefault="003D5017">
            <w:pPr>
              <w:rPr>
                <w:color w:val="000000"/>
                <w:sz w:val="18"/>
                <w:szCs w:val="18"/>
              </w:rPr>
            </w:pPr>
            <w:r w:rsidRPr="004D037C">
              <w:rPr>
                <w:color w:val="000000"/>
                <w:sz w:val="18"/>
                <w:szCs w:val="18"/>
              </w:rPr>
              <w:t>p = 0.387</w:t>
            </w:r>
          </w:p>
        </w:tc>
        <w:tc>
          <w:tcPr>
            <w:tcW w:w="1445" w:type="dxa"/>
            <w:tcBorders>
              <w:top w:val="nil"/>
              <w:left w:val="nil"/>
              <w:bottom w:val="single" w:sz="4" w:space="0" w:color="44B3E1"/>
              <w:right w:val="nil"/>
            </w:tcBorders>
            <w:shd w:val="clear" w:color="C0E6F5" w:fill="F2F2F2"/>
            <w:noWrap/>
            <w:vAlign w:val="bottom"/>
            <w:hideMark/>
          </w:tcPr>
          <w:p w14:paraId="45B32A3E" w14:textId="77777777" w:rsidR="003D5017" w:rsidRPr="004D037C" w:rsidRDefault="003D5017">
            <w:pPr>
              <w:rPr>
                <w:color w:val="000000"/>
                <w:sz w:val="18"/>
                <w:szCs w:val="18"/>
              </w:rPr>
            </w:pPr>
            <w:r w:rsidRPr="004D037C">
              <w:rPr>
                <w:color w:val="000000"/>
                <w:sz w:val="18"/>
                <w:szCs w:val="18"/>
              </w:rPr>
              <w:t>p &lt;0 .001**</w:t>
            </w:r>
          </w:p>
        </w:tc>
        <w:tc>
          <w:tcPr>
            <w:tcW w:w="1530" w:type="dxa"/>
            <w:tcBorders>
              <w:top w:val="nil"/>
              <w:left w:val="nil"/>
              <w:bottom w:val="single" w:sz="4" w:space="0" w:color="44B3E1"/>
              <w:right w:val="nil"/>
            </w:tcBorders>
            <w:shd w:val="clear" w:color="C0E6F5" w:fill="F2F2F2"/>
            <w:noWrap/>
            <w:vAlign w:val="bottom"/>
            <w:hideMark/>
          </w:tcPr>
          <w:p w14:paraId="0568756D" w14:textId="77777777" w:rsidR="003D5017" w:rsidRPr="004D037C" w:rsidRDefault="003D5017">
            <w:pPr>
              <w:rPr>
                <w:color w:val="000000"/>
                <w:sz w:val="18"/>
                <w:szCs w:val="18"/>
              </w:rPr>
            </w:pPr>
            <w:r w:rsidRPr="004D037C">
              <w:rPr>
                <w:color w:val="000000"/>
                <w:sz w:val="18"/>
                <w:szCs w:val="18"/>
              </w:rPr>
              <w:t> </w:t>
            </w:r>
          </w:p>
        </w:tc>
        <w:tc>
          <w:tcPr>
            <w:tcW w:w="1170" w:type="dxa"/>
            <w:tcBorders>
              <w:top w:val="nil"/>
              <w:left w:val="nil"/>
              <w:bottom w:val="single" w:sz="4" w:space="0" w:color="44B3E1"/>
              <w:right w:val="nil"/>
            </w:tcBorders>
            <w:shd w:val="clear" w:color="000000" w:fill="F2F2F2"/>
            <w:vAlign w:val="bottom"/>
            <w:hideMark/>
          </w:tcPr>
          <w:p w14:paraId="136D9577" w14:textId="77777777" w:rsidR="003D5017" w:rsidRPr="004D037C" w:rsidRDefault="003D5017">
            <w:pPr>
              <w:rPr>
                <w:color w:val="000000"/>
                <w:sz w:val="18"/>
                <w:szCs w:val="18"/>
              </w:rPr>
            </w:pPr>
            <w:r w:rsidRPr="004D037C">
              <w:rPr>
                <w:color w:val="000000"/>
                <w:sz w:val="18"/>
                <w:szCs w:val="18"/>
              </w:rPr>
              <w:t>rho = -0.032</w:t>
            </w:r>
          </w:p>
        </w:tc>
      </w:tr>
      <w:tr w:rsidR="007067C3" w14:paraId="1F98568D" w14:textId="77777777" w:rsidTr="007067C3">
        <w:trPr>
          <w:trHeight w:val="458"/>
        </w:trPr>
        <w:tc>
          <w:tcPr>
            <w:tcW w:w="1440" w:type="dxa"/>
            <w:tcBorders>
              <w:top w:val="nil"/>
              <w:bottom w:val="single" w:sz="4" w:space="0" w:color="44B3E1"/>
              <w:right w:val="nil"/>
            </w:tcBorders>
            <w:shd w:val="clear" w:color="000000" w:fill="BFBFBF"/>
            <w:noWrap/>
            <w:vAlign w:val="bottom"/>
            <w:hideMark/>
          </w:tcPr>
          <w:p w14:paraId="52C1DC2C" w14:textId="77777777" w:rsidR="003D5017" w:rsidRPr="004D037C" w:rsidRDefault="003D5017">
            <w:pPr>
              <w:rPr>
                <w:color w:val="000000"/>
                <w:sz w:val="18"/>
                <w:szCs w:val="18"/>
              </w:rPr>
            </w:pPr>
            <w:r w:rsidRPr="004D037C">
              <w:rPr>
                <w:color w:val="000000"/>
                <w:sz w:val="18"/>
                <w:szCs w:val="18"/>
              </w:rPr>
              <w:t>PC Score</w:t>
            </w:r>
          </w:p>
        </w:tc>
        <w:tc>
          <w:tcPr>
            <w:tcW w:w="1350" w:type="dxa"/>
            <w:gridSpan w:val="3"/>
            <w:tcBorders>
              <w:top w:val="nil"/>
              <w:left w:val="nil"/>
              <w:bottom w:val="single" w:sz="4" w:space="0" w:color="44B3E1"/>
              <w:right w:val="nil"/>
            </w:tcBorders>
            <w:shd w:val="clear" w:color="000000" w:fill="F2F2F2"/>
            <w:noWrap/>
            <w:vAlign w:val="bottom"/>
            <w:hideMark/>
          </w:tcPr>
          <w:p w14:paraId="722864DD" w14:textId="77777777" w:rsidR="003D5017" w:rsidRPr="004D037C" w:rsidRDefault="003D5017">
            <w:pPr>
              <w:rPr>
                <w:color w:val="000000"/>
                <w:sz w:val="18"/>
                <w:szCs w:val="18"/>
              </w:rPr>
            </w:pPr>
            <w:r w:rsidRPr="004D037C">
              <w:rPr>
                <w:color w:val="000000"/>
                <w:sz w:val="18"/>
                <w:szCs w:val="18"/>
              </w:rPr>
              <w:t>p =  0.790</w:t>
            </w:r>
          </w:p>
        </w:tc>
        <w:tc>
          <w:tcPr>
            <w:tcW w:w="1350" w:type="dxa"/>
            <w:tcBorders>
              <w:top w:val="nil"/>
              <w:left w:val="nil"/>
              <w:bottom w:val="single" w:sz="4" w:space="0" w:color="44B3E1"/>
              <w:right w:val="nil"/>
            </w:tcBorders>
            <w:shd w:val="clear" w:color="000000" w:fill="F2F2F2"/>
            <w:noWrap/>
            <w:vAlign w:val="bottom"/>
            <w:hideMark/>
          </w:tcPr>
          <w:p w14:paraId="12B26D2C" w14:textId="77777777" w:rsidR="003D5017" w:rsidRPr="004D037C" w:rsidRDefault="003D5017">
            <w:pPr>
              <w:rPr>
                <w:color w:val="000000"/>
                <w:sz w:val="18"/>
                <w:szCs w:val="18"/>
              </w:rPr>
            </w:pPr>
            <w:r w:rsidRPr="004D037C">
              <w:rPr>
                <w:color w:val="000000"/>
                <w:sz w:val="18"/>
                <w:szCs w:val="18"/>
              </w:rPr>
              <w:t>p = 0.250</w:t>
            </w:r>
          </w:p>
        </w:tc>
        <w:tc>
          <w:tcPr>
            <w:tcW w:w="1445" w:type="dxa"/>
            <w:tcBorders>
              <w:top w:val="nil"/>
              <w:left w:val="nil"/>
              <w:bottom w:val="single" w:sz="4" w:space="0" w:color="44B3E1"/>
              <w:right w:val="nil"/>
            </w:tcBorders>
            <w:shd w:val="clear" w:color="000000" w:fill="F2F2F2"/>
            <w:noWrap/>
            <w:vAlign w:val="bottom"/>
            <w:hideMark/>
          </w:tcPr>
          <w:p w14:paraId="6212E043" w14:textId="77777777" w:rsidR="003D5017" w:rsidRPr="004D037C" w:rsidRDefault="003D5017">
            <w:pPr>
              <w:rPr>
                <w:color w:val="000000"/>
                <w:sz w:val="18"/>
                <w:szCs w:val="18"/>
              </w:rPr>
            </w:pPr>
            <w:r w:rsidRPr="004D037C">
              <w:rPr>
                <w:color w:val="000000"/>
                <w:sz w:val="18"/>
                <w:szCs w:val="18"/>
              </w:rPr>
              <w:t xml:space="preserve"> p = 0.930</w:t>
            </w:r>
          </w:p>
        </w:tc>
        <w:tc>
          <w:tcPr>
            <w:tcW w:w="1530" w:type="dxa"/>
            <w:tcBorders>
              <w:top w:val="nil"/>
              <w:left w:val="nil"/>
              <w:bottom w:val="single" w:sz="4" w:space="0" w:color="44B3E1"/>
              <w:right w:val="nil"/>
            </w:tcBorders>
            <w:shd w:val="clear" w:color="000000" w:fill="F2F2F2"/>
            <w:noWrap/>
            <w:vAlign w:val="bottom"/>
            <w:hideMark/>
          </w:tcPr>
          <w:p w14:paraId="09325BC9" w14:textId="77777777" w:rsidR="003D5017" w:rsidRPr="004D037C" w:rsidRDefault="003D5017">
            <w:pPr>
              <w:rPr>
                <w:color w:val="000000"/>
                <w:sz w:val="18"/>
                <w:szCs w:val="18"/>
              </w:rPr>
            </w:pPr>
            <w:r w:rsidRPr="004D037C">
              <w:rPr>
                <w:color w:val="000000"/>
                <w:sz w:val="18"/>
                <w:szCs w:val="18"/>
              </w:rPr>
              <w:t>p = 0.872</w:t>
            </w:r>
          </w:p>
        </w:tc>
        <w:tc>
          <w:tcPr>
            <w:tcW w:w="1170" w:type="dxa"/>
            <w:tcBorders>
              <w:top w:val="single" w:sz="4" w:space="0" w:color="44B3E1"/>
              <w:left w:val="nil"/>
              <w:bottom w:val="single" w:sz="4" w:space="0" w:color="44B3E1"/>
            </w:tcBorders>
            <w:shd w:val="clear" w:color="000000" w:fill="F2F2F2"/>
            <w:noWrap/>
            <w:vAlign w:val="bottom"/>
            <w:hideMark/>
          </w:tcPr>
          <w:p w14:paraId="6BF7E1A5" w14:textId="77777777" w:rsidR="003D5017" w:rsidRPr="004D037C" w:rsidRDefault="003D5017">
            <w:pPr>
              <w:rPr>
                <w:color w:val="000000"/>
                <w:sz w:val="18"/>
                <w:szCs w:val="18"/>
              </w:rPr>
            </w:pPr>
            <w:r w:rsidRPr="004D037C">
              <w:rPr>
                <w:color w:val="000000"/>
                <w:sz w:val="18"/>
                <w:szCs w:val="18"/>
              </w:rPr>
              <w:t> </w:t>
            </w:r>
          </w:p>
        </w:tc>
      </w:tr>
    </w:tbl>
    <w:p w14:paraId="40DB7EAC" w14:textId="77777777" w:rsidR="00BB20BE" w:rsidRDefault="00BB20BE" w:rsidP="006472EC">
      <w:pPr>
        <w:pStyle w:val="Heading2"/>
        <w:ind w:left="0"/>
      </w:pPr>
    </w:p>
    <w:p w14:paraId="26B5FA9C" w14:textId="77777777" w:rsidR="004219F5" w:rsidRDefault="004219F5" w:rsidP="0029184C">
      <w:pPr>
        <w:pStyle w:val="Heading2"/>
        <w:ind w:left="0"/>
        <w:jc w:val="center"/>
      </w:pPr>
    </w:p>
    <w:p w14:paraId="0AC9DB75" w14:textId="77777777" w:rsidR="004219F5" w:rsidRDefault="004219F5" w:rsidP="0029184C">
      <w:pPr>
        <w:pStyle w:val="Heading2"/>
        <w:ind w:left="0"/>
        <w:jc w:val="center"/>
      </w:pPr>
    </w:p>
    <w:p w14:paraId="6FED9DAA" w14:textId="1931139B" w:rsidR="00187849" w:rsidRDefault="00D06FD2" w:rsidP="0029184C">
      <w:pPr>
        <w:pStyle w:val="Heading2"/>
        <w:ind w:left="0"/>
        <w:jc w:val="center"/>
      </w:pPr>
      <w:r>
        <w:t>Discussion</w:t>
      </w:r>
    </w:p>
    <w:p w14:paraId="09C679AC" w14:textId="77777777" w:rsidR="00187849" w:rsidRDefault="00187849">
      <w:pPr>
        <w:pBdr>
          <w:top w:val="nil"/>
          <w:left w:val="nil"/>
          <w:bottom w:val="nil"/>
          <w:right w:val="nil"/>
          <w:between w:val="nil"/>
        </w:pBdr>
        <w:rPr>
          <w:b/>
          <w:color w:val="000000"/>
        </w:rPr>
      </w:pPr>
    </w:p>
    <w:p w14:paraId="4E355ED5" w14:textId="0A125D8E" w:rsidR="00BB20BE" w:rsidRDefault="00BB20BE" w:rsidP="00BB20BE">
      <w:pPr>
        <w:pStyle w:val="NormalWeb"/>
        <w:spacing w:before="0" w:beforeAutospacing="0" w:after="0" w:afterAutospacing="0" w:line="480" w:lineRule="auto"/>
        <w:ind w:firstLine="720"/>
      </w:pPr>
      <w:r>
        <w:rPr>
          <w:color w:val="000000"/>
        </w:rPr>
        <w:t xml:space="preserve">The present study proposed to evaluate the impact of pain catastrophizing on the relationship between executive function and exercise intensity. </w:t>
      </w:r>
      <w:r w:rsidR="00DE64AF">
        <w:rPr>
          <w:color w:val="000000"/>
        </w:rPr>
        <w:t>T</w:t>
      </w:r>
      <w:r>
        <w:rPr>
          <w:color w:val="000000"/>
        </w:rPr>
        <w:t xml:space="preserve">he primary expectations were that cognitive performance would be attenuated at high levels of exercise intensity, and that these attenuations would be </w:t>
      </w:r>
      <w:r w:rsidR="00DE64AF">
        <w:rPr>
          <w:color w:val="000000"/>
        </w:rPr>
        <w:t>moderated by pain catastrophizing</w:t>
      </w:r>
      <w:r>
        <w:rPr>
          <w:color w:val="000000"/>
        </w:rPr>
        <w:t>.</w:t>
      </w:r>
      <w:r w:rsidR="00DE64AF">
        <w:rPr>
          <w:color w:val="000000"/>
        </w:rPr>
        <w:t xml:space="preserve"> Specifically, the present study hypothesized both that increases in heart rate reserve would be associated with decreases in the </w:t>
      </w:r>
      <w:r w:rsidR="00362AB8">
        <w:rPr>
          <w:color w:val="000000"/>
        </w:rPr>
        <w:t>executive function performance, as measured by hit rate and precision</w:t>
      </w:r>
      <w:r w:rsidR="00DE64AF">
        <w:rPr>
          <w:color w:val="000000"/>
        </w:rPr>
        <w:t>, and that</w:t>
      </w:r>
      <w:r w:rsidR="00DE64AF" w:rsidRPr="00A315EC">
        <w:rPr>
          <w:color w:val="000000"/>
        </w:rPr>
        <w:t xml:space="preserve"> higher levels of </w:t>
      </w:r>
      <w:r w:rsidR="00DE64AF">
        <w:rPr>
          <w:color w:val="000000"/>
        </w:rPr>
        <w:t>pain catastrophizing</w:t>
      </w:r>
      <w:r w:rsidR="00DE64AF" w:rsidRPr="00A315EC">
        <w:rPr>
          <w:color w:val="000000"/>
        </w:rPr>
        <w:t xml:space="preserve"> </w:t>
      </w:r>
      <w:r w:rsidR="00362AB8">
        <w:rPr>
          <w:color w:val="000000"/>
        </w:rPr>
        <w:t>would result</w:t>
      </w:r>
      <w:r w:rsidR="00DE64AF" w:rsidRPr="00A315EC">
        <w:rPr>
          <w:color w:val="000000"/>
        </w:rPr>
        <w:t xml:space="preserve"> in more significant decrements </w:t>
      </w:r>
      <w:r w:rsidR="00362AB8">
        <w:rPr>
          <w:color w:val="000000"/>
        </w:rPr>
        <w:t>performance on</w:t>
      </w:r>
      <w:r w:rsidR="00DE64AF" w:rsidRPr="00A315EC">
        <w:rPr>
          <w:color w:val="000000"/>
        </w:rPr>
        <w:t xml:space="preserve"> </w:t>
      </w:r>
      <w:r w:rsidR="00362AB8">
        <w:rPr>
          <w:color w:val="000000"/>
        </w:rPr>
        <w:t>both cognitive indices</w:t>
      </w:r>
      <w:r w:rsidR="00DE64AF" w:rsidRPr="00A315EC">
        <w:rPr>
          <w:color w:val="000000"/>
        </w:rPr>
        <w:t xml:space="preserve">. </w:t>
      </w:r>
    </w:p>
    <w:p w14:paraId="7083FBA0" w14:textId="77777777" w:rsidR="00BB20BE" w:rsidRDefault="00BB20BE" w:rsidP="00BB20BE">
      <w:pPr>
        <w:pStyle w:val="NormalWeb"/>
        <w:spacing w:before="0" w:beforeAutospacing="0" w:after="0" w:afterAutospacing="0" w:line="480" w:lineRule="auto"/>
      </w:pPr>
      <w:r>
        <w:rPr>
          <w:b/>
          <w:bCs/>
          <w:color w:val="000000"/>
        </w:rPr>
        <w:t>Exercise Intensity and Cognition: Reinforcing What We Know</w:t>
      </w:r>
    </w:p>
    <w:p w14:paraId="125918B2" w14:textId="0556F6C3" w:rsidR="00BB20BE" w:rsidRDefault="00BB20BE" w:rsidP="00BB20BE">
      <w:pPr>
        <w:pStyle w:val="NormalWeb"/>
        <w:spacing w:before="0" w:beforeAutospacing="0" w:after="0" w:afterAutospacing="0" w:line="480" w:lineRule="auto"/>
        <w:ind w:firstLine="720"/>
      </w:pPr>
      <w:r>
        <w:rPr>
          <w:color w:val="000000"/>
        </w:rPr>
        <w:t xml:space="preserve">In line with results from Stone et al. (2020), </w:t>
      </w:r>
      <w:r w:rsidR="00362AB8">
        <w:rPr>
          <w:color w:val="000000"/>
        </w:rPr>
        <w:t>hit rate and precision</w:t>
      </w:r>
      <w:r>
        <w:rPr>
          <w:color w:val="000000"/>
        </w:rPr>
        <w:t xml:space="preserve"> decreased linearly with increases in exercise intensity. As only the second examination of cognitive performance continuously across exercise from baseline to maximal levels, this study serves to further underscore the robustness of the relationship between exercise intensity and concurrent cognitive decline</w:t>
      </w:r>
      <w:r w:rsidR="00362AB8">
        <w:rPr>
          <w:color w:val="000000"/>
        </w:rPr>
        <w:t xml:space="preserve"> and to </w:t>
      </w:r>
      <w:r>
        <w:rPr>
          <w:color w:val="000000"/>
        </w:rPr>
        <w:t xml:space="preserve">support the numerous other studies demonstrating concomitant decrements in cognition during high intensity exercise (Dietrich &amp; Sparling, 2004; Komiyama et al., 2019; McMorris et al., 2009; Smith et al., 2016; Stone et al., 2020; Wang et al., 2013). Although these results contrast with those of Lucas et al. (2012), </w:t>
      </w:r>
      <w:proofErr w:type="spellStart"/>
      <w:r>
        <w:rPr>
          <w:color w:val="000000"/>
        </w:rPr>
        <w:t>Schmit</w:t>
      </w:r>
      <w:proofErr w:type="spellEnd"/>
      <w:r>
        <w:rPr>
          <w:color w:val="000000"/>
        </w:rPr>
        <w:t xml:space="preserve"> et al. (2015), and Dowdell et al. (2019), differences in experimental paradigms enumerated in other sections, particularly final intensity level reached (Dowdell, 2019) and total duration of exercise (Lucas et al. 2012; </w:t>
      </w:r>
      <w:proofErr w:type="spellStart"/>
      <w:r>
        <w:rPr>
          <w:color w:val="000000"/>
        </w:rPr>
        <w:t>Schmit</w:t>
      </w:r>
      <w:proofErr w:type="spellEnd"/>
      <w:r>
        <w:rPr>
          <w:color w:val="000000"/>
        </w:rPr>
        <w:t xml:space="preserve"> et al. 2015), are proposed to explain these variations. </w:t>
      </w:r>
    </w:p>
    <w:p w14:paraId="7F1529F8" w14:textId="06C467FD" w:rsidR="00BB20BE" w:rsidRDefault="00DC5815" w:rsidP="004219F5">
      <w:pPr>
        <w:pStyle w:val="NormalWeb"/>
        <w:widowControl w:val="0"/>
        <w:spacing w:before="0" w:beforeAutospacing="0" w:after="0" w:afterAutospacing="0" w:line="480" w:lineRule="auto"/>
      </w:pPr>
      <w:r>
        <w:rPr>
          <w:b/>
          <w:bCs/>
          <w:color w:val="000000"/>
        </w:rPr>
        <w:t xml:space="preserve">Pain </w:t>
      </w:r>
      <w:r w:rsidR="00D27103">
        <w:rPr>
          <w:b/>
          <w:bCs/>
          <w:color w:val="000000"/>
        </w:rPr>
        <w:t>Catastrophizing</w:t>
      </w:r>
      <w:r>
        <w:rPr>
          <w:b/>
          <w:bCs/>
          <w:color w:val="000000"/>
        </w:rPr>
        <w:t>: A Complex Modifier of Cognition During Exercise</w:t>
      </w:r>
    </w:p>
    <w:p w14:paraId="69F80FF8" w14:textId="338D0342" w:rsidR="00BB20BE" w:rsidRDefault="00BB20BE" w:rsidP="004219F5">
      <w:pPr>
        <w:pStyle w:val="NormalWeb"/>
        <w:widowControl w:val="0"/>
        <w:spacing w:before="0" w:beforeAutospacing="0" w:after="0" w:afterAutospacing="0" w:line="480" w:lineRule="auto"/>
      </w:pPr>
      <w:r>
        <w:rPr>
          <w:rStyle w:val="apple-tab-span"/>
          <w:b/>
          <w:bCs/>
          <w:color w:val="000000"/>
        </w:rPr>
        <w:lastRenderedPageBreak/>
        <w:tab/>
      </w:r>
      <w:r>
        <w:rPr>
          <w:color w:val="000000"/>
        </w:rPr>
        <w:t xml:space="preserve">In addition to replicating the findings of Stone et al. (2020), the present study </w:t>
      </w:r>
      <w:r w:rsidR="00362AB8">
        <w:rPr>
          <w:color w:val="000000"/>
        </w:rPr>
        <w:t>served as the first to experimentally explore the relationship between exercise, cognition, and pain catastrophizing. Importantly, t</w:t>
      </w:r>
      <w:r w:rsidR="0047461C">
        <w:rPr>
          <w:color w:val="000000"/>
        </w:rPr>
        <w:t>his</w:t>
      </w:r>
      <w:r w:rsidR="00362AB8">
        <w:rPr>
          <w:color w:val="000000"/>
        </w:rPr>
        <w:t xml:space="preserve"> investigation </w:t>
      </w:r>
      <w:r>
        <w:rPr>
          <w:color w:val="000000"/>
        </w:rPr>
        <w:t>provide</w:t>
      </w:r>
      <w:r w:rsidR="00362AB8">
        <w:rPr>
          <w:color w:val="000000"/>
        </w:rPr>
        <w:t>s</w:t>
      </w:r>
      <w:r>
        <w:rPr>
          <w:color w:val="000000"/>
        </w:rPr>
        <w:t xml:space="preserve"> preliminary support for the hypothesis that the relationship between exercise intensity and cognitive performance during exercise is modified by pain catastrophizing levels. Specifically, higher pain catastrophizing levels were predictive of greater decrements in </w:t>
      </w:r>
      <w:r w:rsidR="00220A93">
        <w:rPr>
          <w:color w:val="000000"/>
        </w:rPr>
        <w:t>hit rate</w:t>
      </w:r>
      <w:r w:rsidR="0029184C">
        <w:rPr>
          <w:color w:val="000000"/>
        </w:rPr>
        <w:t>, but higher levels of precision,</w:t>
      </w:r>
      <w:r>
        <w:rPr>
          <w:color w:val="000000"/>
        </w:rPr>
        <w:t xml:space="preserve"> across exercise intensity</w:t>
      </w:r>
      <w:r w:rsidR="0029184C">
        <w:rPr>
          <w:color w:val="000000"/>
        </w:rPr>
        <w:t xml:space="preserve">. </w:t>
      </w:r>
      <w:r w:rsidR="00362AB8">
        <w:rPr>
          <w:color w:val="000000"/>
        </w:rPr>
        <w:t>A</w:t>
      </w:r>
      <w:r w:rsidR="0029184C">
        <w:rPr>
          <w:color w:val="000000"/>
        </w:rPr>
        <w:t>lthough</w:t>
      </w:r>
      <w:r w:rsidR="00220A93">
        <w:rPr>
          <w:color w:val="000000"/>
        </w:rPr>
        <w:t xml:space="preserve"> the results suggest a more nuanced relationship than originally anticipated, </w:t>
      </w:r>
      <w:r>
        <w:rPr>
          <w:color w:val="000000"/>
        </w:rPr>
        <w:t>the</w:t>
      </w:r>
      <w:r w:rsidR="00255FBD">
        <w:rPr>
          <w:color w:val="000000"/>
        </w:rPr>
        <w:t>se</w:t>
      </w:r>
      <w:r>
        <w:rPr>
          <w:color w:val="000000"/>
        </w:rPr>
        <w:t xml:space="preserve"> findings are theoretically sound when considering models of attention and resource allocation. </w:t>
      </w:r>
    </w:p>
    <w:p w14:paraId="6C89871D" w14:textId="60AF34F9" w:rsidR="00BB20BE" w:rsidRDefault="00BB20BE" w:rsidP="006A1AD6">
      <w:pPr>
        <w:pStyle w:val="NormalWeb"/>
        <w:widowControl w:val="0"/>
        <w:spacing w:before="0" w:beforeAutospacing="0" w:after="0" w:afterAutospacing="0" w:line="480" w:lineRule="auto"/>
        <w:ind w:firstLine="720"/>
        <w:rPr>
          <w:color w:val="000000"/>
        </w:rPr>
      </w:pPr>
      <w:r>
        <w:rPr>
          <w:color w:val="000000"/>
        </w:rPr>
        <w:t xml:space="preserve">High intensity exercise (Dietrich &amp; </w:t>
      </w:r>
      <w:proofErr w:type="spellStart"/>
      <w:r>
        <w:rPr>
          <w:color w:val="000000"/>
        </w:rPr>
        <w:t>Audiffren</w:t>
      </w:r>
      <w:proofErr w:type="spellEnd"/>
      <w:r>
        <w:rPr>
          <w:color w:val="000000"/>
        </w:rPr>
        <w:t>, 2011) and the utilization of executive function (</w:t>
      </w:r>
      <w:proofErr w:type="spellStart"/>
      <w:r>
        <w:rPr>
          <w:color w:val="000000"/>
        </w:rPr>
        <w:t>Gailliot</w:t>
      </w:r>
      <w:proofErr w:type="spellEnd"/>
      <w:r>
        <w:rPr>
          <w:color w:val="000000"/>
        </w:rPr>
        <w:t xml:space="preserve">, 2008;​​ </w:t>
      </w:r>
      <w:proofErr w:type="spellStart"/>
      <w:r>
        <w:rPr>
          <w:color w:val="000000"/>
        </w:rPr>
        <w:t>Tomasi</w:t>
      </w:r>
      <w:proofErr w:type="spellEnd"/>
      <w:r>
        <w:rPr>
          <w:color w:val="000000"/>
        </w:rPr>
        <w:t xml:space="preserve">, Wang, &amp; Volkow, 2013) are both metabolically expensive tasks. The body operates utilizing a finite </w:t>
      </w:r>
      <w:proofErr w:type="gramStart"/>
      <w:r>
        <w:rPr>
          <w:color w:val="000000"/>
        </w:rPr>
        <w:t>amount</w:t>
      </w:r>
      <w:proofErr w:type="gramEnd"/>
      <w:r>
        <w:rPr>
          <w:color w:val="000000"/>
        </w:rPr>
        <w:t xml:space="preserve"> of neural resources (</w:t>
      </w:r>
      <w:proofErr w:type="spellStart"/>
      <w:r>
        <w:rPr>
          <w:color w:val="000000"/>
        </w:rPr>
        <w:t>Attwell</w:t>
      </w:r>
      <w:proofErr w:type="spellEnd"/>
      <w:r>
        <w:rPr>
          <w:color w:val="000000"/>
        </w:rPr>
        <w:t xml:space="preserve"> &amp; Laughlin, 2001; </w:t>
      </w:r>
      <w:proofErr w:type="spellStart"/>
      <w:r>
        <w:rPr>
          <w:color w:val="000000"/>
        </w:rPr>
        <w:t>Bruckmaier</w:t>
      </w:r>
      <w:proofErr w:type="spellEnd"/>
      <w:r>
        <w:rPr>
          <w:color w:val="000000"/>
        </w:rPr>
        <w:t xml:space="preserve"> et al., 2020; Lennie, 2003), and extant research supports the idea that the </w:t>
      </w:r>
      <w:r w:rsidR="00BA1780">
        <w:rPr>
          <w:color w:val="000000"/>
        </w:rPr>
        <w:t>tradeoffs</w:t>
      </w:r>
      <w:r>
        <w:rPr>
          <w:color w:val="000000"/>
        </w:rPr>
        <w:t xml:space="preserve"> between the mental resources required to sustain exercise underlie the declines in cognition seen at high exercise intensities (Dietrich &amp; </w:t>
      </w:r>
      <w:proofErr w:type="spellStart"/>
      <w:r>
        <w:rPr>
          <w:color w:val="000000"/>
        </w:rPr>
        <w:t>Audiffren</w:t>
      </w:r>
      <w:proofErr w:type="spellEnd"/>
      <w:r>
        <w:rPr>
          <w:color w:val="000000"/>
        </w:rPr>
        <w:t xml:space="preserve">, 2011; Stone et al., 2020).  Considering individuals high in pain catastrophizing are more likely to expend a disproportionate </w:t>
      </w:r>
      <w:proofErr w:type="gramStart"/>
      <w:r>
        <w:rPr>
          <w:color w:val="000000"/>
        </w:rPr>
        <w:t>amount</w:t>
      </w:r>
      <w:proofErr w:type="gramEnd"/>
      <w:r>
        <w:rPr>
          <w:color w:val="000000"/>
        </w:rPr>
        <w:t xml:space="preserve"> of mental resources attending to pain related stimuli (Spanos et al., 1979; Chaves and Brown, 1987; Eccleston et al., 1999; Van Damme et al, 2002 &amp; 2004; Van </w:t>
      </w:r>
      <w:proofErr w:type="spellStart"/>
      <w:r>
        <w:rPr>
          <w:color w:val="000000"/>
        </w:rPr>
        <w:t>Cleef</w:t>
      </w:r>
      <w:proofErr w:type="spellEnd"/>
      <w:r>
        <w:rPr>
          <w:color w:val="000000"/>
        </w:rPr>
        <w:t xml:space="preserve"> et al. 2006 Michael et. al 2004, </w:t>
      </w:r>
      <w:proofErr w:type="spellStart"/>
      <w:r>
        <w:rPr>
          <w:color w:val="000000"/>
        </w:rPr>
        <w:t>Quartana</w:t>
      </w:r>
      <w:proofErr w:type="spellEnd"/>
      <w:r>
        <w:rPr>
          <w:color w:val="000000"/>
        </w:rPr>
        <w:t xml:space="preserve"> et al., 2009; </w:t>
      </w:r>
      <w:proofErr w:type="spellStart"/>
      <w:r>
        <w:rPr>
          <w:color w:val="000000"/>
        </w:rPr>
        <w:t>Sillican</w:t>
      </w:r>
      <w:proofErr w:type="spellEnd"/>
      <w:r>
        <w:rPr>
          <w:color w:val="000000"/>
        </w:rPr>
        <w:t xml:space="preserve">, 1995), and that the mental resources devoted to pain perception will likely increase as exercise intensity-related discomfort increases (Lier et al, 2022; </w:t>
      </w:r>
      <w:proofErr w:type="spellStart"/>
      <w:r>
        <w:rPr>
          <w:color w:val="000000"/>
        </w:rPr>
        <w:t>Wagennar-Tison</w:t>
      </w:r>
      <w:proofErr w:type="spellEnd"/>
      <w:r>
        <w:rPr>
          <w:color w:val="000000"/>
        </w:rPr>
        <w:t xml:space="preserve"> et al., 2022), it is logical to conclude that individuals higher in pain catastrophizing would experience higher levels of cognitive load, and thus further depletion of mental resources, than their non-catastrophizing counterparts. </w:t>
      </w:r>
    </w:p>
    <w:p w14:paraId="6A9E1929" w14:textId="37DFE274" w:rsidR="00220A93" w:rsidRDefault="0029184C" w:rsidP="00220A93">
      <w:pPr>
        <w:pStyle w:val="NormalWeb"/>
        <w:spacing w:before="0" w:beforeAutospacing="0" w:after="0" w:afterAutospacing="0" w:line="480" w:lineRule="auto"/>
        <w:ind w:firstLine="720"/>
      </w:pPr>
      <w:r>
        <w:rPr>
          <w:color w:val="000000"/>
        </w:rPr>
        <w:lastRenderedPageBreak/>
        <w:t>While more complex than originally supposed, t</w:t>
      </w:r>
      <w:r w:rsidR="00220A93">
        <w:rPr>
          <w:color w:val="000000"/>
        </w:rPr>
        <w:t>he results of the present study support th</w:t>
      </w:r>
      <w:r w:rsidR="00D27103">
        <w:rPr>
          <w:color w:val="000000"/>
        </w:rPr>
        <w:t>e conclusion that higher levels of pain catastrophizing may result in decreased capacity to attend to a cognitive task during high intensity exercise</w:t>
      </w:r>
      <w:r w:rsidR="00220A93">
        <w:rPr>
          <w:color w:val="000000"/>
        </w:rPr>
        <w:t>.</w:t>
      </w:r>
      <w:r>
        <w:rPr>
          <w:color w:val="000000"/>
        </w:rPr>
        <w:t xml:space="preserve"> </w:t>
      </w:r>
      <w:r w:rsidR="005A41C9">
        <w:t>I</w:t>
      </w:r>
      <w:r w:rsidR="00D32EC2">
        <w:t>ndividuals</w:t>
      </w:r>
      <w:r w:rsidR="006A1AD6">
        <w:rPr>
          <w:color w:val="000000"/>
        </w:rPr>
        <w:t xml:space="preserve"> </w:t>
      </w:r>
      <w:r w:rsidR="006A1AD6">
        <w:t xml:space="preserve">high in pain catastrophizing were more likely to exhibit fewer false positives as exercise intensity increased, but they were also more likely to miss true positives. </w:t>
      </w:r>
      <w:r w:rsidR="005837C8">
        <w:t xml:space="preserve">When considering this result in the context of previously discussed resource allocation theories, </w:t>
      </w:r>
      <w:r w:rsidR="006472EC">
        <w:t xml:space="preserve">it is reasonable to suppose that </w:t>
      </w:r>
      <w:r w:rsidR="005837C8">
        <w:t xml:space="preserve">those high in pain catastrophizing </w:t>
      </w:r>
      <w:r w:rsidR="006472EC">
        <w:t xml:space="preserve">might have fewer false positives </w:t>
      </w:r>
      <w:r w:rsidR="00D32EC2">
        <w:t xml:space="preserve">as exercise intensity increased </w:t>
      </w:r>
      <w:r w:rsidR="006472EC">
        <w:t>because they</w:t>
      </w:r>
      <w:r w:rsidR="00D32EC2">
        <w:t xml:space="preserve"> were</w:t>
      </w:r>
      <w:r w:rsidR="006472EC">
        <w:t xml:space="preserve"> generally attending to the task less; this supposition is particularly logical given the present evidence that </w:t>
      </w:r>
      <w:r w:rsidR="005837C8">
        <w:t xml:space="preserve">those individuals </w:t>
      </w:r>
      <w:r w:rsidR="006472EC">
        <w:t>had a concomitant</w:t>
      </w:r>
      <w:r w:rsidR="005A41C9">
        <w:t xml:space="preserve">, global </w:t>
      </w:r>
      <w:r w:rsidR="006472EC">
        <w:t xml:space="preserve">increase in </w:t>
      </w:r>
      <w:r w:rsidR="005A41C9">
        <w:t xml:space="preserve">the total number of </w:t>
      </w:r>
      <w:r w:rsidR="006472EC">
        <w:t>missed responses.</w:t>
      </w:r>
      <w:r w:rsidR="005A41C9">
        <w:t xml:space="preserve"> Given that increases in exercise intensity appear to predispose individuals higher in pain catastrophizing to 1) responding less to the task overall, and 2) committing more errors when they do respond, it is reasonable to conclude that aberrations in capacity to maintain attention to the task may be contributing to the complex effects on executive function performance.</w:t>
      </w:r>
    </w:p>
    <w:p w14:paraId="4A6FF254" w14:textId="1D1DFD98" w:rsidR="006D1378" w:rsidRDefault="006D1378" w:rsidP="009974F4">
      <w:pPr>
        <w:pStyle w:val="NormalWeb"/>
        <w:spacing w:before="0" w:beforeAutospacing="0" w:after="0" w:afterAutospacing="0" w:line="480" w:lineRule="auto"/>
        <w:ind w:firstLine="720"/>
      </w:pPr>
      <w:r>
        <w:t xml:space="preserve">In general, these findings align with those of other works demonstrating that individuals higher in pain catastrophizing are less able to disengage with pain-related stimuli in order to maintain attention on </w:t>
      </w:r>
      <w:r w:rsidR="008471AF">
        <w:t>other tasks</w:t>
      </w:r>
      <w:r w:rsidR="00D763DC">
        <w:t xml:space="preserve"> </w:t>
      </w:r>
      <w:r w:rsidR="00D763DC">
        <w:fldChar w:fldCharType="begin"/>
      </w:r>
      <w:r w:rsidR="00D763DC">
        <w:instrText xml:space="preserve"> ADDIN ZOTERO_ITEM CSL_CITATION {"citationID":"YHY1QeJk","properties":{"formattedCitation":"(Crombez et al., 2002; Eccleston &amp; Crombez, 1999; Lee et al., 2018; Legrain, Perchet, et al., 2009)","plainCitation":"(Crombez et al., 2002; Eccleston &amp; Crombez, 1999; Lee et al., 2018; Legrain, Perchet, et al., 2009)","noteIndex":0},"citationItems":[{"id":5017,"uris":["http://zotero.org/users/3430614/items/VTAYX8FM"],"itemData":{"id":5017,"type":"article-journal","abstract":"BACKGROUND: Previous studies have shown that catastrophic thinking about pain enhances attentional interference in healthy volunteers. OBJECTIVE: To investigate whether the attentional effects of pain catastrophizing can be accounted for by the more general predisposition of negative affectivity. METHODS: Sixty-seven pain-free students participated in the first experiment, and 33 patients with chronic low back pain participated in the second experiment. In both experiments, participants performed an auditory reaction time task while being exposed to a series of threatening electrocutaneous stimuli. Retardation in reaction times to auditory probes during pain was taken as an index of the attentional interruption by pain. Participants also completed self-report instruments of negative affectivity and pain catastrophizing. RESULTS: In both experiments, pain catastrophizing enhanced attentional interference by pain. This effect was most pronounced immediately after the onset of the electrocutaneous stimulus. The effect remained after controlling for the effects of negative affectivity. CONCLUSIONS: Catastrophic thinking about pain enhances attentional interruption by pain in normal samples, as well as in clinical samples of patients with chronic back pain. This effect is specific to pain catastrophizing and cannot be explained by the more general disposition of negative affectivity.","container-title":"Pain Research and Management","DOI":"10.1155/2002/576792","ISSN":"1918-1523","issue":"1","language":"en","license":"Copyright © 2002 Hindawi Publishing Corporation.","note":"_eprint: https://onlinelibrary.wiley.com/doi/pdf/10.1155/2002/576792","page":"576792","source":"Wiley Online Library","title":"The Effects of Catastrophic Thinking about Pain on Attentional Interference by Pain: No Mediation of Negative Affectivity in Healthy Volunteers and in Patients with Low Back Pain","title-short":"The Effects of Catastrophic Thinking about Pain on Attentional Interference by Pain","volume":"7","author":[{"family":"Crombez","given":"G"},{"family":"Eccleston","given":"C"},{"family":"Broeck","given":"A Van","non-dropping-particle":"den"},{"family":"Houdenhove","given":"B Van"},{"family":"Goubert","given":"L"}],"issued":{"date-parts":[["2002"]]}}},{"id":4327,"uris":["http://zotero.org/users/3430614/items/4QV88YAD"],"itemData":{"id":4327,"type":"article-journal","abstract":"Pain interrupts and demands attention. The authors review evidence for how and why this interruption of attention is achieved. The interruptive function of pain depends on the relationship between pain-related characteristics (e.g., the threat value of pain) and the characteristics of the environmental demands (e.g., emotional arousal). A model of the interruptive function of pain is developed that holds that pain is selected for action from within complex affective and motivational environments to urge escape. The implications of this model for research and therapy are outlined with an emphasis on the redefinition of chronic pain as chronic interruption. (PsycINFO Database Record (c) 2016 APA, all rights reserved)","container-title":"Psychological Bulletin","DOI":"10.1037/0033-2909.125.3.356","ISSN":"1939-1455","issue":"3","note":"publisher-place: US\npublisher: American Psychological Association","page":"356-366","source":"APA PsycNet","title":"Pain demands attention: A cognitive–affective model of the interruptive function of pain","title-short":"Pain demands attention","volume":"125","author":[{"family":"Eccleston","given":"Chris"},{"family":"Crombez","given":"Geert"}],"issued":{"date-parts":[["1999"]]}}},{"id":4324,"uris":["http://zotero.org/users/3430614/items/FE5LBGIC"],"itemData":{"id":4324,"type":"article-journal","abstract":"Although the evidence of the attentional bias of chronic pain individuals toward pain-related information is established in the literature, few studies examined the time course of attention toward pain stimuli and the role of pain catastrophizing on attentional engagement toward pain-related information. This study examined the time course of attention to pain-related information and the role of pain catastrophizing on attentional engagement for pain-related information. Participants were fifty young adult participants with chronic pain (35% male, 65% female; M = 21.8 years) who completed self-report questionnaires assessing pain catastrophizing levels (Pain Catastrophizing Scale (PCS)), depression (the Center for Epidemiologic Studies Depression Scale (CES-D)), anxiety (State-Trait Anxiety Inventory (STAI)), and pain disability (the Pain Disability Index: (PDI)). Attentional engagements to pain- and anger-related information were measured by the eye tracker. Significant interaction effects were found between (1) time and stimulus type for pain-related information (F (5, 245) = 11.55, ) and (2) bias scores and pain catastrophizing (F (1, 48) = 6.736, ). These results indicated that the degree of increase for pain bias scores were significantly greater than anger bias scores as levels of pain catastrophizing increased. Results of the present study provided the evidence for the attentional bias and information processing model which has clinical implications; high levels of pain catastrophizing may impair individuals’ ability to cope with chronic pain by increasing attentional engagement toward pain-related information. The present study can add knowledge to attentional bias and pain research as this study investigated the time course of attention and the role of pain catastrophizing on attentional engagement toward pain-related information for adults with chronic pain conditions.","container-title":"Pain Research and Management","DOI":"10.1155/2018/6038406","ISSN":"1203-6765","language":"en","note":"publisher: Hindawi","page":"e6038406","source":"www.hindawi.com","title":"Attentional Engagement for Pain-Related Information among Individuals with Chronic Pain: The Role of Pain Catastrophizing","title-short":"Attentional Engagement for Pain-Related Information among Individuals with Chronic Pain","volume":"2018","author":[{"family":"Lee","given":"J. E."},{"family":"Kim","given":"S. H."},{"family":"Shin","given":"S. K."},{"family":"Wachholtz","given":"A."},{"family":"Lee","given":"J. H."}],"issued":{"date-parts":[["2018",12,2]]}}},{"id":4398,"uris":["http://zotero.org/users/3430614/items/2TTQ264J"],"itemData":{"id":4398,"type":"article-journal","abstract":"Pain can involuntarily capture attention and disrupt pain-unrelated cognitive activities. The brain mechanisms of these effects were explored by laser- and visual-evoked potentials. Consecutive nociceptive laser stimuli and visual stimuli were delivered in pairs. Subjects were instructed to ignore nociceptive stimuli while performing a task on visual targets. Because involuntary attention is particularly sensitive to novelty, in some trials (17%), unexpected laser stimuli were delivered on a different hand area (location-deviant) relative to the more frequent standard laser stimuli. Compared with frequent standard laser stimuli, deviant stimuli enhanced all nociceptive-evoked brain potentials (laser N1, N2, P2a, P2b). Deviant laser stimuli also decreased the amplitude of late latency–evoked responses (visual N2-P3) to the subsequent visual targets and delayed reaction times to them. The data confirm that nociceptive processing competes with pain-unrelated cognitive activities for attentional resources and that concomitant nociceptive events affect behavior by depressing attention allocation to ongoing cognitive processing. The laser-evoked potential magnitude reflected the engagement of attention to the novel nociceptive stimuli. We conclude that the laser-evoked potentials index the activity of a neural system involved in the detection of novel salient stimuli in order to focus attention and prioritize action to potentially damaging dangers.","container-title":"Journal of Neurophysiology","DOI":"10.1152/jn.00372.2009","ISSN":"0022-3077, 1522-1598","issue":"4","journalAbbreviation":"Journal of Neurophysiology","language":"en","page":"2423-2434","source":"DOI.org (Crossref)","title":"Involuntary Orienting of Attention to Nociceptive Events: Neural and Behavioral Signatures","title-short":"Involuntary Orienting of Attention to Nociceptive Events","volume":"102","author":[{"family":"Legrain","given":"Valéry"},{"family":"Perchet","given":"Caroline"},{"family":"García-Larrea","given":"Luis"}],"issued":{"date-parts":[["2009",10]]}}}],"schema":"https://github.com/citation-style-language/schema/raw/master/csl-citation.json"} </w:instrText>
      </w:r>
      <w:r w:rsidR="00D763DC">
        <w:fldChar w:fldCharType="separate"/>
      </w:r>
      <w:r w:rsidR="00D763DC">
        <w:rPr>
          <w:noProof/>
        </w:rPr>
        <w:t>(Crombez et al., 2002; Eccleston &amp; Crombez, 1999; Lee et al., 2018; Legrain, Perchet, et al., 2009)</w:t>
      </w:r>
      <w:r w:rsidR="00D763DC">
        <w:fldChar w:fldCharType="end"/>
      </w:r>
      <w:r>
        <w:t xml:space="preserve">. Although the present study did not include </w:t>
      </w:r>
      <w:r w:rsidR="008471AF">
        <w:t xml:space="preserve">functional imaging or measurements of cerebral blood flow, deviations in responsiveness to the task could be explained by </w:t>
      </w:r>
      <w:r w:rsidR="004D037C">
        <w:t>previously demonstrated</w:t>
      </w:r>
      <w:r w:rsidR="008471AF">
        <w:t xml:space="preserve"> </w:t>
      </w:r>
      <w:r w:rsidR="00D763DC">
        <w:t>aberrations</w:t>
      </w:r>
      <w:r w:rsidR="008471AF">
        <w:t xml:space="preserve"> in </w:t>
      </w:r>
      <w:r w:rsidR="00D763DC">
        <w:t xml:space="preserve">top-down processing mediated by decreases in activity in areas such as the DLPF and increased activity in areas </w:t>
      </w:r>
      <w:r w:rsidR="00B5511E">
        <w:t>associated with affective processing of painful stimuli</w:t>
      </w:r>
      <w:r w:rsidR="009974F4">
        <w:t xml:space="preserve">, </w:t>
      </w:r>
      <w:r w:rsidR="00D763DC">
        <w:t>such as the ACC</w:t>
      </w:r>
      <w:r>
        <w:t xml:space="preserve">. By and large, the present investigation </w:t>
      </w:r>
      <w:r>
        <w:lastRenderedPageBreak/>
        <w:t>demonstrates a novel interaction of pain catastrophizing on the relationship between cognition and exercise while also providing support for</w:t>
      </w:r>
      <w:r w:rsidR="008471AF">
        <w:t xml:space="preserve"> </w:t>
      </w:r>
      <w:r>
        <w:t xml:space="preserve">the </w:t>
      </w:r>
      <w:proofErr w:type="gramStart"/>
      <w:r>
        <w:t>attentional-model</w:t>
      </w:r>
      <w:proofErr w:type="gramEnd"/>
      <w:r>
        <w:t xml:space="preserve"> of pain catastrophizing</w:t>
      </w:r>
      <w:r w:rsidR="008471AF">
        <w:t>.</w:t>
      </w:r>
    </w:p>
    <w:p w14:paraId="7311648F" w14:textId="01BF0DC9" w:rsidR="00BB20BE" w:rsidRDefault="00795433" w:rsidP="00BB20BE">
      <w:pPr>
        <w:pStyle w:val="NormalWeb"/>
        <w:spacing w:before="0" w:beforeAutospacing="0" w:after="0" w:afterAutospacing="0" w:line="480" w:lineRule="auto"/>
        <w:rPr>
          <w:b/>
          <w:bCs/>
          <w:color w:val="000000"/>
        </w:rPr>
      </w:pPr>
      <w:r>
        <w:rPr>
          <w:b/>
          <w:bCs/>
          <w:color w:val="000000"/>
        </w:rPr>
        <w:t xml:space="preserve">Limitations </w:t>
      </w:r>
      <w:r w:rsidR="00BB20BE">
        <w:rPr>
          <w:b/>
          <w:bCs/>
          <w:color w:val="000000"/>
        </w:rPr>
        <w:t>and Future Directions</w:t>
      </w:r>
    </w:p>
    <w:p w14:paraId="78E05F8C" w14:textId="2A5B9479" w:rsidR="005936DC" w:rsidRDefault="00BB20BE" w:rsidP="00E652F5">
      <w:pPr>
        <w:pStyle w:val="NormalWeb"/>
        <w:spacing w:before="0" w:beforeAutospacing="0" w:after="0" w:afterAutospacing="0" w:line="480" w:lineRule="auto"/>
        <w:ind w:firstLine="720"/>
        <w:rPr>
          <w:color w:val="000000"/>
        </w:rPr>
      </w:pPr>
      <w:r>
        <w:rPr>
          <w:color w:val="000000"/>
        </w:rPr>
        <w:t xml:space="preserve">Given that this is the first study to look specifically at the impact of pain catastrophizing on </w:t>
      </w:r>
      <w:r w:rsidR="00D32EC2">
        <w:rPr>
          <w:color w:val="000000"/>
        </w:rPr>
        <w:t xml:space="preserve">the relationship between </w:t>
      </w:r>
      <w:r>
        <w:rPr>
          <w:color w:val="000000"/>
        </w:rPr>
        <w:t>exercise intensity</w:t>
      </w:r>
      <w:r w:rsidR="00D32EC2">
        <w:rPr>
          <w:color w:val="000000"/>
        </w:rPr>
        <w:t xml:space="preserve"> and cognition</w:t>
      </w:r>
      <w:r>
        <w:rPr>
          <w:color w:val="000000"/>
        </w:rPr>
        <w:t>, additional research must be conducted to confirm these findings</w:t>
      </w:r>
      <w:r w:rsidR="00D32EC2">
        <w:rPr>
          <w:color w:val="000000"/>
        </w:rPr>
        <w:t xml:space="preserve">, </w:t>
      </w:r>
      <w:r>
        <w:rPr>
          <w:color w:val="000000"/>
        </w:rPr>
        <w:t>further assess the conditions under which pain catastrophizing serves as a significant moderator</w:t>
      </w:r>
      <w:r w:rsidR="006472EC">
        <w:rPr>
          <w:color w:val="000000"/>
        </w:rPr>
        <w:t>, particularly in relation to the demonstrated differences in precision and hit rate</w:t>
      </w:r>
      <w:r w:rsidR="00D32EC2">
        <w:rPr>
          <w:color w:val="000000"/>
        </w:rPr>
        <w:t>, and provide additional insight into the mechanisms underlying the presumed degradations in attention</w:t>
      </w:r>
      <w:r w:rsidR="00D763DC">
        <w:rPr>
          <w:color w:val="000000"/>
        </w:rPr>
        <w:t>, particularly in regard to the biological mechanisms proposed in the previous section to explain the effects observed in this investigation</w:t>
      </w:r>
      <w:r>
        <w:rPr>
          <w:color w:val="000000"/>
        </w:rPr>
        <w:t xml:space="preserve">. </w:t>
      </w:r>
    </w:p>
    <w:p w14:paraId="61713D0B" w14:textId="614CF6A5" w:rsidR="00A728BD" w:rsidRDefault="00277905" w:rsidP="00A728BD">
      <w:pPr>
        <w:pStyle w:val="NormalWeb"/>
        <w:spacing w:before="0" w:beforeAutospacing="0" w:after="0" w:afterAutospacing="0" w:line="480" w:lineRule="auto"/>
        <w:ind w:firstLine="720"/>
      </w:pPr>
      <w:r>
        <w:rPr>
          <w:color w:val="000000"/>
        </w:rPr>
        <w:t>For example, w</w:t>
      </w:r>
      <w:r w:rsidR="005936DC">
        <w:rPr>
          <w:color w:val="000000"/>
        </w:rPr>
        <w:t xml:space="preserve">hile </w:t>
      </w:r>
      <w:r w:rsidR="00A728BD">
        <w:rPr>
          <w:color w:val="000000"/>
        </w:rPr>
        <w:t>preliminary inspection did not reveal</w:t>
      </w:r>
      <w:r w:rsidR="005936DC">
        <w:rPr>
          <w:color w:val="000000"/>
        </w:rPr>
        <w:t xml:space="preserve"> significant baseline differences in performance on the cognitive task by pain catastrophizing score</w:t>
      </w:r>
      <w:r w:rsidR="00A728BD">
        <w:rPr>
          <w:color w:val="000000"/>
        </w:rPr>
        <w:t xml:space="preserve"> in the present study</w:t>
      </w:r>
      <w:r w:rsidR="005936DC">
        <w:rPr>
          <w:color w:val="000000"/>
        </w:rPr>
        <w:t xml:space="preserve">, </w:t>
      </w:r>
      <w:r w:rsidR="00517602">
        <w:rPr>
          <w:color w:val="000000"/>
        </w:rPr>
        <w:t xml:space="preserve">it is important to consider that </w:t>
      </w:r>
      <w:r w:rsidR="005936DC">
        <w:rPr>
          <w:color w:val="000000"/>
        </w:rPr>
        <w:t xml:space="preserve">the </w:t>
      </w:r>
      <w:r>
        <w:rPr>
          <w:color w:val="000000"/>
        </w:rPr>
        <w:t xml:space="preserve">increased </w:t>
      </w:r>
      <w:r w:rsidR="005936DC">
        <w:rPr>
          <w:color w:val="000000"/>
        </w:rPr>
        <w:t>variability in individual</w:t>
      </w:r>
      <w:r>
        <w:rPr>
          <w:color w:val="000000"/>
        </w:rPr>
        <w:t xml:space="preserve"> participant</w:t>
      </w:r>
      <w:r w:rsidR="00CC77DE">
        <w:rPr>
          <w:color w:val="000000"/>
        </w:rPr>
        <w:t>’</w:t>
      </w:r>
      <w:r>
        <w:rPr>
          <w:color w:val="000000"/>
        </w:rPr>
        <w:t>s</w:t>
      </w:r>
      <w:r w:rsidR="005936DC">
        <w:rPr>
          <w:color w:val="000000"/>
        </w:rPr>
        <w:t xml:space="preserve"> task performance in the </w:t>
      </w:r>
      <w:r w:rsidR="005936DC">
        <w:t>initial stages of the exercise</w:t>
      </w:r>
      <w:r w:rsidR="00A728BD">
        <w:t xml:space="preserve"> task</w:t>
      </w:r>
      <w:r w:rsidR="00517602">
        <w:t xml:space="preserve"> may</w:t>
      </w:r>
      <w:r w:rsidR="00A728BD">
        <w:t xml:space="preserve"> have</w:t>
      </w:r>
      <w:r w:rsidR="00517602">
        <w:t xml:space="preserve"> mask</w:t>
      </w:r>
      <w:r w:rsidR="00A728BD">
        <w:t>ed</w:t>
      </w:r>
      <w:r w:rsidR="00517602">
        <w:t xml:space="preserve"> </w:t>
      </w:r>
      <w:r>
        <w:t>pre-existing</w:t>
      </w:r>
      <w:r w:rsidR="00D26861">
        <w:t>,</w:t>
      </w:r>
      <w:r>
        <w:t xml:space="preserve"> pain-catastrophizing-related discrepancies in executive function. </w:t>
      </w:r>
      <w:proofErr w:type="gramStart"/>
      <w:r w:rsidR="004E5E2A">
        <w:t>With this in mind, an</w:t>
      </w:r>
      <w:proofErr w:type="gramEnd"/>
      <w:r w:rsidR="004E5E2A">
        <w:t xml:space="preserve"> additional cognitive task training period on the treadmill may have served to provide a comparison period by which stronger conclusions could be made regarding the degree to which the discomfort of exercise</w:t>
      </w:r>
      <w:r w:rsidR="00A728BD">
        <w:t xml:space="preserve"> versus </w:t>
      </w:r>
      <w:r w:rsidR="0081733E">
        <w:t xml:space="preserve">a generally lower ability to maintain attention, regardless of the nature of the stimuli, </w:t>
      </w:r>
      <w:r w:rsidR="00A728BD">
        <w:t>accounted for the observed subsequent decrements in cognition.</w:t>
      </w:r>
      <w:r w:rsidR="004E5E2A">
        <w:t xml:space="preserve"> </w:t>
      </w:r>
      <w:r w:rsidR="00D26861">
        <w:t xml:space="preserve">Although there is a wealth of evidence to indicate that individuals with higher levels of pain catastrophizing </w:t>
      </w:r>
      <w:r w:rsidR="000636A9">
        <w:t>exhibit</w:t>
      </w:r>
      <w:r w:rsidR="00D26861">
        <w:t xml:space="preserve"> attentional biases</w:t>
      </w:r>
      <w:r w:rsidR="0081733E">
        <w:t xml:space="preserve"> toward pain-related stimuli specifically, further exploring whether pain catastrophizing is associated with </w:t>
      </w:r>
      <w:r w:rsidR="007467AE">
        <w:t xml:space="preserve">lower levels of </w:t>
      </w:r>
      <w:r w:rsidR="000636A9">
        <w:t xml:space="preserve">overall </w:t>
      </w:r>
      <w:r w:rsidR="007467AE">
        <w:t xml:space="preserve">cognitive reserve in non-clinical samples may provide additional insight into the mechanisms underlying </w:t>
      </w:r>
      <w:r w:rsidR="000636A9">
        <w:t xml:space="preserve">the patterns identified in the present study. </w:t>
      </w:r>
      <w:r>
        <w:t xml:space="preserve">All </w:t>
      </w:r>
      <w:r>
        <w:lastRenderedPageBreak/>
        <w:t xml:space="preserve">in all, the inability to </w:t>
      </w:r>
      <w:r w:rsidR="00A728BD">
        <w:t>confidently</w:t>
      </w:r>
      <w:r>
        <w:t xml:space="preserve"> tease out potential differences in executive function by pain catastrophizing </w:t>
      </w:r>
      <w:r w:rsidR="00A728BD">
        <w:t>at</w:t>
      </w:r>
      <w:r>
        <w:t xml:space="preserve"> baseline in the present investigation is a limitation that should be addressed in future studies.</w:t>
      </w:r>
    </w:p>
    <w:p w14:paraId="633D9ABD" w14:textId="38C73C83" w:rsidR="005936DC" w:rsidRDefault="005936DC" w:rsidP="00E652F5">
      <w:pPr>
        <w:pStyle w:val="NormalWeb"/>
        <w:spacing w:before="0" w:beforeAutospacing="0" w:after="0" w:afterAutospacing="0" w:line="480" w:lineRule="auto"/>
        <w:ind w:firstLine="720"/>
      </w:pPr>
      <w:r>
        <w:t xml:space="preserve">Likewise, while self-reported levels of pain </w:t>
      </w:r>
      <w:r w:rsidR="00517602">
        <w:t xml:space="preserve">during exercise </w:t>
      </w:r>
      <w:r>
        <w:t xml:space="preserve">were not assessed </w:t>
      </w:r>
      <w:proofErr w:type="gramStart"/>
      <w:r>
        <w:t>in an effort to</w:t>
      </w:r>
      <w:proofErr w:type="gramEnd"/>
      <w:r>
        <w:t xml:space="preserve"> avoid priming participants to thinking about the level of discomfort they were experiencing as intensity increased, </w:t>
      </w:r>
      <w:r w:rsidR="00517602">
        <w:t>th</w:t>
      </w:r>
      <w:r w:rsidR="000636A9">
        <w:t xml:space="preserve">is work </w:t>
      </w:r>
      <w:r w:rsidR="00517602">
        <w:t xml:space="preserve">could have benefitted from collecting information related to the subjective pain-related experiences of participants as they were on the treadmill. </w:t>
      </w:r>
      <w:r w:rsidR="007467AE">
        <w:t>Although it is generally accepted that intense exercise is accompanied by discomfort</w:t>
      </w:r>
      <w:r w:rsidR="00F74EBE">
        <w:t xml:space="preserve"> </w:t>
      </w:r>
      <w:r w:rsidR="00F74EBE">
        <w:fldChar w:fldCharType="begin"/>
      </w:r>
      <w:r w:rsidR="00DD7A6E">
        <w:instrText xml:space="preserve"> ADDIN ZOTERO_ITEM CSL_CITATION {"citationID":"OpqrJ2kN","properties":{"formattedCitation":"(Mauger, 2019; O\\uc0\\u8217{}Malley et al., 2024)","plainCitation":"(Mauger, 2019; O’Malley et al., 2024)","noteIndex":0},"citationItems":[{"id":5120,"uris":["http://zotero.org/users/3430614/items/IT9MNWRT"],"itemData":{"id":5120,"type":"chapter","abstract":"Vigorous exercise causes naturally occurring pain (exercise-induced pain: EIP) that is usually proportional to exercise intensity and/or exercise duration. Although not a threat to the body, this EIP may cause fatigue due to increased afferent feedback and/or a psychological drive to escape the pain. Therefore, tolerance of EIP is an important determinant of success, which is evidenced by better-trained individuals having a higher pain threshold and aerobic training causing an increase in pain threshold resulting in an improved endurance performance. The importance of pain tolerance to optimal endurance performance is, however, likely dependent on individual characteristics and the context and type of exercise performed.","container-title":"Endurance Performance in Sport","ISBN":"978-1-315-16731-2","note":"number-of-pages: 12","publisher":"Routledge","title":"Exercise-induced pain: A psychophysiological perspective","title-short":"Exercise-induced pain","author":[{"family":"Mauger","given":"Alexis R."}],"issued":{"date-parts":[["2019"]]}}},{"id":5130,"uris":["http://zotero.org/users/3430614/items/ULAR5GMK"],"itemData":{"id":5130,"type":"article-journal","abstract":"Pain can be defined as an unpleasant sensory and emotional experience associated with or resembling that associated with actual or potential tissue damage. Though consistent with this definition, different types of pain result in different behavioural and psychophysiological responses. For example, the transient, non-threatening, acute muscle pain element of exercise-induced pain (EIP) is entirely different from other pain types like delayed onset muscle soreness, muscular injury or chronic pain. However, studies often conflate the definitions or assume parity between distinct pain types. Consequently, the mechanisms through which pain might impact exercise behaviour across different pain subcategories may be incorrectly assumed, which could lead to interventions or recommendations that are inappropriate. Therefore, this review aims to distinguish EIP from other subcategories of pain according to their aetiologies and characteristics, thereby providing an updated conceptual and operational definition of EIP. Secondly, the review will discuss the experimental pain models currently used across several research domains and their relevance to EIP with a focus on the neuro-psychophysiological mechanisms of EIP and its effect on exercise behaviour and performance. Finally, the review will examine potential interventions to cope with the impact of EIP and support wider exercise benefits. Highlights What is the topic of this review? Considerations for future research focusing on exercise-induced pain within endurance exercise settings. What advances does it highlight? An updated appraisal and guide of research concerning exercise-induced pain and its impact on endurance task behaviour, particularly with reference to the aetiology, measurement, and manipulation of exercise-induced pain.","container-title":"Experimental Physiology","DOI":"10.1113/EP091687","ISSN":"1469-445X","issue":"n/a","language":"en","license":"© 2024 The Author(s). Experimental Physiology published by John Wiley &amp; Sons Ltd on behalf of The Physiological Society.","note":"_eprint: https://onlinelibrary.wiley.com/doi/pdf/10.1113/EP091687","source":"Wiley Online Library","title":"Exercise-induced pain within endurance exercise settings: Definitions, measurement, mechanisms and potential interventions","title-short":"Exercise-induced pain within endurance exercise settings","URL":"https://onlinelibrary.wiley.com/doi/abs/10.1113/EP091687","volume":"n/a","author":[{"family":"O'Malley","given":"Callum A."},{"family":"Smith","given":"Samuel A."},{"family":"Mauger","given":"Alexis R."},{"family":"Norbury","given":"Ryan"}],"accessed":{"date-parts":[["2024",7,23]]},"issued":{"date-parts":[["2024"]]}}}],"schema":"https://github.com/citation-style-language/schema/raw/master/csl-citation.json"} </w:instrText>
      </w:r>
      <w:r w:rsidR="00F74EBE">
        <w:fldChar w:fldCharType="separate"/>
      </w:r>
      <w:r w:rsidR="00DD7A6E" w:rsidRPr="00DD7A6E">
        <w:t>(Mauger, 2019; O’Malley et al., 2024)</w:t>
      </w:r>
      <w:r w:rsidR="00F74EBE">
        <w:fldChar w:fldCharType="end"/>
      </w:r>
      <w:r w:rsidR="007467AE">
        <w:t>, with exercise being considered an accepted method of experimentally inducing pain</w:t>
      </w:r>
      <w:r w:rsidR="00F74EBE">
        <w:t xml:space="preserve"> </w:t>
      </w:r>
      <w:r w:rsidR="00F74EBE">
        <w:fldChar w:fldCharType="begin"/>
      </w:r>
      <w:r w:rsidR="00F74EBE">
        <w:instrText xml:space="preserve"> ADDIN ZOTERO_ITEM CSL_CITATION {"citationID":"UUEtch3U","properties":{"formattedCitation":"(Edens &amp; Gil, 1995; Reddy et al., 2012)","plainCitation":"(Edens &amp; Gil, 1995; Reddy et al., 2012)","noteIndex":0},"citationItems":[{"id":5111,"uris":["http://zotero.org/users/3430614/items/VH3K7ADE"],"itemData":{"id":5111,"type":"article-journal","abstract":"Experimental pain methods have been used historically to examine sensory and perceptual mechanisms of pain report and response, generally in healthy populations. However, recent research points to the utility of these methods to investigate a variety of questions related to clinical pain. In this paper, experimental pain induction and measurement are briefly overviewed to provide readers with some background in these techniques. The utility of experimental pain induction techniques are overviewed with respect to three important emerging areas of clinical pain research: a) extending our understanding of the mechanisms of pain report and response, b) assessment and prediction of pain report and response, and c) the use of experimental pain as a vehicle to train pain coping skills and to evaluate their effectiveness in cognitive behavioral treatment. In addition, the unique contribution of each empirical paper in this special series is highlighted with respect to these three emerging areas.","container-title":"Behavior Therapy","DOI":"10.1016/S0005-7894(05)80102-9","ISSN":"0005-7894","issue":"2","journalAbbreviation":"Behavior Therapy","page":"197-216","source":"ScienceDirect","title":"Experimental induction of pain: Utility in the study of clinical pain","title-short":"Experimental induction of pain","volume":"26","author":[{"family":"Edens","given":"Jennifer L."},{"family":"Gil","given":"Karen M."}],"issued":{"date-parts":[["1995",3,1]]}}},{"id":5114,"uris":["http://zotero.org/users/3430614/items/J8MBTTXQ"],"itemData":{"id":5114,"type":"article-journal","abstract":"Human experimental pain models are essential in understanding the pain mechanisms and appear to be ideally suited to test analgesic compounds. The challenge that confronts both the clinician and the scientist is to match specific treatments to different pain-generating mechanisms and hence reach a pain treatment tailored to each individual patient. Experimental pain models offer the possibility to explore the pain system under controlled settings. Standardized stimuli of different modalities (i.e., mechanical, thermal, electrical, or chemical) can be applied to the skin, muscles, and viscera for a differentiated and comprehensive assessment of various pain pathways and mechanisms. Using a multimodel-multistructure testing, the nociception arising from different body structures can be explored and modulation of specific biomarkers by new and existing analgesic drugs can be profiled. The value of human experimental pain models is to link animal and clinical pain studies, providing new possibilities for designing successful clinical trials. Spontaneous pain, the main compliant of the neuropathic patients, but currently there is no human model available that would mimic chronic pain. Therefore, current human pain models cannot replace patient studies for studying efficacy of analgesic compounds, although being helpful for proof-of-concept studies and dose finding.","container-title":"Journal of Research in Medical Sciences : The Official Journal of Isfahan University of Medical Sciences","ISSN":"1735-1995","issue":"6","journalAbbreviation":"J Res Med Sci","note":"PMID: 23626642\nPMCID: PMC3634303","page":"587-595","source":"PubMed Central","title":"Human experimental pain models: A review of standardized methods in drug development","title-short":"Human experimental pain models","volume":"17","author":[{"family":"Reddy","given":"K. Sunil","dropping-particle":"kumar"},{"family":"Naidu","given":"M. U. R."},{"family":"Rani","given":"P. Usha"},{"family":"Rao","given":"T. Ramesh Kumar"}],"issued":{"date-parts":[["2012",6]]}}}],"schema":"https://github.com/citation-style-language/schema/raw/master/csl-citation.json"} </w:instrText>
      </w:r>
      <w:r w:rsidR="00F74EBE">
        <w:fldChar w:fldCharType="separate"/>
      </w:r>
      <w:r w:rsidR="00F74EBE">
        <w:rPr>
          <w:noProof/>
        </w:rPr>
        <w:t>(Edens &amp; Gil, 1995; Reddy et al., 2012)</w:t>
      </w:r>
      <w:r w:rsidR="00F74EBE">
        <w:fldChar w:fldCharType="end"/>
      </w:r>
      <w:r w:rsidR="007467AE">
        <w:t xml:space="preserve">, </w:t>
      </w:r>
      <w:r w:rsidR="00A728BD">
        <w:t xml:space="preserve">information </w:t>
      </w:r>
      <w:r w:rsidR="00DD7A6E">
        <w:t xml:space="preserve">related to the extent and timing of discomfort </w:t>
      </w:r>
      <w:r w:rsidR="00A728BD">
        <w:t>would have allowed f</w:t>
      </w:r>
      <w:r w:rsidR="007467AE">
        <w:t xml:space="preserve">or additional clarity on </w:t>
      </w:r>
      <w:r w:rsidR="00104FC2">
        <w:t>the extent to which</w:t>
      </w:r>
      <w:r w:rsidR="007467AE">
        <w:t xml:space="preserve"> pain-related cognitions or greater focus on pain-related stimuli were impeding ability to attend to the cognitive task</w:t>
      </w:r>
      <w:r w:rsidR="00D26861">
        <w:t xml:space="preserve">. </w:t>
      </w:r>
      <w:r w:rsidR="000B24E3">
        <w:t xml:space="preserve">Ratings </w:t>
      </w:r>
      <w:r w:rsidR="00104FC2">
        <w:t>of perceived exertion</w:t>
      </w:r>
      <w:r w:rsidR="003A6D6C">
        <w:t>, typically assess</w:t>
      </w:r>
      <w:r w:rsidR="00F16D5C">
        <w:t>ed</w:t>
      </w:r>
      <w:r w:rsidR="003A6D6C">
        <w:t xml:space="preserve"> with the Borg scale,</w:t>
      </w:r>
      <w:r w:rsidR="00104FC2">
        <w:t xml:space="preserve"> are often employed in exercise science investigations </w:t>
      </w:r>
      <w:r w:rsidR="000636A9">
        <w:t xml:space="preserve">in order </w:t>
      </w:r>
      <w:r w:rsidR="00104FC2">
        <w:t xml:space="preserve">to assess the </w:t>
      </w:r>
      <w:r w:rsidR="00DD7A6E">
        <w:t>level of pain</w:t>
      </w:r>
      <w:r w:rsidR="008B71D2">
        <w:t xml:space="preserve"> </w:t>
      </w:r>
      <w:r w:rsidR="00104FC2">
        <w:t xml:space="preserve">without specifically </w:t>
      </w:r>
      <w:r w:rsidR="00DD7A6E">
        <w:t>using that term</w:t>
      </w:r>
      <w:r w:rsidR="00D56E33">
        <w:t xml:space="preserve"> </w:t>
      </w:r>
      <w:r w:rsidR="00D56E33">
        <w:fldChar w:fldCharType="begin"/>
      </w:r>
      <w:r w:rsidR="00DD7A6E">
        <w:instrText xml:space="preserve"> ADDIN ZOTERO_ITEM CSL_CITATION {"citationID":"YzzVh2Jp","properties":{"formattedCitation":"(O\\uc0\\u8217{}Malley et al., 2024)","plainCitation":"(O’Malley et al., 2024)","noteIndex":0},"citationItems":[{"id":5130,"uris":["http://zotero.org/users/3430614/items/ULAR5GMK"],"itemData":{"id":5130,"type":"article-journal","abstract":"Pain can be defined as an unpleasant sensory and emotional experience associated with or resembling that associated with actual or potential tissue damage. Though consistent with this definition, different types of pain result in different behavioural and psychophysiological responses. For example, the transient, non-threatening, acute muscle pain element of exercise-induced pain (EIP) is entirely different from other pain types like delayed onset muscle soreness, muscular injury or chronic pain. However, studies often conflate the definitions or assume parity between distinct pain types. Consequently, the mechanisms through which pain might impact exercise behaviour across different pain subcategories may be incorrectly assumed, which could lead to interventions or recommendations that are inappropriate. Therefore, this review aims to distinguish EIP from other subcategories of pain according to their aetiologies and characteristics, thereby providing an updated conceptual and operational definition of EIP. Secondly, the review will discuss the experimental pain models currently used across several research domains and their relevance to EIP with a focus on the neuro-psychophysiological mechanisms of EIP and its effect on exercise behaviour and performance. Finally, the review will examine potential interventions to cope with the impact of EIP and support wider exercise benefits. Highlights What is the topic of this review? Considerations for future research focusing on exercise-induced pain within endurance exercise settings. What advances does it highlight? An updated appraisal and guide of research concerning exercise-induced pain and its impact on endurance task behaviour, particularly with reference to the aetiology, measurement, and manipulation of exercise-induced pain.","container-title":"Experimental Physiology","DOI":"10.1113/EP091687","ISSN":"1469-445X","issue":"n/a","language":"en","license":"© 2024 The Author(s). Experimental Physiology published by John Wiley &amp; Sons Ltd on behalf of The Physiological Society.","note":"_eprint: https://onlinelibrary.wiley.com/doi/pdf/10.1113/EP091687","source":"Wiley Online Library","title":"Exercise-induced pain within endurance exercise settings: Definitions, measurement, mechanisms and potential interventions","title-short":"Exercise-induced pain within endurance exercise settings","URL":"https://onlinelibrary.wiley.com/doi/abs/10.1113/EP091687","volume":"n/a","author":[{"family":"O'Malley","given":"Callum A."},{"family":"Smith","given":"Samuel A."},{"family":"Mauger","given":"Alexis R."},{"family":"Norbury","given":"Ryan"}],"accessed":{"date-parts":[["2024",7,23]]},"issued":{"date-parts":[["2024"]]}}}],"schema":"https://github.com/citation-style-language/schema/raw/master/csl-citation.json"} </w:instrText>
      </w:r>
      <w:r w:rsidR="00D56E33">
        <w:fldChar w:fldCharType="separate"/>
      </w:r>
      <w:r w:rsidR="00DD7A6E" w:rsidRPr="00DD7A6E">
        <w:t>(O’Malley et al., 2024)</w:t>
      </w:r>
      <w:r w:rsidR="00D56E33">
        <w:fldChar w:fldCharType="end"/>
      </w:r>
      <w:r w:rsidR="00104FC2">
        <w:t xml:space="preserve">, </w:t>
      </w:r>
      <w:r w:rsidR="005F218E">
        <w:t xml:space="preserve">particularly in populations prone to reporting pain-related symptoms </w:t>
      </w:r>
      <w:r w:rsidR="000B24E3">
        <w:t>during exercise, such as those with</w:t>
      </w:r>
      <w:r w:rsidR="00B23414">
        <w:t xml:space="preserve"> Gulf War Syndrome</w:t>
      </w:r>
      <w:r w:rsidR="00B87824">
        <w:t xml:space="preserve"> </w:t>
      </w:r>
      <w:r w:rsidR="00B87824">
        <w:fldChar w:fldCharType="begin"/>
      </w:r>
      <w:r w:rsidR="00B87824">
        <w:instrText xml:space="preserve"> ADDIN ZOTERO_ITEM CSL_CITATION {"citationID":"DTj7F9Bn","properties":{"formattedCitation":"(Cook et al., 2010)","plainCitation":"(Cook et al., 2010)","noteIndex":0},"citationItems":[{"id":5124,"uris":["http://zotero.org/users/3430614/items/P5BGYSK9"],"itemData":{"id":5124,"type":"article-journal","abstract":"Since returning from the Persian Gulf, nearly 100,000 veterans of the first Gulf War (GVs) have reported numerous symptoms with no apparent medical explanation. A primary complaint of these individuals is chronic musculoskeletal pain (CMP). CMP symptoms in GVs are similar to those reported by patients with fibromyalgia (FM), but have not received equivalent scientific attention. Exercise research in CMP patients suggests that acute exercise may exacerbate pain while chronic exercise can reduce pain and improve other symptoms. However, the influence of exercise on GVs with CMP is largely unexplored. This study examined the impact of an acute bout of exercise on pain sensitivity in GVs with CMP. Thirty-two GVs (CMP, n = 15; Control, n = 17) were recruited to complete a series of psychophysical assessments to determine pain sensitivity to heat and pressure stimuli before and after exercise. In response to heat-pain stimuli, GVs with CMP reported higher pain intensity and affect ratings than healthy GVs and exhibited a significant increase in ratings following exercise. GVs with CMP rated exercise as more painful and effortful and were generally more sensitive to heat-pain stimuli than healthy GVs. These results are similar to what has been reported for acute exercise in patients with FM.\nPerspective\nGulf War veterans with CMP perceive exercise as more painful and effortful than healthy GVs and experience increased pain sensitivity following exercise. These results suggest that similar abnormalities in central nervous system processing of nociceptive information documented in FM may also be occurring in GVs with CMP.","container-title":"The Journal of Pain","DOI":"10.1016/j.jpain.2009.11.010","ISSN":"1526-5900","issue":"8","journalAbbreviation":"The Journal of Pain","page":"764-772","source":"ScienceDirect","title":"Exercise Alters Pain Sensitivity in Gulf War Veterans With Chronic Musculoskeletal Pain","volume":"11","author":[{"family":"Cook","given":"Dane B."},{"family":"Stegner","given":"Aaron J."},{"family":"Ellingson","given":"Laura D."}],"issued":{"date-parts":[["2010",8,1]]}}}],"schema":"https://github.com/citation-style-language/schema/raw/master/csl-citation.json"} </w:instrText>
      </w:r>
      <w:r w:rsidR="00B87824">
        <w:fldChar w:fldCharType="separate"/>
      </w:r>
      <w:r w:rsidR="00B87824">
        <w:rPr>
          <w:noProof/>
        </w:rPr>
        <w:t>(Cook et al., 2010)</w:t>
      </w:r>
      <w:r w:rsidR="00B87824">
        <w:fldChar w:fldCharType="end"/>
      </w:r>
      <w:r w:rsidR="008B71D2">
        <w:t>. However</w:t>
      </w:r>
      <w:r w:rsidR="00B23414">
        <w:t xml:space="preserve">, </w:t>
      </w:r>
      <w:r w:rsidR="00104FC2">
        <w:t xml:space="preserve">given </w:t>
      </w:r>
      <w:r w:rsidR="005D02C9">
        <w:t xml:space="preserve">the </w:t>
      </w:r>
      <w:r w:rsidR="00955687">
        <w:t xml:space="preserve">hypervigilance exhibited by individuals who are higher in pain catastrophizing to stimuli that could potentially signal pain, even in the </w:t>
      </w:r>
      <w:r w:rsidR="00F16D5C">
        <w:t>presence of neutral rather than</w:t>
      </w:r>
      <w:r w:rsidR="00955687">
        <w:t xml:space="preserve"> painful stimuli</w:t>
      </w:r>
      <w:r w:rsidR="00F16D5C">
        <w:t xml:space="preserve"> </w:t>
      </w:r>
      <w:r w:rsidR="00F16D5C">
        <w:fldChar w:fldCharType="begin"/>
      </w:r>
      <w:r w:rsidR="00F16D5C">
        <w:instrText xml:space="preserve"> ADDIN ZOTERO_ITEM CSL_CITATION {"citationID":"pZmqeGPM","properties":{"formattedCitation":"(Khatibi et al., 2015)","plainCitation":"(Khatibi et al., 2015)","noteIndex":0},"citationItems":[{"id":5144,"uris":["http://zotero.org/users/3430614/items/AMKJHUJP"],"itemData":{"id":5144,"type":"article-journal","abstract":"BACKGROUND: The aim of this study was to investigate the impact of chronic pain on interpretation bias for ambiguous faces, using a recently developed paradigm with ecologically valid stimuli.\nMETHODS: Fifty patients with chronic pain and 25 healthy controls were trained to respond to probes following the presentation of happy or painful faces, using an incidental learning task. During a test phase, ambiguous faces were presented. The degree to which participants were faster to respond to probes presented where painful (rather than happy) faces had previously been presented was taken as an indication of the interpretation bias towards painful faces.\nRESULTS: All participants had learnt the originally presented contingency. As predicted, chronic pain patients showed a greater bias towards interpreting ambiguous faces as painful than control participants. Further, there were correlations between fear of pain and catastrophizing and interpretation bias, indicating that participants with higher fear of pain and higher scores on a measure of catastrophizing were more likely to interpret ambiguous faces as painful. Severity of pain was inversely associated with increased interpretation bias for pain.\nCONCLUSION: These results show clear evidence that chronic pain patients do demonstrate an interpretation bias towards painful faces and that this bias is greater for those who catastrophize more and have higher levels of fear of pain, but experienced less pain in the preceding week. Given the recent potential shown for interventions that modify cognitive biases, this paradigm would seem to be well suited to future efforts to modify interpretation biases in pain.","container-title":"European Journal of Pain (London, England)","DOI":"10.1002/ejp.637","ISSN":"1532-2149","issue":"8","journalAbbreviation":"Eur J Pain","language":"eng","note":"PMID: 25523038","page":"1139-1147","source":"PubMed","title":"Interpretation biases in chronic pain patients: an incidental learning task","title-short":"Interpretation biases in chronic pain patients","volume":"19","author":[{"family":"Khatibi","given":"A."},{"family":"Sharpe","given":"L."},{"family":"Jafari","given":"H."},{"family":"Gholami","given":"S."},{"family":"Dehghani","given":"M."}],"issued":{"date-parts":[["2015",9]]}}}],"schema":"https://github.com/citation-style-language/schema/raw/master/csl-citation.json"} </w:instrText>
      </w:r>
      <w:r w:rsidR="00F16D5C">
        <w:fldChar w:fldCharType="separate"/>
      </w:r>
      <w:r w:rsidR="00F16D5C">
        <w:rPr>
          <w:noProof/>
        </w:rPr>
        <w:t>(Khatibi et al., 2015)</w:t>
      </w:r>
      <w:r w:rsidR="00F16D5C">
        <w:fldChar w:fldCharType="end"/>
      </w:r>
      <w:r w:rsidR="00955687">
        <w:t>, asking catastrophizers to consider</w:t>
      </w:r>
      <w:r w:rsidR="00392AEF">
        <w:t xml:space="preserve"> </w:t>
      </w:r>
      <w:r w:rsidR="00955687">
        <w:t xml:space="preserve">their level of exertion might </w:t>
      </w:r>
      <w:r w:rsidR="003A6D6C">
        <w:t xml:space="preserve">unduly influence them to </w:t>
      </w:r>
      <w:r w:rsidR="00392AEF">
        <w:t>attend even further to the discomfort they might be experiencing or anticipating experiencing</w:t>
      </w:r>
      <w:r w:rsidR="00104FC2">
        <w:t>.</w:t>
      </w:r>
      <w:r w:rsidR="00392AEF">
        <w:t xml:space="preserve"> This </w:t>
      </w:r>
      <w:r w:rsidR="00786277">
        <w:t>concern</w:t>
      </w:r>
      <w:r w:rsidR="00392AEF">
        <w:t xml:space="preserve"> has been </w:t>
      </w:r>
      <w:r w:rsidR="007D5F2F">
        <w:t>similarly</w:t>
      </w:r>
      <w:r w:rsidR="00392AEF">
        <w:t xml:space="preserve"> </w:t>
      </w:r>
      <w:r w:rsidR="00786277">
        <w:t>raised</w:t>
      </w:r>
      <w:r w:rsidR="00392AEF">
        <w:t xml:space="preserve"> in populations with fibromyalgia, </w:t>
      </w:r>
      <w:r w:rsidR="00786277">
        <w:t xml:space="preserve">with </w:t>
      </w:r>
      <w:r w:rsidR="00392AEF">
        <w:t xml:space="preserve">conflicting evidence exists as to whether patients are able to effectively discriminate between exertion and exercise-induced pain </w:t>
      </w:r>
      <w:r w:rsidR="00786277">
        <w:fldChar w:fldCharType="begin"/>
      </w:r>
      <w:r w:rsidR="00786277">
        <w:instrText xml:space="preserve"> ADDIN ZOTERO_ITEM CSL_CITATION {"citationID":"yokLi7cE","properties":{"formattedCitation":"(Nielens et al., 2000; Soriano-Maldonado et al., 2015)","plainCitation":"(Nielens et al., 2000; Soriano-Maldonado et al., 2015)","noteIndex":0},"citationItems":[{"id":5134,"uris":["http://zotero.org/users/3430614/items/3UN6HRAR"],"itemData":{"id":5134,"type":"article-journal","abstract":"OBJECTIVE: The aim of this study was to evaluate the cardiorespiratory fitness and perceived exertion of female patients with fibromyalgia syndrome (FMS) compared with that of healthy female subjects.\nDESIGN AND SUBJECTS: This was designed as a cross-sectional case-control study, with a consecutive sample of 30 female patients with FMS and an age-matched control group of 67 healthy female subjects.\nSETTING: This study was conducted at the multidisciplinary pain center of a university hospital in a city of more than 1 million inhabitants.\nOUTCOME MEASURES: A cardiorespiratory fitness index (PWC65%/kg) and an original perceived exertion index (B65%) were obtained from the heart rates and perceived exertions scored on a 10-point Borg scale during a submaximal cycle ergometer test. Average indexes for the FMS patients and control subjects were compared.\nRESULTS: The mean cardiorespiratory fitness index of the FMS patients was not significantly different from that of the controls. The mean perceived exertion index in the FMS patients was significantly greater than that of the controls, meaning that the FMS patients systematically reported higher ratings of perceived exertion during exercise.\nCONCLUSIONS: Cardiorespiratory fitness, as expressed by a submaximal work capacity index, seems normal in female patients with FMS compared with age- and sex-matched healthy individuals. The fact that FMS patients overscore their perception of exertion may be due to a greater overlap of peripheral pain and perceived exertion perceptions during exercise. This observation should be noted when using perceived exertion scores to prescribe and monitor exercise in FMS patients.","container-title":"The Clinical Journal of Pain","DOI":"10.1097/00002508-200009000-00006","ISSN":"0749-8047","issue":"3","journalAbbreviation":"Clin J Pain","language":"eng","note":"PMID: 11014394","page":"209-213","source":"PubMed","title":"Fitness and perceived exertion in patients with fibromyalgia syndrome","volume":"16","author":[{"family":"Nielens","given":"H."},{"family":"Boisset","given":"V."},{"family":"Masquelier","given":"E."}],"issued":{"date-parts":[["2000",9]]}}},{"id":5133,"uris":["http://zotero.org/users/3430614/items/67BWD7C8"],"itemData":{"id":5133,"type":"article-journal","abstract":"The present study aimed (1) to assess the validity and reliability of the Borg category-ratio (CR-10) scale for monitoring exercise intensity in women with fibromyalgia (FM) and (2) to examine whether women with FM can discriminate between perceived exertion and exercise-induced pain. Thirty-three women with FM performed two incremental treadmill tests (1 week separated). Heart rate, oxygen uptake, minute ventilation and respiratory quotient were measured. The ratings of perceived exertion (RPE: CR-10 scale) and exercise-induced pain were obtained at each workload. The Spearman’s correlation of RPE with the physiological responses ranged from 0.69 to 0.79. The regression models explained 50% of the variability of the studied physiological responses. We found “perfect acceptable” agreement in 69% of the observations. Weighted Kappa was 0.66 (95% confidence interval [CI]: 0.59–0.72). There were differences between RPE and pain at workloads 3 (1.50; 95%CI: 0.85–2.16), 4 (2.10; 95%CI: 1.23–2.96), 5 (3.40; 95%CI: 1.29–5.51) and 6 (3.97; 95%CI: 1.61–6.33). The main findings of the present study suggest that the Borg CR-10 scale is valid and moderately reliable for monitoring exercise intensity in women with FM, and these patients were able to discriminate between exertion and exercise-induced pain.","container-title":"Journal of Sports Sciences","DOI":"10.1080/02640414.2014.994661","ISSN":"0264-0414","issue":"14","note":"publisher: Routledge\n_eprint: https://doi.org/10.1080/02640414.2014.994661\nPMID: 25537003","page":"1515-1522","source":"Taylor and Francis+NEJM","title":"Validity and reliability of rating perceived exertion in women with fibromyalgia: exertion-pain discrimination","title-short":"Validity and reliability of rating perceived exertion in women with fibromyalgia","volume":"33","author":[{"family":"Soriano-Maldonado","given":"Alberto"},{"family":"Ruiz","given":"Jonatan R."},{"family":"Álvarez-Gallardo","given":"Inmaculada C."},{"family":"Segura-Jiménez","given":"Víctor"},{"family":"Santalla","given":"Alfredo"},{"family":"Munguía-Izquierdo","given":"Diego"}],"issued":{"date-parts":[["2015",8,27]]}}}],"schema":"https://github.com/citation-style-language/schema/raw/master/csl-citation.json"} </w:instrText>
      </w:r>
      <w:r w:rsidR="00786277">
        <w:fldChar w:fldCharType="separate"/>
      </w:r>
      <w:r w:rsidR="00786277">
        <w:rPr>
          <w:noProof/>
        </w:rPr>
        <w:t>(Nielens et al., 2000; Soriano-</w:t>
      </w:r>
      <w:r w:rsidR="00786277">
        <w:rPr>
          <w:noProof/>
        </w:rPr>
        <w:lastRenderedPageBreak/>
        <w:t>Maldonado et al., 2015)</w:t>
      </w:r>
      <w:r w:rsidR="00786277">
        <w:fldChar w:fldCharType="end"/>
      </w:r>
      <w:r w:rsidR="00392AEF">
        <w:t xml:space="preserve">. </w:t>
      </w:r>
      <w:r w:rsidR="00786277">
        <w:t xml:space="preserve">While these constraints make it challenging to concurrently assess </w:t>
      </w:r>
      <w:r w:rsidR="008D7F05">
        <w:t xml:space="preserve">the degree to which pain catastrophizing impacts the experience of </w:t>
      </w:r>
      <w:r w:rsidR="00786277">
        <w:t xml:space="preserve">discomfort during exercise without priming pain-related cognitions, future studies should endeavor to </w:t>
      </w:r>
      <w:r w:rsidR="005B0239">
        <w:t xml:space="preserve">more clearly </w:t>
      </w:r>
      <w:r w:rsidR="008D7F05">
        <w:t>explore this relationship, perhaps using qualitative methods</w:t>
      </w:r>
      <w:r w:rsidR="005B0239">
        <w:t xml:space="preserve"> administered immediately post-exercise</w:t>
      </w:r>
      <w:r w:rsidR="00D26861">
        <w:t>.</w:t>
      </w:r>
    </w:p>
    <w:p w14:paraId="6C0207C6" w14:textId="591031A2" w:rsidR="007E71C1" w:rsidRDefault="005B0239" w:rsidP="007E71C1">
      <w:pPr>
        <w:pStyle w:val="NormalWeb"/>
        <w:spacing w:before="0" w:beforeAutospacing="0" w:after="0" w:afterAutospacing="0" w:line="480" w:lineRule="auto"/>
        <w:ind w:firstLine="720"/>
        <w:rPr>
          <w:color w:val="000000"/>
        </w:rPr>
      </w:pPr>
      <w:r>
        <w:rPr>
          <w:color w:val="000000"/>
        </w:rPr>
        <w:t>It is also important to consider that</w:t>
      </w:r>
      <w:r w:rsidR="00795433">
        <w:rPr>
          <w:color w:val="000000"/>
        </w:rPr>
        <w:t xml:space="preserve"> the participants included in the present study were young, healthy, and </w:t>
      </w:r>
      <w:r w:rsidR="00471206">
        <w:rPr>
          <w:color w:val="000000"/>
        </w:rPr>
        <w:t>interested</w:t>
      </w:r>
      <w:r w:rsidR="00795433">
        <w:rPr>
          <w:color w:val="000000"/>
        </w:rPr>
        <w:t xml:space="preserve"> in taking part in a study that required maximal exercise</w:t>
      </w:r>
      <w:r>
        <w:rPr>
          <w:color w:val="000000"/>
        </w:rPr>
        <w:t>. When considering additional study limitations,</w:t>
      </w:r>
      <w:r w:rsidR="00795433">
        <w:rPr>
          <w:color w:val="000000"/>
        </w:rPr>
        <w:t xml:space="preserve"> it is possible that these factors influenced their response to exercise, the degree of cognitive decline experienced and reported levels of pain catastrophizing. Similarly, many of the participants were enrolled in allied health programs, and those individuals likely had some familiarity with the concept of pain catastrophizing; those who did might have been less likely to respond in the affirmative to questions on the P</w:t>
      </w:r>
      <w:r w:rsidR="007D5F2F">
        <w:rPr>
          <w:color w:val="000000"/>
        </w:rPr>
        <w:t>ain Catastrophizing Scale</w:t>
      </w:r>
      <w:r w:rsidR="00795433">
        <w:rPr>
          <w:color w:val="000000"/>
        </w:rPr>
        <w:t xml:space="preserve">. </w:t>
      </w:r>
    </w:p>
    <w:p w14:paraId="7208A812" w14:textId="0800EDAF" w:rsidR="00795433" w:rsidRDefault="007E71C1" w:rsidP="007E71C1">
      <w:pPr>
        <w:pStyle w:val="NormalWeb"/>
        <w:spacing w:before="0" w:beforeAutospacing="0" w:after="0" w:afterAutospacing="0" w:line="480" w:lineRule="auto"/>
        <w:ind w:firstLine="720"/>
        <w:rPr>
          <w:color w:val="000000"/>
        </w:rPr>
      </w:pPr>
      <w:r>
        <w:rPr>
          <w:color w:val="000000"/>
        </w:rPr>
        <w:t>Furthermore, while</w:t>
      </w:r>
      <w:r w:rsidR="00795433">
        <w:rPr>
          <w:color w:val="000000"/>
        </w:rPr>
        <w:t xml:space="preserve"> the range of pain catastrophizing scores in the present sample mirrors those of other studies utilizing </w:t>
      </w:r>
      <w:r w:rsidR="007D5F2F">
        <w:rPr>
          <w:color w:val="000000"/>
        </w:rPr>
        <w:t>pain-free</w:t>
      </w:r>
      <w:r w:rsidR="00795433">
        <w:rPr>
          <w:color w:val="000000"/>
        </w:rPr>
        <w:t xml:space="preserve"> participants (</w:t>
      </w:r>
      <w:r w:rsidR="009E39E4">
        <w:rPr>
          <w:color w:val="000000"/>
        </w:rPr>
        <w:t xml:space="preserve">e.g. </w:t>
      </w:r>
      <w:proofErr w:type="spellStart"/>
      <w:r w:rsidR="00795433">
        <w:rPr>
          <w:color w:val="000000"/>
        </w:rPr>
        <w:t>Asefi</w:t>
      </w:r>
      <w:proofErr w:type="spellEnd"/>
      <w:r w:rsidR="00795433">
        <w:rPr>
          <w:color w:val="000000"/>
        </w:rPr>
        <w:t xml:space="preserve"> Rad &amp; </w:t>
      </w:r>
      <w:proofErr w:type="spellStart"/>
      <w:r w:rsidR="00795433">
        <w:rPr>
          <w:color w:val="000000"/>
        </w:rPr>
        <w:t>Wippert</w:t>
      </w:r>
      <w:proofErr w:type="spellEnd"/>
      <w:r w:rsidR="00795433">
        <w:rPr>
          <w:color w:val="000000"/>
        </w:rPr>
        <w:t xml:space="preserve">, 2024), it is important to consider that the present sample might not adequately reflect the degree of decline that might be seen in those with clinically high levels of pain catastrophizing. </w:t>
      </w:r>
      <w:r>
        <w:rPr>
          <w:color w:val="000000"/>
        </w:rPr>
        <w:t xml:space="preserve">As previously mentioned, pain catastrophizing has been </w:t>
      </w:r>
      <w:r w:rsidR="00172539">
        <w:rPr>
          <w:color w:val="000000"/>
        </w:rPr>
        <w:t>commonly</w:t>
      </w:r>
      <w:r>
        <w:rPr>
          <w:color w:val="000000"/>
        </w:rPr>
        <w:t xml:space="preserve"> evaluated in clinical samples</w:t>
      </w:r>
      <w:r w:rsidR="00172539">
        <w:rPr>
          <w:color w:val="000000"/>
        </w:rPr>
        <w:t xml:space="preserve"> given its well-demonstrated predictive value</w:t>
      </w:r>
      <w:r>
        <w:rPr>
          <w:color w:val="000000"/>
        </w:rPr>
        <w:t xml:space="preserve">, but </w:t>
      </w:r>
      <w:r w:rsidR="001A0C28">
        <w:rPr>
          <w:color w:val="000000"/>
        </w:rPr>
        <w:t xml:space="preserve">it </w:t>
      </w:r>
      <w:r>
        <w:rPr>
          <w:color w:val="000000"/>
        </w:rPr>
        <w:t xml:space="preserve">is considered to be “universally observed” across populations </w:t>
      </w:r>
      <w:r>
        <w:rPr>
          <w:color w:val="000000"/>
        </w:rPr>
        <w:fldChar w:fldCharType="begin"/>
      </w:r>
      <w:r w:rsidR="00172539">
        <w:rPr>
          <w:color w:val="000000"/>
        </w:rPr>
        <w:instrText xml:space="preserve"> ADDIN ZOTERO_ITEM CSL_CITATION {"citationID":"zWKFgalh","properties":{"formattedCitation":"(Ikemoto et al., 2020; Simic et al., 2024)","plainCitation":"(Ikemoto et al., 2020; Simic et al., 2024)","noteIndex":0},"citationItems":[{"id":5136,"uris":["http://zotero.org/users/3430614/items/9FMADFY9"],"itemData":{"id":5136,"type":"article-journal","abstract":"BACKGROUND: Although it has been suggested that the different cultural and social environments between countries contribute to variations in pain catastrophizing (PC), an international comparison of PC in patients with chronic pain has not yet been reported. Prior to undertaking this comparison, a cross-cultural assessment of the pain catastrophizing scale (PCS) was undertaken to explore the different factor structures among each translated version of the PCS.\nMETHODS: The protocol for this systematic review was prospectively registered on International Prospective Register of Systematic Reviews 2018 (CRD 42018086719). Electronic searches were conducted in the following databases: Ovid/Embase, Ovid/MEDLINE and Ovid/PsycINFO, and then 19 articles (16 language versions) were included in this review. Based on the COSMIN check list, we investigated language translation followed by five domains of cross-cultural validation: structural validity, internal consistency, test-retest reliability and hypotheses testing for construct validity in each study.\nRESULTS: We found that (a) there were inconsistent structural models among each translated version, leading to variant subdomain structures for rumination, magnification and helplessness; (b) all languages versions showed sufficient internal consistency when assessing whole items and (c) the correlation coefficients between pain intensities and total scores of the PCS among each sample of chronic pain varied across the studies.\nCONCLUSIONS: These results indicate that the total score of the PCS could be compared across each translated version, however, caution is warranted when each subdomain of the PCS is compared between countries.\nSIGNIFICANCE: Although the pain catastrophizing scale has been translated into approximately 20 languages, methodological quality during their translation process has not been systematically assessed. We found that all languages versions showed sufficient internal consistency when assessing whole items, however, there were inconsistent structural models among each translated version, leading to variant subdomain structures for rumination, magnification and helplessness.","container-title":"European Journal of Pain (London, England)","DOI":"10.1002/ejp.1587","ISSN":"1532-2149","issue":"7","journalAbbreviation":"Eur J Pain","language":"eng","note":"PMID: 32416018","page":"1228-1241","source":"PubMed","title":"A systematic review of cross-cultural validation of the pain catastrophizing scale","volume":"24","author":[{"family":"Ikemoto","given":"Tatsunori"},{"family":"Hayashi","given":"Kazuhiro"},{"family":"Shiro","given":"Yukiko"},{"family":"Arai","given":"Young-Chang"},{"family":"Marcuzzi","given":"Anna"},{"family":"Costa","given":"Daniel"},{"family":"Wrigley","given":"Paul"}],"issued":{"date-parts":[["2020",8]]}}},{"id":4804,"uris":["http://zotero.org/users/3430614/items/8P4LXQNL"],"itemData":{"id":4804,"type":"article-journal","abstract":"The perception of pain is strongly influenced by various social, emotional, and cognitive factors. A psychological variable which has consistently been shown to exert its influence on pain is a cognitive process referred to as pain catastrophizing. Numerous studies have found it to be a strong predictor of pain intensity and disability across different clinical populations. It signifies a maladaptive response to pain marked by an exaggerated negative assessment, magnification of symptoms related to pain, and, in general, a tendency to experience marked pain-related worry, as well as experiencing feelings of helplessness when it comes to dealing with pain. Pain catastrophizing has been correlated to many adverse pain-related outcomes, including poor treatment response, unsatisfactory quality of life, and high disability related to both acute and chronic pain. Furthermore, there has been consistent evidence in support of a correlation between pain catastrophizing and mental health disorders, such as anxiety and depression. In this review, we aim to provide a comprehensive overview of the current state of knowledge regarding pain catastrophizing, with special emphasis on its clinical significance, and emerging treatment modalities which target it.","container-title":"Neurology International","DOI":"10.3390/neurolint16030036","ISSN":"2035-8377","issue":"3","language":"en","license":"http://creativecommons.org/licenses/by/3.0/","note":"number: 3\npublisher: Multidisciplinary Digital Publishing Institute","page":"483-501","source":"www.mdpi.com","title":"Pain Catastrophizing: How Far Have We Come","title-short":"Pain Catastrophizing","volume":"16","author":[{"family":"Simic","given":"Katarina"},{"family":"Savic","given":"Boris"},{"family":"Knezevic","given":"Nebojsa Nick"}],"issued":{"date-parts":[["2024",6]]}}}],"schema":"https://github.com/citation-style-language/schema/raw/master/csl-citation.json"} </w:instrText>
      </w:r>
      <w:r>
        <w:rPr>
          <w:color w:val="000000"/>
        </w:rPr>
        <w:fldChar w:fldCharType="separate"/>
      </w:r>
      <w:r w:rsidR="00172539">
        <w:rPr>
          <w:noProof/>
          <w:color w:val="000000"/>
        </w:rPr>
        <w:t>(Ikemoto et al., 2020; Simic et al., 2024)</w:t>
      </w:r>
      <w:r>
        <w:rPr>
          <w:color w:val="000000"/>
        </w:rPr>
        <w:fldChar w:fldCharType="end"/>
      </w:r>
      <w:r w:rsidR="00172539">
        <w:rPr>
          <w:color w:val="000000"/>
        </w:rPr>
        <w:t xml:space="preserve">. While assessing </w:t>
      </w:r>
      <w:r w:rsidR="00B834FC">
        <w:rPr>
          <w:color w:val="000000"/>
        </w:rPr>
        <w:t xml:space="preserve">pain catastrophizing in non-clinical samples is </w:t>
      </w:r>
      <w:r w:rsidR="009E39E4">
        <w:rPr>
          <w:color w:val="000000"/>
        </w:rPr>
        <w:t xml:space="preserve">both </w:t>
      </w:r>
      <w:r w:rsidR="00B834FC">
        <w:rPr>
          <w:color w:val="000000"/>
        </w:rPr>
        <w:t>appropriate</w:t>
      </w:r>
      <w:r w:rsidR="00A57955">
        <w:rPr>
          <w:color w:val="000000"/>
        </w:rPr>
        <w:t>,</w:t>
      </w:r>
      <w:r w:rsidR="00B834FC">
        <w:rPr>
          <w:color w:val="000000"/>
        </w:rPr>
        <w:t xml:space="preserve"> given evidence that catastrophizing </w:t>
      </w:r>
      <w:r w:rsidR="00A57955">
        <w:rPr>
          <w:color w:val="000000"/>
        </w:rPr>
        <w:t xml:space="preserve">is present in healthy populations and </w:t>
      </w:r>
      <w:r w:rsidR="00B834FC">
        <w:rPr>
          <w:color w:val="000000"/>
        </w:rPr>
        <w:t xml:space="preserve">can manifest at a relatively young age and without </w:t>
      </w:r>
      <w:r w:rsidR="00A57955">
        <w:rPr>
          <w:color w:val="000000"/>
        </w:rPr>
        <w:t xml:space="preserve">exposure to significant </w:t>
      </w:r>
      <w:r w:rsidR="00B834FC">
        <w:rPr>
          <w:color w:val="000000"/>
        </w:rPr>
        <w:t xml:space="preserve">painful experiences </w:t>
      </w:r>
      <w:r w:rsidR="00B834FC">
        <w:rPr>
          <w:color w:val="000000"/>
        </w:rPr>
        <w:fldChar w:fldCharType="begin"/>
      </w:r>
      <w:r w:rsidR="00B834FC">
        <w:rPr>
          <w:color w:val="000000"/>
        </w:rPr>
        <w:instrText xml:space="preserve"> ADDIN ZOTERO_ITEM CSL_CITATION {"citationID":"ScItyvLV","properties":{"formattedCitation":"(Sullivan et al., 2001; Turk &amp; Okifuji, 2002)","plainCitation":"(Sullivan et al., 2001; Turk &amp; Okifuji, 2002)","noteIndex":0},"citationItems":[{"id":4553,"uris":["http://zotero.org/users/3430614/items/S6M8FWDK"],"itemData":{"id":4553,"type":"article-journal","abstract":"The tendency to “catastrophize” during painful stimulation contributes to more intense pain experience and increased emotional distress. Catastrophizing has been broadly conceived as an exaggerated negative “mental set” brought to bear during painful experiences. Although findings have been consistent in showing a relation between catastrophizing and pain, research in this area has proceeded in the relative absence of a guiding theoretical framework. This article reviews the literature on the relation between catastrophizing and pain and examines the relative strengths and limitations of different theoretical models that could be advanced to account for the pattern of available findings. The article evaluates the explanatory power of a schema activation model, an appraisal model, an attention model, and a communal coping model of pain perception. It is suggested that catastrophizing might best be viewed from the perspective of hierarchical levels of analysis, where social factors and social goals may play a role in the development and maintenance of catastrophizing, whereas appraisal-related processes may point to the mechanisms that link catastrophizing to pain experience. Directions for future research are suggested.","container-title":"The Clinical Journal of Pain","DOI":"10.1097/00002508-200103000-00008","ISSN":"0749-8047","issue":"1","journalAbbreviation":"The Clinical Journal of Pain","language":"en","page":"52-64","source":"DOI.org (Crossref)","title":"Theoretical Perspectives on the Relation Between Catastrophizing and Pain:","title-short":"Theoretical Perspectives on the Relation Between Catastrophizing and Pain","volume":"17","author":[{"family":"Sullivan","given":"Michael J. L."},{"family":"Thorn","given":"Beverly"},{"family":"Haythornthwaite","given":"Jennifer A."},{"family":"Keefe","given":"Francis"},{"family":"Martin","given":"Michelle"},{"family":"Bradley","given":"Laurence A."},{"family":"Lefebvre","given":"John C."}],"issued":{"date-parts":[["2001",3]]}}},{"id":5138,"uris":["http://zotero.org/users/3430614/items/89DU55FJ"],"itemData":{"id":5138,"type":"article-journal","abstract":"Research has demonstrated the importance of psychological factors in coping, quality of life, and disability in chronic pain. Furthermore, the contributions of psychology in the effectiveness of treatment of chronic pain patients have received empirical support. The authors describe a biopsychosocial model of chronic pain and provide an update on research implicating the importance of people's appraisals of their symptoms, their ability to self-manage pain and related problems, and their fears about pain and injury that motivate efforts to avoid exacerbation of symptoms and further injury or reinjury. They provide a selected review to illustrate treatment outcome research, methodological issues, practical, and clinical issues to identify promising directions. Although there remain obstacles, there are also opportunities for psychologists to contribute to improved understanding of pain and treatment of people who suffer from chronic pain. The authors conclude by noting that pain has received a tremendous amount of attention culminating in the passage of a law by the U.S. Congress designating the period 2001-2011 as the \"The Decade of Pain Control and Research.\"","container-title":"Journal of Consulting and Clinical Psychology","DOI":"10.1037//0022-006x.70.3.678","ISSN":"0022-006X","issue":"3","journalAbbreviation":"J Consult Clin Psychol","language":"eng","note":"PMID: 12090376","page":"678-690","source":"PubMed","title":"Psychological factors in chronic pain: evolution and revolution","title-short":"Psychological factors in chronic pain","volume":"70","author":[{"family":"Turk","given":"Dennis C."},{"family":"Okifuji","given":"Akiko"}],"issued":{"date-parts":[["2002",6]]}}}],"schema":"https://github.com/citation-style-language/schema/raw/master/csl-citation.json"} </w:instrText>
      </w:r>
      <w:r w:rsidR="00B834FC">
        <w:rPr>
          <w:color w:val="000000"/>
        </w:rPr>
        <w:fldChar w:fldCharType="separate"/>
      </w:r>
      <w:r w:rsidR="00B834FC">
        <w:rPr>
          <w:noProof/>
          <w:color w:val="000000"/>
        </w:rPr>
        <w:t>(Sullivan et al., 2001; Turk &amp; Okifuji, 2002)</w:t>
      </w:r>
      <w:r w:rsidR="00B834FC">
        <w:rPr>
          <w:color w:val="000000"/>
        </w:rPr>
        <w:fldChar w:fldCharType="end"/>
      </w:r>
      <w:r w:rsidR="00A57955">
        <w:rPr>
          <w:color w:val="000000"/>
        </w:rPr>
        <w:t xml:space="preserve">, </w:t>
      </w:r>
      <w:r w:rsidR="00B834FC">
        <w:rPr>
          <w:color w:val="000000"/>
        </w:rPr>
        <w:t xml:space="preserve">and necessary </w:t>
      </w:r>
      <w:r w:rsidR="00A57955">
        <w:rPr>
          <w:color w:val="000000"/>
        </w:rPr>
        <w:t xml:space="preserve">in order </w:t>
      </w:r>
      <w:r w:rsidR="00B834FC">
        <w:rPr>
          <w:color w:val="000000"/>
        </w:rPr>
        <w:t xml:space="preserve">to fully conceptualize the construct, </w:t>
      </w:r>
      <w:r w:rsidR="00A57955">
        <w:rPr>
          <w:color w:val="000000"/>
        </w:rPr>
        <w:t xml:space="preserve">it is important to be cautious about making generalizations between </w:t>
      </w:r>
      <w:r w:rsidR="00A57955">
        <w:rPr>
          <w:color w:val="000000"/>
        </w:rPr>
        <w:lastRenderedPageBreak/>
        <w:t>samples with and without pain</w:t>
      </w:r>
      <w:r w:rsidR="007D5F2F">
        <w:rPr>
          <w:color w:val="000000"/>
        </w:rPr>
        <w:t>-</w:t>
      </w:r>
      <w:r w:rsidR="00A57955">
        <w:rPr>
          <w:color w:val="000000"/>
        </w:rPr>
        <w:t>related conditions.</w:t>
      </w:r>
      <w:r>
        <w:rPr>
          <w:color w:val="000000"/>
        </w:rPr>
        <w:t xml:space="preserve"> </w:t>
      </w:r>
      <w:r w:rsidR="00C06996">
        <w:rPr>
          <w:color w:val="000000"/>
        </w:rPr>
        <w:t>In this vein</w:t>
      </w:r>
      <w:r w:rsidR="00EF5CA6">
        <w:rPr>
          <w:color w:val="000000"/>
        </w:rPr>
        <w:t xml:space="preserve">, </w:t>
      </w:r>
      <w:r w:rsidR="004F4474">
        <w:rPr>
          <w:color w:val="000000"/>
        </w:rPr>
        <w:t>although</w:t>
      </w:r>
      <w:r w:rsidR="00EF5CA6">
        <w:rPr>
          <w:color w:val="000000"/>
        </w:rPr>
        <w:t xml:space="preserve"> the P</w:t>
      </w:r>
      <w:r w:rsidR="000D1CBB">
        <w:rPr>
          <w:color w:val="000000"/>
        </w:rPr>
        <w:t xml:space="preserve">CS </w:t>
      </w:r>
      <w:r w:rsidR="00EF5CA6">
        <w:rPr>
          <w:color w:val="000000"/>
        </w:rPr>
        <w:t xml:space="preserve">has typically been utilized to assess dispositional pain catastrophizing, </w:t>
      </w:r>
      <w:r w:rsidR="00C06996">
        <w:rPr>
          <w:color w:val="000000"/>
        </w:rPr>
        <w:t xml:space="preserve">a recent investigation by Day (2021) </w:t>
      </w:r>
      <w:r w:rsidR="000D1CBB">
        <w:rPr>
          <w:color w:val="000000"/>
        </w:rPr>
        <w:t xml:space="preserve">has suggested that </w:t>
      </w:r>
      <w:r w:rsidR="004F4474">
        <w:rPr>
          <w:color w:val="000000"/>
        </w:rPr>
        <w:t xml:space="preserve">while the scale does primarily assess dispositional catastrophizing in healthy samples, aspects of both dispositional and situational catastrophizing are likely captured by the PCS in patients with chronic pain. This lends further support to the appropriateness of the use of the PCS in the present investigation </w:t>
      </w:r>
      <w:r w:rsidR="00CC63C9">
        <w:rPr>
          <w:color w:val="000000"/>
        </w:rPr>
        <w:t>and</w:t>
      </w:r>
      <w:r w:rsidR="004F4474">
        <w:rPr>
          <w:color w:val="000000"/>
        </w:rPr>
        <w:t xml:space="preserve"> highlights the value of further exploring potential variations in dispositional versus situational catastrophizing on relationship of exercise, cognition, both in terms of validity of measurement and impacts on performance, in both healthy and clinical samples . </w:t>
      </w:r>
      <w:r w:rsidR="009E39E4">
        <w:rPr>
          <w:color w:val="000000"/>
        </w:rPr>
        <w:t>A</w:t>
      </w:r>
      <w:r w:rsidR="00EF5CA6">
        <w:rPr>
          <w:color w:val="000000"/>
        </w:rPr>
        <w:t>ll in all</w:t>
      </w:r>
      <w:r w:rsidR="00795433">
        <w:rPr>
          <w:color w:val="000000"/>
        </w:rPr>
        <w:t>, additional research should be conducted in populations for whom pain catastrophizing is present at a higher rate, such as those with a history of pain, injury, or illness. </w:t>
      </w:r>
    </w:p>
    <w:p w14:paraId="772ED7B3" w14:textId="402D6768" w:rsidR="00C06996" w:rsidRPr="009E4CA1" w:rsidRDefault="004F4474" w:rsidP="00C06996">
      <w:pPr>
        <w:pStyle w:val="NormalWeb"/>
        <w:spacing w:before="0" w:beforeAutospacing="0" w:after="0" w:afterAutospacing="0" w:line="480" w:lineRule="auto"/>
        <w:ind w:firstLine="720"/>
      </w:pPr>
      <w:r>
        <w:t>In addition to a</w:t>
      </w:r>
      <w:r w:rsidR="00C06996">
        <w:t xml:space="preserve">ssessing state versus trait characteristics of catastrophizing in future investigations, </w:t>
      </w:r>
      <w:r>
        <w:t>assessing</w:t>
      </w:r>
      <w:r w:rsidR="00C06996">
        <w:t xml:space="preserve"> the relationship of catastrophizing to individual differences typically considered to be traits might also provide more nuanced insight into when the attentional deficits </w:t>
      </w:r>
      <w:r>
        <w:t xml:space="preserve">observed in the present study </w:t>
      </w:r>
      <w:r w:rsidR="00C06996">
        <w:t xml:space="preserve">might be most salient. </w:t>
      </w:r>
      <w:r w:rsidR="00CC63C9">
        <w:t>Although</w:t>
      </w:r>
      <w:r w:rsidR="00C06996">
        <w:t xml:space="preserve"> outside the scope of the present investigation, exploration of how personality traits might </w:t>
      </w:r>
      <w:r>
        <w:t xml:space="preserve">further </w:t>
      </w:r>
      <w:r w:rsidR="00C06996">
        <w:t xml:space="preserve">exacerbate or attenuate the impact of pain catastrophizing on cognition during exercise could shed light on findings in the present study related to higher false positive rates early in exercise, followed by steep declines in general response rate and accuracy of response. For example, pain catastrophizing has been most commonly associated with neuroticism, a dimension that shares some features with pain catastrophizing, including a general hypervigilance to negative stimuli, a greater tendency to experience negative emotions, and a heightened tendency to overemphasize bodily sensations </w:t>
      </w:r>
      <w:r w:rsidR="00C06996">
        <w:fldChar w:fldCharType="begin"/>
      </w:r>
      <w:r w:rsidR="00C06996">
        <w:instrText xml:space="preserve"> ADDIN ZOTERO_ITEM CSL_CITATION {"citationID":"6SNuMDcO","properties":{"formattedCitation":"(Watson &amp; Pennebaker, 1989)","plainCitation":"(Watson &amp; Pennebaker, 1989)","noteIndex":0},"citationItems":[{"id":5155,"uris":["http://zotero.org/users/3430614/items/RJ2SAZWM"],"itemData":{"id":5155,"type":"article-journal","container-title":"Psychological review","ISSN":"1939-1471","issue":"2","journalAbbreviation":"Psychological review","note":"publisher: American Psychological Association","page":"234","title":"Health complaints, stress, and distress: exploring the central role of negative affectivity.","volume":"96","author":[{"family":"Watson","given":"David"},{"family":"Pennebaker","given":"James W"}],"issued":{"date-parts":[["1989"]]}}}],"schema":"https://github.com/citation-style-language/schema/raw/master/csl-citation.json"} </w:instrText>
      </w:r>
      <w:r w:rsidR="00C06996">
        <w:fldChar w:fldCharType="separate"/>
      </w:r>
      <w:r w:rsidR="00C06996">
        <w:rPr>
          <w:noProof/>
        </w:rPr>
        <w:t>(Watson &amp; Pennebaker, 1989)</w:t>
      </w:r>
      <w:r w:rsidR="00C06996">
        <w:fldChar w:fldCharType="end"/>
      </w:r>
      <w:r>
        <w:t xml:space="preserve">. Individuals </w:t>
      </w:r>
      <w:r w:rsidR="00C06996">
        <w:t xml:space="preserve">reporting higher levels of neuroticism </w:t>
      </w:r>
      <w:r>
        <w:t xml:space="preserve">are </w:t>
      </w:r>
      <w:r w:rsidR="00C06996">
        <w:t xml:space="preserve">more likely </w:t>
      </w:r>
      <w:r w:rsidR="00C06996">
        <w:lastRenderedPageBreak/>
        <w:t xml:space="preserve">to endorse high levels of pain catastrophizing </w:t>
      </w:r>
      <w:r w:rsidR="00C06996">
        <w:fldChar w:fldCharType="begin"/>
      </w:r>
      <w:r w:rsidR="00C06996">
        <w:instrText xml:space="preserve"> ADDIN ZOTERO_ITEM CSL_CITATION {"citationID":"CjYxbphg","properties":{"formattedCitation":"(Atanassova et al., 2024; Burri et al., 2018; Kadimpati et al., 2015)","plainCitation":"(Atanassova et al., 2024; Burri et al., 2018; Kadimpati et al., 2015)","noteIndex":0},"citationItems":[{"id":5158,"uris":["http://zotero.org/users/3430614/items/NRIKW3QU"],"itemData":{"id":5158,"type":"article-journal","abstract":"Pain is essential for survival, but individual responses to painful stimuli vary, representing a complex interplay between sensory, cognitive, and affective factors. Individual differences in personality traits and in pain perception covary but it is unclear which traits play the most significant role in understanding the pain experience and whether this depends on pain modality. A systematic search identified 1534 records (CINAHL, MEDLINE, PsycInfo, PubMed and Web of Science), of which 22 were retained and included in a systematic review. Only studies from the pressure pain domain (n=6) could be compared in a formal meta-analysis to evaluate the relationship between Big Five traits and experimental pain. Pressure pain tolerance correlated positively with Extraversion and negatively with Neuroticism with a trivial effect size (&lt;0.1). While these findings suggest personality might be only weakly related to pain in healthy individuals, we emphasize the need to consider standardization, biases, and adequate sample sizes in future research, as well as additional factors that might affect experimental pain sensitivity.","container-title":"Neuroscience &amp; Biobehavioral Reviews","DOI":"10.1016/j.neubiorev.2024.105786","ISSN":"0149-7634","journalAbbreviation":"Neuroscience &amp; Biobehavioral Reviews","page":"105786","source":"ScienceDirect","title":"Unpacking the relationship between Big Five personality traits and experimental pain: A systematic review and meta-analysis","title-short":"Unpacking the relationship between Big Five personality traits and experimental pain","volume":"163","author":[{"family":"Atanassova","given":"D. V."},{"family":"Madariaga","given":"V. I."},{"family":"Oosterman","given":"J. M."},{"family":"Brazil","given":"I. A."}],"issued":{"date-parts":[["2024",8,1]]}}},{"id":5150,"uris":["http://zotero.org/users/3430614/items/GTNLFG6M"],"itemData":{"id":5150,"type":"article-journal","abstract":"The objective of the present study was to establish the heritability of pain catastrophizing and its subdomains of helplessness, magnification, and rumination and to further explore the genetic and environmental sources that may contribute to pain catastrophizing as well as to its commonly reported psycho-affective correlates, including neuroticism, anxiety sensitivity, and fear of pain. N = 2,401 female twin individuals from the TwinsUK registry were subject to univariate and multivariate twin analyses. Well validated questionnaires including the Pain Catastrophizing Scale, the Pain Anxiety Symptom Scale, the Ten Item Personality Index, and the Anxiety Sensitivity Index were used to assess the study variables. Moderate estimates of heritability for pain catastrophizing (36%) and the three subdomains of helplessness (35%), rumination (27%), and magnification (36%) were detected. The high correlations observed between the three subdomains were explained mainly by overlapping genetic factors, with a single factor loading on all three phenotypes. High genetic correlations between pain catastrophizing and its psycho-affective correlates of fear of pain and anxiety sensitivity were found, while the genetic overlap between neuroticism and pain catastrophizing was low. Each measure of negative affect demonstrated relatively distinct environmental contributing factors, with very little overlap. This is the first study to show shared genetic factors in the observed association between pain catastrophizing and other measures of negative affect. Our findings provide deeper insight into the aetiology of pain catastrophizing and confirm that it is at least partially distinct from other measures of negative affect and personality that may influence the development and treatment of chronic pain conditions. Further research in males is warranted to check the comparability of the findings.","container-title":"PLOS ONE","DOI":"10.1371/journal.pone.0194562","ISSN":"1932-6203","issue":"3","journalAbbreviation":"PLOS ONE","language":"en","note":"publisher: Public Library of Science","page":"e0194562","source":"PLoS Journals","title":"Pain catastrophizing, neuroticism, fear of pain, and anxiety: Defining the genetic and environmental factors in a sample of female twins","title-short":"Pain catastrophizing, neuroticism, fear of pain, and anxiety","volume":"13","author":[{"family":"Burri","given":"Andrea"},{"family":"Ogata","given":"Soshiro"},{"family":"Rice","given":"David"},{"family":"Williams","given":"Frances"}],"issued":{"date-parts":[["2018",3,22]]}}},{"id":5156,"uris":["http://zotero.org/users/3430614/items/EM38LP9K"],"itemData":{"id":5156,"type":"article-journal","abstract":"Several cognitive-affective constructs, including pain catastrophizing and pain-related anxiety, have been implicated in the onset and progression of chronic pain, and both constructs have been identified as key targets for multidisciplinary pain treatment. Both neuroticism and depression have been linked to these constructs (and to each other), but how each may contribute to the pain experience is unknown. This study tested associations between neuroticism, depression, and indices of catastrophizing and pain-related anxiety among persons seeking treatment for chronic non-malignant pain. We hypothesized, as a higher-order personality trait, neuroticism would remain uniquely associated with both pain catastrophizing and pain-related anxiety, even after accounting for current symptoms of depression. A retrospective study design assessed depression (as measured by the Centers for Epidemiologic Studies-Depression scale), neuroticism (measured with the Neuroticism-Extraversion-Openness Personality Inventory), the Pain Catastrophizing Scale, and the Pain Anxiety Symptom Score in a consecutive series of patients (n=595) admitted to a 3-week outpatient pain treatment program from March 2009 through January 2011. Hierarchical regression indicated that neuroticism was independently associated with greater pain catastrophizing and pain-related anxiety, above-and-beyond the contributions of sociodemographic characteristics, pain severity, and depression. A depression by neuroticism interaction was not observed, suggesting that associations between neuroticism and cognitive-affective pain constructs remained stable across varying levels of current depression. These findings represent an early but important step towards the clarification of complex associations between trait neuroticism, current depression, and tendencies toward catastrophic and anxiety-provoking appraisals of pain among persons seeking treatment for chronic pain.","container-title":"PLOS ONE","DOI":"10.1371/journal.pone.0126351","ISSN":"1932-6203","issue":"4","journalAbbreviation":"PLOS ONE","language":"en","note":"publisher: Public Library of Science","page":"e0126351","source":"PLoS Journals","title":"Associations between Neuroticism and Depression in Relation to Catastrophizing and Pain-Related Anxiety in Chronic Pain Patients","volume":"10","author":[{"family":"Kadimpati","given":"Sandeep"},{"family":"Zale","given":"Emily L."},{"family":"Hooten","given":"Michael W."},{"family":"Ditre","given":"Joseph W."},{"family":"Warner","given":"David O."}],"issued":{"date-parts":[["2015",4,22]]}}}],"schema":"https://github.com/citation-style-language/schema/raw/master/csl-citation.json"} </w:instrText>
      </w:r>
      <w:r w:rsidR="00C06996">
        <w:fldChar w:fldCharType="separate"/>
      </w:r>
      <w:r w:rsidR="00C06996">
        <w:rPr>
          <w:noProof/>
        </w:rPr>
        <w:t>(Atanassova et al., 2024; Burri et al., 2018; Kadimpati et al., 2015)</w:t>
      </w:r>
      <w:r w:rsidR="00C06996">
        <w:fldChar w:fldCharType="end"/>
      </w:r>
      <w:r>
        <w:t xml:space="preserve">, but it is important to note that </w:t>
      </w:r>
      <w:r w:rsidR="0056020D">
        <w:t xml:space="preserve">despite both constructs being related to </w:t>
      </w:r>
      <w:r w:rsidR="005330A3">
        <w:t xml:space="preserve">fear of and enhanced vigilance, pain catastrophizing has been demonstrated </w:t>
      </w:r>
      <w:r w:rsidR="00CC63C9">
        <w:t xml:space="preserve">to </w:t>
      </w:r>
      <w:r w:rsidR="005330A3">
        <w:t xml:space="preserve">uniquely contribute to the pain experience, with the degree to which neuroticism impacts vigilance to pain-specific stimuli actually being dependent on level of pain catastrophizing </w:t>
      </w:r>
      <w:r w:rsidR="005330A3">
        <w:fldChar w:fldCharType="begin"/>
      </w:r>
      <w:r w:rsidR="00CC63C9">
        <w:instrText xml:space="preserve"> ADDIN ZOTERO_ITEM CSL_CITATION {"citationID":"mDawGtZk","properties":{"formattedCitation":"(Goubert et al., 2004)","plainCitation":"(Goubert et al., 2004)","noteIndex":0},"citationItems":[{"id":5174,"uris":["http://zotero.org/users/3430614/items/GPIBG6VY"],"itemData":{"id":5174,"type":"article-journal","container-title":"Pain","ISSN":"0304-3959","issue":"3","journalAbbreviation":"Pain","note":"publisher: LWW","page":"234-241","title":"The role of neuroticism, pain catastrophizing and pain-related fear in vigilance to pain: a structural equations approach","volume":"107","author":[{"family":"Goubert","given":"Liesbet"},{"family":"Crombez","given":"Geert"},{"family":"Van Damme","given":"Stefaan"}],"issued":{"date-parts":[["2004"]]}}}],"schema":"https://github.com/citation-style-language/schema/raw/master/csl-citation.json"} </w:instrText>
      </w:r>
      <w:r w:rsidR="005330A3">
        <w:fldChar w:fldCharType="separate"/>
      </w:r>
      <w:r w:rsidR="00CC63C9">
        <w:rPr>
          <w:noProof/>
        </w:rPr>
        <w:t>(Goubert et al., 2004)</w:t>
      </w:r>
      <w:r w:rsidR="005330A3">
        <w:fldChar w:fldCharType="end"/>
      </w:r>
      <w:r w:rsidR="00C06996">
        <w:t xml:space="preserve">. </w:t>
      </w:r>
      <w:r w:rsidR="00CC63C9">
        <w:t xml:space="preserve">Similarly, </w:t>
      </w:r>
      <w:proofErr w:type="spellStart"/>
      <w:r w:rsidR="00CC63C9">
        <w:t>Burri</w:t>
      </w:r>
      <w:proofErr w:type="spellEnd"/>
      <w:r w:rsidR="00CC63C9">
        <w:t xml:space="preserve"> and </w:t>
      </w:r>
      <w:proofErr w:type="spellStart"/>
      <w:r w:rsidR="00CC63C9">
        <w:t>colleaugues</w:t>
      </w:r>
      <w:proofErr w:type="spellEnd"/>
      <w:r w:rsidR="00CC63C9">
        <w:t xml:space="preserve"> (2018) provided compelling evidence that</w:t>
      </w:r>
      <w:r w:rsidR="002E7B7A">
        <w:t xml:space="preserve"> </w:t>
      </w:r>
      <w:r w:rsidR="00CC63C9">
        <w:t xml:space="preserve">genetic overlap between pain catastrophizing and neuroticism is relatively low. </w:t>
      </w:r>
      <w:r w:rsidR="0056020D">
        <w:t>However, t</w:t>
      </w:r>
      <w:r w:rsidR="00C06996">
        <w:t xml:space="preserve">his relationship is </w:t>
      </w:r>
      <w:r w:rsidR="009E4CA1">
        <w:t xml:space="preserve">still </w:t>
      </w:r>
      <w:r w:rsidR="00C06996">
        <w:t xml:space="preserve">important to consider moving forward, particularly </w:t>
      </w:r>
      <w:proofErr w:type="gramStart"/>
      <w:r w:rsidR="00C06996">
        <w:t>in regard to</w:t>
      </w:r>
      <w:proofErr w:type="gramEnd"/>
      <w:r w:rsidR="00C06996">
        <w:t xml:space="preserve"> assessing the </w:t>
      </w:r>
      <w:r w:rsidR="00CC63C9">
        <w:t xml:space="preserve">extent to which </w:t>
      </w:r>
      <w:r w:rsidR="00C06996">
        <w:t xml:space="preserve">catastrophizing versus neuroticism </w:t>
      </w:r>
      <w:r w:rsidR="00CC63C9">
        <w:t>account for</w:t>
      </w:r>
      <w:r w:rsidR="00C06996">
        <w:t xml:space="preserve"> </w:t>
      </w:r>
      <w:r w:rsidR="00CC63C9">
        <w:t xml:space="preserve">observed </w:t>
      </w:r>
      <w:r w:rsidR="00C06996">
        <w:t>attentional deviations during cognitive</w:t>
      </w:r>
      <w:r w:rsidR="0056020D">
        <w:t xml:space="preserve"> and exercise</w:t>
      </w:r>
      <w:r w:rsidR="00C06996">
        <w:t xml:space="preserve"> performance. </w:t>
      </w:r>
    </w:p>
    <w:p w14:paraId="7C3CFDB2" w14:textId="0644041C" w:rsidR="00775108" w:rsidRDefault="007D5F2F" w:rsidP="00E13303">
      <w:pPr>
        <w:pStyle w:val="NormalWeb"/>
        <w:spacing w:before="0" w:beforeAutospacing="0" w:after="0" w:afterAutospacing="0" w:line="480" w:lineRule="auto"/>
        <w:ind w:firstLine="720"/>
        <w:rPr>
          <w:color w:val="000000"/>
        </w:rPr>
      </w:pPr>
      <w:r>
        <w:rPr>
          <w:color w:val="000000"/>
        </w:rPr>
        <w:t>Given that t</w:t>
      </w:r>
      <w:r w:rsidR="00E652F5">
        <w:rPr>
          <w:color w:val="000000"/>
        </w:rPr>
        <w:t xml:space="preserve">hese findings have potentially important implications for </w:t>
      </w:r>
      <w:r w:rsidR="00266DC4">
        <w:rPr>
          <w:color w:val="000000"/>
        </w:rPr>
        <w:t xml:space="preserve">performance </w:t>
      </w:r>
      <w:r w:rsidR="00E652F5">
        <w:rPr>
          <w:color w:val="000000"/>
        </w:rPr>
        <w:t>optimization</w:t>
      </w:r>
      <w:r w:rsidR="00C8782E">
        <w:rPr>
          <w:color w:val="000000"/>
        </w:rPr>
        <w:t>,</w:t>
      </w:r>
      <w:r w:rsidR="00E652F5">
        <w:rPr>
          <w:color w:val="000000"/>
        </w:rPr>
        <w:t xml:space="preserve"> </w:t>
      </w:r>
      <w:r>
        <w:rPr>
          <w:color w:val="000000"/>
        </w:rPr>
        <w:t xml:space="preserve">future work should also endeavor to assess the relationship of exercise, cognition, and pain catastrophizing </w:t>
      </w:r>
      <w:r w:rsidR="00C8782E">
        <w:rPr>
          <w:color w:val="000000"/>
        </w:rPr>
        <w:t xml:space="preserve">in applied samples for which 1) the ability to maintain high levels of executive function and intense physical output concurrently are crucial to </w:t>
      </w:r>
      <w:r w:rsidR="00E848EB">
        <w:rPr>
          <w:color w:val="000000"/>
        </w:rPr>
        <w:t>safety or to mission or on-the-job success</w:t>
      </w:r>
      <w:r w:rsidR="00C8782E">
        <w:rPr>
          <w:color w:val="000000"/>
        </w:rPr>
        <w:t xml:space="preserve">, </w:t>
      </w:r>
      <w:r w:rsidR="00E848EB">
        <w:rPr>
          <w:color w:val="000000"/>
        </w:rPr>
        <w:t xml:space="preserve">or </w:t>
      </w:r>
      <w:r w:rsidR="00C8782E">
        <w:rPr>
          <w:color w:val="000000"/>
        </w:rPr>
        <w:t xml:space="preserve">2) </w:t>
      </w:r>
      <w:r w:rsidR="00E848EB">
        <w:rPr>
          <w:color w:val="000000"/>
        </w:rPr>
        <w:t xml:space="preserve">the application of dual-task paradigms might be </w:t>
      </w:r>
      <w:r w:rsidR="00E13303">
        <w:rPr>
          <w:color w:val="000000"/>
        </w:rPr>
        <w:t>particularly beneficial for rehabilitative purposes</w:t>
      </w:r>
      <w:r w:rsidR="00E652F5">
        <w:rPr>
          <w:color w:val="000000"/>
        </w:rPr>
        <w:t>.</w:t>
      </w:r>
      <w:r w:rsidR="007E71C1">
        <w:rPr>
          <w:color w:val="000000"/>
        </w:rPr>
        <w:t xml:space="preserve"> </w:t>
      </w:r>
    </w:p>
    <w:p w14:paraId="7D4BBA0E" w14:textId="591FF5D9" w:rsidR="00BB20BE" w:rsidRPr="009E4CA1" w:rsidRDefault="005118E3" w:rsidP="00E13303">
      <w:pPr>
        <w:pStyle w:val="NormalWeb"/>
        <w:spacing w:before="0" w:beforeAutospacing="0" w:after="0" w:afterAutospacing="0" w:line="480" w:lineRule="auto"/>
        <w:ind w:firstLine="720"/>
        <w:rPr>
          <w:i/>
          <w:iCs/>
          <w:color w:val="000000"/>
        </w:rPr>
      </w:pPr>
      <w:r>
        <w:rPr>
          <w:color w:val="000000"/>
        </w:rPr>
        <w:t xml:space="preserve">In general, given the demonstrated decreases in overall accuracy and tendency to miss relevant stimuli in the present study, better understanding how pain catastrophizing might impact signal detection in settings in which alerting to relevant stimuli may be of the upmost importance is crucial </w:t>
      </w:r>
      <w:r>
        <w:rPr>
          <w:color w:val="000000"/>
        </w:rPr>
        <w:fldChar w:fldCharType="begin"/>
      </w:r>
      <w:r>
        <w:rPr>
          <w:color w:val="000000"/>
        </w:rPr>
        <w:instrText xml:space="preserve"> ADDIN ZOTERO_ITEM CSL_CITATION {"citationID":"hKXU6t3o","properties":{"formattedCitation":"(Vrijkotte et al., 2016)","plainCitation":"(Vrijkotte et al., 2016)","noteIndex":0},"citationItems":[{"id":5148,"uris":["http://zotero.org/users/3430614/items/8WPREXNM"],"itemData":{"id":5148,"type":"article-journal","abstract":"INTRODUCTION: Cognitive performance is crucial during military operations. It is suggested that impaired cognitive performance accounts for most of the accidents during training courses and actual battle. There is a need to define when soldiers’ operational readiness becomes\nimpaired. The objective of this systematic review was to investigate the effects of sustained military operations (SUSOPS) on vigilance, reaction time, working memory, and reasoning in order to select good indicators for performance impairment.\nMETHODS: A systematic literature search\nwas performed using publicly accessible databases (IngentaConnect, PubMed, Science Direct, and Defense Technical Information Center online) that were screened until July 2015. Keywords were military, sustained operations, (cognitive) performance, soldier, and training.\nRESULTS: Only\n7 out of 589 studies met the inclusion criteria. Selected studies were difficult to compare due to different methodologies, cognitive tasks, and military courses. Vigilance, reaction time, and working memory were affected after only a few hours, showing severe impairment. They are linearly\nrelated to military stress up to 80 h of SUSOPS. These three indicators needed little recovery time to return to baseline levels. After more than 80 h of SUSOPS, no significant impairments of those indicators were observed. Reasoning becomes impaired after high stress levels of relatively\nshort duration and can remain affected after more than 80 h of SUSOPS.\nDISCUSSION: Vigilance, reaction time, and working memory are affected after only a few hours while little recovery time is needed. For reasoning to return to baseline values, longer recovery is needed than the\ntime available during SUSOPS.Vrijkotte S, Roelands B, Meeusen R, Pattyn N. Sustained military operations and cognitive performance. Aerosp Med Hum Perform. 2016; 87(8):718–727.","container-title":"Aerospace Medicine and Human Performance","DOI":"10.3357/AMHP.4468.2016","issue":"8","journalAbbreviation":"Aerospace Medicine and Human Performance","page":"718-727","source":"IngentaConnect","title":"Sustained Military Operations and Cognitive Performance","volume":"87","author":[{"family":"Vrijkotte","given":"Susan"},{"family":"Roelands","given":"Bart"},{"family":"Meeusen","given":"Romain"},{"family":"Pattyn","given":"Nathalie"}],"issued":{"date-parts":[["2016",8,1]]}}}],"schema":"https://github.com/citation-style-language/schema/raw/master/csl-citation.json"} </w:instrText>
      </w:r>
      <w:r>
        <w:rPr>
          <w:color w:val="000000"/>
        </w:rPr>
        <w:fldChar w:fldCharType="separate"/>
      </w:r>
      <w:r>
        <w:rPr>
          <w:noProof/>
          <w:color w:val="000000"/>
        </w:rPr>
        <w:t>(Vrijkotte et al., 2016)</w:t>
      </w:r>
      <w:r>
        <w:rPr>
          <w:color w:val="000000"/>
        </w:rPr>
        <w:fldChar w:fldCharType="end"/>
      </w:r>
      <w:r>
        <w:rPr>
          <w:color w:val="000000"/>
        </w:rPr>
        <w:t xml:space="preserve">. </w:t>
      </w:r>
      <w:r w:rsidR="00775108">
        <w:rPr>
          <w:color w:val="000000"/>
        </w:rPr>
        <w:t xml:space="preserve">In addition to confirming the findings of the </w:t>
      </w:r>
      <w:r w:rsidR="00C8782E">
        <w:rPr>
          <w:color w:val="000000"/>
        </w:rPr>
        <w:t>present study</w:t>
      </w:r>
      <w:r w:rsidR="00775108">
        <w:rPr>
          <w:color w:val="000000"/>
        </w:rPr>
        <w:t xml:space="preserve"> in these populations</w:t>
      </w:r>
      <w:r>
        <w:rPr>
          <w:color w:val="000000"/>
        </w:rPr>
        <w:t xml:space="preserve">, </w:t>
      </w:r>
      <w:r w:rsidR="00775108">
        <w:rPr>
          <w:color w:val="000000"/>
        </w:rPr>
        <w:t>specifically that pain catastrophizing</w:t>
      </w:r>
      <w:r w:rsidR="00C8782E">
        <w:rPr>
          <w:color w:val="000000"/>
        </w:rPr>
        <w:t xml:space="preserve"> exacerbates </w:t>
      </w:r>
      <w:r w:rsidR="00775108">
        <w:rPr>
          <w:color w:val="000000"/>
        </w:rPr>
        <w:t xml:space="preserve">decrements in </w:t>
      </w:r>
      <w:r w:rsidR="00C8782E">
        <w:rPr>
          <w:color w:val="000000"/>
        </w:rPr>
        <w:t>accuracy in responses on cognitive tasks during exercise</w:t>
      </w:r>
      <w:r w:rsidR="00CC63C9">
        <w:rPr>
          <w:color w:val="000000"/>
        </w:rPr>
        <w:t xml:space="preserve"> when assessing</w:t>
      </w:r>
      <w:r>
        <w:rPr>
          <w:color w:val="000000"/>
        </w:rPr>
        <w:t xml:space="preserve"> more mission-specific or on-the-job paradigms, </w:t>
      </w:r>
      <w:r w:rsidR="00775108">
        <w:rPr>
          <w:color w:val="000000"/>
        </w:rPr>
        <w:t xml:space="preserve">it will </w:t>
      </w:r>
      <w:r>
        <w:rPr>
          <w:color w:val="000000"/>
        </w:rPr>
        <w:t xml:space="preserve">also </w:t>
      </w:r>
      <w:r w:rsidR="00775108">
        <w:rPr>
          <w:color w:val="000000"/>
        </w:rPr>
        <w:t xml:space="preserve">be important to continue to </w:t>
      </w:r>
      <w:r>
        <w:rPr>
          <w:color w:val="000000"/>
        </w:rPr>
        <w:t xml:space="preserve">more generally </w:t>
      </w:r>
      <w:r w:rsidR="00775108">
        <w:rPr>
          <w:color w:val="000000"/>
        </w:rPr>
        <w:t xml:space="preserve">assess the conditions under </w:t>
      </w:r>
      <w:r w:rsidR="00775108">
        <w:rPr>
          <w:color w:val="000000"/>
        </w:rPr>
        <w:lastRenderedPageBreak/>
        <w:t>which the impacts of exercise and pain catastrophizing might interact</w:t>
      </w:r>
      <w:r w:rsidR="00CC63C9">
        <w:rPr>
          <w:color w:val="000000"/>
        </w:rPr>
        <w:t xml:space="preserve"> to impact methods of performance optimization</w:t>
      </w:r>
      <w:r w:rsidR="00775108">
        <w:rPr>
          <w:color w:val="000000"/>
        </w:rPr>
        <w:t>. For example, w</w:t>
      </w:r>
      <w:r w:rsidR="00BB20BE">
        <w:rPr>
          <w:color w:val="000000"/>
        </w:rPr>
        <w:t xml:space="preserve">hen considering studies in safety sensitive groups demonstrating evidence that Army Combat Fitness Test Scores moderate enhancements in cognition post-ruck </w:t>
      </w:r>
      <w:r w:rsidR="005E6B14">
        <w:rPr>
          <w:color w:val="000000"/>
        </w:rPr>
        <w:fldChar w:fldCharType="begin"/>
      </w:r>
      <w:r w:rsidR="005E6B14">
        <w:rPr>
          <w:color w:val="000000"/>
        </w:rPr>
        <w:instrText xml:space="preserve"> ADDIN ZOTERO_ITEM CSL_CITATION {"citationID":"by7lfNji","properties":{"formattedCitation":"(Sax van der Weyden et al., 2022)","plainCitation":"(Sax van der Weyden et al., 2022)","noteIndex":0},"citationItems":[{"id":4926,"uris":["http://zotero.org/users/3430614/items/699ML97P"],"itemData":{"id":4926,"type":"article-journal","abstract":"Sax van der Weyden, M, Merrigan, JJ, Newman, K, Hahn, J, and Martin, J. Army Combat Fitness Test scores moderate cognitive function improvements after a ruck march: A hierarchical linear model approach. J Strength Cond Res XX(X): 000–000, 2024—Heavy load carriage is a common task for military personnel and can lead to undue physical and mental fatigue. The purpose of this study was to assess effects of load carriage on cognitive function (CF) and the role individual characteristics play in CF responses. Anthropometrics/body composition, demographics, and Army Combat Fitness Test (ACFT) scores were gathered from 47 Reserve Officers' Training Corps cadets. Cadets' CF was assessed through the concentration task grid (CTG) before (preruck), immediately after (postruck), and 3 weeks after (follow-up) a 16.09- to 19.31-km ruck march. Hierarchical linear modeling was used, with α &lt; 0.05. The final model revealed growth, or improvement, in CF from preruck to postruck with growth decelerating, but still improved, at follow-up. The load carriage bout improved CF in most cadets, with average growth from 5.67- to 7.20-grid squares found. However, postruck CF did not return to the same level as a controlled follow-up (9.69). Sex (2.46, female), familiarity with the CTG (1.99), ACFT total scores (0.009), and relative ruck mass (−0.09) were all significant predictors of postruck CF. Army Combat Fitness Test scores (0.008) were also significant predictors of the slope between preruck and postruck, such that an ACFT score 59 points above average would result in a 1-grid square greater improvement in CF postruck. The significance of ACFT scores, lower relative ruck mass, and familiarization highlights the importance physical and mental preparation for desirable CF outcomes after occupational tasks.","container-title":"The Journal of Strength &amp; Conditioning Research","DOI":"10.1519/JSC.0000000000004788","ISSN":"1064-8011","language":"en-US","page":"10.1519/JSC.0000000000004788","source":"journals-lww-com.ezproxy.lib.ou.edu","title":"Army Combat Fitness Test Scores Moderate Cognitive Function Improvements After a Ruck March: A Hierarchical Linear Model Approach","title-short":"Army Combat Fitness Test Scores Moderate Cognitive Function Improvements After a Ruck March","author":[{"family":"Sax van der Weyden","given":"Megan"},{"family":"Merrigan","given":"Justin J."},{"family":"Newman","given":"Kayleigh"},{"family":"Hahn","given":"Joseph"},{"family":"Martin","given":"Joel"}],"issued":{"date-parts":[["2022",5,9]]}}}],"schema":"https://github.com/citation-style-language/schema/raw/master/csl-citation.json"} </w:instrText>
      </w:r>
      <w:r w:rsidR="005E6B14">
        <w:rPr>
          <w:color w:val="000000"/>
        </w:rPr>
        <w:fldChar w:fldCharType="separate"/>
      </w:r>
      <w:r w:rsidR="005E6B14">
        <w:rPr>
          <w:noProof/>
          <w:color w:val="000000"/>
        </w:rPr>
        <w:t>(Sax van der Weyden et al., 2022)</w:t>
      </w:r>
      <w:r w:rsidR="005E6B14">
        <w:rPr>
          <w:color w:val="000000"/>
        </w:rPr>
        <w:fldChar w:fldCharType="end"/>
      </w:r>
      <w:r w:rsidR="00BB20BE">
        <w:rPr>
          <w:color w:val="000000"/>
        </w:rPr>
        <w:t xml:space="preserve"> and that lower cardiovascular fitness level are proposed to dampen the benefits of acute exercise on </w:t>
      </w:r>
      <w:r w:rsidR="00C8782E">
        <w:rPr>
          <w:color w:val="000000"/>
        </w:rPr>
        <w:t xml:space="preserve">BDNF </w:t>
      </w:r>
      <w:r w:rsidR="00BB20BE">
        <w:rPr>
          <w:color w:val="000000"/>
        </w:rPr>
        <w:t>levels post-exercise in healthy college students</w:t>
      </w:r>
      <w:r w:rsidR="008D343F">
        <w:rPr>
          <w:color w:val="000000"/>
        </w:rPr>
        <w:t xml:space="preserve"> </w:t>
      </w:r>
      <w:r w:rsidR="008D343F">
        <w:rPr>
          <w:color w:val="000000"/>
        </w:rPr>
        <w:fldChar w:fldCharType="begin"/>
      </w:r>
      <w:r w:rsidR="008D343F">
        <w:rPr>
          <w:color w:val="000000"/>
        </w:rPr>
        <w:instrText xml:space="preserve"> ADDIN ZOTERO_ITEM CSL_CITATION {"citationID":"zrUXmgrF","properties":{"formattedCitation":"(Mu\\uc0\\u241{}oz Ospina &amp; Cadavid-Ruiz, 2024)","plainCitation":"(Muñoz Ospina &amp; Cadavid-Ruiz, 2024)","noteIndex":0},"citationItems":[{"id":4922,"uris":["http://zotero.org/users/3430614/items/TLLLBSVL"],"itemData":{"id":4922,"type":"article-journal","abstract":"Background\nThe release of serum BDNF after aerobic exercise and its influence on cognition have yielded contradictory results. Furthermore, the impact of different levels of physical activity on BDNF release has not been clarified. This study aims to determine the effect of a single session of acute aerobic exercise on serum BDNF levels and inhibitory control in college students with varying levels of physical activity.\nMethod\nA total of 62 college students (48.4 % male) with different levels of physical activity, according to IPAQ scores, participated in the study: athletes (n = 20); regular fitness (n = 19) and sedentary (n = 23). Serum BDNF levels and performance on the Victoria Stroop test were measured before and after a 30-min aerobic exercise session.\nResults\nSedentary subjects have higher baseline serum BDNF levels compared to the other two groups, with athletes having the lowest levels. We found significant differences in serum BDNF levels between regular fitness and sedentary (p = 0.031) and athletes and sedentary (p = 0.030) groups after the aerobic exercise. No significant difference was found between regular fitness and athletes (p &gt; 0.999) groups. Inhibitory control did not show differences between groups or time.\nConclusion\nThese findings suggest that active young adults and athletes demonstrate an exercise training adaptation, displaying low serum BDNF concentration baselines, as well as sufficient sensitivity to increase BDNF concentration with a single bout of exercise. Sedentary young adults also benefit from acute exercise, although to a lesser extent than observed in active individuals and athletes, possibly indicating lower cardiovascular fitness.","container-title":"Mental Health and Physical Activity","DOI":"10.1016/j.mhpa.2024.100578","ISSN":"1755-2966","journalAbbreviation":"Mental Health and Physical Activity","page":"100578","source":"ScienceDirect","title":"The effect of aerobic exercise on serum brain-derived neurotrophic factor (BDNF) and executive function in college students","volume":"26","author":[{"family":"Muñoz Ospina","given":"Beatriz"},{"family":"Cadavid-Ruiz","given":"Natalia"}],"issued":{"date-parts":[["2024",3,1]]}}}],"schema":"https://github.com/citation-style-language/schema/raw/master/csl-citation.json"} </w:instrText>
      </w:r>
      <w:r w:rsidR="008D343F">
        <w:rPr>
          <w:color w:val="000000"/>
        </w:rPr>
        <w:fldChar w:fldCharType="separate"/>
      </w:r>
      <w:r w:rsidR="008D343F" w:rsidRPr="008D343F">
        <w:rPr>
          <w:color w:val="000000"/>
        </w:rPr>
        <w:t>(Muñoz Ospina &amp; Cadavid-Ruiz, 2024)</w:t>
      </w:r>
      <w:r w:rsidR="008D343F">
        <w:rPr>
          <w:color w:val="000000"/>
        </w:rPr>
        <w:fldChar w:fldCharType="end"/>
      </w:r>
      <w:r w:rsidR="008D343F">
        <w:rPr>
          <w:color w:val="000000"/>
        </w:rPr>
        <w:t xml:space="preserve">, </w:t>
      </w:r>
      <w:r w:rsidR="00BB20BE">
        <w:rPr>
          <w:color w:val="000000"/>
        </w:rPr>
        <w:t xml:space="preserve">it seems reasonable to posit that </w:t>
      </w:r>
      <w:r w:rsidR="00775108">
        <w:rPr>
          <w:color w:val="000000"/>
        </w:rPr>
        <w:t xml:space="preserve">pain catastrophizing may also blunt the degree of cognitive enhancement and </w:t>
      </w:r>
      <w:r w:rsidR="00B24B82">
        <w:rPr>
          <w:color w:val="000000"/>
        </w:rPr>
        <w:t>potential neuroendocrine</w:t>
      </w:r>
      <w:r w:rsidR="00775108">
        <w:rPr>
          <w:color w:val="000000"/>
        </w:rPr>
        <w:t xml:space="preserve"> benefits reported following the cessation of exercise (Moreau and Chou, 2019). </w:t>
      </w:r>
      <w:r w:rsidR="00CC63C9">
        <w:rPr>
          <w:color w:val="000000"/>
        </w:rPr>
        <w:t>In addition to assessing the possibility of pain catastrophizing exacerbating acute decrements in cognition during exercise in these populations, it may also be beneficial to explore whether higher levels of pain catastrophizing reduce the benefits of exercise on cognition—or on other important performance and physiological metrics—in these populations.</w:t>
      </w:r>
    </w:p>
    <w:p w14:paraId="5D2DB1E1" w14:textId="4402F51A" w:rsidR="00BB20BE" w:rsidRDefault="00BB20BE" w:rsidP="00341AFB">
      <w:pPr>
        <w:pStyle w:val="NormalWeb"/>
        <w:widowControl w:val="0"/>
        <w:spacing w:before="0" w:beforeAutospacing="0" w:after="0" w:afterAutospacing="0" w:line="480" w:lineRule="auto"/>
        <w:ind w:firstLine="720"/>
      </w:pPr>
      <w:r>
        <w:rPr>
          <w:color w:val="000000"/>
        </w:rPr>
        <w:t xml:space="preserve">While the potential consequences of exercise-induced cognitive </w:t>
      </w:r>
      <w:r w:rsidR="006472EC">
        <w:rPr>
          <w:color w:val="000000"/>
        </w:rPr>
        <w:t xml:space="preserve">alterations </w:t>
      </w:r>
      <w:r>
        <w:rPr>
          <w:color w:val="000000"/>
        </w:rPr>
        <w:t xml:space="preserve">are perhaps more apparent in safety sensitive occupations, there are also potentially significant ramifications in athletic and therapeutic settings. Extant research indicates that individuals high in pain catastrophizing are more likely to have poorer outcomes following orthopedic surgical procedures and are more likely to respond poorly to physical therapy or other forms of rehabilitation. This may be of increased concern in athletic populations, for whom recovery and return-to-sport may represent a crucial component of identity or livelihood. Return-to-sport rehabilitation protocols for athletes often utilize dual-task paradigms, in which the athlete is required to complete a sport-specific movement while also undergoing some sort of cognitive challenge. Given that intensity of rehabilitation is an essential driver of adaptive change in physical rehabilitation, interactions between pain catastrophizing and the physical and cognitive </w:t>
      </w:r>
      <w:r>
        <w:rPr>
          <w:color w:val="000000"/>
        </w:rPr>
        <w:lastRenderedPageBreak/>
        <w:t>challenge demonstrated in the present study could explain in part why many individuals respond more poorly to dual-task therapeutic interventions for chronic pain</w:t>
      </w:r>
      <w:r w:rsidR="008D343F">
        <w:rPr>
          <w:color w:val="000000"/>
        </w:rPr>
        <w:t xml:space="preserve"> </w:t>
      </w:r>
      <w:r w:rsidR="008D343F">
        <w:rPr>
          <w:color w:val="000000"/>
        </w:rPr>
        <w:fldChar w:fldCharType="begin"/>
      </w:r>
      <w:r w:rsidR="008D343F">
        <w:rPr>
          <w:color w:val="000000"/>
        </w:rPr>
        <w:instrText xml:space="preserve"> ADDIN ZOTERO_ITEM CSL_CITATION {"citationID":"CJxhE5Bo","properties":{"formattedCitation":"(Martinez-Calderon et al., 2020)","plainCitation":"(Martinez-Calderon et al., 2020)","noteIndex":0},"citationItems":[{"id":4125,"uris":["http://zotero.org/users/3430614/items/X6MGCRLC"],"itemData":{"id":4125,"type":"article-journal","abstract":"This study aimed to test the cross-sectional mediating and moderating role that positive psychological factors play in the association between pain intensity and pain interference in individuals with chronic musculoskeletal pain. A descriptive cross-sectional study using mediation analyses was conducted, including 186 individuals with chronic musculoskeletal pain. We conducted cross-sectional mediation and moderation analyses to determine whether the positive psychological factors mediated or moderated the association between pain intensity and pain interference. Pain acceptance, pain self-eﬃcacy, and optimism were all signiﬁcantly and weakly related to pain interference when controlling for pain intensity. Pain self-eﬃcacy and pain acceptance partially mediated the association between pain intensity and pain interference. On the other hand, the multiple mediation model did not show signiﬁcant eﬀects. The three positive psychological factors were not found to signiﬁcantly moderate the association between pain intensity and pain interference. The ﬁndings suggest that in chronic musculoskeletal pain patients, the treatments may focus on [i] what they are capable of doing to manage the pain (i.e., pain self-eﬃcacy) and [ii] being better able to accept the pain as pain waxes and wanes might be also particularly helpful. However, these results must be tested in longitudinal studies before drawing any causal conclusion.","container-title":"Journal of Clinical Medicine","DOI":"10.3390/jcm9103252","ISSN":"2077-0383","issue":"10","journalAbbreviation":"JCM","language":"en","page":"3252","source":"DOI.org (Crossref)","title":"The Role of Positive Psychological Factors in the Association between Pain Intensity and Pain Interference in Individuals with Chronic Musculoskeletal Pain: A Cross-Sectional Study","title-short":"The Role of Positive Psychological Factors in the Association between Pain Intensity and Pain Interference in Individuals with Chronic Musculoskeletal Pain","volume":"9","author":[{"family":"Martinez-Calderon","given":"Javier"},{"family":"Flores-Cortes","given":"Mar"},{"family":"Clavero-Cano","given":"Susana"},{"family":"Morales-Asencio","given":"Jose Miguel"},{"family":"Jensen","given":"Mark P."},{"family":"Rondon-Ramos","given":"Antonio"},{"family":"Diaz-Cerrillo","given":"Juan Luis"},{"family":"Ariza-Hurtado","given":"Gina Rocío"},{"family":"Luque-Suarez","given":"Alejandro"}],"issued":{"date-parts":[["2020",10,12]]}}}],"schema":"https://github.com/citation-style-language/schema/raw/master/csl-citation.json"} </w:instrText>
      </w:r>
      <w:r w:rsidR="008D343F">
        <w:rPr>
          <w:color w:val="000000"/>
        </w:rPr>
        <w:fldChar w:fldCharType="separate"/>
      </w:r>
      <w:r w:rsidR="008D343F">
        <w:rPr>
          <w:noProof/>
          <w:color w:val="000000"/>
        </w:rPr>
        <w:t>(Martinez-Calderon et al., 2020)</w:t>
      </w:r>
      <w:r w:rsidR="008D343F">
        <w:rPr>
          <w:color w:val="000000"/>
        </w:rPr>
        <w:fldChar w:fldCharType="end"/>
      </w:r>
      <w:r>
        <w:rPr>
          <w:color w:val="000000"/>
        </w:rPr>
        <w:t xml:space="preserve"> or return-to-sport </w:t>
      </w:r>
      <w:r w:rsidR="008D343F">
        <w:rPr>
          <w:color w:val="000000"/>
        </w:rPr>
        <w:fldChar w:fldCharType="begin"/>
      </w:r>
      <w:r w:rsidR="008D343F">
        <w:rPr>
          <w:color w:val="000000"/>
        </w:rPr>
        <w:instrText xml:space="preserve"> ADDIN ZOTERO_ITEM CSL_CITATION {"citationID":"q8M5ePkP","properties":{"formattedCitation":"(Browning et al., 2021)","plainCitation":"(Browning et al., 2021)","noteIndex":0},"citationItems":[{"id":5067,"uris":["http://zotero.org/users/3430614/items/AWRVJNWJ"],"itemData":{"id":5067,"type":"article-journal","abstract":"Purpose\nTo assess whether pain catastrophizing and kinesiophobia affect return to sport (RTS) or clinically significant outcome (CSO) achievement in patients undergoing hip arthroscopy for the treatment of femoroacetabular impingement (FAI).\nMethods\nPatients undergoing primary hip arthroscopy at a single institution between January 2017 and March 2017 were prospectively enrolled. Patients received the Tampa Scale of Kinesiophobia-11 (TSK-11) and Pain Catastrophizing Scale (PCS) questionnaires preoperatively, 3 weeks, 6 weeks, 3 months, 6 months, and 1 year postoperatively. Patients also received the Hip Outcome Score Sport-Specific (HOS-SS) questionnaire preoperatively and 1 year and 2 years’ postoperatively. An RTS questionnaire was completed at final follow-up. Bivariate correlations were conducted between PCS and TSK-11 scores and RTS status and achievement of CSOs of HOS-SS, based on patient acceptable symptom state (PASS) and substantial clinical benefit (SCB).\nResults\nFifty-eight patients with an average age of 31.9 ± 12.2 and body mass index of 24.0 ± 3.8 participated in sport prior to surgery and were included in the study. Forty-two (72.4%) patients returned to sport at 10.5 ± 7.1 months following surgery. There was a significant reduction in TSK-11 and PCS scores at 1-year follow-up (TSK-11, 26.1 ± 6.0 vs 18.6 ± 6.1, P &lt; .001; PCS, 17.7 ± 10.5 vs 4.3 ± 6.8, P &lt; .001) as well as a significant improvement in HOS-SS (P &lt; .001). At 1 year, fair correlations were demonstrated between PCS (r = –0.446, P = .010) and TSK (r = –0.330, P = .029) scores and RTS. Patient who returned to sport had lower PCS (8.5 ± 11.7 vs 3.0 ± 3.7, P = .010) and TSK-11 (21.8 ± 8.5 vs 17.6 ± 4.8, P = .029) scores at 1 year. At 1-year follow-up, PCS (r = –0.572, P = .001) and TSK-11 (r = –0.441, P = .012) scores demonstrated fair correlations with achieving PASS for HOS-SS at 2-year follow-up.\nConclusions\nPatient kinesiophobia and pain catastrophizing at 1-year follow-up were negatively correlated with RTS and achievement of a CSO in sport-related activities at 2-year follow-up.\nLevel of Evidence\nIII, prospective cohort study.","container-title":"Arthroscopy, Sports Medicine, and Rehabilitation","DOI":"10.1016/j.asmr.2021.03.014","ISSN":"2666-061X","issue":"4","journalAbbreviation":"Arthroscopy, Sports Medicine, and Rehabilitation","page":"e1087-e1095","source":"ScienceDirect","title":"Pain Catastrophizing and Kinesiophobia Affect Return to Sport in Patients Undergoing Hip Arthroscopy for the Treatment of Femoroacetabular Impingement","volume":"3","author":[{"family":"Browning","given":"Robert B."},{"family":"Clapp","given":"Ian M."},{"family":"Alter","given":"Thomas D."},{"family":"Nwachukwu","given":"Benedict U."},{"family":"Nho","given":"Shane J."}],"issued":{"date-parts":[["2021",8,1]]}}}],"schema":"https://github.com/citation-style-language/schema/raw/master/csl-citation.json"} </w:instrText>
      </w:r>
      <w:r w:rsidR="008D343F">
        <w:rPr>
          <w:color w:val="000000"/>
        </w:rPr>
        <w:fldChar w:fldCharType="separate"/>
      </w:r>
      <w:r w:rsidR="008D343F">
        <w:rPr>
          <w:noProof/>
          <w:color w:val="000000"/>
        </w:rPr>
        <w:t>(Browning et al., 2021)</w:t>
      </w:r>
      <w:r w:rsidR="008D343F">
        <w:rPr>
          <w:color w:val="000000"/>
        </w:rPr>
        <w:fldChar w:fldCharType="end"/>
      </w:r>
      <w:r w:rsidR="008D343F">
        <w:rPr>
          <w:color w:val="000000"/>
        </w:rPr>
        <w:t xml:space="preserve">. </w:t>
      </w:r>
      <w:proofErr w:type="gramStart"/>
      <w:r>
        <w:rPr>
          <w:color w:val="000000"/>
        </w:rPr>
        <w:t>With this in mind, future</w:t>
      </w:r>
      <w:proofErr w:type="gramEnd"/>
      <w:r>
        <w:rPr>
          <w:color w:val="000000"/>
        </w:rPr>
        <w:t xml:space="preserve"> paradigms should address this interplay more fully.</w:t>
      </w:r>
    </w:p>
    <w:p w14:paraId="3D0DFC40" w14:textId="50990398" w:rsidR="00BB20BE" w:rsidRDefault="00BB20BE" w:rsidP="00341AFB">
      <w:pPr>
        <w:pStyle w:val="NormalWeb"/>
        <w:widowControl w:val="0"/>
        <w:spacing w:before="0" w:beforeAutospacing="0" w:after="0" w:afterAutospacing="0" w:line="480" w:lineRule="auto"/>
        <w:ind w:firstLine="720"/>
      </w:pPr>
      <w:r>
        <w:rPr>
          <w:color w:val="000000"/>
        </w:rPr>
        <w:t>Similarly, while pain catastrophizing has been shown to impact a broad range of pain-related outcomes, as well as the likelihood and degree of disability following acute or chronic injury in safety-sensitive and sport settings, much less focus has been placed on actual work or sport-related performance</w:t>
      </w:r>
      <w:r w:rsidR="008D343F">
        <w:rPr>
          <w:color w:val="000000"/>
        </w:rPr>
        <w:t xml:space="preserve"> </w:t>
      </w:r>
      <w:r>
        <w:rPr>
          <w:color w:val="000000"/>
        </w:rPr>
        <w:t xml:space="preserve">(Ciccone &amp; Kline, 2012; Judkins et al., 2022; </w:t>
      </w:r>
      <w:proofErr w:type="spellStart"/>
      <w:r>
        <w:rPr>
          <w:color w:val="000000"/>
        </w:rPr>
        <w:t>Mollow</w:t>
      </w:r>
      <w:proofErr w:type="spellEnd"/>
      <w:r>
        <w:rPr>
          <w:color w:val="000000"/>
        </w:rPr>
        <w:t xml:space="preserve"> et al., 2020, Schaaf et al., 2023; </w:t>
      </w:r>
      <w:proofErr w:type="spellStart"/>
      <w:r>
        <w:rPr>
          <w:color w:val="000000"/>
        </w:rPr>
        <w:t>Spevak</w:t>
      </w:r>
      <w:proofErr w:type="spellEnd"/>
      <w:r>
        <w:rPr>
          <w:color w:val="000000"/>
        </w:rPr>
        <w:t xml:space="preserve"> &amp; </w:t>
      </w:r>
      <w:proofErr w:type="spellStart"/>
      <w:r>
        <w:rPr>
          <w:color w:val="000000"/>
        </w:rPr>
        <w:t>Buckenmaier</w:t>
      </w:r>
      <w:proofErr w:type="spellEnd"/>
      <w:r>
        <w:rPr>
          <w:color w:val="000000"/>
        </w:rPr>
        <w:t xml:space="preserve">, 2011; </w:t>
      </w:r>
      <w:proofErr w:type="spellStart"/>
      <w:r>
        <w:rPr>
          <w:color w:val="000000"/>
        </w:rPr>
        <w:t>Paparizos</w:t>
      </w:r>
      <w:proofErr w:type="spellEnd"/>
      <w:r>
        <w:rPr>
          <w:color w:val="000000"/>
        </w:rPr>
        <w:t xml:space="preserve"> et al., 2005; </w:t>
      </w:r>
      <w:proofErr w:type="spellStart"/>
      <w:r>
        <w:rPr>
          <w:color w:val="000000"/>
        </w:rPr>
        <w:t>Sciascia</w:t>
      </w:r>
      <w:proofErr w:type="spellEnd"/>
      <w:r>
        <w:rPr>
          <w:color w:val="000000"/>
        </w:rPr>
        <w:t xml:space="preserve">, </w:t>
      </w:r>
      <w:proofErr w:type="spellStart"/>
      <w:r>
        <w:rPr>
          <w:color w:val="000000"/>
        </w:rPr>
        <w:t>Waldecker</w:t>
      </w:r>
      <w:proofErr w:type="spellEnd"/>
      <w:r>
        <w:rPr>
          <w:color w:val="000000"/>
        </w:rPr>
        <w:t xml:space="preserve">, Jacobs, 2020; Sullivan et al., 2000; Tripp et al., 2007). For example, </w:t>
      </w:r>
      <w:proofErr w:type="spellStart"/>
      <w:r>
        <w:rPr>
          <w:color w:val="000000"/>
        </w:rPr>
        <w:t>Paparizos</w:t>
      </w:r>
      <w:proofErr w:type="spellEnd"/>
      <w:r>
        <w:rPr>
          <w:color w:val="000000"/>
        </w:rPr>
        <w:t xml:space="preserve"> and colleagues (2005) examined the relationship between the experience of pain and pain catastrophizing in a population of ballet dancers, but no assessments of sport-related performance were made. Similarly, while Gagnon-</w:t>
      </w:r>
      <w:proofErr w:type="spellStart"/>
      <w:r>
        <w:rPr>
          <w:color w:val="000000"/>
        </w:rPr>
        <w:t>Dolbec</w:t>
      </w:r>
      <w:proofErr w:type="spellEnd"/>
      <w:r>
        <w:rPr>
          <w:color w:val="000000"/>
        </w:rPr>
        <w:t xml:space="preserve">, Fortier, and Cormier (2021) demonstrated a significant correlation between higher reported levels of pain intensity and pain unpleasantness in triathletes with higher pain catastrophizing scores, studies geared toward assessing how these relationships influence </w:t>
      </w:r>
      <w:proofErr w:type="gramStart"/>
      <w:r>
        <w:rPr>
          <w:color w:val="000000"/>
        </w:rPr>
        <w:t>athletes</w:t>
      </w:r>
      <w:proofErr w:type="gramEnd"/>
      <w:r>
        <w:rPr>
          <w:color w:val="000000"/>
        </w:rPr>
        <w:t xml:space="preserve"> performance would be of immense value.</w:t>
      </w:r>
    </w:p>
    <w:p w14:paraId="5C92F239" w14:textId="6AE3DDDA" w:rsidR="00BB20BE" w:rsidRDefault="00BB20BE" w:rsidP="00BB20BE">
      <w:pPr>
        <w:pStyle w:val="NormalWeb"/>
        <w:spacing w:before="0" w:beforeAutospacing="0" w:after="0" w:afterAutospacing="0" w:line="480" w:lineRule="auto"/>
        <w:ind w:firstLine="720"/>
      </w:pPr>
      <w:r>
        <w:rPr>
          <w:color w:val="000000"/>
        </w:rPr>
        <w:t xml:space="preserve">Future research should also address the efficacy of interventions for pain catastrophizing on the improvement of cognition during exercise. There are a number of well-studied interventions for reducing pain catastrophizing in adults with chronic pain </w:t>
      </w:r>
      <w:r w:rsidR="008D343F">
        <w:rPr>
          <w:color w:val="000000"/>
        </w:rPr>
        <w:fldChar w:fldCharType="begin"/>
      </w:r>
      <w:r w:rsidR="006231D2">
        <w:rPr>
          <w:color w:val="000000"/>
        </w:rPr>
        <w:instrText xml:space="preserve"> ADDIN ZOTERO_ITEM CSL_CITATION {"citationID":"JTrZdXIB","properties":{"formattedCitation":"(Sch\\uc0\\u252{}tze et al., 2018)","plainCitation":"(Schütze et al., 2018)","noteIndex":0},"citationItems":[{"id":5076,"uris":["http://zotero.org/users/3430614/items/Y3JH3VHB"],"itemData":{"id":5076,"type":"article-journal","abstract":"Pain catastrophizing (PC), defined as an exaggerated negative cognitive-affective orientation toward pain, is one of the strongest psychological predictors of pain outcomes. Although regularly included as a process variable in clinical trials, there have been no comprehensive reviews of how it can be modified. Using a registered protocol (PROSPERO 2016 CRD42016042761), we searched MEDLINE, PsychINFO, EMBASE, CINAHL, and CENTRAL up to November 2016 for all randomized controlled trials measuring PC in adults with chronic noncancer pain. Two authors independently screened studies and assessed bias risk using the Cochrane tool. Quality of evidence was rated according to Grading of Recommendations Assessment, Development and Evaluation criteria. We included 79 studies (n = 9,914), which mostly recruited participants with musculoskeletal pain and had low risk of bias. Meta-analyses (standardized mean difference) showed 9 interventions had efficacy compared with waitlist/usual care or active control, although evidence quality was often low. The best evidence (moderate-high quality) was found for cognitive-behavioral therapy, multimodal treatment, and acceptance and commitment therapy. Effects were generally of medium strength and had questionable clinical significance. When only the 8 studies targeting people with high PC were included, effects were larger and more consistent. Multimodal treatment showed the strongest effects when all studies were considered, whereas cognitive-behavioral therapy had the best evidence among targeted studies.\nPerspective\nPC is a modifiable characteristic but most interventions produce only modest benefit unless targeted to people with high PC. More research into theory-driven interventions matched to specific patient profiles is required to improve treatment efficacy and efficiency.","container-title":"The Journal of Pain","DOI":"10.1016/j.jpain.2017.09.010","ISSN":"1526-5900","issue":"3","journalAbbreviation":"The Journal of Pain","page":"233-256","source":"ScienceDirect","title":"How Can We Best Reduce Pain Catastrophizing in Adults With Chronic Noncancer Pain? A Systematic Review and Meta-Analysis","title-short":"How Can We Best Reduce Pain Catastrophizing in Adults With Chronic Noncancer Pain?","volume":"19","author":[{"family":"Schütze","given":"Robert"},{"family":"Rees","given":"Clare"},{"family":"Smith","given":"Anne"},{"family":"Slater","given":"Helen"},{"family":"Campbell","given":"Jared M."},{"family":"O'Sullivan","given":"Peter"}],"issued":{"date-parts":[["2018",3,1]]}}}],"schema":"https://github.com/citation-style-language/schema/raw/master/csl-citation.json"} </w:instrText>
      </w:r>
      <w:r w:rsidR="008D343F">
        <w:rPr>
          <w:color w:val="000000"/>
        </w:rPr>
        <w:fldChar w:fldCharType="separate"/>
      </w:r>
      <w:r w:rsidR="006231D2" w:rsidRPr="006231D2">
        <w:rPr>
          <w:color w:val="000000"/>
        </w:rPr>
        <w:t>(Schütze et al., 2018)</w:t>
      </w:r>
      <w:r w:rsidR="008D343F">
        <w:rPr>
          <w:color w:val="000000"/>
        </w:rPr>
        <w:fldChar w:fldCharType="end"/>
      </w:r>
      <w:r w:rsidR="006231D2">
        <w:rPr>
          <w:color w:val="000000"/>
        </w:rPr>
        <w:t>,</w:t>
      </w:r>
      <w:r>
        <w:rPr>
          <w:color w:val="000000"/>
        </w:rPr>
        <w:t xml:space="preserve"> and the application of pre- and post-catastrophizing intervention assessments of the impact of exercise on cognition would serve to potentially provide additional support for the causal basis for the role of pain catastrophizing on cognitive decline during exercise, as well as to identify targeted interventions to limit demonstrated decrements. In the context of applied settings, </w:t>
      </w:r>
      <w:r>
        <w:rPr>
          <w:color w:val="000000"/>
        </w:rPr>
        <w:lastRenderedPageBreak/>
        <w:t xml:space="preserve">reductions in high baseline levels of pain catastrophizing via a course of specialty pain care was associated with lower levels of medical disability </w:t>
      </w:r>
      <w:proofErr w:type="gramStart"/>
      <w:r>
        <w:rPr>
          <w:color w:val="000000"/>
        </w:rPr>
        <w:t>at a later date</w:t>
      </w:r>
      <w:proofErr w:type="gramEnd"/>
      <w:r>
        <w:rPr>
          <w:color w:val="000000"/>
        </w:rPr>
        <w:t xml:space="preserve"> in military personnel, indicating that pre-deployment education may impact future functional outcomes (Schaaf et al., 2023); this avenue should also be explored more fully, particularly in relation to how the interventions impact the performance of job-related requirements.</w:t>
      </w:r>
    </w:p>
    <w:p w14:paraId="6D6F32F8" w14:textId="09D5613C" w:rsidR="00BB20BE" w:rsidRDefault="00BB20BE" w:rsidP="00BB20BE">
      <w:pPr>
        <w:pStyle w:val="NormalWeb"/>
        <w:spacing w:before="0" w:beforeAutospacing="0" w:after="0" w:afterAutospacing="0" w:line="480" w:lineRule="auto"/>
      </w:pPr>
      <w:r>
        <w:rPr>
          <w:b/>
          <w:bCs/>
          <w:color w:val="000000"/>
        </w:rPr>
        <w:t>Conclusions </w:t>
      </w:r>
    </w:p>
    <w:p w14:paraId="5E0341DD" w14:textId="42743D4C" w:rsidR="00BB20BE" w:rsidRDefault="00BB20BE" w:rsidP="00BB20BE">
      <w:pPr>
        <w:pStyle w:val="NormalWeb"/>
        <w:spacing w:before="0" w:beforeAutospacing="0" w:after="0" w:afterAutospacing="0" w:line="480" w:lineRule="auto"/>
        <w:ind w:firstLine="720"/>
      </w:pPr>
      <w:r>
        <w:rPr>
          <w:color w:val="000000"/>
        </w:rPr>
        <w:t xml:space="preserve">Numerous investigations have demonstrated declines in executive function during high-intensity exercise. Overall, this study </w:t>
      </w:r>
      <w:r w:rsidR="007F4787">
        <w:rPr>
          <w:color w:val="000000"/>
        </w:rPr>
        <w:t>confirms previous findings and</w:t>
      </w:r>
      <w:r>
        <w:rPr>
          <w:color w:val="000000"/>
        </w:rPr>
        <w:t xml:space="preserve"> provides preliminary evidence that pain catastrophizing might further </w:t>
      </w:r>
      <w:r w:rsidR="00BA2B93">
        <w:rPr>
          <w:color w:val="000000"/>
        </w:rPr>
        <w:t xml:space="preserve">alter </w:t>
      </w:r>
      <w:r>
        <w:rPr>
          <w:color w:val="000000"/>
        </w:rPr>
        <w:t xml:space="preserve">cognitive </w:t>
      </w:r>
      <w:r w:rsidR="00BA2B93">
        <w:rPr>
          <w:color w:val="000000"/>
        </w:rPr>
        <w:t>performance</w:t>
      </w:r>
      <w:r>
        <w:rPr>
          <w:color w:val="000000"/>
        </w:rPr>
        <w:t xml:space="preserve"> </w:t>
      </w:r>
      <w:r w:rsidR="00BA2B93">
        <w:rPr>
          <w:color w:val="000000"/>
        </w:rPr>
        <w:t xml:space="preserve">during exercise at </w:t>
      </w:r>
      <w:r>
        <w:rPr>
          <w:color w:val="000000"/>
        </w:rPr>
        <w:t>high intensities. This knowledge is particularly relevant in contexts such as safety-sensitive occupation</w:t>
      </w:r>
      <w:r w:rsidR="009E39E4">
        <w:rPr>
          <w:color w:val="000000"/>
        </w:rPr>
        <w:t xml:space="preserve">, </w:t>
      </w:r>
      <w:r>
        <w:rPr>
          <w:color w:val="000000"/>
        </w:rPr>
        <w:t>athletic training</w:t>
      </w:r>
      <w:r w:rsidR="009E39E4">
        <w:rPr>
          <w:color w:val="000000"/>
        </w:rPr>
        <w:t xml:space="preserve">, and rehabilitative sciences </w:t>
      </w:r>
      <w:r>
        <w:rPr>
          <w:color w:val="000000"/>
        </w:rPr>
        <w:t>where optimal cognitive function is essential for decision-making, performance, and overall well-being.</w:t>
      </w:r>
      <w:r w:rsidR="009E39E4">
        <w:rPr>
          <w:color w:val="000000"/>
        </w:rPr>
        <w:t xml:space="preserve"> </w:t>
      </w:r>
      <w:r w:rsidR="009E4CA1">
        <w:rPr>
          <w:color w:val="000000"/>
        </w:rPr>
        <w:t>Given the novelty of the investigation and the potential implications of the findings for a variety of settings in which performance optimization is the goal, t</w:t>
      </w:r>
      <w:r w:rsidR="007F4787">
        <w:rPr>
          <w:color w:val="000000"/>
        </w:rPr>
        <w:t>his relationship deserves continued attention</w:t>
      </w:r>
      <w:r w:rsidR="009E4CA1">
        <w:rPr>
          <w:color w:val="000000"/>
        </w:rPr>
        <w:t>.</w:t>
      </w:r>
    </w:p>
    <w:p w14:paraId="3E02992C" w14:textId="77777777" w:rsidR="00BB20BE" w:rsidRDefault="00BB20BE" w:rsidP="00BB20BE"/>
    <w:p w14:paraId="2517BB6A" w14:textId="77777777" w:rsidR="0070499C" w:rsidRDefault="0070499C">
      <w:pPr>
        <w:pBdr>
          <w:top w:val="nil"/>
          <w:left w:val="nil"/>
          <w:bottom w:val="nil"/>
          <w:right w:val="nil"/>
          <w:between w:val="nil"/>
        </w:pBdr>
        <w:spacing w:line="480" w:lineRule="auto"/>
        <w:ind w:left="909" w:right="995" w:firstLine="720"/>
        <w:rPr>
          <w:color w:val="000000"/>
        </w:rPr>
      </w:pPr>
    </w:p>
    <w:p w14:paraId="313A31FB" w14:textId="77777777" w:rsidR="00187849" w:rsidRDefault="00187849">
      <w:pPr>
        <w:pStyle w:val="Heading2"/>
        <w:spacing w:before="71"/>
        <w:ind w:left="1182" w:right="1144"/>
        <w:jc w:val="center"/>
        <w:sectPr w:rsidR="00187849" w:rsidSect="00CE4C8A">
          <w:headerReference w:type="default" r:id="rId24"/>
          <w:footerReference w:type="default" r:id="rId25"/>
          <w:pgSz w:w="12240" w:h="15840"/>
          <w:pgMar w:top="1440" w:right="1440" w:bottom="1440" w:left="1440" w:header="0" w:footer="1080" w:gutter="0"/>
          <w:pgNumType w:start="1"/>
          <w:cols w:space="720"/>
          <w:docGrid w:linePitch="326"/>
        </w:sectPr>
      </w:pPr>
    </w:p>
    <w:p w14:paraId="209C49B8" w14:textId="77777777" w:rsidR="00187849" w:rsidRDefault="00D06FD2">
      <w:pPr>
        <w:pStyle w:val="Heading2"/>
        <w:spacing w:before="71"/>
        <w:ind w:left="1182" w:right="1144"/>
        <w:jc w:val="center"/>
      </w:pPr>
      <w:r>
        <w:lastRenderedPageBreak/>
        <w:t>References</w:t>
      </w:r>
    </w:p>
    <w:p w14:paraId="06C0A11E" w14:textId="77777777" w:rsidR="008B4197" w:rsidRPr="009472F7" w:rsidRDefault="008B4197" w:rsidP="009472F7"/>
    <w:p w14:paraId="72A587DA" w14:textId="77777777" w:rsidR="00B5511E" w:rsidRPr="00B5511E" w:rsidRDefault="008B4197" w:rsidP="00B5511E">
      <w:pPr>
        <w:pStyle w:val="Bibliography"/>
      </w:pPr>
      <w:r>
        <w:rPr>
          <w:lang w:eastAsia="ja-JP"/>
        </w:rPr>
        <w:fldChar w:fldCharType="begin"/>
      </w:r>
      <w:r>
        <w:rPr>
          <w:lang w:eastAsia="ja-JP"/>
        </w:rPr>
        <w:instrText xml:space="preserve"> ADDIN ZOTERO_BIBL {"uncited":[],"omitted":[],"custom":[]} CSL_BIBLIOGRAPHY </w:instrText>
      </w:r>
      <w:r>
        <w:rPr>
          <w:lang w:eastAsia="ja-JP"/>
        </w:rPr>
        <w:fldChar w:fldCharType="separate"/>
      </w:r>
      <w:r w:rsidR="00B5511E" w:rsidRPr="00B5511E">
        <w:t xml:space="preserve">Alves, C. F. da S., Caumo, W., Silvestri, J. M., Zortea, M., Santos, V. S. dos, Cardoso, D. F., Regner, A., Souza, A. H. de, &amp; Simon, D. (2020). Pain catastrophizing is associated with the Val66Met polymorphism of the brain-derived neurotrophic factor in fibromyalgia. </w:t>
      </w:r>
      <w:r w:rsidR="00B5511E" w:rsidRPr="00B5511E">
        <w:rPr>
          <w:i/>
          <w:iCs/>
        </w:rPr>
        <w:t>Advances in Rheumatology</w:t>
      </w:r>
      <w:r w:rsidR="00B5511E" w:rsidRPr="00B5511E">
        <w:t xml:space="preserve">, </w:t>
      </w:r>
      <w:r w:rsidR="00B5511E" w:rsidRPr="00B5511E">
        <w:rPr>
          <w:i/>
          <w:iCs/>
        </w:rPr>
        <w:t>60</w:t>
      </w:r>
      <w:r w:rsidR="00B5511E" w:rsidRPr="00B5511E">
        <w:t>, 39.</w:t>
      </w:r>
    </w:p>
    <w:p w14:paraId="5359B739" w14:textId="77777777" w:rsidR="00B5511E" w:rsidRPr="00B5511E" w:rsidRDefault="00B5511E" w:rsidP="00B5511E">
      <w:pPr>
        <w:pStyle w:val="Bibliography"/>
      </w:pPr>
      <w:r w:rsidRPr="00B5511E">
        <w:t xml:space="preserve">Anderson, R., &amp; Hanrahan, S. J. (2008). Dancing in pain: Pain appraisal and coping in dancers. </w:t>
      </w:r>
      <w:r w:rsidRPr="00B5511E">
        <w:rPr>
          <w:i/>
          <w:iCs/>
        </w:rPr>
        <w:t>Journal of Dance Medicine &amp; Science: Official Publication of the International Association for Dance Medicine &amp; Science</w:t>
      </w:r>
      <w:r w:rsidRPr="00B5511E">
        <w:t xml:space="preserve">, </w:t>
      </w:r>
      <w:r w:rsidRPr="00B5511E">
        <w:rPr>
          <w:i/>
          <w:iCs/>
        </w:rPr>
        <w:t>12</w:t>
      </w:r>
      <w:r w:rsidRPr="00B5511E">
        <w:t>(1), 9–16.</w:t>
      </w:r>
    </w:p>
    <w:p w14:paraId="33D6D774" w14:textId="77777777" w:rsidR="00B5511E" w:rsidRPr="00B5511E" w:rsidRDefault="00B5511E" w:rsidP="00B5511E">
      <w:pPr>
        <w:pStyle w:val="Bibliography"/>
      </w:pPr>
      <w:r w:rsidRPr="00B5511E">
        <w:t xml:space="preserve">Arraiz, G. A., Wigle, D. T., &amp; Mao, Y. (1992). Risk assessment of physical activity and physical fitness in the Canada health survey mortality follow-up study. </w:t>
      </w:r>
      <w:r w:rsidRPr="00B5511E">
        <w:rPr>
          <w:i/>
          <w:iCs/>
        </w:rPr>
        <w:t>Journal of Clinical Epidemiology</w:t>
      </w:r>
      <w:r w:rsidRPr="00B5511E">
        <w:t xml:space="preserve">, </w:t>
      </w:r>
      <w:r w:rsidRPr="00B5511E">
        <w:rPr>
          <w:i/>
          <w:iCs/>
        </w:rPr>
        <w:t>45</w:t>
      </w:r>
      <w:r w:rsidRPr="00B5511E">
        <w:t>(4), 419–428. https://doi.org/10.1016/0895-4356(92)90043-M</w:t>
      </w:r>
    </w:p>
    <w:p w14:paraId="54145D7F" w14:textId="77777777" w:rsidR="00B5511E" w:rsidRPr="00B5511E" w:rsidRDefault="00B5511E" w:rsidP="00B5511E">
      <w:pPr>
        <w:pStyle w:val="Bibliography"/>
      </w:pPr>
      <w:r w:rsidRPr="00B5511E">
        <w:t xml:space="preserve">Arteta, J., Cobos, B., Hu, Y., Jordan, K., &amp; Howard, K. (2016). Evaluation of How Depression and Anxiety Mediate the Relationship Between Pain Catastrophizing and Prescription Opioid Misuse in a Chronic Pain Population. </w:t>
      </w:r>
      <w:r w:rsidRPr="00B5511E">
        <w:rPr>
          <w:i/>
          <w:iCs/>
        </w:rPr>
        <w:t>Pain Medicine</w:t>
      </w:r>
      <w:r w:rsidRPr="00B5511E">
        <w:t xml:space="preserve">, </w:t>
      </w:r>
      <w:r w:rsidRPr="00B5511E">
        <w:rPr>
          <w:i/>
          <w:iCs/>
        </w:rPr>
        <w:t>17</w:t>
      </w:r>
      <w:r w:rsidRPr="00B5511E">
        <w:t>(2), 295–303. https://doi.org/10.1111/pme.12886</w:t>
      </w:r>
    </w:p>
    <w:p w14:paraId="2C53C19B" w14:textId="77777777" w:rsidR="00B5511E" w:rsidRPr="00B5511E" w:rsidRDefault="00B5511E" w:rsidP="00B5511E">
      <w:pPr>
        <w:pStyle w:val="Bibliography"/>
      </w:pPr>
      <w:r w:rsidRPr="00B5511E">
        <w:t xml:space="preserve">Asefi Rad, A., &amp; Wippert, P.-M. (2024). Insights into pain distraction and the impact of pain catastrophizing on pain perception during different types of distraction tasks. </w:t>
      </w:r>
      <w:r w:rsidRPr="00B5511E">
        <w:rPr>
          <w:i/>
          <w:iCs/>
        </w:rPr>
        <w:t>Frontiers in Pain Research</w:t>
      </w:r>
      <w:r w:rsidRPr="00B5511E">
        <w:t xml:space="preserve">, </w:t>
      </w:r>
      <w:r w:rsidRPr="00B5511E">
        <w:rPr>
          <w:i/>
          <w:iCs/>
        </w:rPr>
        <w:t>5</w:t>
      </w:r>
      <w:r w:rsidRPr="00B5511E">
        <w:t>, 1266974. https://doi.org/10.3389/fpain.2024.1266974</w:t>
      </w:r>
    </w:p>
    <w:p w14:paraId="24372370" w14:textId="77777777" w:rsidR="00B5511E" w:rsidRPr="00B5511E" w:rsidRDefault="00B5511E" w:rsidP="00B5511E">
      <w:pPr>
        <w:pStyle w:val="Bibliography"/>
      </w:pPr>
      <w:r w:rsidRPr="00B5511E">
        <w:t xml:space="preserve">Atanassova, D. V., Madariaga, V. I., Oosterman, J. M., &amp; Brazil, I. A. (2024). Unpacking the relationship between Big Five personality traits and experimental pain: A systematic review and meta-analysis. </w:t>
      </w:r>
      <w:r w:rsidRPr="00B5511E">
        <w:rPr>
          <w:i/>
          <w:iCs/>
        </w:rPr>
        <w:t>Neuroscience &amp; Biobehavioral Reviews</w:t>
      </w:r>
      <w:r w:rsidRPr="00B5511E">
        <w:t xml:space="preserve">, </w:t>
      </w:r>
      <w:r w:rsidRPr="00B5511E">
        <w:rPr>
          <w:i/>
          <w:iCs/>
        </w:rPr>
        <w:t>163</w:t>
      </w:r>
      <w:r w:rsidRPr="00B5511E">
        <w:t>, 105786. https://doi.org/10.1016/j.neubiorev.2024.105786</w:t>
      </w:r>
    </w:p>
    <w:p w14:paraId="72574824" w14:textId="77777777" w:rsidR="00B5511E" w:rsidRPr="00B5511E" w:rsidRDefault="00B5511E" w:rsidP="00B5511E">
      <w:pPr>
        <w:pStyle w:val="Bibliography"/>
      </w:pPr>
      <w:r w:rsidRPr="00B5511E">
        <w:lastRenderedPageBreak/>
        <w:t xml:space="preserve">Attwell, D., &amp; Laughlin, S. B. (2001). An Energy Budget for Signaling in the Grey Matter of the Brain. </w:t>
      </w:r>
      <w:r w:rsidRPr="00B5511E">
        <w:rPr>
          <w:i/>
          <w:iCs/>
        </w:rPr>
        <w:t>Journal of Cerebral Blood Flow &amp; Metabolism</w:t>
      </w:r>
      <w:r w:rsidRPr="00B5511E">
        <w:t xml:space="preserve">, </w:t>
      </w:r>
      <w:r w:rsidRPr="00B5511E">
        <w:rPr>
          <w:i/>
          <w:iCs/>
        </w:rPr>
        <w:t>21</w:t>
      </w:r>
      <w:r w:rsidRPr="00B5511E">
        <w:t>(10), 1133–1145. https://doi.org/10.1097/00004647-200110000-00001</w:t>
      </w:r>
    </w:p>
    <w:p w14:paraId="19777FB9" w14:textId="77777777" w:rsidR="00B5511E" w:rsidRPr="00B5511E" w:rsidRDefault="00B5511E" w:rsidP="00B5511E">
      <w:pPr>
        <w:pStyle w:val="Bibliography"/>
      </w:pPr>
      <w:r w:rsidRPr="00B5511E">
        <w:t xml:space="preserve">Audiffren, M., Tomporowski, P. D., &amp; Zagrodnik, J. (2009). Acute aerobic exercise and information processing: Modulation of executive control in a Random Number Generation task. </w:t>
      </w:r>
      <w:r w:rsidRPr="00B5511E">
        <w:rPr>
          <w:i/>
          <w:iCs/>
        </w:rPr>
        <w:t>Acta Psychologica</w:t>
      </w:r>
      <w:r w:rsidRPr="00B5511E">
        <w:t xml:space="preserve">, </w:t>
      </w:r>
      <w:r w:rsidRPr="00B5511E">
        <w:rPr>
          <w:i/>
          <w:iCs/>
        </w:rPr>
        <w:t>132</w:t>
      </w:r>
      <w:r w:rsidRPr="00B5511E">
        <w:t>(1), 85–95. https://doi.org/10.1016/j.actpsy.2009.06.008</w:t>
      </w:r>
    </w:p>
    <w:p w14:paraId="186B8C63" w14:textId="77777777" w:rsidR="00B5511E" w:rsidRPr="00B5511E" w:rsidRDefault="00B5511E" w:rsidP="00B5511E">
      <w:pPr>
        <w:pStyle w:val="Bibliography"/>
      </w:pPr>
      <w:r w:rsidRPr="00B5511E">
        <w:t xml:space="preserve">Beaujean, A. (2008). </w:t>
      </w:r>
      <w:r w:rsidRPr="00B5511E">
        <w:rPr>
          <w:i/>
          <w:iCs/>
        </w:rPr>
        <w:t>Mediation, Moderation, and the Study of Individual Differences</w:t>
      </w:r>
      <w:r w:rsidRPr="00B5511E">
        <w:t xml:space="preserve"> (pp. 422–442). https://doi.org/10.4135/9781412995627.d33</w:t>
      </w:r>
    </w:p>
    <w:p w14:paraId="70F583EF" w14:textId="77777777" w:rsidR="00B5511E" w:rsidRPr="00B5511E" w:rsidRDefault="00B5511E" w:rsidP="00B5511E">
      <w:pPr>
        <w:pStyle w:val="Bibliography"/>
      </w:pPr>
      <w:r w:rsidRPr="00B5511E">
        <w:t xml:space="preserve">Beck, A. T., Emery, G., &amp; Greenberg, R. L. (1985). </w:t>
      </w:r>
      <w:r w:rsidRPr="00B5511E">
        <w:rPr>
          <w:i/>
          <w:iCs/>
        </w:rPr>
        <w:t>Anxiety disorders and phobias: A cognitive perspective.</w:t>
      </w:r>
      <w:r w:rsidRPr="00B5511E">
        <w:t xml:space="preserve"> (pp. xxxvi, 343). Basic Books/Hachette Book Group.</w:t>
      </w:r>
    </w:p>
    <w:p w14:paraId="15D35D17" w14:textId="77777777" w:rsidR="00B5511E" w:rsidRPr="00B5511E" w:rsidRDefault="00B5511E" w:rsidP="00B5511E">
      <w:pPr>
        <w:pStyle w:val="Bibliography"/>
      </w:pPr>
      <w:r w:rsidRPr="00B5511E">
        <w:t xml:space="preserve">Birnie, K. A., Chambers, C. T., Chorney, J., Fernandez, C. V., &amp; McGrath, P. J. (2016). Dyadic analysis of child and parent trait and state pain catastrophizing in the process of children’s pain communication. </w:t>
      </w:r>
      <w:r w:rsidRPr="00B5511E">
        <w:rPr>
          <w:i/>
          <w:iCs/>
        </w:rPr>
        <w:t>PAIN</w:t>
      </w:r>
      <w:r w:rsidRPr="00B5511E">
        <w:t xml:space="preserve">, </w:t>
      </w:r>
      <w:r w:rsidRPr="00B5511E">
        <w:rPr>
          <w:i/>
          <w:iCs/>
        </w:rPr>
        <w:t>157</w:t>
      </w:r>
      <w:r w:rsidRPr="00B5511E">
        <w:t>(4), 938. https://doi.org/10.1097/j.pain.0000000000000461</w:t>
      </w:r>
    </w:p>
    <w:p w14:paraId="68A6F92B" w14:textId="77777777" w:rsidR="00B5511E" w:rsidRPr="00B5511E" w:rsidRDefault="00B5511E" w:rsidP="00B5511E">
      <w:pPr>
        <w:pStyle w:val="Bibliography"/>
      </w:pPr>
      <w:r w:rsidRPr="00B5511E">
        <w:t xml:space="preserve">Blankstein, U., Chen, J., Diamant, N. E., &amp; Davis, K. D. (2010). Altered Brain Structure in Irritable Bowel Syndrome: Potential Contributions of Pre-Existing and Disease-Driven Factors. </w:t>
      </w:r>
      <w:r w:rsidRPr="00B5511E">
        <w:rPr>
          <w:i/>
          <w:iCs/>
        </w:rPr>
        <w:t>Gastroenterology</w:t>
      </w:r>
      <w:r w:rsidRPr="00B5511E">
        <w:t xml:space="preserve">, </w:t>
      </w:r>
      <w:r w:rsidRPr="00B5511E">
        <w:rPr>
          <w:i/>
          <w:iCs/>
        </w:rPr>
        <w:t>138</w:t>
      </w:r>
      <w:r w:rsidRPr="00B5511E">
        <w:t>(5), 1783–1789. https://doi.org/10.1053/j.gastro.2009.12.043</w:t>
      </w:r>
    </w:p>
    <w:p w14:paraId="68B1E134" w14:textId="77777777" w:rsidR="00B5511E" w:rsidRPr="00B5511E" w:rsidRDefault="00B5511E" w:rsidP="00B5511E">
      <w:pPr>
        <w:pStyle w:val="Bibliography"/>
      </w:pPr>
      <w:r w:rsidRPr="00B5511E">
        <w:t xml:space="preserve">Bleidorn, W., Hopwood, C. J., &amp; Lucas, R. E. (2018). Life Events and Personality Trait Change. </w:t>
      </w:r>
      <w:r w:rsidRPr="00B5511E">
        <w:rPr>
          <w:i/>
          <w:iCs/>
        </w:rPr>
        <w:t>Journal of Personality</w:t>
      </w:r>
      <w:r w:rsidRPr="00B5511E">
        <w:t xml:space="preserve">, </w:t>
      </w:r>
      <w:r w:rsidRPr="00B5511E">
        <w:rPr>
          <w:i/>
          <w:iCs/>
        </w:rPr>
        <w:t>86</w:t>
      </w:r>
      <w:r w:rsidRPr="00B5511E">
        <w:t>(1), 83–96. https://doi.org/10.1111/jopy.12286</w:t>
      </w:r>
    </w:p>
    <w:p w14:paraId="0B196807" w14:textId="77777777" w:rsidR="00B5511E" w:rsidRPr="00B5511E" w:rsidRDefault="00B5511E" w:rsidP="00B5511E">
      <w:pPr>
        <w:pStyle w:val="Bibliography"/>
      </w:pPr>
      <w:r w:rsidRPr="00B5511E">
        <w:lastRenderedPageBreak/>
        <w:t xml:space="preserve">Bliss, E. S., Wong, R. H., Howe, P. R., &amp; Mills, D. E. (2021). Benefits of exercise training on cerebrovascular and cognitive function in ageing. </w:t>
      </w:r>
      <w:r w:rsidRPr="00B5511E">
        <w:rPr>
          <w:i/>
          <w:iCs/>
        </w:rPr>
        <w:t>Journal of Cerebral Blood Flow &amp; Metabolism</w:t>
      </w:r>
      <w:r w:rsidRPr="00B5511E">
        <w:t xml:space="preserve">, </w:t>
      </w:r>
      <w:r w:rsidRPr="00B5511E">
        <w:rPr>
          <w:i/>
          <w:iCs/>
        </w:rPr>
        <w:t>41</w:t>
      </w:r>
      <w:r w:rsidRPr="00B5511E">
        <w:t>(3), 447–470. https://doi.org/10.1177/0271678X20957807</w:t>
      </w:r>
    </w:p>
    <w:p w14:paraId="68B889BD" w14:textId="77777777" w:rsidR="00B5511E" w:rsidRPr="00B5511E" w:rsidRDefault="00B5511E" w:rsidP="00B5511E">
      <w:pPr>
        <w:pStyle w:val="Bibliography"/>
      </w:pPr>
      <w:r w:rsidRPr="00B5511E">
        <w:t xml:space="preserve">Borresen, J., &amp; Lambert, M. I. (2008). Autonomic Control of Heart Rate during and after Exercise. </w:t>
      </w:r>
      <w:r w:rsidRPr="00B5511E">
        <w:rPr>
          <w:i/>
          <w:iCs/>
        </w:rPr>
        <w:t>Sports Medicine</w:t>
      </w:r>
      <w:r w:rsidRPr="00B5511E">
        <w:t xml:space="preserve">, </w:t>
      </w:r>
      <w:r w:rsidRPr="00B5511E">
        <w:rPr>
          <w:i/>
          <w:iCs/>
        </w:rPr>
        <w:t>38</w:t>
      </w:r>
      <w:r w:rsidRPr="00B5511E">
        <w:t>(8), 633–646. https://doi.org/10.2165/00007256-200838080-00002</w:t>
      </w:r>
    </w:p>
    <w:p w14:paraId="0A891684" w14:textId="77777777" w:rsidR="00B5511E" w:rsidRPr="00B5511E" w:rsidRDefault="00B5511E" w:rsidP="00B5511E">
      <w:pPr>
        <w:pStyle w:val="Bibliography"/>
      </w:pPr>
      <w:r w:rsidRPr="00B5511E">
        <w:t xml:space="preserve">Börsbo, B., Gerdle, B., &amp; Peolsson, M. (2010). Impact of the interaction between self-efficacy, symptoms and catastrophising on disability, quality of life and health in with chronic pain patients. </w:t>
      </w:r>
      <w:r w:rsidRPr="00B5511E">
        <w:rPr>
          <w:i/>
          <w:iCs/>
        </w:rPr>
        <w:t>Disability and Rehabilitation</w:t>
      </w:r>
      <w:r w:rsidRPr="00B5511E">
        <w:t xml:space="preserve">, </w:t>
      </w:r>
      <w:r w:rsidRPr="00B5511E">
        <w:rPr>
          <w:i/>
          <w:iCs/>
        </w:rPr>
        <w:t>32</w:t>
      </w:r>
      <w:r w:rsidRPr="00B5511E">
        <w:t>(17), 1387–1396. https://doi.org/10.3109/09638280903419269</w:t>
      </w:r>
    </w:p>
    <w:p w14:paraId="48318D49" w14:textId="77777777" w:rsidR="00B5511E" w:rsidRPr="00B5511E" w:rsidRDefault="00B5511E" w:rsidP="00B5511E">
      <w:pPr>
        <w:pStyle w:val="Bibliography"/>
      </w:pPr>
      <w:r w:rsidRPr="00B5511E">
        <w:t xml:space="preserve">Børsheim, E., &amp; Bahr, R. (2003). Effect of Exercise Intensity, Duration and Mode on Post-Exercise Oxygen Consumption. </w:t>
      </w:r>
      <w:r w:rsidRPr="00B5511E">
        <w:rPr>
          <w:i/>
          <w:iCs/>
        </w:rPr>
        <w:t>Sports Medicine (Auckland, N.Z.)</w:t>
      </w:r>
      <w:r w:rsidRPr="00B5511E">
        <w:t xml:space="preserve">, </w:t>
      </w:r>
      <w:r w:rsidRPr="00B5511E">
        <w:rPr>
          <w:i/>
          <w:iCs/>
        </w:rPr>
        <w:t>33</w:t>
      </w:r>
      <w:r w:rsidRPr="00B5511E">
        <w:t>, 1037–1060. https://doi.org/10.2165/00007256-200333140-00002</w:t>
      </w:r>
    </w:p>
    <w:p w14:paraId="3006005D" w14:textId="77777777" w:rsidR="00B5511E" w:rsidRPr="00B5511E" w:rsidRDefault="00B5511E" w:rsidP="00B5511E">
      <w:pPr>
        <w:pStyle w:val="Bibliography"/>
      </w:pPr>
      <w:r w:rsidRPr="00B5511E">
        <w:t xml:space="preserve">Breitborde, N. J. K., Srihari, V. H., Pollard, J. M., Addington, D. N., &amp; Woods, S. W. (2010). Mediators and moderators in early intervention research. </w:t>
      </w:r>
      <w:r w:rsidRPr="00B5511E">
        <w:rPr>
          <w:i/>
          <w:iCs/>
        </w:rPr>
        <w:t>Early Intervention in Psychiatry</w:t>
      </w:r>
      <w:r w:rsidRPr="00B5511E">
        <w:t xml:space="preserve">, </w:t>
      </w:r>
      <w:r w:rsidRPr="00B5511E">
        <w:rPr>
          <w:i/>
          <w:iCs/>
        </w:rPr>
        <w:t>4</w:t>
      </w:r>
      <w:r w:rsidRPr="00B5511E">
        <w:t>(2), 143–152. https://doi.org/10.1111/j.1751-7893.2010.00177.x</w:t>
      </w:r>
    </w:p>
    <w:p w14:paraId="7148B744" w14:textId="77777777" w:rsidR="00B5511E" w:rsidRPr="00B5511E" w:rsidRDefault="00B5511E" w:rsidP="00B5511E">
      <w:pPr>
        <w:pStyle w:val="Bibliography"/>
      </w:pPr>
      <w:r w:rsidRPr="00B5511E">
        <w:t xml:space="preserve">Browning, R. B., Clapp, I. M., Alter, T. D., Nwachukwu, B. U., &amp; Nho, S. J. (2021). Pain Catastrophizing and Kinesiophobia Affect Return to Sport in Patients Undergoing Hip Arthroscopy for the Treatment of Femoroacetabular Impingement. </w:t>
      </w:r>
      <w:r w:rsidRPr="00B5511E">
        <w:rPr>
          <w:i/>
          <w:iCs/>
        </w:rPr>
        <w:t>Arthroscopy, Sports Medicine, and Rehabilitation</w:t>
      </w:r>
      <w:r w:rsidRPr="00B5511E">
        <w:t xml:space="preserve">, </w:t>
      </w:r>
      <w:r w:rsidRPr="00B5511E">
        <w:rPr>
          <w:i/>
          <w:iCs/>
        </w:rPr>
        <w:t>3</w:t>
      </w:r>
      <w:r w:rsidRPr="00B5511E">
        <w:t>(4), e1087–e1095. https://doi.org/10.1016/j.asmr.2021.03.014</w:t>
      </w:r>
    </w:p>
    <w:p w14:paraId="0DAB907C" w14:textId="77777777" w:rsidR="00B5511E" w:rsidRPr="00B5511E" w:rsidRDefault="00B5511E" w:rsidP="00B5511E">
      <w:pPr>
        <w:pStyle w:val="Bibliography"/>
      </w:pPr>
      <w:r w:rsidRPr="00B5511E">
        <w:lastRenderedPageBreak/>
        <w:t xml:space="preserve">Bruckmaier, M., Tachtsidis, I., Phan, P., &amp; Lavie, N. (2020). Attention and Capacity Limits in Perception: A Cellular Metabolism Account. </w:t>
      </w:r>
      <w:r w:rsidRPr="00B5511E">
        <w:rPr>
          <w:i/>
          <w:iCs/>
        </w:rPr>
        <w:t>The Journal of Neuroscience</w:t>
      </w:r>
      <w:r w:rsidRPr="00B5511E">
        <w:t xml:space="preserve">, </w:t>
      </w:r>
      <w:r w:rsidRPr="00B5511E">
        <w:rPr>
          <w:i/>
          <w:iCs/>
        </w:rPr>
        <w:t>40</w:t>
      </w:r>
      <w:r w:rsidRPr="00B5511E">
        <w:t>(35), 6801–6811. https://doi.org/10.1523/JNEUROSCI.2368-19.2020</w:t>
      </w:r>
    </w:p>
    <w:p w14:paraId="09D2A45D" w14:textId="77777777" w:rsidR="00B5511E" w:rsidRPr="00B5511E" w:rsidRDefault="00B5511E" w:rsidP="00B5511E">
      <w:pPr>
        <w:pStyle w:val="Bibliography"/>
      </w:pPr>
      <w:r w:rsidRPr="00B5511E">
        <w:t xml:space="preserve">Bryden, D. W., Johnson, E. E., Tobia, S. C., Kashtelyan, V., &amp; Roesch, M. R. (2011). Attention for learning signals in anterior cingulate cortex. </w:t>
      </w:r>
      <w:r w:rsidRPr="00B5511E">
        <w:rPr>
          <w:i/>
          <w:iCs/>
        </w:rPr>
        <w:t>The Journal of Neuroscience: The Official Journal of the Society for Neuroscience</w:t>
      </w:r>
      <w:r w:rsidRPr="00B5511E">
        <w:t xml:space="preserve">, </w:t>
      </w:r>
      <w:r w:rsidRPr="00B5511E">
        <w:rPr>
          <w:i/>
          <w:iCs/>
        </w:rPr>
        <w:t>31</w:t>
      </w:r>
      <w:r w:rsidRPr="00B5511E">
        <w:t>(50), 18266–18274. https://doi.org/10.1523/JNEUROSCI.4715-11.2011</w:t>
      </w:r>
    </w:p>
    <w:p w14:paraId="70F849EA" w14:textId="77777777" w:rsidR="00B5511E" w:rsidRPr="00B5511E" w:rsidRDefault="00B5511E" w:rsidP="00B5511E">
      <w:pPr>
        <w:pStyle w:val="Bibliography"/>
      </w:pPr>
      <w:r w:rsidRPr="00B5511E">
        <w:t xml:space="preserve">Burri, A., Ogata, S., Rice, D., &amp; Williams, F. (2018). Pain catastrophizing, neuroticism, fear of pain, and anxiety: Defining the genetic and environmental factors in a sample of female twins. </w:t>
      </w:r>
      <w:r w:rsidRPr="00B5511E">
        <w:rPr>
          <w:i/>
          <w:iCs/>
        </w:rPr>
        <w:t>PLOS ONE</w:t>
      </w:r>
      <w:r w:rsidRPr="00B5511E">
        <w:t xml:space="preserve">, </w:t>
      </w:r>
      <w:r w:rsidRPr="00B5511E">
        <w:rPr>
          <w:i/>
          <w:iCs/>
        </w:rPr>
        <w:t>13</w:t>
      </w:r>
      <w:r w:rsidRPr="00B5511E">
        <w:t>(3), e0194562. https://doi.org/10.1371/journal.pone.0194562</w:t>
      </w:r>
    </w:p>
    <w:p w14:paraId="003896D0" w14:textId="77777777" w:rsidR="00B5511E" w:rsidRPr="00B5511E" w:rsidRDefault="00B5511E" w:rsidP="00B5511E">
      <w:pPr>
        <w:pStyle w:val="Bibliography"/>
      </w:pPr>
      <w:r w:rsidRPr="00B5511E">
        <w:t xml:space="preserve">Campbell, C. M., Witmer, K., Simango, M., Carteret, A., Loggia, M. L., Campbell, J. N., Haythornthwaite, J. A., &amp; Edwards, R. R. (2010). Catastrophizing delays the analgesic effect of distraction. </w:t>
      </w:r>
      <w:r w:rsidRPr="00B5511E">
        <w:rPr>
          <w:i/>
          <w:iCs/>
        </w:rPr>
        <w:t>PAIN®</w:t>
      </w:r>
      <w:r w:rsidRPr="00B5511E">
        <w:t xml:space="preserve">, </w:t>
      </w:r>
      <w:r w:rsidRPr="00B5511E">
        <w:rPr>
          <w:i/>
          <w:iCs/>
        </w:rPr>
        <w:t>149</w:t>
      </w:r>
      <w:r w:rsidRPr="00B5511E">
        <w:t>(2), 202–207. https://doi.org/10.1016/j.pain.2009.11.012</w:t>
      </w:r>
    </w:p>
    <w:p w14:paraId="15FE6655" w14:textId="77777777" w:rsidR="00B5511E" w:rsidRPr="00B5511E" w:rsidRDefault="00B5511E" w:rsidP="00B5511E">
      <w:pPr>
        <w:pStyle w:val="Bibliography"/>
      </w:pPr>
      <w:r w:rsidRPr="00B5511E">
        <w:t xml:space="preserve">Cegarra, J., Valéry, B., Avril, E., Calmettes, C., &amp; Navarro, J. (2020). OpenMATB: A Multi-Attribute Task Battery promoting task customization, software extensibility and experiment replicability. </w:t>
      </w:r>
      <w:r w:rsidRPr="00B5511E">
        <w:rPr>
          <w:i/>
          <w:iCs/>
        </w:rPr>
        <w:t>Behavior Research Methods</w:t>
      </w:r>
      <w:r w:rsidRPr="00B5511E">
        <w:t xml:space="preserve">, </w:t>
      </w:r>
      <w:r w:rsidRPr="00B5511E">
        <w:rPr>
          <w:i/>
          <w:iCs/>
        </w:rPr>
        <w:t>52</w:t>
      </w:r>
      <w:r w:rsidRPr="00B5511E">
        <w:t>(5), 1980–1990. https://doi.org/10.3758/s13428-020-01364-w</w:t>
      </w:r>
    </w:p>
    <w:p w14:paraId="5BA88A45" w14:textId="77777777" w:rsidR="00B5511E" w:rsidRPr="00B5511E" w:rsidRDefault="00B5511E" w:rsidP="00B5511E">
      <w:pPr>
        <w:pStyle w:val="Bibliography"/>
      </w:pPr>
      <w:r w:rsidRPr="00B5511E">
        <w:t xml:space="preserve">Chang, Y. K., Labban, J. D., Gapin, J. I., &amp; Etnier, J. L. (2012). The effects of acute exercise on cognitive performance: A meta-analysis. </w:t>
      </w:r>
      <w:r w:rsidRPr="00B5511E">
        <w:rPr>
          <w:i/>
          <w:iCs/>
        </w:rPr>
        <w:t>Brain Research</w:t>
      </w:r>
      <w:r w:rsidRPr="00B5511E">
        <w:t xml:space="preserve">, </w:t>
      </w:r>
      <w:r w:rsidRPr="00B5511E">
        <w:rPr>
          <w:i/>
          <w:iCs/>
        </w:rPr>
        <w:t>1453</w:t>
      </w:r>
      <w:r w:rsidRPr="00B5511E">
        <w:t>, 87–101. https://doi.org/10.1016/j.brainres.2012.02.068</w:t>
      </w:r>
    </w:p>
    <w:p w14:paraId="6BCD5488" w14:textId="77777777" w:rsidR="00B5511E" w:rsidRPr="00B5511E" w:rsidRDefault="00B5511E" w:rsidP="00B5511E">
      <w:pPr>
        <w:pStyle w:val="Bibliography"/>
      </w:pPr>
      <w:r w:rsidRPr="00B5511E">
        <w:t xml:space="preserve">Chisholm, D., Collis, M., Kulak, L., Davenport, W., &amp; Gruber, N. (1975). Physical activity readiness. </w:t>
      </w:r>
      <w:r w:rsidRPr="00B5511E">
        <w:rPr>
          <w:i/>
          <w:iCs/>
        </w:rPr>
        <w:t>BC Med J</w:t>
      </w:r>
      <w:r w:rsidRPr="00B5511E">
        <w:t xml:space="preserve">, </w:t>
      </w:r>
      <w:r w:rsidRPr="00B5511E">
        <w:rPr>
          <w:i/>
          <w:iCs/>
        </w:rPr>
        <w:t>17</w:t>
      </w:r>
      <w:r w:rsidRPr="00B5511E">
        <w:t>(2), 375–378.</w:t>
      </w:r>
    </w:p>
    <w:p w14:paraId="3F30E529" w14:textId="77777777" w:rsidR="00B5511E" w:rsidRPr="00B5511E" w:rsidRDefault="00B5511E" w:rsidP="00B5511E">
      <w:pPr>
        <w:pStyle w:val="Bibliography"/>
      </w:pPr>
      <w:r w:rsidRPr="00B5511E">
        <w:lastRenderedPageBreak/>
        <w:t xml:space="preserve">Ciccone, D. S., Chandler, H. K., &amp; Kline, A. (2010). Catastrophic Appraisal of Acute and Chronic Pain in a Population Sample of New Jersey National Guard Troops. </w:t>
      </w:r>
      <w:r w:rsidRPr="00B5511E">
        <w:rPr>
          <w:i/>
          <w:iCs/>
        </w:rPr>
        <w:t>The Clinical Journal of Pain</w:t>
      </w:r>
      <w:r w:rsidRPr="00B5511E">
        <w:t xml:space="preserve">, </w:t>
      </w:r>
      <w:r w:rsidRPr="00B5511E">
        <w:rPr>
          <w:i/>
          <w:iCs/>
        </w:rPr>
        <w:t>26</w:t>
      </w:r>
      <w:r w:rsidRPr="00B5511E">
        <w:t>(8), 712–721. https://doi.org/10.1097/AJP.0b013e3181e724e8</w:t>
      </w:r>
    </w:p>
    <w:p w14:paraId="51D42432" w14:textId="77777777" w:rsidR="00B5511E" w:rsidRPr="00B5511E" w:rsidRDefault="00B5511E" w:rsidP="00B5511E">
      <w:pPr>
        <w:pStyle w:val="Bibliography"/>
      </w:pPr>
      <w:r w:rsidRPr="00B5511E">
        <w:t xml:space="preserve">Cohen, J. (1988). </w:t>
      </w:r>
      <w:r w:rsidRPr="00B5511E">
        <w:rPr>
          <w:i/>
          <w:iCs/>
        </w:rPr>
        <w:t>Statistical power analysis for the behavioral sciences</w:t>
      </w:r>
      <w:r w:rsidRPr="00B5511E">
        <w:t xml:space="preserve"> (2nd ed). L. Erlbaum Associates.</w:t>
      </w:r>
    </w:p>
    <w:p w14:paraId="527D64E2" w14:textId="77777777" w:rsidR="00B5511E" w:rsidRPr="00B5511E" w:rsidRDefault="00B5511E" w:rsidP="00B5511E">
      <w:pPr>
        <w:pStyle w:val="Bibliography"/>
      </w:pPr>
      <w:r w:rsidRPr="00B5511E">
        <w:t xml:space="preserve">Comstock, J. R., &amp; Arnegard, R. J. (1992). The Multi-Attribute Task Battery for Human Operator Workload and Strategic Behavior Research. </w:t>
      </w:r>
      <w:r w:rsidRPr="00B5511E">
        <w:rPr>
          <w:i/>
          <w:iCs/>
        </w:rPr>
        <w:t>NASA Technical Memorandum 104174</w:t>
      </w:r>
      <w:r w:rsidRPr="00B5511E">
        <w:t>, 115.</w:t>
      </w:r>
    </w:p>
    <w:p w14:paraId="2F942053" w14:textId="77777777" w:rsidR="00B5511E" w:rsidRPr="00B5511E" w:rsidRDefault="00B5511E" w:rsidP="00B5511E">
      <w:pPr>
        <w:pStyle w:val="Bibliography"/>
      </w:pPr>
      <w:r w:rsidRPr="00B5511E">
        <w:t xml:space="preserve">Cook, D. B., Stegner, A. J., &amp; Ellingson, L. D. (2010). Exercise Alters Pain Sensitivity in Gulf War Veterans With Chronic Musculoskeletal Pain. </w:t>
      </w:r>
      <w:r w:rsidRPr="00B5511E">
        <w:rPr>
          <w:i/>
          <w:iCs/>
        </w:rPr>
        <w:t>The Journal of Pain</w:t>
      </w:r>
      <w:r w:rsidRPr="00B5511E">
        <w:t xml:space="preserve">, </w:t>
      </w:r>
      <w:r w:rsidRPr="00B5511E">
        <w:rPr>
          <w:i/>
          <w:iCs/>
        </w:rPr>
        <w:t>11</w:t>
      </w:r>
      <w:r w:rsidRPr="00B5511E">
        <w:t>(8), 764–772. https://doi.org/10.1016/j.jpain.2009.11.010</w:t>
      </w:r>
    </w:p>
    <w:p w14:paraId="60A8CB0B" w14:textId="77777777" w:rsidR="00B5511E" w:rsidRPr="00B5511E" w:rsidRDefault="00B5511E" w:rsidP="00B5511E">
      <w:pPr>
        <w:pStyle w:val="Bibliography"/>
      </w:pPr>
      <w:r w:rsidRPr="00B5511E">
        <w:t xml:space="preserve">Cooke, M. E., Edwards, R. R., Wheeler, G. L., Schmitt, W. A., Nielsen, L. V., Streck, J. M., Schuster, R. M., Potter, K., Evins, A. E., &amp; Gilman, J. M. (2023). Pain catastrophizing is associated with reduced neural response to monetary reward. </w:t>
      </w:r>
      <w:r w:rsidRPr="00B5511E">
        <w:rPr>
          <w:i/>
          <w:iCs/>
        </w:rPr>
        <w:t>Frontiers in Pain Research</w:t>
      </w:r>
      <w:r w:rsidRPr="00B5511E">
        <w:t xml:space="preserve">, </w:t>
      </w:r>
      <w:r w:rsidRPr="00B5511E">
        <w:rPr>
          <w:i/>
          <w:iCs/>
        </w:rPr>
        <w:t>4</w:t>
      </w:r>
      <w:r w:rsidRPr="00B5511E">
        <w:t>, 1129353. https://doi.org/10.3389/fpain.2023.1129353</w:t>
      </w:r>
    </w:p>
    <w:p w14:paraId="46825C5B" w14:textId="77777777" w:rsidR="00B5511E" w:rsidRPr="00B5511E" w:rsidRDefault="00B5511E" w:rsidP="00B5511E">
      <w:pPr>
        <w:pStyle w:val="Bibliography"/>
      </w:pPr>
      <w:r w:rsidRPr="00B5511E">
        <w:t xml:space="preserve">Coote, J. H. (2010). Recovery of heart rate following intense dynamic exercise. </w:t>
      </w:r>
      <w:r w:rsidRPr="00B5511E">
        <w:rPr>
          <w:i/>
          <w:iCs/>
        </w:rPr>
        <w:t>Experimental Physiology</w:t>
      </w:r>
      <w:r w:rsidRPr="00B5511E">
        <w:t xml:space="preserve">, </w:t>
      </w:r>
      <w:r w:rsidRPr="00B5511E">
        <w:rPr>
          <w:i/>
          <w:iCs/>
        </w:rPr>
        <w:t>95</w:t>
      </w:r>
      <w:r w:rsidRPr="00B5511E">
        <w:t>(3), 431–440. https://doi.org/10.1113/expphysiol.2009.047548</w:t>
      </w:r>
    </w:p>
    <w:p w14:paraId="121DF676" w14:textId="77777777" w:rsidR="00B5511E" w:rsidRPr="00B5511E" w:rsidRDefault="00B5511E" w:rsidP="00B5511E">
      <w:pPr>
        <w:pStyle w:val="Bibliography"/>
      </w:pPr>
      <w:r w:rsidRPr="00B5511E">
        <w:t xml:space="preserve">Crawford, A., Muere, A., Tripp, D. A., Nickel, J. C., Doiron, R. C., Moldwin, R., &amp; Katz, L. (2021). The chicken or the egg: Longitudinal changes in pain and catastrophizing in women with interstitial cystitis/bladder pain syndrome. </w:t>
      </w:r>
      <w:r w:rsidRPr="00B5511E">
        <w:rPr>
          <w:i/>
          <w:iCs/>
        </w:rPr>
        <w:t>Canadian Urological Association Journal</w:t>
      </w:r>
      <w:r w:rsidRPr="00B5511E">
        <w:t xml:space="preserve">, </w:t>
      </w:r>
      <w:r w:rsidRPr="00B5511E">
        <w:rPr>
          <w:i/>
          <w:iCs/>
        </w:rPr>
        <w:t>15</w:t>
      </w:r>
      <w:r w:rsidRPr="00B5511E">
        <w:t>(10), 326–331. https://doi.org/10.5489/cuaj.7106</w:t>
      </w:r>
    </w:p>
    <w:p w14:paraId="2284D9D2" w14:textId="77777777" w:rsidR="00B5511E" w:rsidRPr="00B5511E" w:rsidRDefault="00B5511E" w:rsidP="00B5511E">
      <w:pPr>
        <w:pStyle w:val="Bibliography"/>
      </w:pPr>
      <w:r w:rsidRPr="00B5511E">
        <w:lastRenderedPageBreak/>
        <w:t xml:space="preserve">Crombez, G., De Paepe, A. L., Veirman, E., Eccleston, C., Verleysen, G., &amp; Van Ryckeghem, D. M. L. (2020). Let’s talk about pain catastrophizing measures: An item content analysis. </w:t>
      </w:r>
      <w:r w:rsidRPr="00B5511E">
        <w:rPr>
          <w:i/>
          <w:iCs/>
        </w:rPr>
        <w:t>PeerJ</w:t>
      </w:r>
      <w:r w:rsidRPr="00B5511E">
        <w:t xml:space="preserve">, </w:t>
      </w:r>
      <w:r w:rsidRPr="00B5511E">
        <w:rPr>
          <w:i/>
          <w:iCs/>
        </w:rPr>
        <w:t>8</w:t>
      </w:r>
      <w:r w:rsidRPr="00B5511E">
        <w:t>, e8643. https://doi.org/10.7717/peerj.8643</w:t>
      </w:r>
    </w:p>
    <w:p w14:paraId="5DA515AB" w14:textId="77777777" w:rsidR="00B5511E" w:rsidRPr="00B5511E" w:rsidRDefault="00B5511E" w:rsidP="00B5511E">
      <w:pPr>
        <w:pStyle w:val="Bibliography"/>
      </w:pPr>
      <w:r w:rsidRPr="00B5511E">
        <w:t xml:space="preserve">Crombez, G., Eccleston, C., den Broeck, A. V., Houdenhove, B. V., &amp; Goubert, L. (2002). The Effects of Catastrophic Thinking about Pain on Attentional Interference by Pain: No Mediation of Negative Affectivity in Healthy Volunteers and in Patients with Low Back Pain. </w:t>
      </w:r>
      <w:r w:rsidRPr="00B5511E">
        <w:rPr>
          <w:i/>
          <w:iCs/>
        </w:rPr>
        <w:t>Pain Research and Management</w:t>
      </w:r>
      <w:r w:rsidRPr="00B5511E">
        <w:t xml:space="preserve">, </w:t>
      </w:r>
      <w:r w:rsidRPr="00B5511E">
        <w:rPr>
          <w:i/>
          <w:iCs/>
        </w:rPr>
        <w:t>7</w:t>
      </w:r>
      <w:r w:rsidRPr="00B5511E">
        <w:t>(1), 576792. https://doi.org/10.1155/2002/576792</w:t>
      </w:r>
    </w:p>
    <w:p w14:paraId="213D2CCC" w14:textId="77777777" w:rsidR="00B5511E" w:rsidRPr="00B5511E" w:rsidRDefault="00B5511E" w:rsidP="00B5511E">
      <w:pPr>
        <w:pStyle w:val="Bibliography"/>
      </w:pPr>
      <w:r w:rsidRPr="00B5511E">
        <w:t xml:space="preserve">Dalsgaard, M. K., Nybo, L., Cai, Y., &amp; Secher, N. H. (2003). Cerebral Metabolism is Influenced by Muscle Ischaemia During Exercise in Humans. </w:t>
      </w:r>
      <w:r w:rsidRPr="00B5511E">
        <w:rPr>
          <w:i/>
          <w:iCs/>
        </w:rPr>
        <w:t>Experimental Physiology</w:t>
      </w:r>
      <w:r w:rsidRPr="00B5511E">
        <w:t xml:space="preserve">, </w:t>
      </w:r>
      <w:r w:rsidRPr="00B5511E">
        <w:rPr>
          <w:i/>
          <w:iCs/>
        </w:rPr>
        <w:t>88</w:t>
      </w:r>
      <w:r w:rsidRPr="00B5511E">
        <w:t>(2), 297–302. https://doi.org/10.1113/eph8802469</w:t>
      </w:r>
    </w:p>
    <w:p w14:paraId="42EC4242" w14:textId="77777777" w:rsidR="00B5511E" w:rsidRPr="00B5511E" w:rsidRDefault="00B5511E" w:rsidP="00B5511E">
      <w:pPr>
        <w:pStyle w:val="Bibliography"/>
      </w:pPr>
      <w:r w:rsidRPr="00B5511E">
        <w:t xml:space="preserve">Davranche, K., &amp; McMorris, T. (2009). Specific effects of acute moderate exercise on cognitive control. </w:t>
      </w:r>
      <w:r w:rsidRPr="00B5511E">
        <w:rPr>
          <w:i/>
          <w:iCs/>
        </w:rPr>
        <w:t>Brain and Cognition</w:t>
      </w:r>
      <w:r w:rsidRPr="00B5511E">
        <w:t xml:space="preserve">, </w:t>
      </w:r>
      <w:r w:rsidRPr="00B5511E">
        <w:rPr>
          <w:i/>
          <w:iCs/>
        </w:rPr>
        <w:t>69</w:t>
      </w:r>
      <w:r w:rsidRPr="00B5511E">
        <w:t>(3), 565–570. https://doi.org/10.1016/j.bandc.2008.12.001</w:t>
      </w:r>
    </w:p>
    <w:p w14:paraId="7CB6C7FF" w14:textId="77777777" w:rsidR="00B5511E" w:rsidRPr="00B5511E" w:rsidRDefault="00B5511E" w:rsidP="00B5511E">
      <w:pPr>
        <w:pStyle w:val="Bibliography"/>
      </w:pPr>
      <w:r w:rsidRPr="00B5511E">
        <w:t xml:space="preserve">Day, M. A., Ward, L. C., Thorn, B. E., Lang, C. P., Newton-John, T. R. O., Ehde, D. M., &amp; Jensen, M. P. (2018). The Pain-Related Cognitive Processes Questionnaire: Development and Validation. </w:t>
      </w:r>
      <w:r w:rsidRPr="00B5511E">
        <w:rPr>
          <w:i/>
          <w:iCs/>
        </w:rPr>
        <w:t>Pain Medicine</w:t>
      </w:r>
      <w:r w:rsidRPr="00B5511E">
        <w:t xml:space="preserve">, </w:t>
      </w:r>
      <w:r w:rsidRPr="00B5511E">
        <w:rPr>
          <w:i/>
          <w:iCs/>
        </w:rPr>
        <w:t>19</w:t>
      </w:r>
      <w:r w:rsidRPr="00B5511E">
        <w:t>(2), 269–283. https://doi.org/10.1093/pm/pnx010</w:t>
      </w:r>
    </w:p>
    <w:p w14:paraId="0B2382AB" w14:textId="77777777" w:rsidR="00B5511E" w:rsidRPr="00B5511E" w:rsidRDefault="00B5511E" w:rsidP="00B5511E">
      <w:pPr>
        <w:pStyle w:val="Bibliography"/>
      </w:pPr>
      <w:r w:rsidRPr="00B5511E">
        <w:t xml:space="preserve">Day, M. A., Young, G., &amp; Jensen, M. P. (2021). Differentiating state versus trait pain catastrophizing. </w:t>
      </w:r>
      <w:r w:rsidRPr="00B5511E">
        <w:rPr>
          <w:i/>
          <w:iCs/>
        </w:rPr>
        <w:t>Rehabilitation Psychology</w:t>
      </w:r>
      <w:r w:rsidRPr="00B5511E">
        <w:t xml:space="preserve">, </w:t>
      </w:r>
      <w:r w:rsidRPr="00B5511E">
        <w:rPr>
          <w:i/>
          <w:iCs/>
        </w:rPr>
        <w:t>66</w:t>
      </w:r>
      <w:r w:rsidRPr="00B5511E">
        <w:t>(1), 39.</w:t>
      </w:r>
    </w:p>
    <w:p w14:paraId="6C588581" w14:textId="77777777" w:rsidR="00B5511E" w:rsidRPr="00B5511E" w:rsidRDefault="00B5511E" w:rsidP="00B5511E">
      <w:pPr>
        <w:pStyle w:val="Bibliography"/>
      </w:pPr>
      <w:r w:rsidRPr="00B5511E">
        <w:t xml:space="preserve">Del Giorno, J. M., Hall, E. E., O’Leary, K. C., Bixby, W. R., &amp; Miller, P. C. (2010). Cognitive Function During Acute Exercise: A Test of the Transient Hypofrontality Theory. </w:t>
      </w:r>
      <w:r w:rsidRPr="00B5511E">
        <w:rPr>
          <w:i/>
          <w:iCs/>
        </w:rPr>
        <w:t>Journal of Sport and Exercise Psychology</w:t>
      </w:r>
      <w:r w:rsidRPr="00B5511E">
        <w:t xml:space="preserve">, </w:t>
      </w:r>
      <w:r w:rsidRPr="00B5511E">
        <w:rPr>
          <w:i/>
          <w:iCs/>
        </w:rPr>
        <w:t>32</w:t>
      </w:r>
      <w:r w:rsidRPr="00B5511E">
        <w:t>(3), 312–323. https://doi.org/10.1123/jsep.32.3.312</w:t>
      </w:r>
    </w:p>
    <w:p w14:paraId="1B068639" w14:textId="77777777" w:rsidR="00B5511E" w:rsidRPr="00B5511E" w:rsidRDefault="00B5511E" w:rsidP="00B5511E">
      <w:pPr>
        <w:pStyle w:val="Bibliography"/>
      </w:pPr>
      <w:r w:rsidRPr="00B5511E">
        <w:lastRenderedPageBreak/>
        <w:t xml:space="preserve">Diamond, A. (2013). Executive Functions. </w:t>
      </w:r>
      <w:r w:rsidRPr="00B5511E">
        <w:rPr>
          <w:i/>
          <w:iCs/>
        </w:rPr>
        <w:t>Annual Review of Psychology</w:t>
      </w:r>
      <w:r w:rsidRPr="00B5511E">
        <w:t xml:space="preserve">, </w:t>
      </w:r>
      <w:r w:rsidRPr="00B5511E">
        <w:rPr>
          <w:i/>
          <w:iCs/>
        </w:rPr>
        <w:t>64</w:t>
      </w:r>
      <w:r w:rsidRPr="00B5511E">
        <w:t>, 135–168. https://doi.org/10.1146/annurev-psych-113011-143750</w:t>
      </w:r>
    </w:p>
    <w:p w14:paraId="645802F6" w14:textId="77777777" w:rsidR="00B5511E" w:rsidRPr="00B5511E" w:rsidRDefault="00B5511E" w:rsidP="00B5511E">
      <w:pPr>
        <w:pStyle w:val="Bibliography"/>
      </w:pPr>
      <w:r w:rsidRPr="00B5511E">
        <w:t xml:space="preserve">Dietrich, A., &amp; Sparling, P. B. (2004). Endurance exercise selectively impairs prefrontal-dependent cognition. </w:t>
      </w:r>
      <w:r w:rsidRPr="00B5511E">
        <w:rPr>
          <w:i/>
          <w:iCs/>
        </w:rPr>
        <w:t>Brain and Cognition</w:t>
      </w:r>
      <w:r w:rsidRPr="00B5511E">
        <w:t xml:space="preserve">, </w:t>
      </w:r>
      <w:r w:rsidRPr="00B5511E">
        <w:rPr>
          <w:i/>
          <w:iCs/>
        </w:rPr>
        <w:t>55</w:t>
      </w:r>
      <w:r w:rsidRPr="00B5511E">
        <w:t>(3), 516–524. https://doi.org/10.1016/j.bandc.2004.03.002</w:t>
      </w:r>
    </w:p>
    <w:p w14:paraId="1F76716F" w14:textId="77777777" w:rsidR="00B5511E" w:rsidRPr="00B5511E" w:rsidRDefault="00B5511E" w:rsidP="00B5511E">
      <w:pPr>
        <w:pStyle w:val="Bibliography"/>
      </w:pPr>
      <w:r w:rsidRPr="00B5511E">
        <w:t xml:space="preserve">Dodwell, G., Müller, H. J., &amp; Töllner, T. (2018). Electroencephalographic evidence for improved visual working memory performance during standing and exercise. </w:t>
      </w:r>
      <w:r w:rsidRPr="00B5511E">
        <w:rPr>
          <w:i/>
          <w:iCs/>
        </w:rPr>
        <w:t>British Journal of Psychology</w:t>
      </w:r>
      <w:r w:rsidRPr="00B5511E">
        <w:t xml:space="preserve">, </w:t>
      </w:r>
      <w:r w:rsidRPr="00B5511E">
        <w:rPr>
          <w:i/>
          <w:iCs/>
        </w:rPr>
        <w:t>110</w:t>
      </w:r>
      <w:r w:rsidRPr="00B5511E">
        <w:t>(2), 400–427. https://doi.org/10.1111/bjop.12352</w:t>
      </w:r>
    </w:p>
    <w:p w14:paraId="1DEA6F8A" w14:textId="77777777" w:rsidR="00B5511E" w:rsidRPr="00B5511E" w:rsidRDefault="00B5511E" w:rsidP="00B5511E">
      <w:pPr>
        <w:pStyle w:val="Bibliography"/>
      </w:pPr>
      <w:r w:rsidRPr="00B5511E">
        <w:t xml:space="preserve">Duchesne, C., Lungu, O., Nadeau, A., Robillard, M. E., Boré, A., Bobeuf, F., Lafontaine, A. L., Gheysen, F., Bherer, L., &amp; Doyon, J. (2015). Enhancing both motor and cognitive functioning in Parkinson’s disease: Aerobic exercise as a rehabilitative intervention. </w:t>
      </w:r>
      <w:r w:rsidRPr="00B5511E">
        <w:rPr>
          <w:i/>
          <w:iCs/>
        </w:rPr>
        <w:t>Brain and Cognition</w:t>
      </w:r>
      <w:r w:rsidRPr="00B5511E">
        <w:t xml:space="preserve">, </w:t>
      </w:r>
      <w:r w:rsidRPr="00B5511E">
        <w:rPr>
          <w:i/>
          <w:iCs/>
        </w:rPr>
        <w:t>99</w:t>
      </w:r>
      <w:r w:rsidRPr="00B5511E">
        <w:t>, 68–77. https://doi.org/10.1016/j.bandc.2015.07.005</w:t>
      </w:r>
    </w:p>
    <w:p w14:paraId="45C5CE29" w14:textId="77777777" w:rsidR="00B5511E" w:rsidRPr="00B5511E" w:rsidRDefault="00B5511E" w:rsidP="00B5511E">
      <w:pPr>
        <w:pStyle w:val="Bibliography"/>
      </w:pPr>
      <w:r w:rsidRPr="00B5511E">
        <w:t xml:space="preserve">Eccleston, C., &amp; Crombez, G. (1999). Pain demands attention: A cognitive–affective model of the interruptive function of pain. </w:t>
      </w:r>
      <w:r w:rsidRPr="00B5511E">
        <w:rPr>
          <w:i/>
          <w:iCs/>
        </w:rPr>
        <w:t>Psychological Bulletin</w:t>
      </w:r>
      <w:r w:rsidRPr="00B5511E">
        <w:t xml:space="preserve">, </w:t>
      </w:r>
      <w:r w:rsidRPr="00B5511E">
        <w:rPr>
          <w:i/>
          <w:iCs/>
        </w:rPr>
        <w:t>125</w:t>
      </w:r>
      <w:r w:rsidRPr="00B5511E">
        <w:t>(3), 356–366. https://doi.org/10.1037/0033-2909.125.3.356</w:t>
      </w:r>
    </w:p>
    <w:p w14:paraId="5082CA3E" w14:textId="77777777" w:rsidR="00B5511E" w:rsidRPr="00B5511E" w:rsidRDefault="00B5511E" w:rsidP="00B5511E">
      <w:pPr>
        <w:pStyle w:val="Bibliography"/>
      </w:pPr>
      <w:r w:rsidRPr="00B5511E">
        <w:t xml:space="preserve">Edens, J. L., &amp; Gil, K. M. (1995). Experimental induction of pain: Utility in the study of clinical pain. </w:t>
      </w:r>
      <w:r w:rsidRPr="00B5511E">
        <w:rPr>
          <w:i/>
          <w:iCs/>
        </w:rPr>
        <w:t>Behavior Therapy</w:t>
      </w:r>
      <w:r w:rsidRPr="00B5511E">
        <w:t xml:space="preserve">, </w:t>
      </w:r>
      <w:r w:rsidRPr="00B5511E">
        <w:rPr>
          <w:i/>
          <w:iCs/>
        </w:rPr>
        <w:t>26</w:t>
      </w:r>
      <w:r w:rsidRPr="00B5511E">
        <w:t>(2), 197–216. https://doi.org/10.1016/S0005-7894(05)80102-9</w:t>
      </w:r>
    </w:p>
    <w:p w14:paraId="44959413" w14:textId="77777777" w:rsidR="00B5511E" w:rsidRPr="00B5511E" w:rsidRDefault="00B5511E" w:rsidP="00B5511E">
      <w:pPr>
        <w:pStyle w:val="Bibliography"/>
      </w:pPr>
      <w:r w:rsidRPr="00B5511E">
        <w:t xml:space="preserve">Edwards, K. M., Burns, V. E., Reynolds, T., Douglas, C., Drayson, M., &amp; Ring, C. (2006). Acute Stress Exposure Prior to Influenza Vaccination Enhances Antibody Response in Women. </w:t>
      </w:r>
      <w:r w:rsidRPr="00B5511E">
        <w:rPr>
          <w:i/>
          <w:iCs/>
        </w:rPr>
        <w:t>Brain, Behavior, and Immunity</w:t>
      </w:r>
      <w:r w:rsidRPr="00B5511E">
        <w:t xml:space="preserve">, </w:t>
      </w:r>
      <w:r w:rsidRPr="00B5511E">
        <w:rPr>
          <w:i/>
          <w:iCs/>
        </w:rPr>
        <w:t>1</w:t>
      </w:r>
      <w:r w:rsidRPr="00B5511E">
        <w:t>(1), 1–6. https://doi.org/10.1016/0889-1591(87)90001-8</w:t>
      </w:r>
    </w:p>
    <w:p w14:paraId="395E77CB" w14:textId="77777777" w:rsidR="00B5511E" w:rsidRPr="00B5511E" w:rsidRDefault="00B5511E" w:rsidP="00B5511E">
      <w:pPr>
        <w:pStyle w:val="Bibliography"/>
      </w:pPr>
      <w:r w:rsidRPr="00B5511E">
        <w:t xml:space="preserve">Edwards, R. R., Haythornthwaite, J. A., Sullivan, M. J., &amp; Fillingim, R. B. (2004). Catastrophizing as a mediator of sex differences in pain: Differential effects for daily </w:t>
      </w:r>
      <w:r w:rsidRPr="00B5511E">
        <w:lastRenderedPageBreak/>
        <w:t xml:space="preserve">pain versus laboratory-induced pain. </w:t>
      </w:r>
      <w:r w:rsidRPr="00B5511E">
        <w:rPr>
          <w:i/>
          <w:iCs/>
        </w:rPr>
        <w:t>Pain</w:t>
      </w:r>
      <w:r w:rsidRPr="00B5511E">
        <w:t xml:space="preserve">, </w:t>
      </w:r>
      <w:r w:rsidRPr="00B5511E">
        <w:rPr>
          <w:i/>
          <w:iCs/>
        </w:rPr>
        <w:t>111</w:t>
      </w:r>
      <w:r w:rsidRPr="00B5511E">
        <w:t>(3), 335–341. https://doi.org/10.1016/j.pain.2004.07.012</w:t>
      </w:r>
    </w:p>
    <w:p w14:paraId="782666E2" w14:textId="77777777" w:rsidR="00B5511E" w:rsidRPr="00B5511E" w:rsidRDefault="00B5511E" w:rsidP="00B5511E">
      <w:pPr>
        <w:pStyle w:val="Bibliography"/>
      </w:pPr>
      <w:r w:rsidRPr="00B5511E">
        <w:t xml:space="preserve">Ellis, A. (1962). </w:t>
      </w:r>
      <w:r w:rsidRPr="00B5511E">
        <w:rPr>
          <w:i/>
          <w:iCs/>
        </w:rPr>
        <w:t>Reason and emotion in psychotherapy</w:t>
      </w:r>
      <w:r w:rsidRPr="00B5511E">
        <w:t xml:space="preserve"> (p. 442). Lyle Stuart.</w:t>
      </w:r>
    </w:p>
    <w:p w14:paraId="7445D885" w14:textId="77777777" w:rsidR="00B5511E" w:rsidRPr="00B5511E" w:rsidRDefault="00B5511E" w:rsidP="00B5511E">
      <w:pPr>
        <w:pStyle w:val="Bibliography"/>
      </w:pPr>
      <w:r w:rsidRPr="00B5511E">
        <w:t xml:space="preserve">Etnier, J. L., Salazar, W., Landers, D. M., Petruzzello, S. J., Han, M., &amp; Nowell, P. (1997). The Influence of Physical Fitness and Exercise upon Cognitive Functioning: A Meta-Analysis. </w:t>
      </w:r>
      <w:r w:rsidRPr="00B5511E">
        <w:rPr>
          <w:i/>
          <w:iCs/>
        </w:rPr>
        <w:t>Journal of Sport and Exercise Psychology</w:t>
      </w:r>
      <w:r w:rsidRPr="00B5511E">
        <w:t xml:space="preserve">, </w:t>
      </w:r>
      <w:r w:rsidRPr="00B5511E">
        <w:rPr>
          <w:i/>
          <w:iCs/>
        </w:rPr>
        <w:t>19</w:t>
      </w:r>
      <w:r w:rsidRPr="00B5511E">
        <w:t>(3), 249–277. https://doi.org/10.1123/jsep.19.3.249</w:t>
      </w:r>
    </w:p>
    <w:p w14:paraId="3690603A" w14:textId="77777777" w:rsidR="00B5511E" w:rsidRPr="00B5511E" w:rsidRDefault="00B5511E" w:rsidP="00B5511E">
      <w:pPr>
        <w:pStyle w:val="Bibliography"/>
      </w:pPr>
      <w:r w:rsidRPr="00B5511E">
        <w:t xml:space="preserve">Festa, F., Medori, S., &amp; Macrì, M. (2023). Move Your Body, Boost Your Brain: The Positive Impact of Physical Activity on Cognition across All Age Groups. </w:t>
      </w:r>
      <w:r w:rsidRPr="00B5511E">
        <w:rPr>
          <w:i/>
          <w:iCs/>
        </w:rPr>
        <w:t>Biomedicines</w:t>
      </w:r>
      <w:r w:rsidRPr="00B5511E">
        <w:t xml:space="preserve">, </w:t>
      </w:r>
      <w:r w:rsidRPr="00B5511E">
        <w:rPr>
          <w:i/>
          <w:iCs/>
        </w:rPr>
        <w:t>11</w:t>
      </w:r>
      <w:r w:rsidRPr="00B5511E">
        <w:t>(6), Article 6. https://doi.org/10.3390/biomedicines11061765</w:t>
      </w:r>
    </w:p>
    <w:p w14:paraId="5BC858ED" w14:textId="77777777" w:rsidR="00B5511E" w:rsidRPr="00B5511E" w:rsidRDefault="00B5511E" w:rsidP="00B5511E">
      <w:pPr>
        <w:pStyle w:val="Bibliography"/>
      </w:pPr>
      <w:r w:rsidRPr="00B5511E">
        <w:t xml:space="preserve">Firth, J., Stubbs, B., Rosenbaum, S., Vancampfort, D., Malchow, B., Schuch, F., Elliott, R., Nuechterlein, K. H., &amp; Yung, A. R. (2016). Aerobic Exercise Improves Cognitive Functioning in People With Schizophrenia: A Systematic Review and Meta-Analysis. </w:t>
      </w:r>
      <w:r w:rsidRPr="00B5511E">
        <w:rPr>
          <w:i/>
          <w:iCs/>
        </w:rPr>
        <w:t>Schizophrenia Bulletin</w:t>
      </w:r>
      <w:r w:rsidRPr="00B5511E">
        <w:t>, sbw115. https://doi.org/10.1093/schbul/sbw115</w:t>
      </w:r>
    </w:p>
    <w:p w14:paraId="30085D5B" w14:textId="77777777" w:rsidR="00B5511E" w:rsidRPr="00B5511E" w:rsidRDefault="00B5511E" w:rsidP="00B5511E">
      <w:pPr>
        <w:pStyle w:val="Bibliography"/>
      </w:pPr>
      <w:r w:rsidRPr="00B5511E">
        <w:t xml:space="preserve">Fisher, E., Heathcote, L. C., Eccleston, C., Simons, L. E., &amp; Palermo, T. M. (2018). Assessment of Pain Anxiety, Pain Catastrophizing, and Fear of Pain in Children and Adolescents With Chronic Pain: A Systematic Review and Meta-Analysis. </w:t>
      </w:r>
      <w:r w:rsidRPr="00B5511E">
        <w:rPr>
          <w:i/>
          <w:iCs/>
        </w:rPr>
        <w:t>Journal of Pediatric Psychology</w:t>
      </w:r>
      <w:r w:rsidRPr="00B5511E">
        <w:t xml:space="preserve">, </w:t>
      </w:r>
      <w:r w:rsidRPr="00B5511E">
        <w:rPr>
          <w:i/>
          <w:iCs/>
        </w:rPr>
        <w:t>43</w:t>
      </w:r>
      <w:r w:rsidRPr="00B5511E">
        <w:t>(3), 314–325. https://doi.org/10.1093/jpepsy/jsx103</w:t>
      </w:r>
    </w:p>
    <w:p w14:paraId="4BF23D0E" w14:textId="77777777" w:rsidR="00B5511E" w:rsidRPr="00B5511E" w:rsidRDefault="00B5511E" w:rsidP="00B5511E">
      <w:pPr>
        <w:pStyle w:val="Bibliography"/>
      </w:pPr>
      <w:r w:rsidRPr="00B5511E">
        <w:t xml:space="preserve">Gagnon-Dolbec, A., Fortier, M., &amp; Cormier, S. (2021). Pain intensity and pain unpleasantness in triathletes: A study examining their associations with pain catastrophizing and pain expectations. </w:t>
      </w:r>
      <w:r w:rsidRPr="00B5511E">
        <w:rPr>
          <w:i/>
          <w:iCs/>
        </w:rPr>
        <w:t>Psychology of Sport and Exercise</w:t>
      </w:r>
      <w:r w:rsidRPr="00B5511E">
        <w:t xml:space="preserve">, </w:t>
      </w:r>
      <w:r w:rsidRPr="00B5511E">
        <w:rPr>
          <w:i/>
          <w:iCs/>
        </w:rPr>
        <w:t>55</w:t>
      </w:r>
      <w:r w:rsidRPr="00B5511E">
        <w:t>, 101928. https://doi.org/10.1016/j.psychsport.2021.101928</w:t>
      </w:r>
    </w:p>
    <w:p w14:paraId="271D297D" w14:textId="77777777" w:rsidR="00B5511E" w:rsidRPr="00B5511E" w:rsidRDefault="00B5511E" w:rsidP="00B5511E">
      <w:pPr>
        <w:pStyle w:val="Bibliography"/>
      </w:pPr>
      <w:r w:rsidRPr="00B5511E">
        <w:lastRenderedPageBreak/>
        <w:t xml:space="preserve">Gailliot, M. T. (2008). Unlocking the Energy Dynamics of Executive Functioning: Linking Executive Functioning to Brain Glycogen. </w:t>
      </w:r>
      <w:r w:rsidRPr="00B5511E">
        <w:rPr>
          <w:i/>
          <w:iCs/>
        </w:rPr>
        <w:t>Perspectives on Psychological Science</w:t>
      </w:r>
      <w:r w:rsidRPr="00B5511E">
        <w:t xml:space="preserve">, </w:t>
      </w:r>
      <w:r w:rsidRPr="00B5511E">
        <w:rPr>
          <w:i/>
          <w:iCs/>
        </w:rPr>
        <w:t>3</w:t>
      </w:r>
      <w:r w:rsidRPr="00B5511E">
        <w:t>(4), 245–263. https://doi.org/10.1111/j.1745-6924.2008.00077.x</w:t>
      </w:r>
    </w:p>
    <w:p w14:paraId="24CD6D5D" w14:textId="77777777" w:rsidR="00B5511E" w:rsidRPr="00B5511E" w:rsidRDefault="00B5511E" w:rsidP="00B5511E">
      <w:pPr>
        <w:pStyle w:val="Bibliography"/>
      </w:pPr>
      <w:r w:rsidRPr="00B5511E">
        <w:t xml:space="preserve">Galambos, A., Szabó, E., Nagy, Z., Édes, A. E., Kocsel, N., Juhász, G., &amp; Kökönyei, G. (2019). A systematic review of structural and functional MRI studies on pain catastrophizing. </w:t>
      </w:r>
      <w:r w:rsidRPr="00B5511E">
        <w:rPr>
          <w:i/>
          <w:iCs/>
        </w:rPr>
        <w:t>Journal of Pain Research</w:t>
      </w:r>
      <w:r w:rsidRPr="00B5511E">
        <w:t>, 1155–1178.</w:t>
      </w:r>
    </w:p>
    <w:p w14:paraId="77E9512A" w14:textId="77777777" w:rsidR="00B5511E" w:rsidRPr="00B5511E" w:rsidRDefault="00B5511E" w:rsidP="00B5511E">
      <w:pPr>
        <w:pStyle w:val="Bibliography"/>
      </w:pPr>
      <w:r w:rsidRPr="00B5511E">
        <w:t xml:space="preserve">Galvez-Sánchez, C. M., Reyes del Paso, G. A., &amp; Duschek, S. (2018). Cognitive Impairments in Fibromyalgia Syndrome: Associations With Positive and Negative Affect, Alexithymia, Pain Catastrophizing and Self-Esteem. </w:t>
      </w:r>
      <w:r w:rsidRPr="00B5511E">
        <w:rPr>
          <w:i/>
          <w:iCs/>
        </w:rPr>
        <w:t>Frontiers in Psychology</w:t>
      </w:r>
      <w:r w:rsidRPr="00B5511E">
        <w:t xml:space="preserve">, </w:t>
      </w:r>
      <w:r w:rsidRPr="00B5511E">
        <w:rPr>
          <w:i/>
          <w:iCs/>
        </w:rPr>
        <w:t>9</w:t>
      </w:r>
      <w:r w:rsidRPr="00B5511E">
        <w:t>, 377. https://doi.org/10.3389/fpsyg.2018.00377</w:t>
      </w:r>
    </w:p>
    <w:p w14:paraId="4CDBA3EE" w14:textId="77777777" w:rsidR="00B5511E" w:rsidRPr="00B5511E" w:rsidRDefault="00B5511E" w:rsidP="00B5511E">
      <w:pPr>
        <w:pStyle w:val="Bibliography"/>
      </w:pPr>
      <w:r w:rsidRPr="00B5511E">
        <w:t xml:space="preserve">Gellatly, R., &amp; Beck, A. T. (2016). Catastrophic Thinking: A Transdiagnostic Process Across Psychiatric Disorders. </w:t>
      </w:r>
      <w:r w:rsidRPr="00B5511E">
        <w:rPr>
          <w:i/>
          <w:iCs/>
        </w:rPr>
        <w:t>Cognitive Therapy and Research</w:t>
      </w:r>
      <w:r w:rsidRPr="00B5511E">
        <w:t xml:space="preserve">, </w:t>
      </w:r>
      <w:r w:rsidRPr="00B5511E">
        <w:rPr>
          <w:i/>
          <w:iCs/>
        </w:rPr>
        <w:t>40</w:t>
      </w:r>
      <w:r w:rsidRPr="00B5511E">
        <w:t>(4), 441–452. https://doi.org/10.1007/s10608-016-9763-3</w:t>
      </w:r>
    </w:p>
    <w:p w14:paraId="212CBC0D" w14:textId="77777777" w:rsidR="00B5511E" w:rsidRPr="00B5511E" w:rsidRDefault="00B5511E" w:rsidP="00B5511E">
      <w:pPr>
        <w:pStyle w:val="Bibliography"/>
      </w:pPr>
      <w:r w:rsidRPr="00B5511E">
        <w:t xml:space="preserve">Goodin, B. R., McGuire, L. M., Stapleton, L. M., Quinn, N. B., Fabian, L. A., Haythornthwaite, J. A., &amp; Edwards, R. R. (2009). Pain Catastrophizing Mediates the Relation Between Self-Reported Strenuous Exercise Involvement and Pain Ratings: The Moderating Role of Anxiety Sensitivity. </w:t>
      </w:r>
      <w:r w:rsidRPr="00B5511E">
        <w:rPr>
          <w:i/>
          <w:iCs/>
        </w:rPr>
        <w:t>Psychosomatic Medicine</w:t>
      </w:r>
      <w:r w:rsidRPr="00B5511E">
        <w:t xml:space="preserve">, </w:t>
      </w:r>
      <w:r w:rsidRPr="00B5511E">
        <w:rPr>
          <w:i/>
          <w:iCs/>
        </w:rPr>
        <w:t>71</w:t>
      </w:r>
      <w:r w:rsidRPr="00B5511E">
        <w:t>(9), 1018–1025. https://doi.org/10.1097/PSY.0b013e3181bc62</w:t>
      </w:r>
    </w:p>
    <w:p w14:paraId="4C37095A" w14:textId="77777777" w:rsidR="00B5511E" w:rsidRPr="00B5511E" w:rsidRDefault="00B5511E" w:rsidP="00B5511E">
      <w:pPr>
        <w:pStyle w:val="Bibliography"/>
      </w:pPr>
      <w:r w:rsidRPr="00B5511E">
        <w:t xml:space="preserve">Gopinath, B., Jagnoor, J., Kifley, A., Nicholas, M., Blyth, F., Kenardy, J., Craig, A., &amp; Cameron, I. D. (2019). Differential Predictors of Pain Severity Over 12 Months Following Noncatastrophic Injury Sustained in a Road Traffic Crash. </w:t>
      </w:r>
      <w:r w:rsidRPr="00B5511E">
        <w:rPr>
          <w:i/>
          <w:iCs/>
        </w:rPr>
        <w:t>The Journal of Pain</w:t>
      </w:r>
      <w:r w:rsidRPr="00B5511E">
        <w:t xml:space="preserve">, </w:t>
      </w:r>
      <w:r w:rsidRPr="00B5511E">
        <w:rPr>
          <w:i/>
          <w:iCs/>
        </w:rPr>
        <w:t>20</w:t>
      </w:r>
      <w:r w:rsidRPr="00B5511E">
        <w:t>(6), 676–684. https://doi.org/10.1016/j.jpain.2018.11.011</w:t>
      </w:r>
    </w:p>
    <w:p w14:paraId="766E983C" w14:textId="77777777" w:rsidR="00B5511E" w:rsidRPr="00B5511E" w:rsidRDefault="00B5511E" w:rsidP="00B5511E">
      <w:pPr>
        <w:pStyle w:val="Bibliography"/>
      </w:pPr>
      <w:r w:rsidRPr="00B5511E">
        <w:lastRenderedPageBreak/>
        <w:t xml:space="preserve">Goubert, L., Crombez, G., &amp; Van Damme, S. (2004). The role of neuroticism, pain catastrophizing and pain-related fear in vigilance to pain: A structural equations approach. </w:t>
      </w:r>
      <w:r w:rsidRPr="00B5511E">
        <w:rPr>
          <w:i/>
          <w:iCs/>
        </w:rPr>
        <w:t>Pain</w:t>
      </w:r>
      <w:r w:rsidRPr="00B5511E">
        <w:t xml:space="preserve">, </w:t>
      </w:r>
      <w:r w:rsidRPr="00B5511E">
        <w:rPr>
          <w:i/>
          <w:iCs/>
        </w:rPr>
        <w:t>107</w:t>
      </w:r>
      <w:r w:rsidRPr="00B5511E">
        <w:t>(3), 234–241.</w:t>
      </w:r>
    </w:p>
    <w:p w14:paraId="0BD32E23" w14:textId="77777777" w:rsidR="00B5511E" w:rsidRPr="00B5511E" w:rsidRDefault="00B5511E" w:rsidP="00B5511E">
      <w:pPr>
        <w:pStyle w:val="Bibliography"/>
      </w:pPr>
      <w:r w:rsidRPr="00B5511E">
        <w:t xml:space="preserve">Gracely, R. H., Geisser, M. E., Grant, M. A. B., Petzke, F., Williams, D. A., &amp; Clauw, D. J. (2004). Pain catastrophizing and neural responses to pain among persons with fibromyalgia. </w:t>
      </w:r>
      <w:r w:rsidRPr="00B5511E">
        <w:rPr>
          <w:i/>
          <w:iCs/>
        </w:rPr>
        <w:t>Brain</w:t>
      </w:r>
      <w:r w:rsidRPr="00B5511E">
        <w:t xml:space="preserve">, </w:t>
      </w:r>
      <w:r w:rsidRPr="00B5511E">
        <w:rPr>
          <w:i/>
          <w:iCs/>
        </w:rPr>
        <w:t>127</w:t>
      </w:r>
      <w:r w:rsidRPr="00B5511E">
        <w:t>(4), 835–843. https://doi.org/10.1093/brain/awh098</w:t>
      </w:r>
    </w:p>
    <w:p w14:paraId="3F9D9D67" w14:textId="77777777" w:rsidR="00B5511E" w:rsidRPr="00B5511E" w:rsidRDefault="00B5511E" w:rsidP="00B5511E">
      <w:pPr>
        <w:pStyle w:val="Bibliography"/>
      </w:pPr>
      <w:r w:rsidRPr="00B5511E">
        <w:t xml:space="preserve">Hall, B., &amp; Wilson, J. P. (2007). Chapter 9: Trauma and Alterations in Normal Personality. In </w:t>
      </w:r>
      <w:r w:rsidRPr="00B5511E">
        <w:rPr>
          <w:i/>
          <w:iCs/>
        </w:rPr>
        <w:t>The Posttraumatic Self: Restoring Meaning and Wholeness to Personality</w:t>
      </w:r>
      <w:r w:rsidRPr="00B5511E">
        <w:t>. Routledge.</w:t>
      </w:r>
    </w:p>
    <w:p w14:paraId="1CAC4419" w14:textId="77777777" w:rsidR="00B5511E" w:rsidRPr="00B5511E" w:rsidRDefault="00B5511E" w:rsidP="00B5511E">
      <w:pPr>
        <w:pStyle w:val="Bibliography"/>
      </w:pPr>
      <w:r w:rsidRPr="00B5511E">
        <w:t xml:space="preserve">Hayes, A. F., &amp; Rockwood, N. J. (2017). Regression-based statistical mediation and moderation analysis in clinical research: Observations, recommendations, and implementation. </w:t>
      </w:r>
      <w:r w:rsidRPr="00B5511E">
        <w:rPr>
          <w:i/>
          <w:iCs/>
        </w:rPr>
        <w:t>Behaviour Research and Therapy</w:t>
      </w:r>
      <w:r w:rsidRPr="00B5511E">
        <w:t xml:space="preserve">, </w:t>
      </w:r>
      <w:r w:rsidRPr="00B5511E">
        <w:rPr>
          <w:i/>
          <w:iCs/>
        </w:rPr>
        <w:t>98</w:t>
      </w:r>
      <w:r w:rsidRPr="00B5511E">
        <w:t>, 39–57. https://doi.org/10.1016/j.brat.2016.11.001</w:t>
      </w:r>
    </w:p>
    <w:p w14:paraId="17BD3818" w14:textId="77777777" w:rsidR="00B5511E" w:rsidRPr="00B5511E" w:rsidRDefault="00B5511E" w:rsidP="00B5511E">
      <w:pPr>
        <w:pStyle w:val="Bibliography"/>
      </w:pPr>
      <w:r w:rsidRPr="00B5511E">
        <w:t xml:space="preserve">Hiebert, R., Campello, M. A., Weiser, S., Ziemke, G. W., Fox, B. A., &amp; Nordin, M. (2012). Predictors of short-term work-related disability among active duty US Navy personnel: A cohort study in patients with acute and subacute low back pain. </w:t>
      </w:r>
      <w:r w:rsidRPr="00B5511E">
        <w:rPr>
          <w:i/>
          <w:iCs/>
        </w:rPr>
        <w:t>The Spine Journal</w:t>
      </w:r>
      <w:r w:rsidRPr="00B5511E">
        <w:t xml:space="preserve">, </w:t>
      </w:r>
      <w:r w:rsidRPr="00B5511E">
        <w:rPr>
          <w:i/>
          <w:iCs/>
        </w:rPr>
        <w:t>12</w:t>
      </w:r>
      <w:r w:rsidRPr="00B5511E">
        <w:t>(9), 806–816. https://doi.org/10.1016/j.spinee.2011.11.012</w:t>
      </w:r>
    </w:p>
    <w:p w14:paraId="511DAF5C" w14:textId="77777777" w:rsidR="00B5511E" w:rsidRPr="00B5511E" w:rsidRDefault="00B5511E" w:rsidP="00B5511E">
      <w:pPr>
        <w:pStyle w:val="Bibliography"/>
      </w:pPr>
      <w:r w:rsidRPr="00B5511E">
        <w:t xml:space="preserve">Hoffman, S. N., Herbert, M. S., Crocker, L. D., DeFord, N. E., Keller, A. V., Jurick, S. M., Sanderson-Cimino, M., &amp; Jak, A. J. (2019). The Role of Pain Catastrophizing in Cognitive Functioning Among Veterans With a History of Mild Traumatic Brain Injury. </w:t>
      </w:r>
      <w:r w:rsidRPr="00B5511E">
        <w:rPr>
          <w:i/>
          <w:iCs/>
        </w:rPr>
        <w:t>Journal of Head Trauma Rehabilitation</w:t>
      </w:r>
      <w:r w:rsidRPr="00B5511E">
        <w:t xml:space="preserve">, </w:t>
      </w:r>
      <w:r w:rsidRPr="00B5511E">
        <w:rPr>
          <w:i/>
          <w:iCs/>
        </w:rPr>
        <w:t>34</w:t>
      </w:r>
      <w:r w:rsidRPr="00B5511E">
        <w:t>(4), E61–E66. https://doi.org/10.1097/HTR.0000000000000453</w:t>
      </w:r>
    </w:p>
    <w:p w14:paraId="7ADD3090" w14:textId="77777777" w:rsidR="00B5511E" w:rsidRPr="00B5511E" w:rsidRDefault="00B5511E" w:rsidP="00B5511E">
      <w:pPr>
        <w:pStyle w:val="Bibliography"/>
      </w:pPr>
      <w:r w:rsidRPr="00B5511E">
        <w:t xml:space="preserve">Hopwood, C. J. (2007). Moderation and Mediation in Structural Equation Modeling: Applications for Early Intervention Research. </w:t>
      </w:r>
      <w:r w:rsidRPr="00B5511E">
        <w:rPr>
          <w:i/>
          <w:iCs/>
        </w:rPr>
        <w:t>Journal of Early Intervention</w:t>
      </w:r>
      <w:r w:rsidRPr="00B5511E">
        <w:t xml:space="preserve">, </w:t>
      </w:r>
      <w:r w:rsidRPr="00B5511E">
        <w:rPr>
          <w:i/>
          <w:iCs/>
        </w:rPr>
        <w:t>29</w:t>
      </w:r>
      <w:r w:rsidRPr="00B5511E">
        <w:t>(3), 262–272. https://doi.org/10.1177/105381510702900305</w:t>
      </w:r>
    </w:p>
    <w:p w14:paraId="129D03D8" w14:textId="77777777" w:rsidR="00B5511E" w:rsidRPr="00B5511E" w:rsidRDefault="00B5511E" w:rsidP="00B5511E">
      <w:pPr>
        <w:pStyle w:val="Bibliography"/>
      </w:pPr>
      <w:r w:rsidRPr="00B5511E">
        <w:lastRenderedPageBreak/>
        <w:t xml:space="preserve">Horjales-Araujo, E., Demontis, D., Lund, E. K., Finnerup, N. B., Børglum, A. D., Jensen, T. S., Svensson, P., &amp; Vase, L. (2013). Polymorphism in serotonin receptor 3B is associated with pain catastrophizing. </w:t>
      </w:r>
      <w:r w:rsidRPr="00B5511E">
        <w:rPr>
          <w:i/>
          <w:iCs/>
        </w:rPr>
        <w:t>PloS One</w:t>
      </w:r>
      <w:r w:rsidRPr="00B5511E">
        <w:t xml:space="preserve">, </w:t>
      </w:r>
      <w:r w:rsidRPr="00B5511E">
        <w:rPr>
          <w:i/>
          <w:iCs/>
        </w:rPr>
        <w:t>8</w:t>
      </w:r>
      <w:r w:rsidRPr="00B5511E">
        <w:t>(11), e78889.</w:t>
      </w:r>
    </w:p>
    <w:p w14:paraId="2CA92EF1" w14:textId="77777777" w:rsidR="00B5511E" w:rsidRPr="00B5511E" w:rsidRDefault="00B5511E" w:rsidP="00B5511E">
      <w:pPr>
        <w:pStyle w:val="Bibliography"/>
      </w:pPr>
      <w:r w:rsidRPr="00B5511E">
        <w:t xml:space="preserve">Huang, L., Deng, Y., Zheng, X., &amp; Liu, Y. (2019). Transcranial Direct Current Stimulation With Halo Sport Enhances Repeated Sprint Cycling and Cognitive Performance. </w:t>
      </w:r>
      <w:r w:rsidRPr="00B5511E">
        <w:rPr>
          <w:i/>
          <w:iCs/>
        </w:rPr>
        <w:t>Frontiers in Physiology</w:t>
      </w:r>
      <w:r w:rsidRPr="00B5511E">
        <w:t xml:space="preserve">, </w:t>
      </w:r>
      <w:r w:rsidRPr="00B5511E">
        <w:rPr>
          <w:i/>
          <w:iCs/>
        </w:rPr>
        <w:t>10</w:t>
      </w:r>
      <w:r w:rsidRPr="00B5511E">
        <w:t>. https://doi.org/10.3389/fphys.2019.00118</w:t>
      </w:r>
    </w:p>
    <w:p w14:paraId="717A933D" w14:textId="77777777" w:rsidR="00B5511E" w:rsidRPr="00B5511E" w:rsidRDefault="00B5511E" w:rsidP="00B5511E">
      <w:pPr>
        <w:pStyle w:val="Bibliography"/>
      </w:pPr>
      <w:r w:rsidRPr="00B5511E">
        <w:t xml:space="preserve">Ikemoto, T., Hayashi, K., Shiro, Y., Arai, Y.-C., Marcuzzi, A., Costa, D., &amp; Wrigley, P. (2020). A systematic review of cross-cultural validation of the pain catastrophizing scale. </w:t>
      </w:r>
      <w:r w:rsidRPr="00B5511E">
        <w:rPr>
          <w:i/>
          <w:iCs/>
        </w:rPr>
        <w:t>European Journal of Pain (London, England)</w:t>
      </w:r>
      <w:r w:rsidRPr="00B5511E">
        <w:t xml:space="preserve">, </w:t>
      </w:r>
      <w:r w:rsidRPr="00B5511E">
        <w:rPr>
          <w:i/>
          <w:iCs/>
        </w:rPr>
        <w:t>24</w:t>
      </w:r>
      <w:r w:rsidRPr="00B5511E">
        <w:t>(7), 1228–1241. https://doi.org/10.1002/ejp.1587</w:t>
      </w:r>
    </w:p>
    <w:p w14:paraId="066F7423" w14:textId="77777777" w:rsidR="00B5511E" w:rsidRPr="00B5511E" w:rsidRDefault="00B5511E" w:rsidP="00B5511E">
      <w:pPr>
        <w:pStyle w:val="Bibliography"/>
      </w:pPr>
      <w:r w:rsidRPr="00B5511E">
        <w:t xml:space="preserve">Jochimsen, K. N., Pelton, M. R., Mattacola, C. G., Huston, L. J., Reinke, E. K., Spindler, K. P., Lattermann, C., &amp; Jacobs, C. A. (2020). Relationship Between Pain Catastrophizing and 6-Month Outcomes Following Anterior Cruciate Ligament Reconstruction. </w:t>
      </w:r>
      <w:r w:rsidRPr="00B5511E">
        <w:rPr>
          <w:i/>
          <w:iCs/>
        </w:rPr>
        <w:t>Journal of Sport Rehabilitation</w:t>
      </w:r>
      <w:r w:rsidRPr="00B5511E">
        <w:t xml:space="preserve">, </w:t>
      </w:r>
      <w:r w:rsidRPr="00B5511E">
        <w:rPr>
          <w:i/>
          <w:iCs/>
        </w:rPr>
        <w:t>29</w:t>
      </w:r>
      <w:r w:rsidRPr="00B5511E">
        <w:t>(6), 808–812. https://doi.org/10.1123/jsr.2018-0431</w:t>
      </w:r>
    </w:p>
    <w:p w14:paraId="7CC7289F" w14:textId="77777777" w:rsidR="00B5511E" w:rsidRPr="00B5511E" w:rsidRDefault="00B5511E" w:rsidP="00B5511E">
      <w:pPr>
        <w:pStyle w:val="Bibliography"/>
      </w:pPr>
      <w:r w:rsidRPr="00B5511E">
        <w:t xml:space="preserve">Jorm, A. F. (1989). Modifiability of Trait Anxiety and Neuroticism: A Meta-Analysis of the Literature. </w:t>
      </w:r>
      <w:r w:rsidRPr="00B5511E">
        <w:rPr>
          <w:i/>
          <w:iCs/>
        </w:rPr>
        <w:t>Australian and New Zealand Journal of Psychiatry</w:t>
      </w:r>
      <w:r w:rsidRPr="00B5511E">
        <w:t xml:space="preserve">, </w:t>
      </w:r>
      <w:r w:rsidRPr="00B5511E">
        <w:rPr>
          <w:i/>
          <w:iCs/>
        </w:rPr>
        <w:t>23</w:t>
      </w:r>
      <w:r w:rsidRPr="00B5511E">
        <w:t>(1), 21–29. https://doi.org/10.3109/00048678909062588</w:t>
      </w:r>
    </w:p>
    <w:p w14:paraId="7F6E47A8" w14:textId="77777777" w:rsidR="00B5511E" w:rsidRPr="00B5511E" w:rsidRDefault="00B5511E" w:rsidP="00B5511E">
      <w:pPr>
        <w:pStyle w:val="Bibliography"/>
      </w:pPr>
      <w:r w:rsidRPr="00B5511E">
        <w:t xml:space="preserve">Joyce, J., Graydon, J., McMorris, T., &amp; Davranche, K. (2009). The time course effect of moderate intensity exercise on response execution and response inhibition. </w:t>
      </w:r>
      <w:r w:rsidRPr="00B5511E">
        <w:rPr>
          <w:i/>
          <w:iCs/>
        </w:rPr>
        <w:t>Brain and Cognition</w:t>
      </w:r>
      <w:r w:rsidRPr="00B5511E">
        <w:t xml:space="preserve">, </w:t>
      </w:r>
      <w:r w:rsidRPr="00B5511E">
        <w:rPr>
          <w:i/>
          <w:iCs/>
        </w:rPr>
        <w:t>71</w:t>
      </w:r>
      <w:r w:rsidRPr="00B5511E">
        <w:t>(1), 14–19. https://doi.org/10.1016/j.bandc.2009.03.004</w:t>
      </w:r>
    </w:p>
    <w:p w14:paraId="44BFE773" w14:textId="77777777" w:rsidR="00B5511E" w:rsidRPr="00B5511E" w:rsidRDefault="00B5511E" w:rsidP="00B5511E">
      <w:pPr>
        <w:pStyle w:val="Bibliography"/>
      </w:pPr>
      <w:r w:rsidRPr="00B5511E">
        <w:t xml:space="preserve">Joyce, J., Smyth, P. J., Donnelly, A. E., &amp; Davranche, K. (2014). The Simon Task and Aging: Does Acute Moderate Exercise Influence Cognitive Control? </w:t>
      </w:r>
      <w:r w:rsidRPr="00B5511E">
        <w:rPr>
          <w:i/>
          <w:iCs/>
        </w:rPr>
        <w:t>Medicine &amp; Science in Sports &amp; Exercise</w:t>
      </w:r>
      <w:r w:rsidRPr="00B5511E">
        <w:t xml:space="preserve">, </w:t>
      </w:r>
      <w:r w:rsidRPr="00B5511E">
        <w:rPr>
          <w:i/>
          <w:iCs/>
        </w:rPr>
        <w:t>46</w:t>
      </w:r>
      <w:r w:rsidRPr="00B5511E">
        <w:t>(3), 630–639. https://doi.org/10.1249/MSS.0b013e3182a77980</w:t>
      </w:r>
    </w:p>
    <w:p w14:paraId="111F0484" w14:textId="77777777" w:rsidR="00B5511E" w:rsidRPr="00B5511E" w:rsidRDefault="00B5511E" w:rsidP="00B5511E">
      <w:pPr>
        <w:pStyle w:val="Bibliography"/>
      </w:pPr>
      <w:r w:rsidRPr="00B5511E">
        <w:lastRenderedPageBreak/>
        <w:t xml:space="preserve">Judkins, J. L., Merkle, S., Taylor, K., Roberts, B. M., Ritland, B. M., Foulis, S. A., Hughes, J., &amp; Heaton, K. J. (2022). Mediating Effects of Pain Catastrophizing on Sleep and Pain Intensity in Army Basic Trainees. </w:t>
      </w:r>
      <w:r w:rsidRPr="00B5511E">
        <w:rPr>
          <w:i/>
          <w:iCs/>
        </w:rPr>
        <w:t>Military Behavioral Health</w:t>
      </w:r>
      <w:r w:rsidRPr="00B5511E">
        <w:t xml:space="preserve">, </w:t>
      </w:r>
      <w:r w:rsidRPr="00B5511E">
        <w:rPr>
          <w:i/>
          <w:iCs/>
        </w:rPr>
        <w:t>0</w:t>
      </w:r>
      <w:r w:rsidRPr="00B5511E">
        <w:t>(0), 1–8. https://doi.org/10.1080/21635781.2022.2067918</w:t>
      </w:r>
    </w:p>
    <w:p w14:paraId="6DFCF858" w14:textId="77777777" w:rsidR="00B5511E" w:rsidRPr="00B5511E" w:rsidRDefault="00B5511E" w:rsidP="00B5511E">
      <w:pPr>
        <w:pStyle w:val="Bibliography"/>
      </w:pPr>
      <w:r w:rsidRPr="00B5511E">
        <w:t xml:space="preserve">Kadimpati, S., Zale, E. L., Hooten, M. W., Ditre, J. W., &amp; Warner, D. O. (2015). Associations between Neuroticism and Depression in Relation to Catastrophizing and Pain-Related Anxiety in Chronic Pain Patients. </w:t>
      </w:r>
      <w:r w:rsidRPr="00B5511E">
        <w:rPr>
          <w:i/>
          <w:iCs/>
        </w:rPr>
        <w:t>PLOS ONE</w:t>
      </w:r>
      <w:r w:rsidRPr="00B5511E">
        <w:t xml:space="preserve">, </w:t>
      </w:r>
      <w:r w:rsidRPr="00B5511E">
        <w:rPr>
          <w:i/>
          <w:iCs/>
        </w:rPr>
        <w:t>10</w:t>
      </w:r>
      <w:r w:rsidRPr="00B5511E">
        <w:t>(4), e0126351. https://doi.org/10.1371/journal.pone.0126351</w:t>
      </w:r>
    </w:p>
    <w:p w14:paraId="1CD0313F" w14:textId="77777777" w:rsidR="00B5511E" w:rsidRPr="00B5511E" w:rsidRDefault="00B5511E" w:rsidP="00B5511E">
      <w:pPr>
        <w:pStyle w:val="Bibliography"/>
      </w:pPr>
      <w:r w:rsidRPr="00B5511E">
        <w:t xml:space="preserve">Kegel, J. L., Kazman, J. B., Clifton, D. R., Emanuele, P., Nelson, D. A., &amp; Deuster, P. A. (2023). The combined effects of coping and pain interference on army readiness. </w:t>
      </w:r>
      <w:r w:rsidRPr="00B5511E">
        <w:rPr>
          <w:i/>
          <w:iCs/>
        </w:rPr>
        <w:t>Frontiers in Pain Research (Lausanne, Switzerland)</w:t>
      </w:r>
      <w:r w:rsidRPr="00B5511E">
        <w:t xml:space="preserve">, </w:t>
      </w:r>
      <w:r w:rsidRPr="00B5511E">
        <w:rPr>
          <w:i/>
          <w:iCs/>
        </w:rPr>
        <w:t>4</w:t>
      </w:r>
      <w:r w:rsidRPr="00B5511E">
        <w:t>, 1175574. https://doi.org/10.3389/fpain.2023.1175574</w:t>
      </w:r>
    </w:p>
    <w:p w14:paraId="79FDF94D" w14:textId="77777777" w:rsidR="00B5511E" w:rsidRPr="00B5511E" w:rsidRDefault="00B5511E" w:rsidP="00B5511E">
      <w:pPr>
        <w:pStyle w:val="Bibliography"/>
      </w:pPr>
      <w:r w:rsidRPr="00B5511E">
        <w:t xml:space="preserve">Khan, R. S., Skapinakis, P., Ahmed, K., Stefanou, D. C., Ashrafian, H., Darzi, A., &amp; Athanasiou, T. (2012). The Association Between Preoperative Pain Catastrophizing and Postoperative Pain Intensity in Cardiac Surgery Patients. </w:t>
      </w:r>
      <w:r w:rsidRPr="00B5511E">
        <w:rPr>
          <w:i/>
          <w:iCs/>
        </w:rPr>
        <w:t>Pain Medicine</w:t>
      </w:r>
      <w:r w:rsidRPr="00B5511E">
        <w:t xml:space="preserve">, </w:t>
      </w:r>
      <w:r w:rsidRPr="00B5511E">
        <w:rPr>
          <w:i/>
          <w:iCs/>
        </w:rPr>
        <w:t>13</w:t>
      </w:r>
      <w:r w:rsidRPr="00B5511E">
        <w:t>(6), 820–827. https://doi.org/10.1111/j.1526-4637.2012.01386.x</w:t>
      </w:r>
    </w:p>
    <w:p w14:paraId="1F5200C0" w14:textId="77777777" w:rsidR="00B5511E" w:rsidRPr="00B5511E" w:rsidRDefault="00B5511E" w:rsidP="00B5511E">
      <w:pPr>
        <w:pStyle w:val="Bibliography"/>
      </w:pPr>
      <w:r w:rsidRPr="00B5511E">
        <w:t xml:space="preserve">Khatibi, A., Sharpe, L., Jafari, H., Gholami, S., &amp; Dehghani, M. (2015). Interpretation biases in chronic pain patients: An incidental learning task. </w:t>
      </w:r>
      <w:r w:rsidRPr="00B5511E">
        <w:rPr>
          <w:i/>
          <w:iCs/>
        </w:rPr>
        <w:t>European Journal of Pain (London, England)</w:t>
      </w:r>
      <w:r w:rsidRPr="00B5511E">
        <w:t xml:space="preserve">, </w:t>
      </w:r>
      <w:r w:rsidRPr="00B5511E">
        <w:rPr>
          <w:i/>
          <w:iCs/>
        </w:rPr>
        <w:t>19</w:t>
      </w:r>
      <w:r w:rsidRPr="00B5511E">
        <w:t>(8), 1139–1147. https://doi.org/10.1002/ejp.637</w:t>
      </w:r>
    </w:p>
    <w:p w14:paraId="27F3904E" w14:textId="77777777" w:rsidR="00B5511E" w:rsidRPr="00B5511E" w:rsidRDefault="00B5511E" w:rsidP="00B5511E">
      <w:pPr>
        <w:pStyle w:val="Bibliography"/>
      </w:pPr>
      <w:r w:rsidRPr="00B5511E">
        <w:t xml:space="preserve">Komiyama, T., Katayama, K., Sudo, M., Ishida, K., Higaki, Y., &amp; Ando, S. (2017). Cognitive function during exercise under severe hypoxia. </w:t>
      </w:r>
      <w:r w:rsidRPr="00B5511E">
        <w:rPr>
          <w:i/>
          <w:iCs/>
        </w:rPr>
        <w:t>Scientific Reports</w:t>
      </w:r>
      <w:r w:rsidRPr="00B5511E">
        <w:t xml:space="preserve">, </w:t>
      </w:r>
      <w:r w:rsidRPr="00B5511E">
        <w:rPr>
          <w:i/>
          <w:iCs/>
        </w:rPr>
        <w:t>7</w:t>
      </w:r>
      <w:r w:rsidRPr="00B5511E">
        <w:t>(1), 10000. https://doi.org/10.1038/s41598-017-10332-y</w:t>
      </w:r>
    </w:p>
    <w:p w14:paraId="45F3CFE9" w14:textId="77777777" w:rsidR="00B5511E" w:rsidRPr="00B5511E" w:rsidRDefault="00B5511E" w:rsidP="00B5511E">
      <w:pPr>
        <w:pStyle w:val="Bibliography"/>
      </w:pPr>
      <w:r w:rsidRPr="00B5511E">
        <w:lastRenderedPageBreak/>
        <w:t xml:space="preserve">Komiyama, T., Sudo, M., Higaki, Y., Kiyonaga, A., Tanaka, H., &amp; Ando, S. (2015). Does moderate hypoxia alter working memory and executive function during prolonged exercise? </w:t>
      </w:r>
      <w:r w:rsidRPr="00B5511E">
        <w:rPr>
          <w:i/>
          <w:iCs/>
        </w:rPr>
        <w:t>Physiology &amp; Behavior</w:t>
      </w:r>
      <w:r w:rsidRPr="00B5511E">
        <w:t xml:space="preserve">, </w:t>
      </w:r>
      <w:r w:rsidRPr="00B5511E">
        <w:rPr>
          <w:i/>
          <w:iCs/>
        </w:rPr>
        <w:t>139</w:t>
      </w:r>
      <w:r w:rsidRPr="00B5511E">
        <w:t>, 290–296. https://doi.org/10.1016/j.physbeh.2014.11.057</w:t>
      </w:r>
    </w:p>
    <w:p w14:paraId="357BF3BD" w14:textId="77777777" w:rsidR="00B5511E" w:rsidRPr="00B5511E" w:rsidRDefault="00B5511E" w:rsidP="00B5511E">
      <w:pPr>
        <w:pStyle w:val="Bibliography"/>
      </w:pPr>
      <w:r w:rsidRPr="00B5511E">
        <w:t xml:space="preserve">Komiyama, T., Tanoue, Y., Sudo, M., Costello, J. T., Uehara, Y., Higaki, Y., &amp; Ando, S. (2019). Cognitive Impairment during High-Intensity Exercise: Influence of Cerebral Blood Flow. </w:t>
      </w:r>
      <w:r w:rsidRPr="00B5511E">
        <w:rPr>
          <w:i/>
          <w:iCs/>
        </w:rPr>
        <w:t>Medicine &amp; Science in Sports &amp; Exercise</w:t>
      </w:r>
      <w:r w:rsidRPr="00B5511E">
        <w:t xml:space="preserve">, </w:t>
      </w:r>
      <w:r w:rsidRPr="00B5511E">
        <w:rPr>
          <w:i/>
          <w:iCs/>
        </w:rPr>
        <w:t>52</w:t>
      </w:r>
      <w:r w:rsidRPr="00B5511E">
        <w:t>(3), 561–568. https://doi.org/10.1249/MSS.0000000000002183</w:t>
      </w:r>
    </w:p>
    <w:p w14:paraId="6F42682F" w14:textId="77777777" w:rsidR="00B5511E" w:rsidRPr="00B5511E" w:rsidRDefault="00B5511E" w:rsidP="00B5511E">
      <w:pPr>
        <w:pStyle w:val="Bibliography"/>
      </w:pPr>
      <w:r w:rsidRPr="00B5511E">
        <w:t xml:space="preserve">Lackner, J. M., &amp; Quigley, B. M. (2005). Pain catastrophizing mediates the relationship between worry and pain suffering in patients with irritable bowel syndrome. </w:t>
      </w:r>
      <w:r w:rsidRPr="00B5511E">
        <w:rPr>
          <w:i/>
          <w:iCs/>
        </w:rPr>
        <w:t>Behaviour Research and Therapy</w:t>
      </w:r>
      <w:r w:rsidRPr="00B5511E">
        <w:t xml:space="preserve">, </w:t>
      </w:r>
      <w:r w:rsidRPr="00B5511E">
        <w:rPr>
          <w:i/>
          <w:iCs/>
        </w:rPr>
        <w:t>43</w:t>
      </w:r>
      <w:r w:rsidRPr="00B5511E">
        <w:t>(7), 943–957. https://doi.org/10.1016/j.brat.2004.06.018</w:t>
      </w:r>
    </w:p>
    <w:p w14:paraId="61A3BAB3" w14:textId="77777777" w:rsidR="00B5511E" w:rsidRPr="00B5511E" w:rsidRDefault="00B5511E" w:rsidP="00B5511E">
      <w:pPr>
        <w:pStyle w:val="Bibliography"/>
      </w:pPr>
      <w:r w:rsidRPr="00B5511E">
        <w:t xml:space="preserve">Lambourne, K., Audiffren, M., &amp; Tomporowski, P. D. (2010). Effects of Acute Exercise on Sensory and Executive Processing Tasks. </w:t>
      </w:r>
      <w:r w:rsidRPr="00B5511E">
        <w:rPr>
          <w:i/>
          <w:iCs/>
        </w:rPr>
        <w:t>Medicine &amp; Science in Sports &amp; Exercise</w:t>
      </w:r>
      <w:r w:rsidRPr="00B5511E">
        <w:t xml:space="preserve">, </w:t>
      </w:r>
      <w:r w:rsidRPr="00B5511E">
        <w:rPr>
          <w:i/>
          <w:iCs/>
        </w:rPr>
        <w:t>42</w:t>
      </w:r>
      <w:r w:rsidRPr="00B5511E">
        <w:t>(7), 1396–1402. https://doi.org/10.1249/MSS.0b013e3181cbee11</w:t>
      </w:r>
    </w:p>
    <w:p w14:paraId="613E46F5" w14:textId="77777777" w:rsidR="00B5511E" w:rsidRPr="00B5511E" w:rsidRDefault="00B5511E" w:rsidP="00B5511E">
      <w:pPr>
        <w:pStyle w:val="Bibliography"/>
      </w:pPr>
      <w:r w:rsidRPr="00B5511E">
        <w:t xml:space="preserve">Landrigan, J.-F., Bell, T., Crowe, M., Clay, O., &amp; Mirman, D. (2020). Lifting cognition: A meta-analysis of effects of resistance exercise on cognition. </w:t>
      </w:r>
      <w:r w:rsidRPr="00B5511E">
        <w:rPr>
          <w:i/>
          <w:iCs/>
        </w:rPr>
        <w:t>Psychological Research</w:t>
      </w:r>
      <w:r w:rsidRPr="00B5511E">
        <w:t xml:space="preserve">, </w:t>
      </w:r>
      <w:r w:rsidRPr="00B5511E">
        <w:rPr>
          <w:i/>
          <w:iCs/>
        </w:rPr>
        <w:t>84</w:t>
      </w:r>
      <w:r w:rsidRPr="00B5511E">
        <w:t>. https://doi.org/10.1007/s00426-019-01145-x</w:t>
      </w:r>
    </w:p>
    <w:p w14:paraId="2D350E5B" w14:textId="77777777" w:rsidR="00B5511E" w:rsidRPr="00B5511E" w:rsidRDefault="00B5511E" w:rsidP="00B5511E">
      <w:pPr>
        <w:pStyle w:val="Bibliography"/>
      </w:pPr>
      <w:r w:rsidRPr="00B5511E">
        <w:t xml:space="preserve">Lazarus, R. S., &amp; Folkman, S. (1984). Coping and adaptation. </w:t>
      </w:r>
      <w:r w:rsidRPr="00B5511E">
        <w:rPr>
          <w:i/>
          <w:iCs/>
        </w:rPr>
        <w:t>The Handbook of Behavioral Medicine</w:t>
      </w:r>
      <w:r w:rsidRPr="00B5511E">
        <w:t xml:space="preserve">, </w:t>
      </w:r>
      <w:r w:rsidRPr="00B5511E">
        <w:rPr>
          <w:i/>
          <w:iCs/>
        </w:rPr>
        <w:t>282325</w:t>
      </w:r>
      <w:r w:rsidRPr="00B5511E">
        <w:t>.</w:t>
      </w:r>
    </w:p>
    <w:p w14:paraId="67747B5E" w14:textId="77777777" w:rsidR="00B5511E" w:rsidRPr="00B5511E" w:rsidRDefault="00B5511E" w:rsidP="00B5511E">
      <w:pPr>
        <w:pStyle w:val="Bibliography"/>
      </w:pPr>
      <w:r w:rsidRPr="00B5511E">
        <w:t xml:space="preserve">Lee, J. E., Kim, S. H., Shin, S. K., Wachholtz, A., &amp; Lee, J. H. (2018). Attentional Engagement for Pain-Related Information among Individuals with Chronic Pain: The Role of Pain Catastrophizing. </w:t>
      </w:r>
      <w:r w:rsidRPr="00B5511E">
        <w:rPr>
          <w:i/>
          <w:iCs/>
        </w:rPr>
        <w:t>Pain Research and Management</w:t>
      </w:r>
      <w:r w:rsidRPr="00B5511E">
        <w:t xml:space="preserve">, </w:t>
      </w:r>
      <w:r w:rsidRPr="00B5511E">
        <w:rPr>
          <w:i/>
          <w:iCs/>
        </w:rPr>
        <w:t>2018</w:t>
      </w:r>
      <w:r w:rsidRPr="00B5511E">
        <w:t>, e6038406. https://doi.org/10.1155/2018/6038406</w:t>
      </w:r>
    </w:p>
    <w:p w14:paraId="7AADBBD5" w14:textId="77777777" w:rsidR="00B5511E" w:rsidRPr="00B5511E" w:rsidRDefault="00B5511E" w:rsidP="00B5511E">
      <w:pPr>
        <w:pStyle w:val="Bibliography"/>
      </w:pPr>
      <w:r w:rsidRPr="00B5511E">
        <w:lastRenderedPageBreak/>
        <w:t xml:space="preserve">Leeuw, M., Goossens, M. E. J. B., Linton, S. J., Crombez, G., Boersma, K., &amp; Vlaeyen, J. W. S. (2007). The Fear-Avoidance Model of Musculoskeletal Pain: Current State of Scientific Evidence. </w:t>
      </w:r>
      <w:r w:rsidRPr="00B5511E">
        <w:rPr>
          <w:i/>
          <w:iCs/>
        </w:rPr>
        <w:t>Journal of Behavioral Medicine</w:t>
      </w:r>
      <w:r w:rsidRPr="00B5511E">
        <w:t xml:space="preserve">, </w:t>
      </w:r>
      <w:r w:rsidRPr="00B5511E">
        <w:rPr>
          <w:i/>
          <w:iCs/>
        </w:rPr>
        <w:t>30</w:t>
      </w:r>
      <w:r w:rsidRPr="00B5511E">
        <w:t>(1), 77–94. https://doi.org/10.1007/s10865-006-9085-0</w:t>
      </w:r>
    </w:p>
    <w:p w14:paraId="760BCFCA" w14:textId="77777777" w:rsidR="00B5511E" w:rsidRPr="00B5511E" w:rsidRDefault="00B5511E" w:rsidP="00B5511E">
      <w:pPr>
        <w:pStyle w:val="Bibliography"/>
      </w:pPr>
      <w:r w:rsidRPr="00B5511E">
        <w:t xml:space="preserve">Legarreta, M., Bueler, E., DiMuzio, J. M., McGlade, E., &amp; Yurgelun-Todd, D. (2016). Pain catastrophizing, perceived pain disability, and pain descriptors in veterans: The association with neuropsychological performance. </w:t>
      </w:r>
      <w:r w:rsidRPr="00B5511E">
        <w:rPr>
          <w:i/>
          <w:iCs/>
        </w:rPr>
        <w:t>Professional Psychology: Research and Practice</w:t>
      </w:r>
      <w:r w:rsidRPr="00B5511E">
        <w:t xml:space="preserve">, </w:t>
      </w:r>
      <w:r w:rsidRPr="00B5511E">
        <w:rPr>
          <w:i/>
          <w:iCs/>
        </w:rPr>
        <w:t>47</w:t>
      </w:r>
      <w:r w:rsidRPr="00B5511E">
        <w:t>(6), 418–426. https://doi.org/10.1037/pro0000104</w:t>
      </w:r>
    </w:p>
    <w:p w14:paraId="3E2F6A80" w14:textId="77777777" w:rsidR="00B5511E" w:rsidRPr="00B5511E" w:rsidRDefault="00B5511E" w:rsidP="00B5511E">
      <w:pPr>
        <w:pStyle w:val="Bibliography"/>
      </w:pPr>
      <w:r w:rsidRPr="00B5511E">
        <w:t xml:space="preserve">Legrain, V., Crombez, G., Plaghki, L., &amp; Mouraux, A. (2013). Shielding cognition from nociception with working memory. </w:t>
      </w:r>
      <w:r w:rsidRPr="00B5511E">
        <w:rPr>
          <w:i/>
          <w:iCs/>
        </w:rPr>
        <w:t>Cortex</w:t>
      </w:r>
      <w:r w:rsidRPr="00B5511E">
        <w:t xml:space="preserve">, </w:t>
      </w:r>
      <w:r w:rsidRPr="00B5511E">
        <w:rPr>
          <w:i/>
          <w:iCs/>
        </w:rPr>
        <w:t>49</w:t>
      </w:r>
      <w:r w:rsidRPr="00B5511E">
        <w:t>(7), 1922–1934. https://doi.org/10.1016/j.cortex.2012.08.014</w:t>
      </w:r>
    </w:p>
    <w:p w14:paraId="3C157C8E" w14:textId="77777777" w:rsidR="00B5511E" w:rsidRPr="00B5511E" w:rsidRDefault="00B5511E" w:rsidP="00B5511E">
      <w:pPr>
        <w:pStyle w:val="Bibliography"/>
      </w:pPr>
      <w:r w:rsidRPr="00B5511E">
        <w:t xml:space="preserve">Legrain, V., Damme, S. V., Eccleston, C., Davis, K. D., Seminowicz, D. A., &amp; Crombez, G. (2009). A neurocognitive model of attention to pain: Behavioral and neuroimaging evidence. </w:t>
      </w:r>
      <w:r w:rsidRPr="00B5511E">
        <w:rPr>
          <w:i/>
          <w:iCs/>
        </w:rPr>
        <w:t>PAIN</w:t>
      </w:r>
      <w:r w:rsidRPr="00B5511E">
        <w:t xml:space="preserve">, </w:t>
      </w:r>
      <w:r w:rsidRPr="00B5511E">
        <w:rPr>
          <w:i/>
          <w:iCs/>
        </w:rPr>
        <w:t>144</w:t>
      </w:r>
      <w:r w:rsidRPr="00B5511E">
        <w:t>(3), 230–232. https://doi.org/10.1016/j.pain.2009.03.020</w:t>
      </w:r>
    </w:p>
    <w:p w14:paraId="1F581513" w14:textId="77777777" w:rsidR="00B5511E" w:rsidRPr="00B5511E" w:rsidRDefault="00B5511E" w:rsidP="00B5511E">
      <w:pPr>
        <w:pStyle w:val="Bibliography"/>
      </w:pPr>
      <w:r w:rsidRPr="00B5511E">
        <w:t xml:space="preserve">Legrain, V., Perchet, C., &amp; García-Larrea, L. (2009). Involuntary Orienting of Attention to Nociceptive Events: Neural and Behavioral Signatures. </w:t>
      </w:r>
      <w:r w:rsidRPr="00B5511E">
        <w:rPr>
          <w:i/>
          <w:iCs/>
        </w:rPr>
        <w:t>Journal of Neurophysiology</w:t>
      </w:r>
      <w:r w:rsidRPr="00B5511E">
        <w:t xml:space="preserve">, </w:t>
      </w:r>
      <w:r w:rsidRPr="00B5511E">
        <w:rPr>
          <w:i/>
          <w:iCs/>
        </w:rPr>
        <w:t>102</w:t>
      </w:r>
      <w:r w:rsidRPr="00B5511E">
        <w:t>(4), 2423–2434. https://doi.org/10.1152/jn.00372.2009</w:t>
      </w:r>
    </w:p>
    <w:p w14:paraId="112D4A4E" w14:textId="77777777" w:rsidR="00B5511E" w:rsidRPr="00B5511E" w:rsidRDefault="00B5511E" w:rsidP="00B5511E">
      <w:pPr>
        <w:pStyle w:val="Bibliography"/>
      </w:pPr>
      <w:r w:rsidRPr="00B5511E">
        <w:t xml:space="preserve">Lennie, P. (2003). The Cost of Cortical Computation. </w:t>
      </w:r>
      <w:r w:rsidRPr="00B5511E">
        <w:rPr>
          <w:i/>
          <w:iCs/>
        </w:rPr>
        <w:t>Current Biology</w:t>
      </w:r>
      <w:r w:rsidRPr="00B5511E">
        <w:t xml:space="preserve">, </w:t>
      </w:r>
      <w:r w:rsidRPr="00B5511E">
        <w:rPr>
          <w:i/>
          <w:iCs/>
        </w:rPr>
        <w:t>13</w:t>
      </w:r>
      <w:r w:rsidRPr="00B5511E">
        <w:t>(6), 493–497. https://doi.org/10.1016/S0960-9822(03)00135-0</w:t>
      </w:r>
    </w:p>
    <w:p w14:paraId="118841FE" w14:textId="77777777" w:rsidR="00B5511E" w:rsidRPr="00B5511E" w:rsidRDefault="00B5511E" w:rsidP="00B5511E">
      <w:pPr>
        <w:pStyle w:val="Bibliography"/>
      </w:pPr>
      <w:r w:rsidRPr="00B5511E">
        <w:t xml:space="preserve">Leung, L. (2012). Pain Catastrophizing: An Updated Review. </w:t>
      </w:r>
      <w:r w:rsidRPr="00B5511E">
        <w:rPr>
          <w:i/>
          <w:iCs/>
        </w:rPr>
        <w:t>Indian Journal of Psychological Medicine</w:t>
      </w:r>
      <w:r w:rsidRPr="00B5511E">
        <w:t xml:space="preserve">, </w:t>
      </w:r>
      <w:r w:rsidRPr="00B5511E">
        <w:rPr>
          <w:i/>
          <w:iCs/>
        </w:rPr>
        <w:t>34</w:t>
      </w:r>
      <w:r w:rsidRPr="00B5511E">
        <w:t>(3), 204–217. https://doi.org/10.4103/0253-7176.106012</w:t>
      </w:r>
    </w:p>
    <w:p w14:paraId="335874D5" w14:textId="77777777" w:rsidR="00B5511E" w:rsidRPr="00B5511E" w:rsidRDefault="00B5511E" w:rsidP="00B5511E">
      <w:pPr>
        <w:pStyle w:val="Bibliography"/>
      </w:pPr>
      <w:r w:rsidRPr="00B5511E">
        <w:t xml:space="preserve">Lier, E. J., Rijn, C. M. van, Vries, M. de, Goor, H. van, &amp; Oosterman, J. M. (2022). The interaction between pain and cognition: On the roles of task complexity and pain </w:t>
      </w:r>
      <w:r w:rsidRPr="00B5511E">
        <w:lastRenderedPageBreak/>
        <w:t xml:space="preserve">intensity. </w:t>
      </w:r>
      <w:r w:rsidRPr="00B5511E">
        <w:rPr>
          <w:i/>
          <w:iCs/>
        </w:rPr>
        <w:t>Scandinavian Journal of Pain</w:t>
      </w:r>
      <w:r w:rsidRPr="00B5511E">
        <w:t xml:space="preserve">, </w:t>
      </w:r>
      <w:r w:rsidRPr="00B5511E">
        <w:rPr>
          <w:i/>
          <w:iCs/>
        </w:rPr>
        <w:t>22</w:t>
      </w:r>
      <w:r w:rsidRPr="00B5511E">
        <w:t>(2), 385–395. https://doi.org/10.1515/sjpain-2021-0119</w:t>
      </w:r>
    </w:p>
    <w:p w14:paraId="6386D4C3" w14:textId="77777777" w:rsidR="00B5511E" w:rsidRPr="00B5511E" w:rsidRDefault="00B5511E" w:rsidP="00B5511E">
      <w:pPr>
        <w:pStyle w:val="Bibliography"/>
      </w:pPr>
      <w:r w:rsidRPr="00B5511E">
        <w:t xml:space="preserve">Liu, S., Yu, Q., Li, Z., Cunha, P. M., Zhang, Y., Kong, Z., Lin, W., Chen, S., &amp; Cai, Y. (2020). Effects of Acute and Chronic Exercises on Executive Function in Children and Adolescents: A Systemic Review and Meta-Analysis. </w:t>
      </w:r>
      <w:r w:rsidRPr="00B5511E">
        <w:rPr>
          <w:i/>
          <w:iCs/>
        </w:rPr>
        <w:t>Frontiers in Psychology</w:t>
      </w:r>
      <w:r w:rsidRPr="00B5511E">
        <w:t xml:space="preserve">, </w:t>
      </w:r>
      <w:r w:rsidRPr="00B5511E">
        <w:rPr>
          <w:i/>
          <w:iCs/>
        </w:rPr>
        <w:t>11</w:t>
      </w:r>
      <w:r w:rsidRPr="00B5511E">
        <w:t>. https://doi.org/10.3389/fpsyg.2020.554915</w:t>
      </w:r>
    </w:p>
    <w:p w14:paraId="469D1E52" w14:textId="77777777" w:rsidR="00B5511E" w:rsidRPr="00B5511E" w:rsidRDefault="00B5511E" w:rsidP="00B5511E">
      <w:pPr>
        <w:pStyle w:val="Bibliography"/>
      </w:pPr>
      <w:r w:rsidRPr="00B5511E">
        <w:t xml:space="preserve">Lorenz, J., Minoshima, S., &amp; Casey, K. (2003). Keeping pain out of mind: The role of the dorsolateral prefrontal cortex in pain modulation. </w:t>
      </w:r>
      <w:r w:rsidRPr="00B5511E">
        <w:rPr>
          <w:i/>
          <w:iCs/>
        </w:rPr>
        <w:t>Brain</w:t>
      </w:r>
      <w:r w:rsidRPr="00B5511E">
        <w:t xml:space="preserve">, </w:t>
      </w:r>
      <w:r w:rsidRPr="00B5511E">
        <w:rPr>
          <w:i/>
          <w:iCs/>
        </w:rPr>
        <w:t>126</w:t>
      </w:r>
      <w:r w:rsidRPr="00B5511E">
        <w:t>(5), 1079–1091.</w:t>
      </w:r>
    </w:p>
    <w:p w14:paraId="14A115B2" w14:textId="77777777" w:rsidR="00B5511E" w:rsidRPr="00B5511E" w:rsidRDefault="00B5511E" w:rsidP="00B5511E">
      <w:pPr>
        <w:pStyle w:val="Bibliography"/>
      </w:pPr>
      <w:r w:rsidRPr="00B5511E">
        <w:t xml:space="preserve">Lu, Y., Bu, F.-Q., Wang, F., Liu, L., Zhang, S., Wang, G., &amp; Hu, X.-Y. (2023). Recent advances on the molecular mechanisms of exercise-induced improvements of cognitive dysfunction. </w:t>
      </w:r>
      <w:r w:rsidRPr="00B5511E">
        <w:rPr>
          <w:i/>
          <w:iCs/>
        </w:rPr>
        <w:t>Translational Neurodegeneration</w:t>
      </w:r>
      <w:r w:rsidRPr="00B5511E">
        <w:t xml:space="preserve">, </w:t>
      </w:r>
      <w:r w:rsidRPr="00B5511E">
        <w:rPr>
          <w:i/>
          <w:iCs/>
        </w:rPr>
        <w:t>12</w:t>
      </w:r>
      <w:r w:rsidRPr="00B5511E">
        <w:t>(1), 9. https://doi.org/10.1186/s40035-023-00341-5</w:t>
      </w:r>
    </w:p>
    <w:p w14:paraId="02CA0258" w14:textId="77777777" w:rsidR="00B5511E" w:rsidRPr="00B5511E" w:rsidRDefault="00B5511E" w:rsidP="00B5511E">
      <w:pPr>
        <w:pStyle w:val="Bibliography"/>
      </w:pPr>
      <w:r w:rsidRPr="00B5511E">
        <w:t xml:space="preserve">Lucas, S. J. E., Ainslie, P. N., Murrell, C. J., Thomas, K. N., Franz, E. A., &amp; Cotter, J. D. (2012). Effect of age on exercise-induced alterations in cognitive executive function: Relationship to cerebral perfusion. </w:t>
      </w:r>
      <w:r w:rsidRPr="00B5511E">
        <w:rPr>
          <w:i/>
          <w:iCs/>
        </w:rPr>
        <w:t>Experimental Gerontology</w:t>
      </w:r>
      <w:r w:rsidRPr="00B5511E">
        <w:t xml:space="preserve">, </w:t>
      </w:r>
      <w:r w:rsidRPr="00B5511E">
        <w:rPr>
          <w:i/>
          <w:iCs/>
        </w:rPr>
        <w:t>47</w:t>
      </w:r>
      <w:r w:rsidRPr="00B5511E">
        <w:t>(8), 541–551. https://doi.org/10.1016/j.exger.2011.12.002</w:t>
      </w:r>
    </w:p>
    <w:p w14:paraId="1AC891AF" w14:textId="77777777" w:rsidR="00B5511E" w:rsidRPr="00B5511E" w:rsidRDefault="00B5511E" w:rsidP="00B5511E">
      <w:pPr>
        <w:pStyle w:val="Bibliography"/>
      </w:pPr>
      <w:r w:rsidRPr="00B5511E">
        <w:t xml:space="preserve">Luks, T. L., Simpson, G. V., Feiwell, R. J., &amp; Miller, W. L. (2002). Evidence for anterior cingulate cortex involvement in monitoring preparatory attentional set. </w:t>
      </w:r>
      <w:r w:rsidRPr="00B5511E">
        <w:rPr>
          <w:i/>
          <w:iCs/>
        </w:rPr>
        <w:t>NeuroImage</w:t>
      </w:r>
      <w:r w:rsidRPr="00B5511E">
        <w:t xml:space="preserve">, </w:t>
      </w:r>
      <w:r w:rsidRPr="00B5511E">
        <w:rPr>
          <w:i/>
          <w:iCs/>
        </w:rPr>
        <w:t>17</w:t>
      </w:r>
      <w:r w:rsidRPr="00B5511E">
        <w:t>(2), 792–802.</w:t>
      </w:r>
    </w:p>
    <w:p w14:paraId="1B89A465" w14:textId="77777777" w:rsidR="00B5511E" w:rsidRPr="00B5511E" w:rsidRDefault="00B5511E" w:rsidP="00B5511E">
      <w:pPr>
        <w:pStyle w:val="Bibliography"/>
      </w:pPr>
      <w:r w:rsidRPr="00B5511E">
        <w:t xml:space="preserve">Marino, G., Campanelli, F., Natale, G., De Carluccio, M., Servillo, F., Ferrari, E., Gardoni, F., Caristo, M. E., Picconi, B., Cardinale, A., Loffredo, V., Crupi, F., De Leonibus, E., Viscomi, M. T., Ghiglieri, V., &amp; Calabresi, P. (2023). Intensive exercise ameliorates motor and cognitive symptoms in experimental Parkinson’s disease restoring striatal </w:t>
      </w:r>
      <w:r w:rsidRPr="00B5511E">
        <w:lastRenderedPageBreak/>
        <w:t xml:space="preserve">synaptic plasticity. </w:t>
      </w:r>
      <w:r w:rsidRPr="00B5511E">
        <w:rPr>
          <w:i/>
          <w:iCs/>
        </w:rPr>
        <w:t>Science Advances</w:t>
      </w:r>
      <w:r w:rsidRPr="00B5511E">
        <w:t xml:space="preserve">, </w:t>
      </w:r>
      <w:r w:rsidRPr="00B5511E">
        <w:rPr>
          <w:i/>
          <w:iCs/>
        </w:rPr>
        <w:t>9</w:t>
      </w:r>
      <w:r w:rsidRPr="00B5511E">
        <w:t>(28), eadh1403. https://doi.org/10.1126/sciadv.adh1403</w:t>
      </w:r>
    </w:p>
    <w:p w14:paraId="0A747B8E" w14:textId="77777777" w:rsidR="00B5511E" w:rsidRPr="00B5511E" w:rsidRDefault="00B5511E" w:rsidP="00B5511E">
      <w:pPr>
        <w:pStyle w:val="Bibliography"/>
      </w:pPr>
      <w:r w:rsidRPr="00B5511E">
        <w:t xml:space="preserve">Martinez-Calderon, J., Flores-Cortes, M., Clavero-Cano, S., Morales-Asencio, J. M., Jensen, M. P., Rondon-Ramos, A., Diaz-Cerrillo, J. L., Ariza-Hurtado, G. R., &amp; Luque-Suarez, A. (2020). The Role of Positive Psychological Factors in the Association between Pain Intensity and Pain Interference in Individuals with Chronic Musculoskeletal Pain: A Cross-Sectional Study. </w:t>
      </w:r>
      <w:r w:rsidRPr="00B5511E">
        <w:rPr>
          <w:i/>
          <w:iCs/>
        </w:rPr>
        <w:t>Journal of Clinical Medicine</w:t>
      </w:r>
      <w:r w:rsidRPr="00B5511E">
        <w:t xml:space="preserve">, </w:t>
      </w:r>
      <w:r w:rsidRPr="00B5511E">
        <w:rPr>
          <w:i/>
          <w:iCs/>
        </w:rPr>
        <w:t>9</w:t>
      </w:r>
      <w:r w:rsidRPr="00B5511E">
        <w:t>(10), 3252. https://doi.org/10.3390/jcm9103252</w:t>
      </w:r>
    </w:p>
    <w:p w14:paraId="31B4A74A" w14:textId="77777777" w:rsidR="00B5511E" w:rsidRPr="00B5511E" w:rsidRDefault="00B5511E" w:rsidP="00B5511E">
      <w:pPr>
        <w:pStyle w:val="Bibliography"/>
      </w:pPr>
      <w:r w:rsidRPr="00B5511E">
        <w:t xml:space="preserve">Martinez-Calderon, J., Jensen, M. P., Morales-Asencio, J. M., &amp; Luque-Suarez, A. (2019). Pain Catastrophizing and Function In Individuals With Chronic Musculoskeletal Pain: A Systematic Review and Meta-Analysis. </w:t>
      </w:r>
      <w:r w:rsidRPr="00B5511E">
        <w:rPr>
          <w:i/>
          <w:iCs/>
        </w:rPr>
        <w:t>The Clinical Journal of Pain</w:t>
      </w:r>
      <w:r w:rsidRPr="00B5511E">
        <w:t xml:space="preserve">, </w:t>
      </w:r>
      <w:r w:rsidRPr="00B5511E">
        <w:rPr>
          <w:i/>
          <w:iCs/>
        </w:rPr>
        <w:t>35</w:t>
      </w:r>
      <w:r w:rsidRPr="00B5511E">
        <w:t>(3), 279–293. https://doi.org/10.1097/AJP.0000000000000676</w:t>
      </w:r>
    </w:p>
    <w:p w14:paraId="7A829E44" w14:textId="77777777" w:rsidR="00B5511E" w:rsidRPr="00B5511E" w:rsidRDefault="00B5511E" w:rsidP="00B5511E">
      <w:pPr>
        <w:pStyle w:val="Bibliography"/>
      </w:pPr>
      <w:r w:rsidRPr="00B5511E">
        <w:t xml:space="preserve">Martins, A. Q., Kavussanu, M., Willoughby, A., &amp; Ring, C. (2013). Moderate intensity exercise facilitates working memory. </w:t>
      </w:r>
      <w:r w:rsidRPr="00B5511E">
        <w:rPr>
          <w:i/>
          <w:iCs/>
        </w:rPr>
        <w:t>Psychology of Sport and Exercise</w:t>
      </w:r>
      <w:r w:rsidRPr="00B5511E">
        <w:t xml:space="preserve">, </w:t>
      </w:r>
      <w:r w:rsidRPr="00B5511E">
        <w:rPr>
          <w:i/>
          <w:iCs/>
        </w:rPr>
        <w:t>14</w:t>
      </w:r>
      <w:r w:rsidRPr="00B5511E">
        <w:t>(3), 323–328. https://doi.org/10.1016/j.psychsport.2012.11.010</w:t>
      </w:r>
    </w:p>
    <w:p w14:paraId="7FFE957A" w14:textId="77777777" w:rsidR="00B5511E" w:rsidRPr="00B5511E" w:rsidRDefault="00B5511E" w:rsidP="00B5511E">
      <w:pPr>
        <w:pStyle w:val="Bibliography"/>
      </w:pPr>
      <w:r w:rsidRPr="00B5511E">
        <w:t xml:space="preserve">Matthews, G. (2009). Personality and Performance: Cognitive Processes and Models. In </w:t>
      </w:r>
      <w:r w:rsidRPr="00B5511E">
        <w:rPr>
          <w:i/>
          <w:iCs/>
        </w:rPr>
        <w:t>The Cambridge Handbook of Personality psychology</w:t>
      </w:r>
      <w:r w:rsidRPr="00B5511E">
        <w:t xml:space="preserve"> (pp. 400–426). Cambridge University Press.</w:t>
      </w:r>
    </w:p>
    <w:p w14:paraId="64B97669" w14:textId="77777777" w:rsidR="00B5511E" w:rsidRPr="00B5511E" w:rsidRDefault="00B5511E" w:rsidP="00B5511E">
      <w:pPr>
        <w:pStyle w:val="Bibliography"/>
      </w:pPr>
      <w:r w:rsidRPr="00B5511E">
        <w:t xml:space="preserve">Matthews, G., Davies, D. R., Stammers, R. B., &amp; Westerman, S. J. (2000). </w:t>
      </w:r>
      <w:r w:rsidRPr="00B5511E">
        <w:rPr>
          <w:i/>
          <w:iCs/>
        </w:rPr>
        <w:t>Human performance: Cognition, stress, and individual differences</w:t>
      </w:r>
      <w:r w:rsidRPr="00B5511E">
        <w:t>. Psychology Press.</w:t>
      </w:r>
    </w:p>
    <w:p w14:paraId="3A00752F" w14:textId="77777777" w:rsidR="00B5511E" w:rsidRPr="00B5511E" w:rsidRDefault="00B5511E" w:rsidP="00B5511E">
      <w:pPr>
        <w:pStyle w:val="Bibliography"/>
      </w:pPr>
      <w:r w:rsidRPr="00B5511E">
        <w:t xml:space="preserve">Mauger, A. R. (2019). Exercise-induced pain: A psychophysiological perspective. In </w:t>
      </w:r>
      <w:r w:rsidRPr="00B5511E">
        <w:rPr>
          <w:i/>
          <w:iCs/>
        </w:rPr>
        <w:t>Endurance Performance in Sport</w:t>
      </w:r>
      <w:r w:rsidRPr="00B5511E">
        <w:t>. Routledge.</w:t>
      </w:r>
    </w:p>
    <w:p w14:paraId="3E9C5A26" w14:textId="77777777" w:rsidR="00B5511E" w:rsidRPr="00B5511E" w:rsidRDefault="00B5511E" w:rsidP="00B5511E">
      <w:pPr>
        <w:pStyle w:val="Bibliography"/>
      </w:pPr>
      <w:r w:rsidRPr="00B5511E">
        <w:lastRenderedPageBreak/>
        <w:t xml:space="preserve">McMorris, T., Davranche, K., Jones, G., Hall, B., Corbett, J., &amp; Minter, C. (2009). Acute incremental exercise, performance of a central executive task, and sympathoadrenal system and hypothalamic-pituitary-adrenal axis activity. </w:t>
      </w:r>
      <w:r w:rsidRPr="00B5511E">
        <w:rPr>
          <w:i/>
          <w:iCs/>
        </w:rPr>
        <w:t>International Journal of Psychophysiology</w:t>
      </w:r>
      <w:r w:rsidRPr="00B5511E">
        <w:t xml:space="preserve">, </w:t>
      </w:r>
      <w:r w:rsidRPr="00B5511E">
        <w:rPr>
          <w:i/>
          <w:iCs/>
        </w:rPr>
        <w:t>73</w:t>
      </w:r>
      <w:r w:rsidRPr="00B5511E">
        <w:t>(3), 334–340. https://doi.org/10.1016/j.ijpsycho.2009.05.004</w:t>
      </w:r>
    </w:p>
    <w:p w14:paraId="0F3B47FD" w14:textId="77777777" w:rsidR="00B5511E" w:rsidRPr="00B5511E" w:rsidRDefault="00B5511E" w:rsidP="00B5511E">
      <w:pPr>
        <w:pStyle w:val="Bibliography"/>
      </w:pPr>
      <w:r w:rsidRPr="00B5511E">
        <w:t xml:space="preserve">Michael, E. S., &amp; Burns, J. W. (2004). Catastrophizing and pain sensitivity among chronic pain patients: Moderating effects of sensory and affect focus. </w:t>
      </w:r>
      <w:r w:rsidRPr="00B5511E">
        <w:rPr>
          <w:i/>
          <w:iCs/>
        </w:rPr>
        <w:t>Annals of Behavioral Medicine: A Publication of the Society of Behavioral Medicine</w:t>
      </w:r>
      <w:r w:rsidRPr="00B5511E">
        <w:t xml:space="preserve">, </w:t>
      </w:r>
      <w:r w:rsidRPr="00B5511E">
        <w:rPr>
          <w:i/>
          <w:iCs/>
        </w:rPr>
        <w:t>27</w:t>
      </w:r>
      <w:r w:rsidRPr="00B5511E">
        <w:t>(3), 185–194. https://doi.org/10.1207/s15324796abm2703_6</w:t>
      </w:r>
    </w:p>
    <w:p w14:paraId="704562C3" w14:textId="77777777" w:rsidR="00B5511E" w:rsidRPr="00B5511E" w:rsidRDefault="00B5511E" w:rsidP="00B5511E">
      <w:pPr>
        <w:pStyle w:val="Bibliography"/>
      </w:pPr>
      <w:r w:rsidRPr="00B5511E">
        <w:t xml:space="preserve">Moore, D. J., Keogh, E., &amp; Eccleston, C. (2012). The Interruptive Effect of Pain on Attention. </w:t>
      </w:r>
      <w:r w:rsidRPr="00B5511E">
        <w:rPr>
          <w:i/>
          <w:iCs/>
        </w:rPr>
        <w:t>Quarterly Journal of Experimental Psychology</w:t>
      </w:r>
      <w:r w:rsidRPr="00B5511E">
        <w:t xml:space="preserve">, </w:t>
      </w:r>
      <w:r w:rsidRPr="00B5511E">
        <w:rPr>
          <w:i/>
          <w:iCs/>
        </w:rPr>
        <w:t>65</w:t>
      </w:r>
      <w:r w:rsidRPr="00B5511E">
        <w:t>(3), 565–586. https://doi.org/10.1080/17470218.2011.626865</w:t>
      </w:r>
    </w:p>
    <w:p w14:paraId="30EAD956" w14:textId="77777777" w:rsidR="00B5511E" w:rsidRPr="00B5511E" w:rsidRDefault="00B5511E" w:rsidP="00B5511E">
      <w:pPr>
        <w:pStyle w:val="Bibliography"/>
      </w:pPr>
      <w:r w:rsidRPr="00B5511E">
        <w:t xml:space="preserve">Moreau, D., &amp; Chou, E. (2019). The Acute Effect of High-Intensity Exercise on Executive Function: A Meta-Analysis. </w:t>
      </w:r>
      <w:r w:rsidRPr="00B5511E">
        <w:rPr>
          <w:i/>
          <w:iCs/>
        </w:rPr>
        <w:t>Perspectives on Psychological Science</w:t>
      </w:r>
      <w:r w:rsidRPr="00B5511E">
        <w:t xml:space="preserve">, </w:t>
      </w:r>
      <w:r w:rsidRPr="00B5511E">
        <w:rPr>
          <w:i/>
          <w:iCs/>
        </w:rPr>
        <w:t>14</w:t>
      </w:r>
      <w:r w:rsidRPr="00B5511E">
        <w:t>(5), 734–764. https://doi.org/10.1177/1745691619850568</w:t>
      </w:r>
    </w:p>
    <w:p w14:paraId="3CA093E1" w14:textId="77777777" w:rsidR="00B5511E" w:rsidRPr="00B5511E" w:rsidRDefault="00B5511E" w:rsidP="00B5511E">
      <w:pPr>
        <w:pStyle w:val="Bibliography"/>
      </w:pPr>
      <w:r w:rsidRPr="00B5511E">
        <w:t xml:space="preserve">Muñoz Ospina, B., &amp; Cadavid-Ruiz, N. (2024). The effect of aerobic exercise on serum brain-derived neurotrophic factor (BDNF) and executive function in college students. </w:t>
      </w:r>
      <w:r w:rsidRPr="00B5511E">
        <w:rPr>
          <w:i/>
          <w:iCs/>
        </w:rPr>
        <w:t>Mental Health and Physical Activity</w:t>
      </w:r>
      <w:r w:rsidRPr="00B5511E">
        <w:t xml:space="preserve">, </w:t>
      </w:r>
      <w:r w:rsidRPr="00B5511E">
        <w:rPr>
          <w:i/>
          <w:iCs/>
        </w:rPr>
        <w:t>26</w:t>
      </w:r>
      <w:r w:rsidRPr="00B5511E">
        <w:t>, 100578. https://doi.org/10.1016/j.mhpa.2024.100578</w:t>
      </w:r>
    </w:p>
    <w:p w14:paraId="7755FE32" w14:textId="77777777" w:rsidR="00B5511E" w:rsidRPr="00B5511E" w:rsidRDefault="00B5511E" w:rsidP="00B5511E">
      <w:pPr>
        <w:pStyle w:val="Bibliography"/>
      </w:pPr>
      <w:r w:rsidRPr="00B5511E">
        <w:t xml:space="preserve">Nielens, H., Boisset, V., &amp; Masquelier, E. (2000). Fitness and perceived exertion in patients with fibromyalgia syndrome. </w:t>
      </w:r>
      <w:r w:rsidRPr="00B5511E">
        <w:rPr>
          <w:i/>
          <w:iCs/>
        </w:rPr>
        <w:t>The Clinical Journal of Pain</w:t>
      </w:r>
      <w:r w:rsidRPr="00B5511E">
        <w:t xml:space="preserve">, </w:t>
      </w:r>
      <w:r w:rsidRPr="00B5511E">
        <w:rPr>
          <w:i/>
          <w:iCs/>
        </w:rPr>
        <w:t>16</w:t>
      </w:r>
      <w:r w:rsidRPr="00B5511E">
        <w:t>(3), 209–213. https://doi.org/10.1097/00002508-200009000-00006</w:t>
      </w:r>
    </w:p>
    <w:p w14:paraId="3905ADBD" w14:textId="77777777" w:rsidR="00B5511E" w:rsidRPr="00B5511E" w:rsidRDefault="00B5511E" w:rsidP="00B5511E">
      <w:pPr>
        <w:pStyle w:val="Bibliography"/>
      </w:pPr>
      <w:r w:rsidRPr="00B5511E">
        <w:t xml:space="preserve">Nijs, J., Van de Putte, K., Louckx, F., Truijen, S., &amp; De Meirleir, K. (2008). Exercise Performance and Chronic Pain in Chronic Fatigue Syndrome: The Role of Pain </w:t>
      </w:r>
      <w:r w:rsidRPr="00B5511E">
        <w:lastRenderedPageBreak/>
        <w:t xml:space="preserve">Catastrophizing. </w:t>
      </w:r>
      <w:r w:rsidRPr="00B5511E">
        <w:rPr>
          <w:i/>
          <w:iCs/>
        </w:rPr>
        <w:t>Pain Medicine</w:t>
      </w:r>
      <w:r w:rsidRPr="00B5511E">
        <w:t xml:space="preserve">, </w:t>
      </w:r>
      <w:r w:rsidRPr="00B5511E">
        <w:rPr>
          <w:i/>
          <w:iCs/>
        </w:rPr>
        <w:t>9</w:t>
      </w:r>
      <w:r w:rsidRPr="00B5511E">
        <w:t>(8), 1164–1172. https://doi.org/10.1111/j.1526-4637.2007.00368.x</w:t>
      </w:r>
    </w:p>
    <w:p w14:paraId="29E702F4" w14:textId="77777777" w:rsidR="00B5511E" w:rsidRPr="00B5511E" w:rsidRDefault="00B5511E" w:rsidP="00B5511E">
      <w:pPr>
        <w:pStyle w:val="Bibliography"/>
      </w:pPr>
      <w:r w:rsidRPr="00B5511E">
        <w:t xml:space="preserve">Noguera, C., Sánchez-Horcajo, R., Álvarez-Cazorla, D., &amp; Cimadevilla, J. M. (2019). Ten years younger: Practice of chronic aerobic exercise improves attention and spatial memory functions in ageing. </w:t>
      </w:r>
      <w:r w:rsidRPr="00B5511E">
        <w:rPr>
          <w:i/>
          <w:iCs/>
        </w:rPr>
        <w:t>Experimental Gerontology</w:t>
      </w:r>
      <w:r w:rsidRPr="00B5511E">
        <w:t xml:space="preserve">, </w:t>
      </w:r>
      <w:r w:rsidRPr="00B5511E">
        <w:rPr>
          <w:i/>
          <w:iCs/>
        </w:rPr>
        <w:t>117</w:t>
      </w:r>
      <w:r w:rsidRPr="00B5511E">
        <w:t>, 53–60. https://doi.org/10.1016/j.exger.2018.10.019</w:t>
      </w:r>
    </w:p>
    <w:p w14:paraId="1E691592" w14:textId="77777777" w:rsidR="00B5511E" w:rsidRPr="00B5511E" w:rsidRDefault="00B5511E" w:rsidP="00B5511E">
      <w:pPr>
        <w:pStyle w:val="Bibliography"/>
      </w:pPr>
      <w:r w:rsidRPr="00B5511E">
        <w:t xml:space="preserve">Nuechterlein, K. H., McEwen, S. C., Ventura, J., Subotnik, K. L., Turner, L. R., Boucher, M., Casaus, L. R., Distler, M. G., &amp; Hayata, J. N. (2023). Aerobic exercise enhances cognitive training effects in first-episode schizophrenia: Randomized clinical trial demonstrates cognitive and functional gains. </w:t>
      </w:r>
      <w:r w:rsidRPr="00B5511E">
        <w:rPr>
          <w:i/>
          <w:iCs/>
        </w:rPr>
        <w:t>Psychological Medicine</w:t>
      </w:r>
      <w:r w:rsidRPr="00B5511E">
        <w:t xml:space="preserve">, </w:t>
      </w:r>
      <w:r w:rsidRPr="00B5511E">
        <w:rPr>
          <w:i/>
          <w:iCs/>
        </w:rPr>
        <w:t>53</w:t>
      </w:r>
      <w:r w:rsidRPr="00B5511E">
        <w:t>(10), 4751–4761.</w:t>
      </w:r>
    </w:p>
    <w:p w14:paraId="406D4E17" w14:textId="77777777" w:rsidR="00B5511E" w:rsidRPr="00B5511E" w:rsidRDefault="00B5511E" w:rsidP="00B5511E">
      <w:pPr>
        <w:pStyle w:val="Bibliography"/>
      </w:pPr>
      <w:r w:rsidRPr="00B5511E">
        <w:t xml:space="preserve">Ogoh, S., Tsukamoto, H., Hirasawa, A., Hasegawa, H., Hirose, N., &amp; Hashimoto, T. (2014). The effect of changes in cerebral blood flow on cognitive function during exercise. </w:t>
      </w:r>
      <w:r w:rsidRPr="00B5511E">
        <w:rPr>
          <w:i/>
          <w:iCs/>
        </w:rPr>
        <w:t>Physiological Reports</w:t>
      </w:r>
      <w:r w:rsidRPr="00B5511E">
        <w:t xml:space="preserve">, </w:t>
      </w:r>
      <w:r w:rsidRPr="00B5511E">
        <w:rPr>
          <w:i/>
          <w:iCs/>
        </w:rPr>
        <w:t>2</w:t>
      </w:r>
      <w:r w:rsidRPr="00B5511E">
        <w:t>(9), e12163. https://doi.org/10.14814/phy2.12163</w:t>
      </w:r>
    </w:p>
    <w:p w14:paraId="3C59B035" w14:textId="77777777" w:rsidR="00B5511E" w:rsidRPr="00B5511E" w:rsidRDefault="00B5511E" w:rsidP="00B5511E">
      <w:pPr>
        <w:pStyle w:val="Bibliography"/>
      </w:pPr>
      <w:r w:rsidRPr="00B5511E">
        <w:t xml:space="preserve">Olson, R. L., Chang, Y.-K., Brush, C. J., Kwok, A. N., Gordon, V. X., &amp; Alderman, B. L. (2016). Neurophysiological and behavioral correlates of cognitive control during low and moderate intensity exercise. </w:t>
      </w:r>
      <w:r w:rsidRPr="00B5511E">
        <w:rPr>
          <w:i/>
          <w:iCs/>
        </w:rPr>
        <w:t>NeuroImage</w:t>
      </w:r>
      <w:r w:rsidRPr="00B5511E">
        <w:t xml:space="preserve">, </w:t>
      </w:r>
      <w:r w:rsidRPr="00B5511E">
        <w:rPr>
          <w:i/>
          <w:iCs/>
        </w:rPr>
        <w:t>131</w:t>
      </w:r>
      <w:r w:rsidRPr="00B5511E">
        <w:t>, 171–180. https://doi.org/10.1016/j.neuroimage.2015.10.011</w:t>
      </w:r>
    </w:p>
    <w:p w14:paraId="57C9B1A7" w14:textId="77777777" w:rsidR="00B5511E" w:rsidRPr="00B5511E" w:rsidRDefault="00B5511E" w:rsidP="00B5511E">
      <w:pPr>
        <w:pStyle w:val="Bibliography"/>
      </w:pPr>
      <w:r w:rsidRPr="00B5511E">
        <w:t xml:space="preserve">O’Malley, C. A., Smith, S. A., Mauger, A. R., &amp; Norbury, R. (2024). Exercise-induced pain within endurance exercise settings: Definitions, measurement, mechanisms and potential interventions. </w:t>
      </w:r>
      <w:r w:rsidRPr="00B5511E">
        <w:rPr>
          <w:i/>
          <w:iCs/>
        </w:rPr>
        <w:t>Experimental Physiology</w:t>
      </w:r>
      <w:r w:rsidRPr="00B5511E">
        <w:t xml:space="preserve">, </w:t>
      </w:r>
      <w:r w:rsidRPr="00B5511E">
        <w:rPr>
          <w:i/>
          <w:iCs/>
        </w:rPr>
        <w:t>n/a</w:t>
      </w:r>
      <w:r w:rsidRPr="00B5511E">
        <w:t>(n/a). https://doi.org/10.1113/EP091687</w:t>
      </w:r>
    </w:p>
    <w:p w14:paraId="6FB129AF" w14:textId="77777777" w:rsidR="00B5511E" w:rsidRPr="00B5511E" w:rsidRDefault="00B5511E" w:rsidP="00B5511E">
      <w:pPr>
        <w:pStyle w:val="Bibliography"/>
      </w:pPr>
      <w:r w:rsidRPr="00B5511E">
        <w:lastRenderedPageBreak/>
        <w:t xml:space="preserve">Ong, W.-Y., Stohler, C. S., &amp; Herr, D. R. (2019). Role of the Prefrontal Cortex in Pain Processing. </w:t>
      </w:r>
      <w:r w:rsidRPr="00B5511E">
        <w:rPr>
          <w:i/>
          <w:iCs/>
        </w:rPr>
        <w:t>Molecular Neurobiology</w:t>
      </w:r>
      <w:r w:rsidRPr="00B5511E">
        <w:t xml:space="preserve">, </w:t>
      </w:r>
      <w:r w:rsidRPr="00B5511E">
        <w:rPr>
          <w:i/>
          <w:iCs/>
        </w:rPr>
        <w:t>56</w:t>
      </w:r>
      <w:r w:rsidRPr="00B5511E">
        <w:t>(2), 1137–1166. https://doi.org/10.1007/s12035-018-1130-9</w:t>
      </w:r>
    </w:p>
    <w:p w14:paraId="7A990C7E" w14:textId="77777777" w:rsidR="00B5511E" w:rsidRPr="00B5511E" w:rsidRDefault="00B5511E" w:rsidP="00B5511E">
      <w:pPr>
        <w:pStyle w:val="Bibliography"/>
      </w:pPr>
      <w:r w:rsidRPr="00B5511E">
        <w:t xml:space="preserve">Paparizos, A. L., Tripp, D. A., Sullivan, M. J. L., &amp; Rubenstein, M. L. (2005). Catastrophizing and Pain Perception in Recreational Ballet Dancers. </w:t>
      </w:r>
      <w:r w:rsidRPr="00B5511E">
        <w:rPr>
          <w:i/>
          <w:iCs/>
        </w:rPr>
        <w:t>Journal of Sport Behavior</w:t>
      </w:r>
      <w:r w:rsidRPr="00B5511E">
        <w:t xml:space="preserve">, </w:t>
      </w:r>
      <w:r w:rsidRPr="00B5511E">
        <w:rPr>
          <w:i/>
          <w:iCs/>
        </w:rPr>
        <w:t>28</w:t>
      </w:r>
      <w:r w:rsidRPr="00B5511E">
        <w:t>(1), 35–50.</w:t>
      </w:r>
    </w:p>
    <w:p w14:paraId="5C812998" w14:textId="77777777" w:rsidR="00B5511E" w:rsidRPr="00B5511E" w:rsidRDefault="00B5511E" w:rsidP="00B5511E">
      <w:pPr>
        <w:pStyle w:val="Bibliography"/>
      </w:pPr>
      <w:r w:rsidRPr="00B5511E">
        <w:t xml:space="preserve">Peçanha, T., Silva-Júnior, N. D., &amp; Forjaz, C. L. de M. (2014). Heart rate recovery: Autonomic determinants, methods of assessment and association with mortality and cardiovascular diseases. </w:t>
      </w:r>
      <w:r w:rsidRPr="00B5511E">
        <w:rPr>
          <w:i/>
          <w:iCs/>
        </w:rPr>
        <w:t>Clinical Physiology and Functional Imaging</w:t>
      </w:r>
      <w:r w:rsidRPr="00B5511E">
        <w:t xml:space="preserve">, </w:t>
      </w:r>
      <w:r w:rsidRPr="00B5511E">
        <w:rPr>
          <w:i/>
          <w:iCs/>
        </w:rPr>
        <w:t>34</w:t>
      </w:r>
      <w:r w:rsidRPr="00B5511E">
        <w:t>(5), 327–339. https://doi.org/10.1111/cpf.12102</w:t>
      </w:r>
    </w:p>
    <w:p w14:paraId="622594BE" w14:textId="77777777" w:rsidR="00B5511E" w:rsidRPr="00B5511E" w:rsidRDefault="00B5511E" w:rsidP="00B5511E">
      <w:pPr>
        <w:pStyle w:val="Bibliography"/>
      </w:pPr>
      <w:r w:rsidRPr="00B5511E">
        <w:t xml:space="preserve">Petrini, L., &amp; Arendt-Nielsen, L. (2020). Understanding Pain Catastrophizing: Putting Pieces Together. </w:t>
      </w:r>
      <w:r w:rsidRPr="00B5511E">
        <w:rPr>
          <w:i/>
          <w:iCs/>
        </w:rPr>
        <w:t>Frontiers in Psychology</w:t>
      </w:r>
      <w:r w:rsidRPr="00B5511E">
        <w:t xml:space="preserve">, </w:t>
      </w:r>
      <w:r w:rsidRPr="00B5511E">
        <w:rPr>
          <w:i/>
          <w:iCs/>
        </w:rPr>
        <w:t>11</w:t>
      </w:r>
      <w:r w:rsidRPr="00B5511E">
        <w:t>. https://www.frontiersin.org/article/10.3389/fpsyg.2020.603420</w:t>
      </w:r>
    </w:p>
    <w:p w14:paraId="56C825C6" w14:textId="77777777" w:rsidR="00B5511E" w:rsidRPr="00B5511E" w:rsidRDefault="00B5511E" w:rsidP="00B5511E">
      <w:pPr>
        <w:pStyle w:val="Bibliography"/>
      </w:pPr>
      <w:r w:rsidRPr="00B5511E">
        <w:t xml:space="preserve">Pontifex, M. B., &amp; Hillman, C. H. (2007). Neuroelectric and behavioral indices of interference control during acute cycling. </w:t>
      </w:r>
      <w:r w:rsidRPr="00B5511E">
        <w:rPr>
          <w:i/>
          <w:iCs/>
        </w:rPr>
        <w:t>Clinical Neurophysiology</w:t>
      </w:r>
      <w:r w:rsidRPr="00B5511E">
        <w:t xml:space="preserve">, </w:t>
      </w:r>
      <w:r w:rsidRPr="00B5511E">
        <w:rPr>
          <w:i/>
          <w:iCs/>
        </w:rPr>
        <w:t>118</w:t>
      </w:r>
      <w:r w:rsidRPr="00B5511E">
        <w:t>(3), 570–580. https://doi.org/10.1016/j.clinph.2006.09.029</w:t>
      </w:r>
    </w:p>
    <w:p w14:paraId="575DF438" w14:textId="77777777" w:rsidR="00B5511E" w:rsidRPr="00B5511E" w:rsidRDefault="00B5511E" w:rsidP="00B5511E">
      <w:pPr>
        <w:pStyle w:val="Bibliography"/>
      </w:pPr>
      <w:r w:rsidRPr="00B5511E">
        <w:t xml:space="preserve">POWERS, S. K., &amp; JACKSON, M. J. (2008). Exercise-Induced Oxidative Stress: Cellular Mechanisms and Impact on Muscle Force Production. </w:t>
      </w:r>
      <w:r w:rsidRPr="00B5511E">
        <w:rPr>
          <w:i/>
          <w:iCs/>
        </w:rPr>
        <w:t>Physiological Reviews</w:t>
      </w:r>
      <w:r w:rsidRPr="00B5511E">
        <w:t xml:space="preserve">, </w:t>
      </w:r>
      <w:r w:rsidRPr="00B5511E">
        <w:rPr>
          <w:i/>
          <w:iCs/>
        </w:rPr>
        <w:t>88</w:t>
      </w:r>
      <w:r w:rsidRPr="00B5511E">
        <w:t>(4), 1243–1276. https://doi.org/10.1152/physrev.00031.2007</w:t>
      </w:r>
    </w:p>
    <w:p w14:paraId="4A6EF9A3" w14:textId="77777777" w:rsidR="00B5511E" w:rsidRPr="00B5511E" w:rsidRDefault="00B5511E" w:rsidP="00B5511E">
      <w:pPr>
        <w:pStyle w:val="Bibliography"/>
      </w:pPr>
      <w:r w:rsidRPr="00B5511E">
        <w:t xml:space="preserve">Quartana, P. J., Campbell, C. M., &amp; Edwards, R. R. (2009). Pain catastrophizing: A critical review. </w:t>
      </w:r>
      <w:r w:rsidRPr="00B5511E">
        <w:rPr>
          <w:i/>
          <w:iCs/>
        </w:rPr>
        <w:t>Expert Review of Neurotherapeutics</w:t>
      </w:r>
      <w:r w:rsidRPr="00B5511E">
        <w:t xml:space="preserve">, </w:t>
      </w:r>
      <w:r w:rsidRPr="00B5511E">
        <w:rPr>
          <w:i/>
          <w:iCs/>
        </w:rPr>
        <w:t>9</w:t>
      </w:r>
      <w:r w:rsidRPr="00B5511E">
        <w:t>(5), 745–758. https://doi.org/10.1586/ern.09.34</w:t>
      </w:r>
    </w:p>
    <w:p w14:paraId="1E6BAE45" w14:textId="77777777" w:rsidR="00B5511E" w:rsidRPr="00B5511E" w:rsidRDefault="00B5511E" w:rsidP="00B5511E">
      <w:pPr>
        <w:pStyle w:val="Bibliography"/>
      </w:pPr>
      <w:r w:rsidRPr="00B5511E">
        <w:lastRenderedPageBreak/>
        <w:t xml:space="preserve">Rainville, P., Duncan, G. H., Price, D. D., Carrier, B., &amp; Bushnell, M. C. (1997). Pain affect encoded in human anterior cingulate but not somatosensory cortex. </w:t>
      </w:r>
      <w:r w:rsidRPr="00B5511E">
        <w:rPr>
          <w:i/>
          <w:iCs/>
        </w:rPr>
        <w:t>Science (New York, N.Y.)</w:t>
      </w:r>
      <w:r w:rsidRPr="00B5511E">
        <w:t xml:space="preserve">, </w:t>
      </w:r>
      <w:r w:rsidRPr="00B5511E">
        <w:rPr>
          <w:i/>
          <w:iCs/>
        </w:rPr>
        <w:t>277</w:t>
      </w:r>
      <w:r w:rsidRPr="00B5511E">
        <w:t>(5328), 968–971. https://doi.org/10.1126/science.277.5328.968</w:t>
      </w:r>
    </w:p>
    <w:p w14:paraId="24094E8E" w14:textId="77777777" w:rsidR="00B5511E" w:rsidRPr="00B5511E" w:rsidRDefault="00B5511E" w:rsidP="00B5511E">
      <w:pPr>
        <w:pStyle w:val="Bibliography"/>
      </w:pPr>
      <w:r w:rsidRPr="00B5511E">
        <w:t xml:space="preserve">Reddy, K. S. kumar, Naidu, M. U. R., Rani, P. U., &amp; Rao, T. R. K. (2012). Human experimental pain models: A review of standardized methods in drug development. </w:t>
      </w:r>
      <w:r w:rsidRPr="00B5511E">
        <w:rPr>
          <w:i/>
          <w:iCs/>
        </w:rPr>
        <w:t>Journal of Research in Medical Sciences : The Official Journal of Isfahan University of Medical Sciences</w:t>
      </w:r>
      <w:r w:rsidRPr="00B5511E">
        <w:t xml:space="preserve">, </w:t>
      </w:r>
      <w:r w:rsidRPr="00B5511E">
        <w:rPr>
          <w:i/>
          <w:iCs/>
        </w:rPr>
        <w:t>17</w:t>
      </w:r>
      <w:r w:rsidRPr="00B5511E">
        <w:t>(6), 587–595.</w:t>
      </w:r>
    </w:p>
    <w:p w14:paraId="14176DFD" w14:textId="77777777" w:rsidR="00B5511E" w:rsidRPr="00B5511E" w:rsidRDefault="00B5511E" w:rsidP="00B5511E">
      <w:pPr>
        <w:pStyle w:val="Bibliography"/>
      </w:pPr>
      <w:r w:rsidRPr="00B5511E">
        <w:t xml:space="preserve">Roberts, B. W., Luo, J., Briley, D. A., Chow, P. I., Su, R., &amp; Hill, P. L. (2017). A systematic review of personality trait change through intervention. </w:t>
      </w:r>
      <w:r w:rsidRPr="00B5511E">
        <w:rPr>
          <w:i/>
          <w:iCs/>
        </w:rPr>
        <w:t>Psychological Bulletin</w:t>
      </w:r>
      <w:r w:rsidRPr="00B5511E">
        <w:t xml:space="preserve">, </w:t>
      </w:r>
      <w:r w:rsidRPr="00B5511E">
        <w:rPr>
          <w:i/>
          <w:iCs/>
        </w:rPr>
        <w:t>143</w:t>
      </w:r>
      <w:r w:rsidRPr="00B5511E">
        <w:t>(2), 117–141. https://doi.org/10.1037/bul0000088</w:t>
      </w:r>
    </w:p>
    <w:p w14:paraId="61E33290" w14:textId="77777777" w:rsidR="00B5511E" w:rsidRPr="00B5511E" w:rsidRDefault="00B5511E" w:rsidP="00B5511E">
      <w:pPr>
        <w:pStyle w:val="Bibliography"/>
      </w:pPr>
      <w:r w:rsidRPr="00B5511E">
        <w:t xml:space="preserve">Sax van der Weyden, M., Merrigan, J. J., Newman, K., Hahn, J., &amp; Martin, J. (2022). Army Combat Fitness Test Scores Moderate Cognitive Function Improvements After a Ruck March: A Hierarchical Linear Model Approach. </w:t>
      </w:r>
      <w:r w:rsidRPr="00B5511E">
        <w:rPr>
          <w:i/>
          <w:iCs/>
        </w:rPr>
        <w:t>The Journal of Strength &amp; Conditioning Research</w:t>
      </w:r>
      <w:r w:rsidRPr="00B5511E">
        <w:t>, 10.1519/JSC.0000000000004788. https://doi.org/10.1519/JSC.0000000000004788</w:t>
      </w:r>
    </w:p>
    <w:p w14:paraId="6417AC3B" w14:textId="77777777" w:rsidR="00B5511E" w:rsidRPr="00B5511E" w:rsidRDefault="00B5511E" w:rsidP="00B5511E">
      <w:pPr>
        <w:pStyle w:val="Bibliography"/>
      </w:pPr>
      <w:r w:rsidRPr="00B5511E">
        <w:t xml:space="preserve">Schaaf, S., Flynn, D. M., Steffen, A. D., Ransom, J., &amp; Doorenbos, A. (2023). Pain Catastrophizing and Its Association with Military Medical Disability Among US Active Duty Service Members with Chronic Predominately Musculoskeletal Pain: A Retrospective Cohort Analysis. </w:t>
      </w:r>
      <w:r w:rsidRPr="00B5511E">
        <w:rPr>
          <w:i/>
          <w:iCs/>
        </w:rPr>
        <w:t>Journal of Pain Research</w:t>
      </w:r>
      <w:r w:rsidRPr="00B5511E">
        <w:t xml:space="preserve">, </w:t>
      </w:r>
      <w:r w:rsidRPr="00B5511E">
        <w:rPr>
          <w:i/>
          <w:iCs/>
        </w:rPr>
        <w:t>16</w:t>
      </w:r>
      <w:r w:rsidRPr="00B5511E">
        <w:t>, 3837–3852. https://doi.org/10.2147/JPR.S400313</w:t>
      </w:r>
    </w:p>
    <w:p w14:paraId="7B373F2D" w14:textId="77777777" w:rsidR="00B5511E" w:rsidRPr="00B5511E" w:rsidRDefault="00B5511E" w:rsidP="00B5511E">
      <w:pPr>
        <w:pStyle w:val="Bibliography"/>
      </w:pPr>
      <w:r w:rsidRPr="00B5511E">
        <w:t xml:space="preserve">Schmit, C., Davranche, K., Easthope, C. S., Colson, S. S., Brisswalter, J., &amp; Radel, R. (2015). Pushing to the limits: The dynamics of cognitive control during exhausting exercise. </w:t>
      </w:r>
      <w:r w:rsidRPr="00B5511E">
        <w:rPr>
          <w:i/>
          <w:iCs/>
        </w:rPr>
        <w:t>Neuropsychologia</w:t>
      </w:r>
      <w:r w:rsidRPr="00B5511E">
        <w:t xml:space="preserve">, </w:t>
      </w:r>
      <w:r w:rsidRPr="00B5511E">
        <w:rPr>
          <w:i/>
          <w:iCs/>
        </w:rPr>
        <w:t>68</w:t>
      </w:r>
      <w:r w:rsidRPr="00B5511E">
        <w:t>, 71–81. https://doi.org/10.1016/j.neuropsychologia.2015.01.006</w:t>
      </w:r>
    </w:p>
    <w:p w14:paraId="117FA932" w14:textId="77777777" w:rsidR="00B5511E" w:rsidRPr="00B5511E" w:rsidRDefault="00B5511E" w:rsidP="00B5511E">
      <w:pPr>
        <w:pStyle w:val="Bibliography"/>
      </w:pPr>
      <w:r w:rsidRPr="00B5511E">
        <w:lastRenderedPageBreak/>
        <w:t xml:space="preserve">Schütze, R., Rees, C., Smith, A., Slater, H., Campbell, J. M., &amp; O’Sullivan, P. (2018). How Can We Best Reduce Pain Catastrophizing in Adults With Chronic Noncancer Pain? A Systematic Review and Meta-Analysis. </w:t>
      </w:r>
      <w:r w:rsidRPr="00B5511E">
        <w:rPr>
          <w:i/>
          <w:iCs/>
        </w:rPr>
        <w:t>The Journal of Pain</w:t>
      </w:r>
      <w:r w:rsidRPr="00B5511E">
        <w:t xml:space="preserve">, </w:t>
      </w:r>
      <w:r w:rsidRPr="00B5511E">
        <w:rPr>
          <w:i/>
          <w:iCs/>
        </w:rPr>
        <w:t>19</w:t>
      </w:r>
      <w:r w:rsidRPr="00B5511E">
        <w:t>(3), 233–256. https://doi.org/10.1016/j.jpain.2017.09.010</w:t>
      </w:r>
    </w:p>
    <w:p w14:paraId="698AA2C7" w14:textId="77777777" w:rsidR="00B5511E" w:rsidRPr="00B5511E" w:rsidRDefault="00B5511E" w:rsidP="00B5511E">
      <w:pPr>
        <w:pStyle w:val="Bibliography"/>
      </w:pPr>
      <w:r w:rsidRPr="00B5511E">
        <w:t xml:space="preserve">Sciascia, A., Waldecker, J., &amp; Jacobs, C. (2020). Pain Catastrophizing in College Athletes. </w:t>
      </w:r>
      <w:r w:rsidRPr="00B5511E">
        <w:rPr>
          <w:i/>
          <w:iCs/>
        </w:rPr>
        <w:t>Journal of Sport Rehabilitation</w:t>
      </w:r>
      <w:r w:rsidRPr="00B5511E">
        <w:t xml:space="preserve">, </w:t>
      </w:r>
      <w:r w:rsidRPr="00B5511E">
        <w:rPr>
          <w:i/>
          <w:iCs/>
        </w:rPr>
        <w:t>29</w:t>
      </w:r>
      <w:r w:rsidRPr="00B5511E">
        <w:t>(2), 168–173.</w:t>
      </w:r>
    </w:p>
    <w:p w14:paraId="06938E4E" w14:textId="77777777" w:rsidR="00B5511E" w:rsidRPr="00B5511E" w:rsidRDefault="00B5511E" w:rsidP="00B5511E">
      <w:pPr>
        <w:pStyle w:val="Bibliography"/>
      </w:pPr>
      <w:r w:rsidRPr="00B5511E">
        <w:t xml:space="preserve">Seminowicz, D. A., &amp; Davis, K. D. (2006). Cortical responses to pain in healthy individuals depends on pain catastrophizing. </w:t>
      </w:r>
      <w:r w:rsidRPr="00B5511E">
        <w:rPr>
          <w:i/>
          <w:iCs/>
        </w:rPr>
        <w:t>Pain</w:t>
      </w:r>
      <w:r w:rsidRPr="00B5511E">
        <w:t xml:space="preserve">, </w:t>
      </w:r>
      <w:r w:rsidRPr="00B5511E">
        <w:rPr>
          <w:i/>
          <w:iCs/>
        </w:rPr>
        <w:t>120</w:t>
      </w:r>
      <w:r w:rsidRPr="00B5511E">
        <w:t>(3), 297–306. https://doi.org/10.1016/j.pain.2005.11.008</w:t>
      </w:r>
    </w:p>
    <w:p w14:paraId="65C6E9ED" w14:textId="77777777" w:rsidR="00B5511E" w:rsidRPr="00B5511E" w:rsidRDefault="00B5511E" w:rsidP="00B5511E">
      <w:pPr>
        <w:pStyle w:val="Bibliography"/>
      </w:pPr>
      <w:r w:rsidRPr="00B5511E">
        <w:t xml:space="preserve">Shephard, R. J. (2015). Qualified Fitness and Exercise as Professionals and Exercise Prescription: Evolution of the PAR-Q and Canadian Aerobic Fitness Test. </w:t>
      </w:r>
      <w:r w:rsidRPr="00B5511E">
        <w:rPr>
          <w:i/>
          <w:iCs/>
        </w:rPr>
        <w:t>Journal of Physical Activity &amp; Health</w:t>
      </w:r>
      <w:r w:rsidRPr="00B5511E">
        <w:t xml:space="preserve">, </w:t>
      </w:r>
      <w:r w:rsidRPr="00B5511E">
        <w:rPr>
          <w:i/>
          <w:iCs/>
        </w:rPr>
        <w:t>12</w:t>
      </w:r>
      <w:r w:rsidRPr="00B5511E">
        <w:t>(4), 454–461.</w:t>
      </w:r>
    </w:p>
    <w:p w14:paraId="1B090DA7" w14:textId="77777777" w:rsidR="00B5511E" w:rsidRPr="00B5511E" w:rsidRDefault="00B5511E" w:rsidP="00B5511E">
      <w:pPr>
        <w:pStyle w:val="Bibliography"/>
      </w:pPr>
      <w:r w:rsidRPr="00B5511E">
        <w:t xml:space="preserve">Shi, J., Jiang, C., &amp; Zhao, Q. (2024). The benefits of physical exercise on older adults’ cognitive function: A cohort study exploring potential mechanisms. </w:t>
      </w:r>
      <w:r w:rsidRPr="00B5511E">
        <w:rPr>
          <w:i/>
          <w:iCs/>
        </w:rPr>
        <w:t>Psychology of Sport and Exercise</w:t>
      </w:r>
      <w:r w:rsidRPr="00B5511E">
        <w:t xml:space="preserve">, </w:t>
      </w:r>
      <w:r w:rsidRPr="00B5511E">
        <w:rPr>
          <w:i/>
          <w:iCs/>
        </w:rPr>
        <w:t>74</w:t>
      </w:r>
      <w:r w:rsidRPr="00B5511E">
        <w:t>, 102685. https://doi.org/10.1016/j.psychsport.2024.102685</w:t>
      </w:r>
    </w:p>
    <w:p w14:paraId="455D905E" w14:textId="77777777" w:rsidR="00B5511E" w:rsidRPr="00B5511E" w:rsidRDefault="00B5511E" w:rsidP="00B5511E">
      <w:pPr>
        <w:pStyle w:val="Bibliography"/>
      </w:pPr>
      <w:r w:rsidRPr="00B5511E">
        <w:t xml:space="preserve">Simic, K., Savic, B., &amp; Knezevic, N. N. (2024). Pain Catastrophizing: How Far Have We Come. </w:t>
      </w:r>
      <w:r w:rsidRPr="00B5511E">
        <w:rPr>
          <w:i/>
          <w:iCs/>
        </w:rPr>
        <w:t>Neurology International</w:t>
      </w:r>
      <w:r w:rsidRPr="00B5511E">
        <w:t xml:space="preserve">, </w:t>
      </w:r>
      <w:r w:rsidRPr="00B5511E">
        <w:rPr>
          <w:i/>
          <w:iCs/>
        </w:rPr>
        <w:t>16</w:t>
      </w:r>
      <w:r w:rsidRPr="00B5511E">
        <w:t>(3), Article 3. https://doi.org/10.3390/neurolint16030036</w:t>
      </w:r>
    </w:p>
    <w:p w14:paraId="317831AD" w14:textId="77777777" w:rsidR="00B5511E" w:rsidRPr="00B5511E" w:rsidRDefault="00B5511E" w:rsidP="00B5511E">
      <w:pPr>
        <w:pStyle w:val="Bibliography"/>
      </w:pPr>
      <w:r w:rsidRPr="00B5511E">
        <w:t xml:space="preserve">Smith, M., Tallis, J., Miller, A., Clarke, N. D., Guimarães-Ferreira, L., &amp; Duncan, M. J. (2016). The effect of exercise intensity on cognitive performance during short duration treadmill running. </w:t>
      </w:r>
      <w:r w:rsidRPr="00B5511E">
        <w:rPr>
          <w:i/>
          <w:iCs/>
        </w:rPr>
        <w:t>Journal of Human Kinetics</w:t>
      </w:r>
      <w:r w:rsidRPr="00B5511E">
        <w:t xml:space="preserve">, </w:t>
      </w:r>
      <w:r w:rsidRPr="00B5511E">
        <w:rPr>
          <w:i/>
          <w:iCs/>
        </w:rPr>
        <w:t>51</w:t>
      </w:r>
      <w:r w:rsidRPr="00B5511E">
        <w:t>, 27–35. https://doi.org/10.1515/hukin-2015-0167</w:t>
      </w:r>
    </w:p>
    <w:p w14:paraId="6B169748" w14:textId="77777777" w:rsidR="00B5511E" w:rsidRPr="00B5511E" w:rsidRDefault="00B5511E" w:rsidP="00B5511E">
      <w:pPr>
        <w:pStyle w:val="Bibliography"/>
      </w:pPr>
      <w:r w:rsidRPr="00B5511E">
        <w:t xml:space="preserve">Soriano-Maldonado, A., Ruiz, J. R., Álvarez-Gallardo, I. C., Segura-Jiménez, V., Santalla, A., &amp; Munguía-Izquierdo, D. (2015). Validity and reliability of rating perceived exertion in </w:t>
      </w:r>
      <w:r w:rsidRPr="00B5511E">
        <w:lastRenderedPageBreak/>
        <w:t xml:space="preserve">women with fibromyalgia: Exertion-pain discrimination. </w:t>
      </w:r>
      <w:r w:rsidRPr="00B5511E">
        <w:rPr>
          <w:i/>
          <w:iCs/>
        </w:rPr>
        <w:t>Journal of Sports Sciences</w:t>
      </w:r>
      <w:r w:rsidRPr="00B5511E">
        <w:t xml:space="preserve">, </w:t>
      </w:r>
      <w:r w:rsidRPr="00B5511E">
        <w:rPr>
          <w:i/>
          <w:iCs/>
        </w:rPr>
        <w:t>33</w:t>
      </w:r>
      <w:r w:rsidRPr="00B5511E">
        <w:t>(14), 1515–1522. https://doi.org/10.1080/02640414.2014.994661</w:t>
      </w:r>
    </w:p>
    <w:p w14:paraId="5CB69266" w14:textId="77777777" w:rsidR="00B5511E" w:rsidRPr="00B5511E" w:rsidRDefault="00B5511E" w:rsidP="00B5511E">
      <w:pPr>
        <w:pStyle w:val="Bibliography"/>
      </w:pPr>
      <w:r w:rsidRPr="00B5511E">
        <w:t xml:space="preserve">Spevak, C., &amp; Buckenmaier, C. (2011). Catastrophizing and Pain in Military Personnel. </w:t>
      </w:r>
      <w:r w:rsidRPr="00B5511E">
        <w:rPr>
          <w:i/>
          <w:iCs/>
        </w:rPr>
        <w:t>Current Pain and Headache Reports</w:t>
      </w:r>
      <w:r w:rsidRPr="00B5511E">
        <w:t xml:space="preserve">, </w:t>
      </w:r>
      <w:r w:rsidRPr="00B5511E">
        <w:rPr>
          <w:i/>
          <w:iCs/>
        </w:rPr>
        <w:t>15</w:t>
      </w:r>
      <w:r w:rsidRPr="00B5511E">
        <w:t>(2), 124–128. https://doi.org/10.1007/s11916-011-0173-7</w:t>
      </w:r>
    </w:p>
    <w:p w14:paraId="631B4CF6" w14:textId="77777777" w:rsidR="00B5511E" w:rsidRPr="00B5511E" w:rsidRDefault="00B5511E" w:rsidP="00B5511E">
      <w:pPr>
        <w:pStyle w:val="Bibliography"/>
      </w:pPr>
      <w:r w:rsidRPr="00B5511E">
        <w:t xml:space="preserve">Stone, B. L., Beneda-Bender, M., McCollum, D. L., Sun, J., Shelley, J. H., Ashley, J. D., Fuenzalida, E., &amp; Kellawan, J. M. (2020). Understanding cognitive performance during exercise in Reserve Officers’ Training Corps: Establishing the executive function-exercise intensity relationship. </w:t>
      </w:r>
      <w:r w:rsidRPr="00B5511E">
        <w:rPr>
          <w:i/>
          <w:iCs/>
        </w:rPr>
        <w:t>Journal of Applied Physiology</w:t>
      </w:r>
      <w:r w:rsidRPr="00B5511E">
        <w:t xml:space="preserve">, </w:t>
      </w:r>
      <w:r w:rsidRPr="00B5511E">
        <w:rPr>
          <w:i/>
          <w:iCs/>
        </w:rPr>
        <w:t>129</w:t>
      </w:r>
      <w:r w:rsidRPr="00B5511E">
        <w:t>(4), 846–854. https://doi.org/10.1152/japplphysiol.00483.2020</w:t>
      </w:r>
    </w:p>
    <w:p w14:paraId="29646783" w14:textId="77777777" w:rsidR="00B5511E" w:rsidRPr="00B5511E" w:rsidRDefault="00B5511E" w:rsidP="00B5511E">
      <w:pPr>
        <w:pStyle w:val="Bibliography"/>
      </w:pPr>
      <w:r w:rsidRPr="00B5511E">
        <w:t xml:space="preserve">Stroud, M. W., Thorn, B. E., Jensen, M. P., &amp; Boothby, J. L. (2000). The relation between pain beliefs, negative thoughts, and psychosocial functioning in chronic pain patients. </w:t>
      </w:r>
      <w:r w:rsidRPr="00B5511E">
        <w:rPr>
          <w:i/>
          <w:iCs/>
        </w:rPr>
        <w:t>PAIN</w:t>
      </w:r>
      <w:r w:rsidRPr="00B5511E">
        <w:t xml:space="preserve">, </w:t>
      </w:r>
      <w:r w:rsidRPr="00B5511E">
        <w:rPr>
          <w:i/>
          <w:iCs/>
        </w:rPr>
        <w:t>84</w:t>
      </w:r>
      <w:r w:rsidRPr="00B5511E">
        <w:t>(2), 347. https://doi.org/10.1016/S0304-3959(99)00226-2</w:t>
      </w:r>
    </w:p>
    <w:p w14:paraId="0BE3E6E2" w14:textId="77777777" w:rsidR="00B5511E" w:rsidRPr="00B5511E" w:rsidRDefault="00B5511E" w:rsidP="00B5511E">
      <w:pPr>
        <w:pStyle w:val="Bibliography"/>
      </w:pPr>
      <w:r w:rsidRPr="00B5511E">
        <w:t xml:space="preserve">Sullivan, M. J. L., Bishop, S. R., &amp; Pivik, J. (1995). The Pain Catastrophizing Scale: Development and validation. </w:t>
      </w:r>
      <w:r w:rsidRPr="00B5511E">
        <w:rPr>
          <w:i/>
          <w:iCs/>
        </w:rPr>
        <w:t>Psychological Assessment</w:t>
      </w:r>
      <w:r w:rsidRPr="00B5511E">
        <w:t xml:space="preserve">, </w:t>
      </w:r>
      <w:r w:rsidRPr="00B5511E">
        <w:rPr>
          <w:i/>
          <w:iCs/>
        </w:rPr>
        <w:t>7</w:t>
      </w:r>
      <w:r w:rsidRPr="00B5511E">
        <w:t>(4), 524–532. https://doi.org/10.1037/1040-3590.7.4.524</w:t>
      </w:r>
    </w:p>
    <w:p w14:paraId="411D1ADB" w14:textId="77777777" w:rsidR="00B5511E" w:rsidRPr="00B5511E" w:rsidRDefault="00B5511E" w:rsidP="00B5511E">
      <w:pPr>
        <w:pStyle w:val="Bibliography"/>
      </w:pPr>
      <w:r w:rsidRPr="00B5511E">
        <w:t xml:space="preserve">Sullivan, M. J. L., Rodgers, W. M., Wilson, P. M., Bell, G. J., Murray, T. C., &amp; Fraser, S. N. (2002). An experimental investigation of the relation between catastrophizing and activity intolerance. </w:t>
      </w:r>
      <w:r w:rsidRPr="00B5511E">
        <w:rPr>
          <w:i/>
          <w:iCs/>
        </w:rPr>
        <w:t>Pain</w:t>
      </w:r>
      <w:r w:rsidRPr="00B5511E">
        <w:t xml:space="preserve">, </w:t>
      </w:r>
      <w:r w:rsidRPr="00B5511E">
        <w:rPr>
          <w:i/>
          <w:iCs/>
        </w:rPr>
        <w:t>100</w:t>
      </w:r>
      <w:r w:rsidRPr="00B5511E">
        <w:t>(1), 47–53. https://doi.org/10.1016/S0304-3959(02)00206-3</w:t>
      </w:r>
    </w:p>
    <w:p w14:paraId="149C2A97" w14:textId="77777777" w:rsidR="00B5511E" w:rsidRPr="00B5511E" w:rsidRDefault="00B5511E" w:rsidP="00B5511E">
      <w:pPr>
        <w:pStyle w:val="Bibliography"/>
      </w:pPr>
      <w:r w:rsidRPr="00B5511E">
        <w:t xml:space="preserve">Sullivan, M. J. L., Stanish, W., Waite, H., Sullivan, M., &amp; Tripp, D. A. (1998). Catastrophizing, pain, and disability in patients with soft-tissue injuries. </w:t>
      </w:r>
      <w:r w:rsidRPr="00B5511E">
        <w:rPr>
          <w:i/>
          <w:iCs/>
        </w:rPr>
        <w:t>Pain</w:t>
      </w:r>
      <w:r w:rsidRPr="00B5511E">
        <w:t xml:space="preserve">, </w:t>
      </w:r>
      <w:r w:rsidRPr="00B5511E">
        <w:rPr>
          <w:i/>
          <w:iCs/>
        </w:rPr>
        <w:t>77</w:t>
      </w:r>
      <w:r w:rsidRPr="00B5511E">
        <w:t>(3), 253–260. https://doi.org/10.1016/S0304-3959(98)00097-9</w:t>
      </w:r>
    </w:p>
    <w:p w14:paraId="461A8CF7" w14:textId="77777777" w:rsidR="00B5511E" w:rsidRPr="00B5511E" w:rsidRDefault="00B5511E" w:rsidP="00B5511E">
      <w:pPr>
        <w:pStyle w:val="Bibliography"/>
      </w:pPr>
      <w:r w:rsidRPr="00B5511E">
        <w:lastRenderedPageBreak/>
        <w:t xml:space="preserve">Sullivan, M. J. L., Thorn, B., Haythornthwaite, J. A., Keefe, F., Martin, M., Bradley, L. A., &amp; Lefebvre, J. C. (2001). Theoretical Perspectives on the Relation Between Catastrophizing and Pain: </w:t>
      </w:r>
      <w:r w:rsidRPr="00B5511E">
        <w:rPr>
          <w:i/>
          <w:iCs/>
        </w:rPr>
        <w:t>The Clinical Journal of Pain</w:t>
      </w:r>
      <w:r w:rsidRPr="00B5511E">
        <w:t xml:space="preserve">, </w:t>
      </w:r>
      <w:r w:rsidRPr="00B5511E">
        <w:rPr>
          <w:i/>
          <w:iCs/>
        </w:rPr>
        <w:t>17</w:t>
      </w:r>
      <w:r w:rsidRPr="00B5511E">
        <w:t>(1), 52–64. https://doi.org/10.1097/00002508-200103000-00008</w:t>
      </w:r>
    </w:p>
    <w:p w14:paraId="039EBCB8" w14:textId="77777777" w:rsidR="00B5511E" w:rsidRPr="00B5511E" w:rsidRDefault="00B5511E" w:rsidP="00B5511E">
      <w:pPr>
        <w:pStyle w:val="Bibliography"/>
      </w:pPr>
      <w:r w:rsidRPr="00B5511E">
        <w:t xml:space="preserve">Sullivan, M. J. L., &amp; Tripp, D. A. (2024). Pain Catastrophizing: Controversies, Misconceptions and Future Directions. </w:t>
      </w:r>
      <w:r w:rsidRPr="00B5511E">
        <w:rPr>
          <w:i/>
          <w:iCs/>
        </w:rPr>
        <w:t>The Journal of Pain</w:t>
      </w:r>
      <w:r w:rsidRPr="00B5511E">
        <w:t xml:space="preserve">, </w:t>
      </w:r>
      <w:r w:rsidRPr="00B5511E">
        <w:rPr>
          <w:i/>
          <w:iCs/>
        </w:rPr>
        <w:t>25</w:t>
      </w:r>
      <w:r w:rsidRPr="00B5511E">
        <w:t>(3), 575–587. https://doi.org/10.1016/j.jpain.2023.07.004</w:t>
      </w:r>
    </w:p>
    <w:p w14:paraId="7BBAA247" w14:textId="77777777" w:rsidR="00B5511E" w:rsidRPr="00B5511E" w:rsidRDefault="00B5511E" w:rsidP="00B5511E">
      <w:pPr>
        <w:pStyle w:val="Bibliography"/>
      </w:pPr>
      <w:r w:rsidRPr="00B5511E">
        <w:t xml:space="preserve">Sullivan, M. J. L., Tripp, D. A., &amp; Santor, D. (2000). Gender differences in pain and pain behavior: The role of catastrophizing. </w:t>
      </w:r>
      <w:r w:rsidRPr="00B5511E">
        <w:rPr>
          <w:i/>
          <w:iCs/>
        </w:rPr>
        <w:t>Cognitive Therapy and Research,</w:t>
      </w:r>
      <w:r w:rsidRPr="00B5511E">
        <w:t xml:space="preserve"> 121–134.</w:t>
      </w:r>
    </w:p>
    <w:p w14:paraId="41F069EA" w14:textId="77777777" w:rsidR="00B5511E" w:rsidRPr="00B5511E" w:rsidRDefault="00B5511E" w:rsidP="00B5511E">
      <w:pPr>
        <w:pStyle w:val="Bibliography"/>
      </w:pPr>
      <w:r w:rsidRPr="00B5511E">
        <w:t xml:space="preserve">Tabry, V., Vogel, T. A., Lussier, M., Brouillard, P., Buhle, J., Rainville, P., Bherer, L., &amp; Roy, M. (2020). Inter-individual predictors of pain inhibition during performance of a competing cognitive task. </w:t>
      </w:r>
      <w:r w:rsidRPr="00B5511E">
        <w:rPr>
          <w:i/>
          <w:iCs/>
        </w:rPr>
        <w:t>Scientific Reports</w:t>
      </w:r>
      <w:r w:rsidRPr="00B5511E">
        <w:t xml:space="preserve">, </w:t>
      </w:r>
      <w:r w:rsidRPr="00B5511E">
        <w:rPr>
          <w:i/>
          <w:iCs/>
        </w:rPr>
        <w:t>10</w:t>
      </w:r>
      <w:r w:rsidRPr="00B5511E">
        <w:t>(1), 21785. https://doi.org/10.1038/s41598-020-78653-z</w:t>
      </w:r>
    </w:p>
    <w:p w14:paraId="3F1C140B" w14:textId="77777777" w:rsidR="00B5511E" w:rsidRPr="00B5511E" w:rsidRDefault="00B5511E" w:rsidP="00B5511E">
      <w:pPr>
        <w:pStyle w:val="Bibliography"/>
      </w:pPr>
      <w:r w:rsidRPr="00B5511E">
        <w:t xml:space="preserve">Terry, E. L., Tanner, J. J., Cardoso, J. S., Sibille, K. T., Lai, S., Deshpande, H., Deutsch, G., Price, C. C., Staud, R., &amp; Goodin, B. R. (2022). Associations between pain catastrophizing and resting‐state functional brain connectivity: Ethnic/race group differences in persons with chronic knee pain. </w:t>
      </w:r>
      <w:r w:rsidRPr="00B5511E">
        <w:rPr>
          <w:i/>
          <w:iCs/>
        </w:rPr>
        <w:t>Journal of Neuroscience Research</w:t>
      </w:r>
      <w:r w:rsidRPr="00B5511E">
        <w:t xml:space="preserve">, </w:t>
      </w:r>
      <w:r w:rsidRPr="00B5511E">
        <w:rPr>
          <w:i/>
          <w:iCs/>
        </w:rPr>
        <w:t>100</w:t>
      </w:r>
      <w:r w:rsidRPr="00B5511E">
        <w:t>(4), 1047–1062.</w:t>
      </w:r>
    </w:p>
    <w:p w14:paraId="3339C243" w14:textId="77777777" w:rsidR="00B5511E" w:rsidRPr="00B5511E" w:rsidRDefault="00B5511E" w:rsidP="00B5511E">
      <w:pPr>
        <w:pStyle w:val="Bibliography"/>
      </w:pPr>
      <w:r w:rsidRPr="00B5511E">
        <w:t xml:space="preserve">Tomasi, D., Wang, G.-J., &amp; Volkow, N. D. (2013). Energetic cost of brain functional connectivity. </w:t>
      </w:r>
      <w:r w:rsidRPr="00B5511E">
        <w:rPr>
          <w:i/>
          <w:iCs/>
        </w:rPr>
        <w:t>Proceedings of the National Academy of Sciences</w:t>
      </w:r>
      <w:r w:rsidRPr="00B5511E">
        <w:t xml:space="preserve">, </w:t>
      </w:r>
      <w:r w:rsidRPr="00B5511E">
        <w:rPr>
          <w:i/>
          <w:iCs/>
        </w:rPr>
        <w:t>110</w:t>
      </w:r>
      <w:r w:rsidRPr="00B5511E">
        <w:t>(33), 13642–13647. https://doi.org/10.1073/pnas.1303346110</w:t>
      </w:r>
    </w:p>
    <w:p w14:paraId="49DE5D21" w14:textId="77777777" w:rsidR="00B5511E" w:rsidRPr="00B5511E" w:rsidRDefault="00B5511E" w:rsidP="00B5511E">
      <w:pPr>
        <w:pStyle w:val="Bibliography"/>
      </w:pPr>
      <w:r w:rsidRPr="00B5511E">
        <w:t xml:space="preserve">Tomporowski, P. D., &amp; Ellis, N. R. (1986). Effects of exercise on cognitive processes: A review. </w:t>
      </w:r>
      <w:r w:rsidRPr="00B5511E">
        <w:rPr>
          <w:i/>
          <w:iCs/>
        </w:rPr>
        <w:t>Psychological Bulletin</w:t>
      </w:r>
      <w:r w:rsidRPr="00B5511E">
        <w:t xml:space="preserve">, </w:t>
      </w:r>
      <w:r w:rsidRPr="00B5511E">
        <w:rPr>
          <w:i/>
          <w:iCs/>
        </w:rPr>
        <w:t>99</w:t>
      </w:r>
      <w:r w:rsidRPr="00B5511E">
        <w:t>(3), 338–346. https://doi.org/10.1037/0033-2909.99.3.338</w:t>
      </w:r>
    </w:p>
    <w:p w14:paraId="72A79E31" w14:textId="77777777" w:rsidR="00B5511E" w:rsidRPr="00B5511E" w:rsidRDefault="00B5511E" w:rsidP="00B5511E">
      <w:pPr>
        <w:pStyle w:val="Bibliography"/>
      </w:pPr>
      <w:r w:rsidRPr="00B5511E">
        <w:lastRenderedPageBreak/>
        <w:t xml:space="preserve">Traxler, J., Hanssen, M. M., Lautenbacher, S., Ottawa, F., &amp; Peters, M. L. (2019). General versus pain‐specific cognitions: Pain catastrophizing but not optimism influences conditioned pain modulation. </w:t>
      </w:r>
      <w:r w:rsidRPr="00B5511E">
        <w:rPr>
          <w:i/>
          <w:iCs/>
        </w:rPr>
        <w:t>European Journal of Pain (London, England)</w:t>
      </w:r>
      <w:r w:rsidRPr="00B5511E">
        <w:t xml:space="preserve">, </w:t>
      </w:r>
      <w:r w:rsidRPr="00B5511E">
        <w:rPr>
          <w:i/>
          <w:iCs/>
        </w:rPr>
        <w:t>23</w:t>
      </w:r>
      <w:r w:rsidRPr="00B5511E">
        <w:t>(1), 150–159. https://doi.org/10.1002/ejp.1294</w:t>
      </w:r>
    </w:p>
    <w:p w14:paraId="236CAA86" w14:textId="77777777" w:rsidR="00B5511E" w:rsidRPr="00B5511E" w:rsidRDefault="00B5511E" w:rsidP="00B5511E">
      <w:pPr>
        <w:pStyle w:val="Bibliography"/>
      </w:pPr>
      <w:r w:rsidRPr="00B5511E">
        <w:t xml:space="preserve">Trost, Z., Strachan, E., Sullivan, M., Vervoort, T., Avery, A. R., &amp; Afari, N. (2015). Heritability of Pain Catastrophizing and Associations with Experimental Pain Outcomes: A Twin Study. </w:t>
      </w:r>
      <w:r w:rsidRPr="00B5511E">
        <w:rPr>
          <w:i/>
          <w:iCs/>
        </w:rPr>
        <w:t>Pain</w:t>
      </w:r>
      <w:r w:rsidRPr="00B5511E">
        <w:t xml:space="preserve">, </w:t>
      </w:r>
      <w:r w:rsidRPr="00B5511E">
        <w:rPr>
          <w:i/>
          <w:iCs/>
        </w:rPr>
        <w:t>156</w:t>
      </w:r>
      <w:r w:rsidRPr="00B5511E">
        <w:t>(3), 514–520. https://doi.org/10.1097/01.j.pain.0000460326.02891.fc</w:t>
      </w:r>
    </w:p>
    <w:p w14:paraId="1AD69FBD" w14:textId="77777777" w:rsidR="00B5511E" w:rsidRPr="00B5511E" w:rsidRDefault="00B5511E" w:rsidP="00B5511E">
      <w:pPr>
        <w:pStyle w:val="Bibliography"/>
      </w:pPr>
      <w:r w:rsidRPr="00B5511E">
        <w:t xml:space="preserve">Turk, D. C., &amp; Okifuji, A. (2002). Psychological factors in chronic pain: Evolution and revolution. </w:t>
      </w:r>
      <w:r w:rsidRPr="00B5511E">
        <w:rPr>
          <w:i/>
          <w:iCs/>
        </w:rPr>
        <w:t>Journal of Consulting and Clinical Psychology</w:t>
      </w:r>
      <w:r w:rsidRPr="00B5511E">
        <w:t xml:space="preserve">, </w:t>
      </w:r>
      <w:r w:rsidRPr="00B5511E">
        <w:rPr>
          <w:i/>
          <w:iCs/>
        </w:rPr>
        <w:t>70</w:t>
      </w:r>
      <w:r w:rsidRPr="00B5511E">
        <w:t>(3), 678–690. https://doi.org/10.1037//0022-006x.70.3.678</w:t>
      </w:r>
    </w:p>
    <w:p w14:paraId="36BACCF5" w14:textId="77777777" w:rsidR="00B5511E" w:rsidRPr="00B5511E" w:rsidRDefault="00B5511E" w:rsidP="00B5511E">
      <w:pPr>
        <w:pStyle w:val="Bibliography"/>
      </w:pPr>
      <w:r w:rsidRPr="00B5511E">
        <w:t xml:space="preserve">Uckun, A. C., Donmez, B. K., Yurdakul, F. G., Garip, Y., &amp; Bodur, H. (2020). The role of pain catastrophizing and depression in the outcomes of physical therapy in a prospective osteoarthritis cohort. </w:t>
      </w:r>
      <w:r w:rsidRPr="00B5511E">
        <w:rPr>
          <w:i/>
          <w:iCs/>
        </w:rPr>
        <w:t>Pain Physician</w:t>
      </w:r>
      <w:r w:rsidRPr="00B5511E">
        <w:t xml:space="preserve">, </w:t>
      </w:r>
      <w:r w:rsidRPr="00B5511E">
        <w:rPr>
          <w:i/>
          <w:iCs/>
        </w:rPr>
        <w:t>23</w:t>
      </w:r>
      <w:r w:rsidRPr="00B5511E">
        <w:t>(2), 209.</w:t>
      </w:r>
    </w:p>
    <w:p w14:paraId="3755AECB" w14:textId="77777777" w:rsidR="00B5511E" w:rsidRPr="00B5511E" w:rsidRDefault="00B5511E" w:rsidP="00B5511E">
      <w:pPr>
        <w:pStyle w:val="Bibliography"/>
      </w:pPr>
      <w:r w:rsidRPr="00B5511E">
        <w:t xml:space="preserve">Van Damme, S., Crombez, G., &amp; Eccleston, C. (2002). Retarded disengagement from pain cues: The effects of pain catastrophizing and pain expectancy. </w:t>
      </w:r>
      <w:r w:rsidRPr="00B5511E">
        <w:rPr>
          <w:i/>
          <w:iCs/>
        </w:rPr>
        <w:t>Pain</w:t>
      </w:r>
      <w:r w:rsidRPr="00B5511E">
        <w:t xml:space="preserve">, </w:t>
      </w:r>
      <w:r w:rsidRPr="00B5511E">
        <w:rPr>
          <w:i/>
          <w:iCs/>
        </w:rPr>
        <w:t>100</w:t>
      </w:r>
      <w:r w:rsidRPr="00B5511E">
        <w:t>(1), 111–118. https://doi.org/10.1016/S0304-3959(02)00290-7</w:t>
      </w:r>
    </w:p>
    <w:p w14:paraId="6D1F68C7" w14:textId="77777777" w:rsidR="00B5511E" w:rsidRPr="00B5511E" w:rsidRDefault="00B5511E" w:rsidP="00B5511E">
      <w:pPr>
        <w:pStyle w:val="Bibliography"/>
      </w:pPr>
      <w:r w:rsidRPr="00B5511E">
        <w:t xml:space="preserve">Van Damme, S., Crombez, G., &amp; Eccleston, C. (2004). Disengagement from pain: The role of catastrophic thinking about pain. </w:t>
      </w:r>
      <w:r w:rsidRPr="00B5511E">
        <w:rPr>
          <w:i/>
          <w:iCs/>
        </w:rPr>
        <w:t>PAIN</w:t>
      </w:r>
      <w:r w:rsidRPr="00B5511E">
        <w:t xml:space="preserve">, </w:t>
      </w:r>
      <w:r w:rsidRPr="00B5511E">
        <w:rPr>
          <w:i/>
          <w:iCs/>
        </w:rPr>
        <w:t>107</w:t>
      </w:r>
      <w:r w:rsidRPr="00B5511E">
        <w:t>(1), 70. https://doi.org/10.1016/j.pain.2003.09.023</w:t>
      </w:r>
    </w:p>
    <w:p w14:paraId="69037B9F" w14:textId="77777777" w:rsidR="00B5511E" w:rsidRPr="00B5511E" w:rsidRDefault="00B5511E" w:rsidP="00B5511E">
      <w:pPr>
        <w:pStyle w:val="Bibliography"/>
      </w:pPr>
      <w:r w:rsidRPr="00B5511E">
        <w:t xml:space="preserve">Vancleef, L. M. G., &amp; Peters, M. L. (2006). Pain Catastrophizing, but not Injury/Illness Sensitivity or Anxiety Sensitivity, Enhances Attentional Interference by Pain. </w:t>
      </w:r>
      <w:r w:rsidRPr="00B5511E">
        <w:rPr>
          <w:i/>
          <w:iCs/>
        </w:rPr>
        <w:t>The Journal of Pain</w:t>
      </w:r>
      <w:r w:rsidRPr="00B5511E">
        <w:t xml:space="preserve">, </w:t>
      </w:r>
      <w:r w:rsidRPr="00B5511E">
        <w:rPr>
          <w:i/>
          <w:iCs/>
        </w:rPr>
        <w:t>7</w:t>
      </w:r>
      <w:r w:rsidRPr="00B5511E">
        <w:t>(1), 23–30. https://doi.org/10.1016/j.jpain.2005.04.003</w:t>
      </w:r>
    </w:p>
    <w:p w14:paraId="45AA812A" w14:textId="77777777" w:rsidR="00B5511E" w:rsidRPr="00B5511E" w:rsidRDefault="00B5511E" w:rsidP="00B5511E">
      <w:pPr>
        <w:pStyle w:val="Bibliography"/>
      </w:pPr>
      <w:r w:rsidRPr="00B5511E">
        <w:lastRenderedPageBreak/>
        <w:t xml:space="preserve">Vazou, S., Pesce, C., Lakes, K., &amp; Smiley-Oyen, A. (2019). More than one road leads to Rome: A narrative review and meta-analysis of physical activity intervention effects on cognition in youth. </w:t>
      </w:r>
      <w:r w:rsidRPr="00B5511E">
        <w:rPr>
          <w:i/>
          <w:iCs/>
        </w:rPr>
        <w:t>International Journal of Sport and Exercise Psychology</w:t>
      </w:r>
      <w:r w:rsidRPr="00B5511E">
        <w:t xml:space="preserve">, </w:t>
      </w:r>
      <w:r w:rsidRPr="00B5511E">
        <w:rPr>
          <w:i/>
          <w:iCs/>
        </w:rPr>
        <w:t>17</w:t>
      </w:r>
      <w:r w:rsidRPr="00B5511E">
        <w:t>(2), 153–178. https://doi.org/10.1080/1612197X.2016.1223423</w:t>
      </w:r>
    </w:p>
    <w:p w14:paraId="392A1282" w14:textId="77777777" w:rsidR="00B5511E" w:rsidRPr="00B5511E" w:rsidRDefault="00B5511E" w:rsidP="00B5511E">
      <w:pPr>
        <w:pStyle w:val="Bibliography"/>
      </w:pPr>
      <w:r w:rsidRPr="00B5511E">
        <w:t xml:space="preserve">Vrijkotte, S., Roelands, B., Meeusen, R., &amp; Pattyn, N. (2016). Sustained Military Operations and Cognitive Performance. </w:t>
      </w:r>
      <w:r w:rsidRPr="00B5511E">
        <w:rPr>
          <w:i/>
          <w:iCs/>
        </w:rPr>
        <w:t>Aerospace Medicine and Human Performance</w:t>
      </w:r>
      <w:r w:rsidRPr="00B5511E">
        <w:t xml:space="preserve">, </w:t>
      </w:r>
      <w:r w:rsidRPr="00B5511E">
        <w:rPr>
          <w:i/>
          <w:iCs/>
        </w:rPr>
        <w:t>87</w:t>
      </w:r>
      <w:r w:rsidRPr="00B5511E">
        <w:t>(8), 718–727. https://doi.org/10.3357/AMHP.4468.2016</w:t>
      </w:r>
    </w:p>
    <w:p w14:paraId="1E14CE6F" w14:textId="77777777" w:rsidR="00B5511E" w:rsidRPr="00B5511E" w:rsidRDefault="00B5511E" w:rsidP="00B5511E">
      <w:pPr>
        <w:pStyle w:val="Bibliography"/>
      </w:pPr>
      <w:r w:rsidRPr="00B5511E">
        <w:t xml:space="preserve">Wagenaar-Tison, A., Deldar, Z., Northon, S., Brisson, B., Blanchette, I., &amp; Piché, M. (2022). Disruption of working memory and contralateral delay activity by nociceptive stimuli is modulated by task demands. </w:t>
      </w:r>
      <w:r w:rsidRPr="00B5511E">
        <w:rPr>
          <w:i/>
          <w:iCs/>
        </w:rPr>
        <w:t>PAIN</w:t>
      </w:r>
      <w:r w:rsidRPr="00B5511E">
        <w:t xml:space="preserve">, </w:t>
      </w:r>
      <w:r w:rsidRPr="00B5511E">
        <w:rPr>
          <w:i/>
          <w:iCs/>
        </w:rPr>
        <w:t>163</w:t>
      </w:r>
      <w:r w:rsidRPr="00B5511E">
        <w:t>(7), 1335–1345. https://doi.org/10.1097/j.pain.0000000000002517</w:t>
      </w:r>
    </w:p>
    <w:p w14:paraId="1F403D8F" w14:textId="77777777" w:rsidR="00B5511E" w:rsidRPr="00B5511E" w:rsidRDefault="00B5511E" w:rsidP="00B5511E">
      <w:pPr>
        <w:pStyle w:val="Bibliography"/>
      </w:pPr>
      <w:r w:rsidRPr="00B5511E">
        <w:t xml:space="preserve">Wang, C.-C., Chu, C.-H., Chu, I.-H., Chan, K.-H., &amp; Chang, Y.-K. (2013). Executive Function During Acute Exercise: The Role of Exercise Intensity. </w:t>
      </w:r>
      <w:r w:rsidRPr="00B5511E">
        <w:rPr>
          <w:i/>
          <w:iCs/>
        </w:rPr>
        <w:t>Journal of Sport and Exercise Psychology</w:t>
      </w:r>
      <w:r w:rsidRPr="00B5511E">
        <w:t xml:space="preserve">, </w:t>
      </w:r>
      <w:r w:rsidRPr="00B5511E">
        <w:rPr>
          <w:i/>
          <w:iCs/>
        </w:rPr>
        <w:t>35</w:t>
      </w:r>
      <w:r w:rsidRPr="00B5511E">
        <w:t>(4), 358–367. https://doi.org/10.1123/jsep.35.4.358</w:t>
      </w:r>
    </w:p>
    <w:p w14:paraId="7E866A7E" w14:textId="77777777" w:rsidR="00B5511E" w:rsidRPr="00B5511E" w:rsidRDefault="00B5511E" w:rsidP="00B5511E">
      <w:pPr>
        <w:pStyle w:val="Bibliography"/>
      </w:pPr>
      <w:r w:rsidRPr="00B5511E">
        <w:t xml:space="preserve">Watson, D., &amp; Pennebaker, J. W. (1989). Health complaints, stress, and distress: Exploring the central role of negative affectivity. </w:t>
      </w:r>
      <w:r w:rsidRPr="00B5511E">
        <w:rPr>
          <w:i/>
          <w:iCs/>
        </w:rPr>
        <w:t>Psychological Review</w:t>
      </w:r>
      <w:r w:rsidRPr="00B5511E">
        <w:t xml:space="preserve">, </w:t>
      </w:r>
      <w:r w:rsidRPr="00B5511E">
        <w:rPr>
          <w:i/>
          <w:iCs/>
        </w:rPr>
        <w:t>96</w:t>
      </w:r>
      <w:r w:rsidRPr="00B5511E">
        <w:t>(2), 234.</w:t>
      </w:r>
    </w:p>
    <w:p w14:paraId="05B051EC" w14:textId="77777777" w:rsidR="00B5511E" w:rsidRPr="00B5511E" w:rsidRDefault="00B5511E" w:rsidP="00B5511E">
      <w:pPr>
        <w:pStyle w:val="Bibliography"/>
      </w:pPr>
      <w:r w:rsidRPr="00B5511E">
        <w:t xml:space="preserve">Weissman-Fogel, I., Sprecher, E., &amp; Pud, D. (2008). Effects of catastrophizing on pain perception and pain modulation. </w:t>
      </w:r>
      <w:r w:rsidRPr="00B5511E">
        <w:rPr>
          <w:i/>
          <w:iCs/>
        </w:rPr>
        <w:t>Experimental Brain Research</w:t>
      </w:r>
      <w:r w:rsidRPr="00B5511E">
        <w:t xml:space="preserve">, </w:t>
      </w:r>
      <w:r w:rsidRPr="00B5511E">
        <w:rPr>
          <w:i/>
          <w:iCs/>
        </w:rPr>
        <w:t>186</w:t>
      </w:r>
      <w:r w:rsidRPr="00B5511E">
        <w:t>(1), 79–85. https://doi.org/10.1007/s00221-007-1206-7</w:t>
      </w:r>
    </w:p>
    <w:p w14:paraId="58437ECF" w14:textId="77777777" w:rsidR="00B5511E" w:rsidRPr="00B5511E" w:rsidRDefault="00B5511E" w:rsidP="00B5511E">
      <w:pPr>
        <w:pStyle w:val="Bibliography"/>
      </w:pPr>
      <w:r w:rsidRPr="00B5511E">
        <w:t xml:space="preserve">Wickens, C. D., Hollands, J. G., Banbury, S., &amp; Parasuraman, R. (2015). </w:t>
      </w:r>
      <w:r w:rsidRPr="00B5511E">
        <w:rPr>
          <w:i/>
          <w:iCs/>
        </w:rPr>
        <w:t>Engineering Psychology and Human Performance</w:t>
      </w:r>
      <w:r w:rsidRPr="00B5511E">
        <w:t>.</w:t>
      </w:r>
    </w:p>
    <w:p w14:paraId="3064AE41" w14:textId="77777777" w:rsidR="00B5511E" w:rsidRPr="00B5511E" w:rsidRDefault="00B5511E" w:rsidP="00B5511E">
      <w:pPr>
        <w:pStyle w:val="Bibliography"/>
      </w:pPr>
      <w:r w:rsidRPr="00B5511E">
        <w:t xml:space="preserve">Xu, L., Gu, H., Cai, X., Zhang, Y., Hou, X., Yu, J., &amp; Sun, T. (2023). The Effects of Exercise for Cognitive Function in Older Adults: A Systematic Review and Meta-Analysis of </w:t>
      </w:r>
      <w:r w:rsidRPr="00B5511E">
        <w:lastRenderedPageBreak/>
        <w:t xml:space="preserve">Randomized Controlled Trials. </w:t>
      </w:r>
      <w:r w:rsidRPr="00B5511E">
        <w:rPr>
          <w:i/>
          <w:iCs/>
        </w:rPr>
        <w:t>International Journal of Environmental Research and Public Health</w:t>
      </w:r>
      <w:r w:rsidRPr="00B5511E">
        <w:t xml:space="preserve">, </w:t>
      </w:r>
      <w:r w:rsidRPr="00B5511E">
        <w:rPr>
          <w:i/>
          <w:iCs/>
        </w:rPr>
        <w:t>20</w:t>
      </w:r>
      <w:r w:rsidRPr="00B5511E">
        <w:t>(2), Article 2. https://doi.org/10.3390/ijerph20021088</w:t>
      </w:r>
    </w:p>
    <w:p w14:paraId="217DD266" w14:textId="77777777" w:rsidR="00B5511E" w:rsidRPr="00B5511E" w:rsidRDefault="00B5511E" w:rsidP="00B5511E">
      <w:pPr>
        <w:pStyle w:val="Bibliography"/>
      </w:pPr>
      <w:r w:rsidRPr="00B5511E">
        <w:t xml:space="preserve">Yang, G., Liu, Q., Wang, W., Liu, W., &amp; Li, J. (2024). Effect of aerobic exercise on the improvement of executive function in children with attention deficit hyperactivity disorder: A systematic review and meta-analysis. </w:t>
      </w:r>
      <w:r w:rsidRPr="00B5511E">
        <w:rPr>
          <w:i/>
          <w:iCs/>
        </w:rPr>
        <w:t>Frontiers in Psychology</w:t>
      </w:r>
      <w:r w:rsidRPr="00B5511E">
        <w:t xml:space="preserve">, </w:t>
      </w:r>
      <w:r w:rsidRPr="00B5511E">
        <w:rPr>
          <w:i/>
          <w:iCs/>
        </w:rPr>
        <w:t>15</w:t>
      </w:r>
      <w:r w:rsidRPr="00B5511E">
        <w:t>. https://doi.org/10.3389/fpsyg.2024.1376354</w:t>
      </w:r>
    </w:p>
    <w:p w14:paraId="72FD6446" w14:textId="77777777" w:rsidR="00B5511E" w:rsidRPr="00B5511E" w:rsidRDefault="00B5511E" w:rsidP="00B5511E">
      <w:pPr>
        <w:pStyle w:val="Bibliography"/>
      </w:pPr>
      <w:r w:rsidRPr="00B5511E">
        <w:t xml:space="preserve">Ysidron, D. W., France, J. L., Himawan, L. K., &amp; France, C. R. (2021). Pain resilience, pain catastrophizing, and executive functioning: Performance on a short-term memory task during simultaneous ischemic pain. </w:t>
      </w:r>
      <w:r w:rsidRPr="00B5511E">
        <w:rPr>
          <w:i/>
          <w:iCs/>
        </w:rPr>
        <w:t>Journal of Behavioral Medicine</w:t>
      </w:r>
      <w:r w:rsidRPr="00B5511E">
        <w:t xml:space="preserve">, </w:t>
      </w:r>
      <w:r w:rsidRPr="00B5511E">
        <w:rPr>
          <w:i/>
          <w:iCs/>
        </w:rPr>
        <w:t>44</w:t>
      </w:r>
      <w:r w:rsidRPr="00B5511E">
        <w:t>(1), 104–110. https://doi.org/10.1007/s10865-020-00181-y</w:t>
      </w:r>
    </w:p>
    <w:p w14:paraId="7DFCCDBB" w14:textId="77777777" w:rsidR="00B5511E" w:rsidRPr="00B5511E" w:rsidRDefault="00B5511E" w:rsidP="00B5511E">
      <w:pPr>
        <w:pStyle w:val="Bibliography"/>
      </w:pPr>
      <w:r w:rsidRPr="00B5511E">
        <w:t xml:space="preserve">Zhaoyang, R., Martire, L. M., &amp; Darnall, B. D. (2020). Daily pain catastrophizing predicts less physical activity and more sedentary behavior in older adults with osteoarthritis. </w:t>
      </w:r>
      <w:r w:rsidRPr="00B5511E">
        <w:rPr>
          <w:i/>
          <w:iCs/>
        </w:rPr>
        <w:t>PAIN</w:t>
      </w:r>
      <w:r w:rsidRPr="00B5511E">
        <w:t xml:space="preserve">, </w:t>
      </w:r>
      <w:r w:rsidRPr="00B5511E">
        <w:rPr>
          <w:i/>
          <w:iCs/>
        </w:rPr>
        <w:t>161</w:t>
      </w:r>
      <w:r w:rsidRPr="00B5511E">
        <w:t>(11), 2603–2610. https://doi.org/10.1097/j.pain.0000000000001959</w:t>
      </w:r>
    </w:p>
    <w:p w14:paraId="666D8C52" w14:textId="77777777" w:rsidR="00B5511E" w:rsidRPr="00B5511E" w:rsidRDefault="00B5511E" w:rsidP="00B5511E">
      <w:pPr>
        <w:pStyle w:val="Bibliography"/>
      </w:pPr>
      <w:r w:rsidRPr="00B5511E">
        <w:t xml:space="preserve">Zheng, G., Xia, R., Zhou, W., Tao, J., &amp; Chen, L. (2016). Aerobic exercise ameliorates cognitive function in older adults with mild cognitive impairment: A systematic review and meta-analysis of randomised controlled trials. </w:t>
      </w:r>
      <w:r w:rsidRPr="00B5511E">
        <w:rPr>
          <w:i/>
          <w:iCs/>
        </w:rPr>
        <w:t>British Journal of Sports Medicine</w:t>
      </w:r>
      <w:r w:rsidRPr="00B5511E">
        <w:t xml:space="preserve">, </w:t>
      </w:r>
      <w:r w:rsidRPr="00B5511E">
        <w:rPr>
          <w:i/>
          <w:iCs/>
        </w:rPr>
        <w:t>50</w:t>
      </w:r>
      <w:r w:rsidRPr="00B5511E">
        <w:t>(23), 1443–1450. https://doi.org/10.1136/bjsports-2015-095699</w:t>
      </w:r>
    </w:p>
    <w:p w14:paraId="13AD1CB4" w14:textId="77777777" w:rsidR="00B5511E" w:rsidRPr="00B5511E" w:rsidRDefault="00B5511E" w:rsidP="00B5511E">
      <w:pPr>
        <w:pStyle w:val="Bibliography"/>
      </w:pPr>
      <w:r w:rsidRPr="00B5511E">
        <w:t xml:space="preserve">Zheng, K., Zou, L., Wei, G., &amp; Huang, T. (2021). Concurrent Performance of Executive Function during Acute Bouts of Exercise in Adults: A Systematic Review. </w:t>
      </w:r>
      <w:r w:rsidRPr="00B5511E">
        <w:rPr>
          <w:i/>
          <w:iCs/>
        </w:rPr>
        <w:t>Brain Sciences</w:t>
      </w:r>
      <w:r w:rsidRPr="00B5511E">
        <w:t xml:space="preserve">, </w:t>
      </w:r>
      <w:r w:rsidRPr="00B5511E">
        <w:rPr>
          <w:i/>
          <w:iCs/>
        </w:rPr>
        <w:t>11</w:t>
      </w:r>
      <w:r w:rsidRPr="00B5511E">
        <w:t>(10), 1364. https://doi.org/10.3390/brainsci11101364</w:t>
      </w:r>
    </w:p>
    <w:p w14:paraId="6C2F9A71" w14:textId="69F0C1A5" w:rsidR="006231D2" w:rsidRPr="009472F7" w:rsidRDefault="008B4197" w:rsidP="009472F7">
      <w:r>
        <w:rPr>
          <w:lang w:eastAsia="ja-JP"/>
        </w:rPr>
        <w:fldChar w:fldCharType="end"/>
      </w:r>
    </w:p>
    <w:p w14:paraId="26C4E206" w14:textId="77777777" w:rsidR="00187849" w:rsidRDefault="00187849">
      <w:pPr>
        <w:pBdr>
          <w:top w:val="nil"/>
          <w:left w:val="nil"/>
          <w:bottom w:val="nil"/>
          <w:right w:val="nil"/>
          <w:between w:val="nil"/>
        </w:pBdr>
        <w:spacing w:before="11"/>
        <w:rPr>
          <w:b/>
          <w:color w:val="000000"/>
          <w:sz w:val="23"/>
          <w:szCs w:val="23"/>
        </w:rPr>
      </w:pPr>
    </w:p>
    <w:p w14:paraId="50D17DC9" w14:textId="77777777" w:rsidR="000E7BCB" w:rsidRDefault="000E7BCB" w:rsidP="009E4CA1">
      <w:pPr>
        <w:pBdr>
          <w:top w:val="nil"/>
          <w:left w:val="nil"/>
          <w:bottom w:val="nil"/>
          <w:right w:val="nil"/>
          <w:between w:val="nil"/>
        </w:pBdr>
        <w:spacing w:before="1" w:line="480" w:lineRule="auto"/>
        <w:ind w:right="1749"/>
        <w:jc w:val="both"/>
        <w:rPr>
          <w:rFonts w:ascii="Arimo" w:eastAsia="Arimo" w:hAnsi="Arimo" w:cs="Arimo"/>
          <w:color w:val="000000"/>
          <w:sz w:val="14"/>
          <w:szCs w:val="14"/>
        </w:rPr>
      </w:pPr>
    </w:p>
    <w:p w14:paraId="0E0F1537" w14:textId="77777777" w:rsidR="000E7BCB" w:rsidRDefault="000E7BCB">
      <w:pPr>
        <w:pBdr>
          <w:top w:val="nil"/>
          <w:left w:val="nil"/>
          <w:bottom w:val="nil"/>
          <w:right w:val="nil"/>
          <w:between w:val="nil"/>
        </w:pBdr>
        <w:spacing w:before="1" w:line="480" w:lineRule="auto"/>
        <w:ind w:left="1629" w:right="1749" w:hanging="720"/>
        <w:jc w:val="both"/>
        <w:rPr>
          <w:rFonts w:ascii="Arimo" w:eastAsia="Arimo" w:hAnsi="Arimo" w:cs="Arimo"/>
          <w:color w:val="000000"/>
          <w:sz w:val="14"/>
          <w:szCs w:val="14"/>
        </w:rPr>
      </w:pPr>
    </w:p>
    <w:p w14:paraId="68731AA9" w14:textId="77777777" w:rsidR="000E7BCB" w:rsidRDefault="000E7BCB">
      <w:pPr>
        <w:pBdr>
          <w:top w:val="nil"/>
          <w:left w:val="nil"/>
          <w:bottom w:val="nil"/>
          <w:right w:val="nil"/>
          <w:between w:val="nil"/>
        </w:pBdr>
        <w:spacing w:before="1" w:line="480" w:lineRule="auto"/>
        <w:ind w:left="1629" w:right="1749" w:hanging="720"/>
        <w:jc w:val="both"/>
        <w:rPr>
          <w:rFonts w:ascii="Arimo" w:eastAsia="Arimo" w:hAnsi="Arimo" w:cs="Arimo"/>
          <w:color w:val="000000"/>
          <w:sz w:val="14"/>
          <w:szCs w:val="14"/>
        </w:rPr>
      </w:pPr>
    </w:p>
    <w:p w14:paraId="081EF0D9" w14:textId="77777777" w:rsidR="000E7BCB" w:rsidRDefault="000E7BCB">
      <w:pPr>
        <w:pBdr>
          <w:top w:val="nil"/>
          <w:left w:val="nil"/>
          <w:bottom w:val="nil"/>
          <w:right w:val="nil"/>
          <w:between w:val="nil"/>
        </w:pBdr>
        <w:spacing w:before="1" w:line="480" w:lineRule="auto"/>
        <w:ind w:left="1629" w:right="1749" w:hanging="720"/>
        <w:jc w:val="both"/>
        <w:rPr>
          <w:rFonts w:ascii="Arimo" w:eastAsia="Arimo" w:hAnsi="Arimo" w:cs="Arimo"/>
          <w:color w:val="000000"/>
          <w:sz w:val="14"/>
          <w:szCs w:val="14"/>
        </w:rPr>
      </w:pPr>
    </w:p>
    <w:p w14:paraId="139E652E" w14:textId="77777777" w:rsidR="000E7BCB" w:rsidRDefault="000E7BCB">
      <w:pPr>
        <w:pBdr>
          <w:top w:val="nil"/>
          <w:left w:val="nil"/>
          <w:bottom w:val="nil"/>
          <w:right w:val="nil"/>
          <w:between w:val="nil"/>
        </w:pBdr>
        <w:spacing w:before="1" w:line="480" w:lineRule="auto"/>
        <w:ind w:left="1629" w:right="1749" w:hanging="720"/>
        <w:jc w:val="both"/>
        <w:rPr>
          <w:rFonts w:ascii="Arimo" w:eastAsia="Arimo" w:hAnsi="Arimo" w:cs="Arimo"/>
          <w:color w:val="000000"/>
          <w:sz w:val="14"/>
          <w:szCs w:val="14"/>
        </w:rPr>
        <w:sectPr w:rsidR="000E7BCB" w:rsidSect="009472F7">
          <w:headerReference w:type="default" r:id="rId26"/>
          <w:pgSz w:w="12240" w:h="15840"/>
          <w:pgMar w:top="1440" w:right="1440" w:bottom="1440" w:left="1440" w:header="0" w:footer="1085" w:gutter="0"/>
          <w:cols w:space="720"/>
          <w:docGrid w:linePitch="326"/>
        </w:sectPr>
      </w:pPr>
    </w:p>
    <w:p w14:paraId="0EA66C86" w14:textId="7708557A" w:rsidR="000E7BCB" w:rsidRDefault="000E7BCB" w:rsidP="000E7BCB">
      <w:pPr>
        <w:pBdr>
          <w:top w:val="nil"/>
          <w:left w:val="nil"/>
          <w:bottom w:val="nil"/>
          <w:right w:val="nil"/>
          <w:between w:val="nil"/>
        </w:pBdr>
        <w:spacing w:line="480" w:lineRule="auto"/>
      </w:pPr>
      <w:r>
        <w:lastRenderedPageBreak/>
        <w:t>Appendix A</w:t>
      </w:r>
    </w:p>
    <w:p w14:paraId="219E050F" w14:textId="6516A4FB" w:rsidR="000E7BCB" w:rsidRPr="007B6B4D" w:rsidRDefault="000E7BCB" w:rsidP="000E7BCB">
      <w:pPr>
        <w:pBdr>
          <w:top w:val="nil"/>
          <w:left w:val="nil"/>
          <w:bottom w:val="nil"/>
          <w:right w:val="nil"/>
          <w:between w:val="nil"/>
        </w:pBdr>
        <w:spacing w:line="480" w:lineRule="auto"/>
        <w:rPr>
          <w:i/>
          <w:iCs/>
        </w:rPr>
      </w:pPr>
      <w:r>
        <w:rPr>
          <w:i/>
          <w:iCs/>
        </w:rPr>
        <w:t>The Impact of Exercise Intensity (Heart Rate Reserve) on Hit Rate: Individual Plots</w:t>
      </w:r>
    </w:p>
    <w:p w14:paraId="1FE95512" w14:textId="27DEE717" w:rsidR="000E7BCB" w:rsidRDefault="000E7BCB" w:rsidP="009E4CA1">
      <w:pPr>
        <w:spacing w:line="480" w:lineRule="auto"/>
        <w:ind w:right="995" w:firstLine="630"/>
        <w:jc w:val="center"/>
      </w:pPr>
      <w:r>
        <w:rPr>
          <w:noProof/>
        </w:rPr>
        <w:drawing>
          <wp:inline distT="0" distB="0" distL="0" distR="0" wp14:anchorId="4E8BE3C8" wp14:editId="17CCEE83">
            <wp:extent cx="5314950" cy="7490028"/>
            <wp:effectExtent l="0" t="0" r="0" b="0"/>
            <wp:docPr id="59388228" name="Picture 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15822" name="Picture 2" descr="A screenshot of a graph&#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18517" cy="7495055"/>
                    </a:xfrm>
                    <a:prstGeom prst="rect">
                      <a:avLst/>
                    </a:prstGeom>
                  </pic:spPr>
                </pic:pic>
              </a:graphicData>
            </a:graphic>
          </wp:inline>
        </w:drawing>
      </w:r>
    </w:p>
    <w:p w14:paraId="6871FBB4" w14:textId="5021EC8F" w:rsidR="000E7BCB" w:rsidRDefault="000E7BCB" w:rsidP="000E7BCB">
      <w:pPr>
        <w:pBdr>
          <w:top w:val="nil"/>
          <w:left w:val="nil"/>
          <w:bottom w:val="nil"/>
          <w:right w:val="nil"/>
          <w:between w:val="nil"/>
        </w:pBdr>
        <w:spacing w:line="480" w:lineRule="auto"/>
      </w:pPr>
      <w:r>
        <w:lastRenderedPageBreak/>
        <w:t>Appendix B</w:t>
      </w:r>
    </w:p>
    <w:p w14:paraId="77D206C2" w14:textId="76223285" w:rsidR="000E7BCB" w:rsidRPr="007B6B4D" w:rsidRDefault="000E7BCB" w:rsidP="000E7BCB">
      <w:pPr>
        <w:pBdr>
          <w:top w:val="nil"/>
          <w:left w:val="nil"/>
          <w:bottom w:val="nil"/>
          <w:right w:val="nil"/>
          <w:between w:val="nil"/>
        </w:pBdr>
        <w:spacing w:line="480" w:lineRule="auto"/>
        <w:rPr>
          <w:i/>
          <w:iCs/>
        </w:rPr>
      </w:pPr>
      <w:r>
        <w:rPr>
          <w:i/>
          <w:iCs/>
        </w:rPr>
        <w:t>The Impact of Exercise Intensity (Heart Rate Reserve) on Precision: Individual Plots</w:t>
      </w:r>
    </w:p>
    <w:p w14:paraId="33DB9BC6" w14:textId="48F11435" w:rsidR="000E7BCB" w:rsidRPr="009E4CA1" w:rsidRDefault="000E7BCB" w:rsidP="009E4CA1">
      <w:pPr>
        <w:spacing w:line="480" w:lineRule="auto"/>
        <w:ind w:left="909" w:right="995"/>
      </w:pPr>
      <w:r>
        <w:rPr>
          <w:noProof/>
        </w:rPr>
        <w:drawing>
          <wp:inline distT="0" distB="0" distL="0" distR="0" wp14:anchorId="560572A6" wp14:editId="2BE6D329">
            <wp:extent cx="5229225" cy="7261225"/>
            <wp:effectExtent l="0" t="0" r="0" b="0"/>
            <wp:docPr id="1683545019" name="Picture 4" descr="A graph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30838" name="Picture 4" descr="A graph with different colored lines&#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33474" cy="7267125"/>
                    </a:xfrm>
                    <a:prstGeom prst="rect">
                      <a:avLst/>
                    </a:prstGeom>
                  </pic:spPr>
                </pic:pic>
              </a:graphicData>
            </a:graphic>
          </wp:inline>
        </w:drawing>
      </w:r>
    </w:p>
    <w:sectPr w:rsidR="000E7BCB" w:rsidRPr="009E4CA1" w:rsidSect="009472F7">
      <w:pgSz w:w="12240" w:h="15840"/>
      <w:pgMar w:top="1440" w:right="1440" w:bottom="1440" w:left="1440" w:header="0" w:footer="108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700E24" w14:textId="77777777" w:rsidR="00A329CC" w:rsidRDefault="00A329CC">
      <w:r>
        <w:separator/>
      </w:r>
    </w:p>
  </w:endnote>
  <w:endnote w:type="continuationSeparator" w:id="0">
    <w:p w14:paraId="7B55E40F" w14:textId="77777777" w:rsidR="00A329CC" w:rsidRDefault="00A32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0B751771-AA07-9B4A-8538-55240579E205}"/>
    <w:embedBold r:id="rId2" w:fontKey="{4B802A42-B371-A142-922E-7787C4D29295}"/>
    <w:embedItalic r:id="rId3" w:fontKey="{E858FCB8-0340-C140-9DEB-13E879A864A8}"/>
    <w:embedBoldItalic r:id="rId4" w:fontKey="{6819507F-B548-7644-8A62-157A30067F6F}"/>
  </w:font>
  <w:font w:name="Arial">
    <w:panose1 w:val="020B0604020202020204"/>
    <w:charset w:val="00"/>
    <w:family w:val="swiss"/>
    <w:pitch w:val="variable"/>
    <w:sig w:usb0="E0002EFF" w:usb1="C000785B" w:usb2="00000009" w:usb3="00000000" w:csb0="000001FF" w:csb1="00000000"/>
    <w:embedRegular r:id="rId5" w:fontKey="{EF5AC29E-F47C-CB46-A817-C4A75BBA6703}"/>
    <w:embedBold r:id="rId6" w:fontKey="{32CB86A0-6F4C-654F-84A0-CF5FC7C75012}"/>
  </w:font>
  <w:font w:name="Times">
    <w:altName w:val="Times New Roman"/>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9" w:fontKey="{76868FE0-F359-BA40-AD56-40FE7DC870D5}"/>
    <w:embedItalic r:id="rId10" w:fontKey="{9ADB58C1-345F-6A45-BBFD-132CDFD80D95}"/>
  </w:font>
  <w:font w:name="Cambria Math">
    <w:panose1 w:val="02040503050406030204"/>
    <w:charset w:val="00"/>
    <w:family w:val="roman"/>
    <w:pitch w:val="variable"/>
    <w:sig w:usb0="E00002FF" w:usb1="420024FF" w:usb2="00000000" w:usb3="00000000" w:csb0="0000019F" w:csb1="00000000"/>
    <w:embedRegular r:id="rId11" w:fontKey="{B2666B15-C683-964B-BC05-1B2E5A0A36EA}"/>
  </w:font>
  <w:font w:name="Aptos Narrow">
    <w:panose1 w:val="020B0004020202020204"/>
    <w:charset w:val="00"/>
    <w:family w:val="swiss"/>
    <w:pitch w:val="variable"/>
    <w:sig w:usb0="20000287" w:usb1="00000003" w:usb2="00000000" w:usb3="00000000" w:csb0="0000019F" w:csb1="00000000"/>
    <w:embedRegular r:id="rId12" w:fontKey="{78CCAE87-964D-EC4C-B201-CB8FA6CF9FE6}"/>
    <w:embedBold r:id="rId13" w:fontKey="{5FC70140-D58C-6A40-B689-E0F99FBC4CF0}"/>
  </w:font>
  <w:font w:name="Arimo">
    <w:altName w:val="Calibri"/>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15" w:fontKey="{9DAFAA48-6FDA-8A41-B123-6635E692A0BD}"/>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6" w:fontKey="{7FAAAC91-2A5B-0449-BE61-2919FF00C0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86881061"/>
      <w:docPartObj>
        <w:docPartGallery w:val="Page Numbers (Bottom of Page)"/>
        <w:docPartUnique/>
      </w:docPartObj>
    </w:sdtPr>
    <w:sdtContent>
      <w:p w14:paraId="73BA0838" w14:textId="47F473DB" w:rsidR="00543EEC" w:rsidRDefault="00543EEC" w:rsidP="00F460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5D7C5E" w14:textId="77777777" w:rsidR="00543EEC" w:rsidRDefault="00543EEC">
    <w:pPr>
      <w:pStyle w:val="Footer"/>
      <w:ind w:right="360"/>
      <w:pPrChange w:id="0" w:author="Johnston, Madison L." w:date="2024-06-30T23:12: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952FF" w14:textId="77777777" w:rsidR="00187849" w:rsidRDefault="00D06FD2">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081C4949" wp14:editId="4034312A">
              <wp:simplePos x="0" y="0"/>
              <wp:positionH relativeFrom="column">
                <wp:posOffset>6413500</wp:posOffset>
              </wp:positionH>
              <wp:positionV relativeFrom="paragraph">
                <wp:posOffset>9207500</wp:posOffset>
              </wp:positionV>
              <wp:extent cx="263525" cy="201295"/>
              <wp:effectExtent l="0" t="0" r="0" b="0"/>
              <wp:wrapNone/>
              <wp:docPr id="5" name="Freeform 5"/>
              <wp:cNvGraphicFramePr/>
              <a:graphic xmlns:a="http://schemas.openxmlformats.org/drawingml/2006/main">
                <a:graphicData uri="http://schemas.microsoft.com/office/word/2010/wordprocessingShape">
                  <wps:wsp>
                    <wps:cNvSpPr/>
                    <wps:spPr>
                      <a:xfrm>
                        <a:off x="5223763" y="3688878"/>
                        <a:ext cx="244475" cy="182245"/>
                      </a:xfrm>
                      <a:custGeom>
                        <a:avLst/>
                        <a:gdLst/>
                        <a:ahLst/>
                        <a:cxnLst/>
                        <a:rect l="l" t="t" r="r" b="b"/>
                        <a:pathLst>
                          <a:path w="244475" h="182245" extrusionOk="0">
                            <a:moveTo>
                              <a:pt x="0" y="0"/>
                            </a:moveTo>
                            <a:lnTo>
                              <a:pt x="0" y="182245"/>
                            </a:lnTo>
                            <a:lnTo>
                              <a:pt x="244475" y="182245"/>
                            </a:lnTo>
                            <a:lnTo>
                              <a:pt x="244475" y="0"/>
                            </a:lnTo>
                            <a:close/>
                          </a:path>
                        </a:pathLst>
                      </a:custGeom>
                      <a:solidFill>
                        <a:srgbClr val="FFFFFF"/>
                      </a:solidFill>
                      <a:ln>
                        <a:noFill/>
                      </a:ln>
                    </wps:spPr>
                    <wps:txbx>
                      <w:txbxContent>
                        <w:p w14:paraId="73CFC782" w14:textId="77777777" w:rsidR="00187849" w:rsidRDefault="00D06FD2">
                          <w:pPr>
                            <w:spacing w:before="12"/>
                            <w:ind w:left="60" w:firstLine="120"/>
                            <w:textDirection w:val="btLr"/>
                          </w:pPr>
                          <w:r>
                            <w:rPr>
                              <w:rFonts w:ascii="Arial" w:eastAsia="Arial" w:hAnsi="Arial" w:cs="Arial"/>
                              <w:color w:val="000000"/>
                            </w:rPr>
                            <w:t xml:space="preserve"> PAGE 10</w:t>
                          </w:r>
                        </w:p>
                      </w:txbxContent>
                    </wps:txbx>
                    <wps:bodyPr spcFirstLastPara="1" wrap="square" lIns="88900" tIns="38100" rIns="88900" bIns="38100" anchor="t" anchorCtr="0">
                      <a:noAutofit/>
                    </wps:bodyPr>
                  </wps:wsp>
                </a:graphicData>
              </a:graphic>
            </wp:anchor>
          </w:drawing>
        </mc:Choice>
        <mc:Fallback>
          <w:pict>
            <v:shape w14:anchorId="081C4949" id="Freeform 5" o:spid="_x0000_s1027" style="position:absolute;margin-left:505pt;margin-top:725pt;width:20.75pt;height:15.85pt;z-index:-251658240;visibility:visible;mso-wrap-style:square;mso-wrap-distance-left:0;mso-wrap-distance-top:0;mso-wrap-distance-right:0;mso-wrap-distance-bottom:0;mso-position-horizontal:absolute;mso-position-horizontal-relative:text;mso-position-vertical:absolute;mso-position-vertical-relative:text;v-text-anchor:top" coordsize="244475,18224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XwibNQIAALYEAAAOAAAAZHJzL2Uyb0RvYy54bWysVNuO2jAQfa/Uf7D8XgLhliLCqtoVVaVV&#13;&#10;F2m3H+A4DrHq2K7HkPD3HTsE2OWtKg/2OHM8PnNmhvVD1yhyFA6k0TmdjMaUCM1NKfU+p7/etl8y&#13;&#10;SsAzXTJltMjpSQB92Hz+tG7tSqSmNqoUjmAQDavW5rT23q6SBHgtGgYjY4VGZ2Vcwzwe3T4pHWsx&#13;&#10;eqOSdDxeJK1xpXWGCwD8+tQ76SbGryrB/UtVgfBE5RS5+bi6uBZhTTZrtto7ZmvJzzTYP7BomNT4&#13;&#10;6CXUE/OMHJy8C9VI7gyYyo+4aRJTVZKLmANmMxl/yOa1ZlbEXFAcsBeZ4P+F5T+Pr3bnUIbWwgrQ&#13;&#10;DFl0lWvCjvxIl9N5mk6Xiyklp5xOF1mWLbNeONF5whGQzmaz5ZwSjoBJlqazefAn10D8AP67MDEo&#13;&#10;Oz6D73UvB4vVg8U7PZgOqxfqpmLdPCVYN0cJ1q3on7fMh3uBaTBJe2VSX4gQJOkOoT9ffoeKB3Rj&#13;&#10;juLNxHs+JIidgcxjNyDpq1fpe9S7/AbAsNsYbpDjoxoDatjv0AODAcCVAdErGRKMkl6SRqa3soJR&#13;&#10;stxKpUJa4PbFo3LkyFC/bfydK/IOpnQAaxOu9c+EL8m1FYLlu6JDZzALU552joDlW+nAPzPwO+Zw&#13;&#10;YCaUtDhEOYU/B+YEJeqHxi7Nsq/jMHXxMM0m4eBuPcWth2leG6wxVro3Hz2e+opp8+3gTSVD40R+&#13;&#10;PZXzAYcjanMe5DB9t+eIuv7dbP4CAAD//wMAUEsDBBQABgAIAAAAIQCK8cYf5QAAABQBAAAPAAAA&#13;&#10;ZHJzL2Rvd25yZXYueG1sTE9NS8NAEL0L/odlBC9idyOmhjSbUpQeCmKxKuJtkmw+cD/C7raN/97J&#13;&#10;SS/De/Px5r1iPRnNTsqHwVkJyUIAU7Z2zWA7Ce9v29sMWIhoG9TOKgk/KsC6vLwoMG/c2b6q0yF2&#13;&#10;jERsyFFCH+OYcx7qXhkMCzcqS7PWeYORqO944/FM4kbzOyGW3OBg6UOPo3rsVf19OBoJuG/9srpp&#13;&#10;d9mnHtqdfvn42jxvpby+mp5WVDYrYFFN8e8C5gzkH0oyVrmjbQLTxEUiKFEkdJ/OaN4RaZICq+Ze&#13;&#10;ljwALwv+P0z5CwAA//8DAFBLAQItABQABgAIAAAAIQC2gziS/gAAAOEBAAATAAAAAAAAAAAAAAAA&#13;&#10;AAAAAABbQ29udGVudF9UeXBlc10ueG1sUEsBAi0AFAAGAAgAAAAhADj9If/WAAAAlAEAAAsAAAAA&#13;&#10;AAAAAAAAAAAALwEAAF9yZWxzLy5yZWxzUEsBAi0AFAAGAAgAAAAhADBfCJs1AgAAtgQAAA4AAAAA&#13;&#10;AAAAAAAAAAAALgIAAGRycy9lMm9Eb2MueG1sUEsBAi0AFAAGAAgAAAAhAIrxxh/lAAAAFAEAAA8A&#13;&#10;AAAAAAAAAAAAAAAAjwQAAGRycy9kb3ducmV2LnhtbFBLBQYAAAAABAAEAPMAAAChBQAAAAA=&#13;&#10;" adj="-11796480,,5400" path="m,l,182245r244475,l244475,,,xe" stroked="f">
              <v:stroke joinstyle="miter"/>
              <v:formulas/>
              <v:path arrowok="t" o:extrusionok="f" o:connecttype="custom" textboxrect="0,0,244475,182245"/>
              <v:textbox inset="7pt,3pt,7pt,3pt">
                <w:txbxContent>
                  <w:p w14:paraId="73CFC782" w14:textId="77777777" w:rsidR="00187849" w:rsidRDefault="00D06FD2">
                    <w:pPr>
                      <w:spacing w:before="12"/>
                      <w:ind w:left="60" w:firstLine="120"/>
                      <w:textDirection w:val="btLr"/>
                    </w:pPr>
                    <w:r>
                      <w:rPr>
                        <w:rFonts w:ascii="Arial" w:eastAsia="Arial" w:hAnsi="Arial" w:cs="Arial"/>
                        <w:color w:val="000000"/>
                      </w:rPr>
                      <w:t xml:space="preserve"> PAGE 10</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A37A8" w14:textId="77777777" w:rsidR="00441E1E" w:rsidRDefault="00441E1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29224140"/>
      <w:docPartObj>
        <w:docPartGallery w:val="Page Numbers (Bottom of Page)"/>
        <w:docPartUnique/>
      </w:docPartObj>
    </w:sdtPr>
    <w:sdtContent>
      <w:p w14:paraId="65C7A4CC" w14:textId="1353C8BE" w:rsidR="00F46008" w:rsidRDefault="00F46008" w:rsidP="00322D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504EF29A" w14:textId="77777777" w:rsidR="00F46008" w:rsidRDefault="00F46008" w:rsidP="00F46008">
    <w:pPr>
      <w:pBdr>
        <w:top w:val="nil"/>
        <w:left w:val="nil"/>
        <w:bottom w:val="nil"/>
        <w:right w:val="nil"/>
        <w:between w:val="nil"/>
      </w:pBdr>
      <w:spacing w:line="14" w:lineRule="auto"/>
      <w:ind w:right="360"/>
      <w:rPr>
        <w:color w:val="000000"/>
        <w:sz w:val="20"/>
        <w:szCs w:val="20"/>
      </w:rPr>
    </w:pPr>
    <w:r>
      <w:rPr>
        <w:noProof/>
      </w:rPr>
      <mc:AlternateContent>
        <mc:Choice Requires="wps">
          <w:drawing>
            <wp:anchor distT="0" distB="0" distL="0" distR="0" simplePos="0" relativeHeight="251660288" behindDoc="1" locked="0" layoutInCell="1" hidden="0" allowOverlap="1" wp14:anchorId="7FBDE618" wp14:editId="333112FE">
              <wp:simplePos x="0" y="0"/>
              <wp:positionH relativeFrom="column">
                <wp:posOffset>6413500</wp:posOffset>
              </wp:positionH>
              <wp:positionV relativeFrom="paragraph">
                <wp:posOffset>9207500</wp:posOffset>
              </wp:positionV>
              <wp:extent cx="263525" cy="201295"/>
              <wp:effectExtent l="0" t="0" r="0" b="0"/>
              <wp:wrapNone/>
              <wp:docPr id="534922951" name="Freeform 534922951"/>
              <wp:cNvGraphicFramePr/>
              <a:graphic xmlns:a="http://schemas.openxmlformats.org/drawingml/2006/main">
                <a:graphicData uri="http://schemas.microsoft.com/office/word/2010/wordprocessingShape">
                  <wps:wsp>
                    <wps:cNvSpPr/>
                    <wps:spPr>
                      <a:xfrm>
                        <a:off x="5223763" y="3688878"/>
                        <a:ext cx="244475" cy="182245"/>
                      </a:xfrm>
                      <a:custGeom>
                        <a:avLst/>
                        <a:gdLst/>
                        <a:ahLst/>
                        <a:cxnLst/>
                        <a:rect l="l" t="t" r="r" b="b"/>
                        <a:pathLst>
                          <a:path w="244475" h="182245" extrusionOk="0">
                            <a:moveTo>
                              <a:pt x="0" y="0"/>
                            </a:moveTo>
                            <a:lnTo>
                              <a:pt x="0" y="182245"/>
                            </a:lnTo>
                            <a:lnTo>
                              <a:pt x="244475" y="182245"/>
                            </a:lnTo>
                            <a:lnTo>
                              <a:pt x="244475" y="0"/>
                            </a:lnTo>
                            <a:close/>
                          </a:path>
                        </a:pathLst>
                      </a:custGeom>
                      <a:solidFill>
                        <a:srgbClr val="FFFFFF"/>
                      </a:solidFill>
                      <a:ln>
                        <a:noFill/>
                      </a:ln>
                    </wps:spPr>
                    <wps:txbx>
                      <w:txbxContent>
                        <w:p w14:paraId="77E8CDC8" w14:textId="77777777" w:rsidR="00F46008" w:rsidRDefault="00F46008">
                          <w:pPr>
                            <w:spacing w:before="12"/>
                            <w:ind w:left="60" w:firstLine="120"/>
                            <w:textDirection w:val="btLr"/>
                          </w:pPr>
                          <w:r>
                            <w:rPr>
                              <w:rFonts w:ascii="Arial" w:eastAsia="Arial" w:hAnsi="Arial" w:cs="Arial"/>
                              <w:color w:val="000000"/>
                            </w:rPr>
                            <w:t xml:space="preserve"> PAGE 10</w:t>
                          </w:r>
                        </w:p>
                      </w:txbxContent>
                    </wps:txbx>
                    <wps:bodyPr spcFirstLastPara="1" wrap="square" lIns="88900" tIns="38100" rIns="88900" bIns="38100" anchor="t" anchorCtr="0">
                      <a:noAutofit/>
                    </wps:bodyPr>
                  </wps:wsp>
                </a:graphicData>
              </a:graphic>
            </wp:anchor>
          </w:drawing>
        </mc:Choice>
        <mc:Fallback>
          <w:pict>
            <v:shape w14:anchorId="7FBDE618" id="Freeform 534922951" o:spid="_x0000_s1028" style="position:absolute;margin-left:505pt;margin-top:725pt;width:20.75pt;height:15.85pt;z-index:-251656192;visibility:visible;mso-wrap-style:square;mso-wrap-distance-left:0;mso-wrap-distance-top:0;mso-wrap-distance-right:0;mso-wrap-distance-bottom:0;mso-position-horizontal:absolute;mso-position-horizontal-relative:text;mso-position-vertical:absolute;mso-position-vertical-relative:text;v-text-anchor:top" coordsize="244475,18224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qhwOQIAAL0EAAAOAAAAZHJzL2Uyb0RvYy54bWysVM1u2zAMvg/YOwi6L06cPy+IUwwtMgwo&#13;&#10;1gDtHkCW5ViYLGmSEjtvP1KOk7S5DfNBIkWK+viR9PqhaxQ5Cuel0TmdjMaUCM1NKfU+p7/etl8y&#13;&#10;SnxgumTKaJHTk/D0YfP507q1K5Ga2qhSOAJBtF+1Nqd1CHaVJJ7XomF+ZKzQYKyMa1gA1e2T0rEW&#13;&#10;ojcqScfjRdIaV1pnuPAeTp96I93E+FUleHipKi8CUTkFbCGuLq4FrslmzVZ7x2wt+RkG+wcUDZMa&#13;&#10;Hr2EemKBkYOTd6EayZ3xpgojbprEVJXkIuYA2UzGH7J5rZkVMRcgx9sLTf7/heU/j69254CG1vqV&#13;&#10;BxGz6CrX4A74SJfTeZpOl4spJaecThdZli2znjjRBcLBIZ3NZss5JRwcJlmazuZoT66B+MGH78LE&#13;&#10;oOz47EPPezlIrB4k3ulBdFA9rJuKdQuUQN0cJVC3on/esoD3ECmKpL0iqS9ACIB0B+zPl99YcfRu&#13;&#10;zFG8mXgvYILQGYA8dgOAvlqVvvd6l9/gMOw2hhvo+MjG4DXsd94DgsGBK+NFzyQmGCm9JA1Ib2n1&#13;&#10;RslyK5XCtLzbF4/KkSMD/rbxO1fknZvS6KwNXuufwZPk2gooha7oiCyBUAyBJ4UpTztHvOVb6Xx4&#13;&#10;Zj7smIO5mVDSwizl1P85MCcoUT80NGuWfR3j8EVlmk1QcbeW4tbCNK8NlBoK3ouPAbS+cNp8OwRT&#13;&#10;SeyfCLOHclZgRiJF53nGIbzVo9f1r7P5CwAA//8DAFBLAwQUAAYACAAAACEAivHGH+UAAAAUAQAA&#13;&#10;DwAAAGRycy9kb3ducmV2LnhtbExPTUvDQBC9C/6HZQQvYncjpoY0m1KUHgpisSribZJsPnA/wu62&#13;&#10;jf/eyUkvw3vz8ea9Yj0ZzU7Kh8FZCclCAFO2ds1gOwnvb9vbDFiIaBvUzioJPyrAury8KDBv3Nm+&#13;&#10;qtMhdoxEbMhRQh/jmHMe6l4ZDAs3Kkuz1nmDkajveOPxTOJG8zshltzgYOlDj6N67FX9fTgaCbhv&#13;&#10;/bK6aXfZpx7anX75+No8b6W8vpqeVlQ2K2BRTfHvAuYM5B9KMla5o20C08RFIihRJHSfzmjeEWmS&#13;&#10;AqvmXpY8AC8L/j9M+QsAAP//AwBQSwECLQAUAAYACAAAACEAtoM4kv4AAADhAQAAEwAAAAAAAAAA&#13;&#10;AAAAAAAAAAAAW0NvbnRlbnRfVHlwZXNdLnhtbFBLAQItABQABgAIAAAAIQA4/SH/1gAAAJQBAAAL&#13;&#10;AAAAAAAAAAAAAAAAAC8BAABfcmVscy8ucmVsc1BLAQItABQABgAIAAAAIQAeRqhwOQIAAL0EAAAO&#13;&#10;AAAAAAAAAAAAAAAAAC4CAABkcnMvZTJvRG9jLnhtbFBLAQItABQABgAIAAAAIQCK8cYf5QAAABQB&#13;&#10;AAAPAAAAAAAAAAAAAAAAAJMEAABkcnMvZG93bnJldi54bWxQSwUGAAAAAAQABADzAAAApQUAAAAA&#13;&#10;" adj="-11796480,,5400" path="m,l,182245r244475,l244475,,,xe" stroked="f">
              <v:stroke joinstyle="miter"/>
              <v:formulas/>
              <v:path arrowok="t" o:extrusionok="f" o:connecttype="custom" textboxrect="0,0,244475,182245"/>
              <v:textbox inset="7pt,3pt,7pt,3pt">
                <w:txbxContent>
                  <w:p w14:paraId="77E8CDC8" w14:textId="77777777" w:rsidR="00F46008" w:rsidRDefault="00F46008">
                    <w:pPr>
                      <w:spacing w:before="12"/>
                      <w:ind w:left="60" w:firstLine="120"/>
                      <w:textDirection w:val="btLr"/>
                    </w:pPr>
                    <w:r>
                      <w:rPr>
                        <w:rFonts w:ascii="Arial" w:eastAsia="Arial" w:hAnsi="Arial" w:cs="Arial"/>
                        <w:color w:val="000000"/>
                      </w:rPr>
                      <w:t xml:space="preserve"> PAGE 10</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55830753"/>
      <w:docPartObj>
        <w:docPartGallery w:val="Page Numbers (Bottom of Page)"/>
        <w:docPartUnique/>
      </w:docPartObj>
    </w:sdtPr>
    <w:sdtContent>
      <w:p w14:paraId="27CBEB9B" w14:textId="77777777" w:rsidR="00F46008" w:rsidRDefault="00F46008" w:rsidP="00322D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551A5D91" w14:textId="77777777" w:rsidR="00F46008" w:rsidRDefault="00F46008" w:rsidP="00F46008">
    <w:pPr>
      <w:pBdr>
        <w:top w:val="nil"/>
        <w:left w:val="nil"/>
        <w:bottom w:val="nil"/>
        <w:right w:val="nil"/>
        <w:between w:val="nil"/>
      </w:pBdr>
      <w:spacing w:line="14" w:lineRule="auto"/>
      <w:ind w:right="360"/>
      <w:rPr>
        <w:color w:val="000000"/>
        <w:sz w:val="20"/>
        <w:szCs w:val="20"/>
      </w:rPr>
    </w:pPr>
    <w:r>
      <w:rPr>
        <w:noProof/>
      </w:rPr>
      <mc:AlternateContent>
        <mc:Choice Requires="wps">
          <w:drawing>
            <wp:anchor distT="0" distB="0" distL="0" distR="0" simplePos="0" relativeHeight="251662336" behindDoc="1" locked="0" layoutInCell="1" hidden="0" allowOverlap="1" wp14:anchorId="6F846FB8" wp14:editId="46BEE333">
              <wp:simplePos x="0" y="0"/>
              <wp:positionH relativeFrom="column">
                <wp:posOffset>6413500</wp:posOffset>
              </wp:positionH>
              <wp:positionV relativeFrom="paragraph">
                <wp:posOffset>9207500</wp:posOffset>
              </wp:positionV>
              <wp:extent cx="263525" cy="201295"/>
              <wp:effectExtent l="0" t="0" r="0" b="0"/>
              <wp:wrapNone/>
              <wp:docPr id="287736484" name="Freeform 287736484"/>
              <wp:cNvGraphicFramePr/>
              <a:graphic xmlns:a="http://schemas.openxmlformats.org/drawingml/2006/main">
                <a:graphicData uri="http://schemas.microsoft.com/office/word/2010/wordprocessingShape">
                  <wps:wsp>
                    <wps:cNvSpPr/>
                    <wps:spPr>
                      <a:xfrm>
                        <a:off x="5223763" y="3688878"/>
                        <a:ext cx="244475" cy="182245"/>
                      </a:xfrm>
                      <a:custGeom>
                        <a:avLst/>
                        <a:gdLst/>
                        <a:ahLst/>
                        <a:cxnLst/>
                        <a:rect l="l" t="t" r="r" b="b"/>
                        <a:pathLst>
                          <a:path w="244475" h="182245" extrusionOk="0">
                            <a:moveTo>
                              <a:pt x="0" y="0"/>
                            </a:moveTo>
                            <a:lnTo>
                              <a:pt x="0" y="182245"/>
                            </a:lnTo>
                            <a:lnTo>
                              <a:pt x="244475" y="182245"/>
                            </a:lnTo>
                            <a:lnTo>
                              <a:pt x="244475" y="0"/>
                            </a:lnTo>
                            <a:close/>
                          </a:path>
                        </a:pathLst>
                      </a:custGeom>
                      <a:solidFill>
                        <a:srgbClr val="FFFFFF"/>
                      </a:solidFill>
                      <a:ln>
                        <a:noFill/>
                      </a:ln>
                    </wps:spPr>
                    <wps:txbx>
                      <w:txbxContent>
                        <w:p w14:paraId="1985ABF6" w14:textId="77777777" w:rsidR="00F46008" w:rsidRDefault="00F46008">
                          <w:pPr>
                            <w:spacing w:before="12"/>
                            <w:ind w:left="60" w:firstLine="120"/>
                            <w:textDirection w:val="btLr"/>
                          </w:pPr>
                          <w:r>
                            <w:rPr>
                              <w:rFonts w:ascii="Arial" w:eastAsia="Arial" w:hAnsi="Arial" w:cs="Arial"/>
                              <w:color w:val="000000"/>
                            </w:rPr>
                            <w:t xml:space="preserve"> PAGE 10</w:t>
                          </w:r>
                        </w:p>
                      </w:txbxContent>
                    </wps:txbx>
                    <wps:bodyPr spcFirstLastPara="1" wrap="square" lIns="88900" tIns="38100" rIns="88900" bIns="38100" anchor="t" anchorCtr="0">
                      <a:noAutofit/>
                    </wps:bodyPr>
                  </wps:wsp>
                </a:graphicData>
              </a:graphic>
            </wp:anchor>
          </w:drawing>
        </mc:Choice>
        <mc:Fallback>
          <w:pict>
            <v:shape w14:anchorId="6F846FB8" id="Freeform 287736484" o:spid="_x0000_s1029" style="position:absolute;margin-left:505pt;margin-top:725pt;width:20.75pt;height:15.85pt;z-index:-251654144;visibility:visible;mso-wrap-style:square;mso-wrap-distance-left:0;mso-wrap-distance-top:0;mso-wrap-distance-right:0;mso-wrap-distance-bottom:0;mso-position-horizontal:absolute;mso-position-horizontal-relative:text;mso-position-vertical:absolute;mso-position-vertical-relative:text;v-text-anchor:top" coordsize="244475,18224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IdTIOQIAAL0EAAAOAAAAZHJzL2Uyb0RvYy54bWysVM1u2zAMvg/YOwi6L06cPy+IUwwtMgwo&#13;&#10;1gDtHkCW5ViYLGmSEjtvP1KOk7S5DfNBIkWK+viR9PqhaxQ5Cuel0TmdjMaUCM1NKfU+p7/etl8y&#13;&#10;SnxgumTKaJHTk/D0YfP507q1K5Ga2qhSOAJBtF+1Nqd1CHaVJJ7XomF+ZKzQYKyMa1gA1e2T0rEW&#13;&#10;ojcqScfjRdIaV1pnuPAeTp96I93E+FUleHipKi8CUTkFbCGuLq4FrslmzVZ7x2wt+RkG+wcUDZMa&#13;&#10;Hr2EemKBkYOTd6EayZ3xpgojbprEVJXkIuYA2UzGH7J5rZkVMRcgx9sLTf7/heU/j69254CG1vqV&#13;&#10;BxGz6CrX4A74SJfTeZpOl4spJaecThdZli2znjjRBcLBIZ3NZss5JRwcJlmazuZoT66B+MGH78LE&#13;&#10;oOz47EPPezlIrB4k3ulBdFA9rJuKdQuUQN0cJVC3on/esoD3ECmKpL0iqS9ACIB0B+zPl99YcfRu&#13;&#10;zFG8mXgvYILQGYA8dgOAvlqVvvd6l9/gMOw2hhvo+MjG4DXsd94DgsGBK+NFzyQmGCm9JA1Ib2n1&#13;&#10;RslyK5XCtLzbF4/KkSMD/rbxO1fknZvS6KwNXuufwZPk2gooha7oiCyBWwyBJ4UpTztHvOVb6Xx4&#13;&#10;Zj7smIO5mVDSwizl1P85MCcoUT80NGuWfR3j8EVlmk1QcbeW4tbCNK8NlBoK3ouPAbS+cNp8OwRT&#13;&#10;SeyfCLOHclZgRiJF53nGIbzVo9f1r7P5CwAA//8DAFBLAwQUAAYACAAAACEAivHGH+UAAAAUAQAA&#13;&#10;DwAAAGRycy9kb3ducmV2LnhtbExPTUvDQBC9C/6HZQQvYncjpoY0m1KUHgpisSribZJsPnA/wu62&#13;&#10;jf/eyUkvw3vz8ea9Yj0ZzU7Kh8FZCclCAFO2ds1gOwnvb9vbDFiIaBvUzioJPyrAury8KDBv3Nm+&#13;&#10;qtMhdoxEbMhRQh/jmHMe6l4ZDAs3Kkuz1nmDkajveOPxTOJG8zshltzgYOlDj6N67FX9fTgaCbhv&#13;&#10;/bK6aXfZpx7anX75+No8b6W8vpqeVlQ2K2BRTfHvAuYM5B9KMla5o20C08RFIihRJHSfzmjeEWmS&#13;&#10;AqvmXpY8AC8L/j9M+QsAAP//AwBQSwECLQAUAAYACAAAACEAtoM4kv4AAADhAQAAEwAAAAAAAAAA&#13;&#10;AAAAAAAAAAAAW0NvbnRlbnRfVHlwZXNdLnhtbFBLAQItABQABgAIAAAAIQA4/SH/1gAAAJQBAAAL&#13;&#10;AAAAAAAAAAAAAAAAAC8BAABfcmVscy8ucmVsc1BLAQItABQABgAIAAAAIQDPIdTIOQIAAL0EAAAO&#13;&#10;AAAAAAAAAAAAAAAAAC4CAABkcnMvZTJvRG9jLnhtbFBLAQItABQABgAIAAAAIQCK8cYf5QAAABQB&#13;&#10;AAAPAAAAAAAAAAAAAAAAAJMEAABkcnMvZG93bnJldi54bWxQSwUGAAAAAAQABADzAAAApQUAAAAA&#13;&#10;" adj="-11796480,,5400" path="m,l,182245r244475,l244475,,,xe" stroked="f">
              <v:stroke joinstyle="miter"/>
              <v:formulas/>
              <v:path arrowok="t" o:extrusionok="f" o:connecttype="custom" textboxrect="0,0,244475,182245"/>
              <v:textbox inset="7pt,3pt,7pt,3pt">
                <w:txbxContent>
                  <w:p w14:paraId="1985ABF6" w14:textId="77777777" w:rsidR="00F46008" w:rsidRDefault="00F46008">
                    <w:pPr>
                      <w:spacing w:before="12"/>
                      <w:ind w:left="60" w:firstLine="120"/>
                      <w:textDirection w:val="btLr"/>
                    </w:pPr>
                    <w:r>
                      <w:rPr>
                        <w:rFonts w:ascii="Arial" w:eastAsia="Arial" w:hAnsi="Arial" w:cs="Arial"/>
                        <w:color w:val="000000"/>
                      </w:rPr>
                      <w:t xml:space="preserve"> PAGE 10</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B8F13E" w14:textId="77777777" w:rsidR="00A329CC" w:rsidRDefault="00A329CC">
      <w:r>
        <w:separator/>
      </w:r>
    </w:p>
  </w:footnote>
  <w:footnote w:type="continuationSeparator" w:id="0">
    <w:p w14:paraId="2DA11385" w14:textId="77777777" w:rsidR="00A329CC" w:rsidRDefault="00A32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0F9DB" w14:textId="77777777" w:rsidR="00441E1E" w:rsidRDefault="00441E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10"/>
      <w:gridCol w:w="3710"/>
      <w:gridCol w:w="3710"/>
    </w:tblGrid>
    <w:tr w:rsidR="5918D39D" w14:paraId="089C0A82" w14:textId="77777777" w:rsidTr="5918D39D">
      <w:trPr>
        <w:trHeight w:val="300"/>
      </w:trPr>
      <w:tc>
        <w:tcPr>
          <w:tcW w:w="3710" w:type="dxa"/>
        </w:tcPr>
        <w:p w14:paraId="4BDC810B" w14:textId="62C59043" w:rsidR="5918D39D" w:rsidRDefault="5918D39D" w:rsidP="5918D39D">
          <w:pPr>
            <w:pStyle w:val="Header"/>
            <w:ind w:left="-115"/>
          </w:pPr>
        </w:p>
      </w:tc>
      <w:tc>
        <w:tcPr>
          <w:tcW w:w="3710" w:type="dxa"/>
        </w:tcPr>
        <w:p w14:paraId="1910CD2E" w14:textId="5BEADA5C" w:rsidR="5918D39D" w:rsidRDefault="5918D39D" w:rsidP="5918D39D">
          <w:pPr>
            <w:pStyle w:val="Header"/>
            <w:jc w:val="center"/>
          </w:pPr>
        </w:p>
      </w:tc>
      <w:tc>
        <w:tcPr>
          <w:tcW w:w="3710" w:type="dxa"/>
        </w:tcPr>
        <w:p w14:paraId="19A6EDD4" w14:textId="13F01145" w:rsidR="5918D39D" w:rsidRDefault="5918D39D" w:rsidP="5918D39D">
          <w:pPr>
            <w:pStyle w:val="Header"/>
            <w:ind w:right="-115"/>
            <w:jc w:val="right"/>
          </w:pPr>
        </w:p>
      </w:tc>
    </w:tr>
  </w:tbl>
  <w:p w14:paraId="1D55AB42" w14:textId="076F8069" w:rsidR="5918D39D" w:rsidRDefault="5918D39D" w:rsidP="5918D3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11D20" w14:textId="77777777" w:rsidR="00441E1E" w:rsidRDefault="00441E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10"/>
      <w:gridCol w:w="3710"/>
      <w:gridCol w:w="3710"/>
    </w:tblGrid>
    <w:tr w:rsidR="5918D39D" w14:paraId="31DAAD6F" w14:textId="77777777" w:rsidTr="5918D39D">
      <w:trPr>
        <w:trHeight w:val="300"/>
      </w:trPr>
      <w:tc>
        <w:tcPr>
          <w:tcW w:w="3710" w:type="dxa"/>
        </w:tcPr>
        <w:p w14:paraId="7E7DB49C" w14:textId="0CB82887" w:rsidR="5918D39D" w:rsidRDefault="5918D39D" w:rsidP="5918D39D">
          <w:pPr>
            <w:pStyle w:val="Header"/>
            <w:ind w:left="-115"/>
          </w:pPr>
        </w:p>
      </w:tc>
      <w:tc>
        <w:tcPr>
          <w:tcW w:w="3710" w:type="dxa"/>
        </w:tcPr>
        <w:p w14:paraId="664F0FE4" w14:textId="69E4C62F" w:rsidR="5918D39D" w:rsidRDefault="5918D39D" w:rsidP="5918D39D">
          <w:pPr>
            <w:pStyle w:val="Header"/>
            <w:jc w:val="center"/>
          </w:pPr>
        </w:p>
      </w:tc>
      <w:tc>
        <w:tcPr>
          <w:tcW w:w="3710" w:type="dxa"/>
        </w:tcPr>
        <w:p w14:paraId="4F6027E3" w14:textId="2AD6D6BC" w:rsidR="5918D39D" w:rsidRDefault="5918D39D" w:rsidP="5918D39D">
          <w:pPr>
            <w:pStyle w:val="Header"/>
            <w:ind w:right="-115"/>
            <w:jc w:val="right"/>
          </w:pPr>
        </w:p>
      </w:tc>
    </w:tr>
  </w:tbl>
  <w:p w14:paraId="29A95C6D" w14:textId="2FEB1E66" w:rsidR="5918D39D" w:rsidRDefault="5918D39D" w:rsidP="5918D39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10"/>
      <w:gridCol w:w="3710"/>
      <w:gridCol w:w="3710"/>
    </w:tblGrid>
    <w:tr w:rsidR="5918D39D" w14:paraId="174B3AAC" w14:textId="77777777" w:rsidTr="5918D39D">
      <w:trPr>
        <w:trHeight w:val="300"/>
      </w:trPr>
      <w:tc>
        <w:tcPr>
          <w:tcW w:w="3710" w:type="dxa"/>
        </w:tcPr>
        <w:p w14:paraId="157093E3" w14:textId="6BE284D3" w:rsidR="5918D39D" w:rsidRDefault="5918D39D" w:rsidP="5918D39D">
          <w:pPr>
            <w:pStyle w:val="Header"/>
            <w:ind w:left="-115"/>
          </w:pPr>
        </w:p>
      </w:tc>
      <w:tc>
        <w:tcPr>
          <w:tcW w:w="3710" w:type="dxa"/>
        </w:tcPr>
        <w:p w14:paraId="33F01F76" w14:textId="6087F2E9" w:rsidR="5918D39D" w:rsidRDefault="5918D39D" w:rsidP="5918D39D">
          <w:pPr>
            <w:pStyle w:val="Header"/>
            <w:jc w:val="center"/>
          </w:pPr>
        </w:p>
      </w:tc>
      <w:tc>
        <w:tcPr>
          <w:tcW w:w="3710" w:type="dxa"/>
        </w:tcPr>
        <w:p w14:paraId="04FA03F3" w14:textId="3445775C" w:rsidR="5918D39D" w:rsidRDefault="5918D39D" w:rsidP="5918D39D">
          <w:pPr>
            <w:pStyle w:val="Header"/>
            <w:ind w:right="-115"/>
            <w:jc w:val="right"/>
          </w:pPr>
        </w:p>
      </w:tc>
    </w:tr>
  </w:tbl>
  <w:p w14:paraId="33EA943D" w14:textId="599978E7" w:rsidR="5918D39D" w:rsidRDefault="5918D39D" w:rsidP="5918D39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710"/>
      <w:gridCol w:w="3710"/>
      <w:gridCol w:w="3710"/>
    </w:tblGrid>
    <w:tr w:rsidR="5918D39D" w14:paraId="34625795" w14:textId="77777777" w:rsidTr="5918D39D">
      <w:trPr>
        <w:trHeight w:val="300"/>
      </w:trPr>
      <w:tc>
        <w:tcPr>
          <w:tcW w:w="3710" w:type="dxa"/>
        </w:tcPr>
        <w:p w14:paraId="181CC194" w14:textId="71F202BB" w:rsidR="5918D39D" w:rsidRDefault="5918D39D" w:rsidP="5918D39D">
          <w:pPr>
            <w:pStyle w:val="Header"/>
            <w:ind w:left="-115"/>
          </w:pPr>
        </w:p>
      </w:tc>
      <w:tc>
        <w:tcPr>
          <w:tcW w:w="3710" w:type="dxa"/>
        </w:tcPr>
        <w:p w14:paraId="13990113" w14:textId="3AA65485" w:rsidR="5918D39D" w:rsidRDefault="5918D39D" w:rsidP="5918D39D">
          <w:pPr>
            <w:pStyle w:val="Header"/>
            <w:jc w:val="center"/>
          </w:pPr>
        </w:p>
      </w:tc>
      <w:tc>
        <w:tcPr>
          <w:tcW w:w="3710" w:type="dxa"/>
        </w:tcPr>
        <w:p w14:paraId="51D370EF" w14:textId="2EA422C7" w:rsidR="5918D39D" w:rsidRDefault="5918D39D" w:rsidP="5918D39D">
          <w:pPr>
            <w:pStyle w:val="Header"/>
            <w:ind w:right="-115"/>
            <w:jc w:val="right"/>
          </w:pPr>
        </w:p>
      </w:tc>
    </w:tr>
  </w:tbl>
  <w:p w14:paraId="0EA95693" w14:textId="53840568" w:rsidR="5918D39D" w:rsidRDefault="5918D39D" w:rsidP="5918D39D">
    <w:pPr>
      <w:pStyle w:val="Header"/>
    </w:pPr>
  </w:p>
</w:hdr>
</file>

<file path=word/intelligence2.xml><?xml version="1.0" encoding="utf-8"?>
<int2:intelligence xmlns:int2="http://schemas.microsoft.com/office/intelligence/2020/intelligence" xmlns:oel="http://schemas.microsoft.com/office/2019/extlst">
  <int2:observations>
    <int2:textHash int2:hashCode="LKjNEkBO7pEuel" int2:id="WSfHdGeN">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B3129"/>
    <w:multiLevelType w:val="multilevel"/>
    <w:tmpl w:val="FFFFFFFF"/>
    <w:lvl w:ilvl="0">
      <w:start w:val="1"/>
      <w:numFmt w:val="decimal"/>
      <w:lvlText w:val="%1)"/>
      <w:lvlJc w:val="left"/>
      <w:pPr>
        <w:ind w:left="1629" w:hanging="260"/>
      </w:pPr>
      <w:rPr>
        <w:rFonts w:ascii="Times New Roman" w:eastAsia="Times New Roman" w:hAnsi="Times New Roman" w:cs="Times New Roman"/>
        <w:b w:val="0"/>
        <w:i w:val="0"/>
        <w:sz w:val="24"/>
        <w:szCs w:val="24"/>
      </w:rPr>
    </w:lvl>
    <w:lvl w:ilvl="1">
      <w:numFmt w:val="bullet"/>
      <w:lvlText w:val="•"/>
      <w:lvlJc w:val="left"/>
      <w:pPr>
        <w:ind w:left="2572" w:hanging="260"/>
      </w:pPr>
    </w:lvl>
    <w:lvl w:ilvl="2">
      <w:numFmt w:val="bullet"/>
      <w:lvlText w:val="•"/>
      <w:lvlJc w:val="left"/>
      <w:pPr>
        <w:ind w:left="3524" w:hanging="260"/>
      </w:pPr>
    </w:lvl>
    <w:lvl w:ilvl="3">
      <w:numFmt w:val="bullet"/>
      <w:lvlText w:val="•"/>
      <w:lvlJc w:val="left"/>
      <w:pPr>
        <w:ind w:left="4476" w:hanging="260"/>
      </w:pPr>
    </w:lvl>
    <w:lvl w:ilvl="4">
      <w:numFmt w:val="bullet"/>
      <w:lvlText w:val="•"/>
      <w:lvlJc w:val="left"/>
      <w:pPr>
        <w:ind w:left="5428" w:hanging="260"/>
      </w:pPr>
    </w:lvl>
    <w:lvl w:ilvl="5">
      <w:numFmt w:val="bullet"/>
      <w:lvlText w:val="•"/>
      <w:lvlJc w:val="left"/>
      <w:pPr>
        <w:ind w:left="6380" w:hanging="260"/>
      </w:pPr>
    </w:lvl>
    <w:lvl w:ilvl="6">
      <w:numFmt w:val="bullet"/>
      <w:lvlText w:val="•"/>
      <w:lvlJc w:val="left"/>
      <w:pPr>
        <w:ind w:left="7332" w:hanging="260"/>
      </w:pPr>
    </w:lvl>
    <w:lvl w:ilvl="7">
      <w:numFmt w:val="bullet"/>
      <w:lvlText w:val="•"/>
      <w:lvlJc w:val="left"/>
      <w:pPr>
        <w:ind w:left="8284" w:hanging="260"/>
      </w:pPr>
    </w:lvl>
    <w:lvl w:ilvl="8">
      <w:numFmt w:val="bullet"/>
      <w:lvlText w:val="•"/>
      <w:lvlJc w:val="left"/>
      <w:pPr>
        <w:ind w:left="9236" w:hanging="260"/>
      </w:pPr>
    </w:lvl>
  </w:abstractNum>
  <w:abstractNum w:abstractNumId="1" w15:restartNumberingAfterBreak="0">
    <w:nsid w:val="3068482C"/>
    <w:multiLevelType w:val="hybridMultilevel"/>
    <w:tmpl w:val="65B66F30"/>
    <w:lvl w:ilvl="0" w:tplc="12BE6D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FD585C"/>
    <w:multiLevelType w:val="hybridMultilevel"/>
    <w:tmpl w:val="691A62BE"/>
    <w:lvl w:ilvl="0" w:tplc="212A8E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59EB5F3D"/>
    <w:multiLevelType w:val="multilevel"/>
    <w:tmpl w:val="FFFFFFFF"/>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num w:numId="1" w16cid:durableId="1437555152">
    <w:abstractNumId w:val="3"/>
  </w:num>
  <w:num w:numId="2" w16cid:durableId="1392120091">
    <w:abstractNumId w:val="0"/>
  </w:num>
  <w:num w:numId="3" w16cid:durableId="1040546577">
    <w:abstractNumId w:val="1"/>
  </w:num>
  <w:num w:numId="4" w16cid:durableId="190082531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hnston, Madison L.">
    <w15:presenceInfo w15:providerId="AD" w15:userId="S::madsbens@ou.edu::3412d2a0-fa2d-42d1-98c5-df6304260d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849"/>
    <w:rsid w:val="00000BB8"/>
    <w:rsid w:val="00013BD1"/>
    <w:rsid w:val="0001737D"/>
    <w:rsid w:val="00025D51"/>
    <w:rsid w:val="00027CFB"/>
    <w:rsid w:val="00035C16"/>
    <w:rsid w:val="00057775"/>
    <w:rsid w:val="000636A9"/>
    <w:rsid w:val="00080D29"/>
    <w:rsid w:val="000860EC"/>
    <w:rsid w:val="00087E4C"/>
    <w:rsid w:val="00090A80"/>
    <w:rsid w:val="00091B97"/>
    <w:rsid w:val="000A2D34"/>
    <w:rsid w:val="000B24E3"/>
    <w:rsid w:val="000D1630"/>
    <w:rsid w:val="000D1CBB"/>
    <w:rsid w:val="000D4EB8"/>
    <w:rsid w:val="000E57F1"/>
    <w:rsid w:val="000E7BCB"/>
    <w:rsid w:val="001003B3"/>
    <w:rsid w:val="00104FC2"/>
    <w:rsid w:val="00107B03"/>
    <w:rsid w:val="0011209E"/>
    <w:rsid w:val="00113653"/>
    <w:rsid w:val="0011416A"/>
    <w:rsid w:val="001210B1"/>
    <w:rsid w:val="0012434A"/>
    <w:rsid w:val="0013283D"/>
    <w:rsid w:val="001334E9"/>
    <w:rsid w:val="0015010B"/>
    <w:rsid w:val="00153D97"/>
    <w:rsid w:val="00166ABC"/>
    <w:rsid w:val="001672F1"/>
    <w:rsid w:val="00172539"/>
    <w:rsid w:val="0017472C"/>
    <w:rsid w:val="0018163C"/>
    <w:rsid w:val="00187849"/>
    <w:rsid w:val="00190CF1"/>
    <w:rsid w:val="0019105A"/>
    <w:rsid w:val="0019115C"/>
    <w:rsid w:val="00194634"/>
    <w:rsid w:val="001A0C28"/>
    <w:rsid w:val="001A5158"/>
    <w:rsid w:val="001A5F33"/>
    <w:rsid w:val="001B2C9D"/>
    <w:rsid w:val="001B7960"/>
    <w:rsid w:val="001C206C"/>
    <w:rsid w:val="001D25D7"/>
    <w:rsid w:val="001D4D3B"/>
    <w:rsid w:val="001F1CE6"/>
    <w:rsid w:val="001F4FC1"/>
    <w:rsid w:val="001F613A"/>
    <w:rsid w:val="001F77A2"/>
    <w:rsid w:val="00201386"/>
    <w:rsid w:val="00202565"/>
    <w:rsid w:val="00216E1F"/>
    <w:rsid w:val="0021725F"/>
    <w:rsid w:val="00217774"/>
    <w:rsid w:val="00217A05"/>
    <w:rsid w:val="00220A93"/>
    <w:rsid w:val="00225B26"/>
    <w:rsid w:val="002317FC"/>
    <w:rsid w:val="00240A92"/>
    <w:rsid w:val="00253B47"/>
    <w:rsid w:val="0025444D"/>
    <w:rsid w:val="00255FBD"/>
    <w:rsid w:val="00261FA5"/>
    <w:rsid w:val="002633F5"/>
    <w:rsid w:val="00266DC4"/>
    <w:rsid w:val="00272409"/>
    <w:rsid w:val="00277905"/>
    <w:rsid w:val="002815AC"/>
    <w:rsid w:val="002870B5"/>
    <w:rsid w:val="0029184C"/>
    <w:rsid w:val="00293780"/>
    <w:rsid w:val="002978D8"/>
    <w:rsid w:val="002A6689"/>
    <w:rsid w:val="002C56F5"/>
    <w:rsid w:val="002D2A2E"/>
    <w:rsid w:val="002E1B48"/>
    <w:rsid w:val="002E4F11"/>
    <w:rsid w:val="002E7B7A"/>
    <w:rsid w:val="002F4A86"/>
    <w:rsid w:val="003017BC"/>
    <w:rsid w:val="0031075C"/>
    <w:rsid w:val="00310915"/>
    <w:rsid w:val="00311635"/>
    <w:rsid w:val="00314A44"/>
    <w:rsid w:val="00322D33"/>
    <w:rsid w:val="00340B95"/>
    <w:rsid w:val="00341575"/>
    <w:rsid w:val="00341AFB"/>
    <w:rsid w:val="00342235"/>
    <w:rsid w:val="003442EC"/>
    <w:rsid w:val="00344E03"/>
    <w:rsid w:val="00347DC8"/>
    <w:rsid w:val="003500CE"/>
    <w:rsid w:val="003512A9"/>
    <w:rsid w:val="00355C38"/>
    <w:rsid w:val="003569C6"/>
    <w:rsid w:val="0036207B"/>
    <w:rsid w:val="00362AB8"/>
    <w:rsid w:val="00374945"/>
    <w:rsid w:val="00374F9B"/>
    <w:rsid w:val="00386476"/>
    <w:rsid w:val="00391598"/>
    <w:rsid w:val="00392AEF"/>
    <w:rsid w:val="00392B35"/>
    <w:rsid w:val="00393DE6"/>
    <w:rsid w:val="0039753F"/>
    <w:rsid w:val="003A060B"/>
    <w:rsid w:val="003A6D6C"/>
    <w:rsid w:val="003B1BDD"/>
    <w:rsid w:val="003C3255"/>
    <w:rsid w:val="003C4245"/>
    <w:rsid w:val="003C5F2C"/>
    <w:rsid w:val="003C5F91"/>
    <w:rsid w:val="003D48FA"/>
    <w:rsid w:val="003D5017"/>
    <w:rsid w:val="003D59E2"/>
    <w:rsid w:val="003D6509"/>
    <w:rsid w:val="003F3CC6"/>
    <w:rsid w:val="00410E17"/>
    <w:rsid w:val="0042022B"/>
    <w:rsid w:val="004204DF"/>
    <w:rsid w:val="004219F5"/>
    <w:rsid w:val="00422412"/>
    <w:rsid w:val="0042298D"/>
    <w:rsid w:val="00431F5E"/>
    <w:rsid w:val="004341F4"/>
    <w:rsid w:val="00441E1E"/>
    <w:rsid w:val="00442893"/>
    <w:rsid w:val="00461CF9"/>
    <w:rsid w:val="00471206"/>
    <w:rsid w:val="0047461C"/>
    <w:rsid w:val="00475AA5"/>
    <w:rsid w:val="00484E79"/>
    <w:rsid w:val="004876C7"/>
    <w:rsid w:val="00491563"/>
    <w:rsid w:val="0049443A"/>
    <w:rsid w:val="004A4BD6"/>
    <w:rsid w:val="004A55ED"/>
    <w:rsid w:val="004B1211"/>
    <w:rsid w:val="004C0656"/>
    <w:rsid w:val="004C0AE9"/>
    <w:rsid w:val="004C1ED1"/>
    <w:rsid w:val="004C504C"/>
    <w:rsid w:val="004D037C"/>
    <w:rsid w:val="004D2755"/>
    <w:rsid w:val="004D30DB"/>
    <w:rsid w:val="004DFD24"/>
    <w:rsid w:val="004E4450"/>
    <w:rsid w:val="004E4B87"/>
    <w:rsid w:val="004E5E2A"/>
    <w:rsid w:val="004F06A1"/>
    <w:rsid w:val="004F2D0B"/>
    <w:rsid w:val="004F4408"/>
    <w:rsid w:val="004F4474"/>
    <w:rsid w:val="004F7470"/>
    <w:rsid w:val="0050017F"/>
    <w:rsid w:val="00503AEC"/>
    <w:rsid w:val="00510800"/>
    <w:rsid w:val="005118E3"/>
    <w:rsid w:val="005146C7"/>
    <w:rsid w:val="00516B35"/>
    <w:rsid w:val="00517602"/>
    <w:rsid w:val="005229D4"/>
    <w:rsid w:val="00527F4D"/>
    <w:rsid w:val="005330A3"/>
    <w:rsid w:val="0053798E"/>
    <w:rsid w:val="0054111C"/>
    <w:rsid w:val="00543EEC"/>
    <w:rsid w:val="0056020D"/>
    <w:rsid w:val="005610F6"/>
    <w:rsid w:val="00562CEE"/>
    <w:rsid w:val="00580F22"/>
    <w:rsid w:val="005837C8"/>
    <w:rsid w:val="00590DA8"/>
    <w:rsid w:val="005936DC"/>
    <w:rsid w:val="005975E8"/>
    <w:rsid w:val="005A36E0"/>
    <w:rsid w:val="005A41C9"/>
    <w:rsid w:val="005A5BB4"/>
    <w:rsid w:val="005B0239"/>
    <w:rsid w:val="005B5CFC"/>
    <w:rsid w:val="005C3A28"/>
    <w:rsid w:val="005C4270"/>
    <w:rsid w:val="005C49D2"/>
    <w:rsid w:val="005D02C9"/>
    <w:rsid w:val="005D6B9C"/>
    <w:rsid w:val="005E3F70"/>
    <w:rsid w:val="005E59FD"/>
    <w:rsid w:val="005E6B14"/>
    <w:rsid w:val="005F218E"/>
    <w:rsid w:val="005F3E60"/>
    <w:rsid w:val="00600271"/>
    <w:rsid w:val="0060735C"/>
    <w:rsid w:val="00617DBF"/>
    <w:rsid w:val="006231D2"/>
    <w:rsid w:val="0062449E"/>
    <w:rsid w:val="00627A87"/>
    <w:rsid w:val="0064291D"/>
    <w:rsid w:val="006472EC"/>
    <w:rsid w:val="00654F2F"/>
    <w:rsid w:val="00664346"/>
    <w:rsid w:val="00664A8E"/>
    <w:rsid w:val="00666E4C"/>
    <w:rsid w:val="00674C06"/>
    <w:rsid w:val="006777A2"/>
    <w:rsid w:val="00681A33"/>
    <w:rsid w:val="00682B69"/>
    <w:rsid w:val="0068523D"/>
    <w:rsid w:val="00690602"/>
    <w:rsid w:val="006906A4"/>
    <w:rsid w:val="00694867"/>
    <w:rsid w:val="00697510"/>
    <w:rsid w:val="006A1AD6"/>
    <w:rsid w:val="006A6FA1"/>
    <w:rsid w:val="006B33BC"/>
    <w:rsid w:val="006B7E0F"/>
    <w:rsid w:val="006C4F6B"/>
    <w:rsid w:val="006C66DA"/>
    <w:rsid w:val="006D1378"/>
    <w:rsid w:val="006D25C1"/>
    <w:rsid w:val="006D7111"/>
    <w:rsid w:val="006D79CF"/>
    <w:rsid w:val="006E030B"/>
    <w:rsid w:val="006E2049"/>
    <w:rsid w:val="006E5B7A"/>
    <w:rsid w:val="006E5F62"/>
    <w:rsid w:val="006F606D"/>
    <w:rsid w:val="00704281"/>
    <w:rsid w:val="0070499C"/>
    <w:rsid w:val="007067C3"/>
    <w:rsid w:val="0071039F"/>
    <w:rsid w:val="007124C4"/>
    <w:rsid w:val="007127CF"/>
    <w:rsid w:val="00713B04"/>
    <w:rsid w:val="0071419C"/>
    <w:rsid w:val="00714682"/>
    <w:rsid w:val="00715FD5"/>
    <w:rsid w:val="00716491"/>
    <w:rsid w:val="00721570"/>
    <w:rsid w:val="007231BC"/>
    <w:rsid w:val="007422D9"/>
    <w:rsid w:val="007435C4"/>
    <w:rsid w:val="007447C9"/>
    <w:rsid w:val="00745465"/>
    <w:rsid w:val="007467AE"/>
    <w:rsid w:val="00757C39"/>
    <w:rsid w:val="007736BB"/>
    <w:rsid w:val="00775108"/>
    <w:rsid w:val="00775993"/>
    <w:rsid w:val="00776020"/>
    <w:rsid w:val="00782836"/>
    <w:rsid w:val="00783657"/>
    <w:rsid w:val="00786277"/>
    <w:rsid w:val="00795433"/>
    <w:rsid w:val="007A3306"/>
    <w:rsid w:val="007B1B18"/>
    <w:rsid w:val="007C38D6"/>
    <w:rsid w:val="007C4AC6"/>
    <w:rsid w:val="007D2212"/>
    <w:rsid w:val="007D5F2F"/>
    <w:rsid w:val="007E21C9"/>
    <w:rsid w:val="007E71C1"/>
    <w:rsid w:val="007F2C49"/>
    <w:rsid w:val="007F4787"/>
    <w:rsid w:val="00810C6F"/>
    <w:rsid w:val="00812F43"/>
    <w:rsid w:val="0081733E"/>
    <w:rsid w:val="008239DE"/>
    <w:rsid w:val="00826C07"/>
    <w:rsid w:val="00832A60"/>
    <w:rsid w:val="00837CA6"/>
    <w:rsid w:val="00844C29"/>
    <w:rsid w:val="008471AF"/>
    <w:rsid w:val="00850199"/>
    <w:rsid w:val="00850348"/>
    <w:rsid w:val="00856EF0"/>
    <w:rsid w:val="0086275A"/>
    <w:rsid w:val="00865157"/>
    <w:rsid w:val="0087218D"/>
    <w:rsid w:val="00875B49"/>
    <w:rsid w:val="0088294D"/>
    <w:rsid w:val="00883587"/>
    <w:rsid w:val="00886E03"/>
    <w:rsid w:val="00886F89"/>
    <w:rsid w:val="0089236D"/>
    <w:rsid w:val="008A579B"/>
    <w:rsid w:val="008B3D4A"/>
    <w:rsid w:val="008B4197"/>
    <w:rsid w:val="008B71D2"/>
    <w:rsid w:val="008D343F"/>
    <w:rsid w:val="008D3C24"/>
    <w:rsid w:val="008D7AAD"/>
    <w:rsid w:val="008D7F05"/>
    <w:rsid w:val="008E0C23"/>
    <w:rsid w:val="008E12F3"/>
    <w:rsid w:val="008F40B0"/>
    <w:rsid w:val="008F6BAD"/>
    <w:rsid w:val="009073FD"/>
    <w:rsid w:val="00910A82"/>
    <w:rsid w:val="009113C7"/>
    <w:rsid w:val="00923677"/>
    <w:rsid w:val="00926C91"/>
    <w:rsid w:val="00946203"/>
    <w:rsid w:val="009472F7"/>
    <w:rsid w:val="0095173B"/>
    <w:rsid w:val="00951B63"/>
    <w:rsid w:val="009545F6"/>
    <w:rsid w:val="00955687"/>
    <w:rsid w:val="00955866"/>
    <w:rsid w:val="00956208"/>
    <w:rsid w:val="0095680B"/>
    <w:rsid w:val="00960D03"/>
    <w:rsid w:val="0096268E"/>
    <w:rsid w:val="00966969"/>
    <w:rsid w:val="009672CA"/>
    <w:rsid w:val="009729AF"/>
    <w:rsid w:val="00977E5E"/>
    <w:rsid w:val="00996563"/>
    <w:rsid w:val="009974F4"/>
    <w:rsid w:val="009B1455"/>
    <w:rsid w:val="009C4B7A"/>
    <w:rsid w:val="009D0AE5"/>
    <w:rsid w:val="009D3A62"/>
    <w:rsid w:val="009D6B2A"/>
    <w:rsid w:val="009DC478"/>
    <w:rsid w:val="009E39E4"/>
    <w:rsid w:val="009E4CA1"/>
    <w:rsid w:val="009E59B1"/>
    <w:rsid w:val="009F1971"/>
    <w:rsid w:val="00A011F8"/>
    <w:rsid w:val="00A11475"/>
    <w:rsid w:val="00A139AE"/>
    <w:rsid w:val="00A17D3D"/>
    <w:rsid w:val="00A315EC"/>
    <w:rsid w:val="00A329CC"/>
    <w:rsid w:val="00A43645"/>
    <w:rsid w:val="00A442B5"/>
    <w:rsid w:val="00A47690"/>
    <w:rsid w:val="00A55F68"/>
    <w:rsid w:val="00A56FF8"/>
    <w:rsid w:val="00A57955"/>
    <w:rsid w:val="00A65A04"/>
    <w:rsid w:val="00A728BD"/>
    <w:rsid w:val="00A811DA"/>
    <w:rsid w:val="00A81F2C"/>
    <w:rsid w:val="00A84B9B"/>
    <w:rsid w:val="00A85D09"/>
    <w:rsid w:val="00A87D08"/>
    <w:rsid w:val="00A96D90"/>
    <w:rsid w:val="00AB04B4"/>
    <w:rsid w:val="00AB24A8"/>
    <w:rsid w:val="00AD030F"/>
    <w:rsid w:val="00AD049B"/>
    <w:rsid w:val="00AD1B36"/>
    <w:rsid w:val="00AF5CAD"/>
    <w:rsid w:val="00AF5F6A"/>
    <w:rsid w:val="00B03DDE"/>
    <w:rsid w:val="00B17579"/>
    <w:rsid w:val="00B207E8"/>
    <w:rsid w:val="00B23414"/>
    <w:rsid w:val="00B24B82"/>
    <w:rsid w:val="00B268D3"/>
    <w:rsid w:val="00B328E1"/>
    <w:rsid w:val="00B50B22"/>
    <w:rsid w:val="00B5511E"/>
    <w:rsid w:val="00B55E15"/>
    <w:rsid w:val="00B67FAA"/>
    <w:rsid w:val="00B779DD"/>
    <w:rsid w:val="00B834FC"/>
    <w:rsid w:val="00B855EB"/>
    <w:rsid w:val="00B87824"/>
    <w:rsid w:val="00B93857"/>
    <w:rsid w:val="00BA1780"/>
    <w:rsid w:val="00BA2B93"/>
    <w:rsid w:val="00BA5F28"/>
    <w:rsid w:val="00BB20BE"/>
    <w:rsid w:val="00BC031B"/>
    <w:rsid w:val="00BC34CC"/>
    <w:rsid w:val="00BC67D8"/>
    <w:rsid w:val="00BC6855"/>
    <w:rsid w:val="00BC77B0"/>
    <w:rsid w:val="00BD260D"/>
    <w:rsid w:val="00BD4725"/>
    <w:rsid w:val="00BD7670"/>
    <w:rsid w:val="00BE1FD6"/>
    <w:rsid w:val="00BE2C25"/>
    <w:rsid w:val="00BE325A"/>
    <w:rsid w:val="00BE3AE6"/>
    <w:rsid w:val="00BF4CAF"/>
    <w:rsid w:val="00C067B3"/>
    <w:rsid w:val="00C06996"/>
    <w:rsid w:val="00C07E24"/>
    <w:rsid w:val="00C14F68"/>
    <w:rsid w:val="00C2618B"/>
    <w:rsid w:val="00C32B78"/>
    <w:rsid w:val="00C32F29"/>
    <w:rsid w:val="00C42BEC"/>
    <w:rsid w:val="00C51CC7"/>
    <w:rsid w:val="00C62F19"/>
    <w:rsid w:val="00C75ACF"/>
    <w:rsid w:val="00C825E2"/>
    <w:rsid w:val="00C83E7E"/>
    <w:rsid w:val="00C8782E"/>
    <w:rsid w:val="00CA4EC1"/>
    <w:rsid w:val="00CC1B60"/>
    <w:rsid w:val="00CC4551"/>
    <w:rsid w:val="00CC6008"/>
    <w:rsid w:val="00CC63C9"/>
    <w:rsid w:val="00CC68DE"/>
    <w:rsid w:val="00CC77DE"/>
    <w:rsid w:val="00CD05C6"/>
    <w:rsid w:val="00CE155C"/>
    <w:rsid w:val="00CE4C8A"/>
    <w:rsid w:val="00CE75E1"/>
    <w:rsid w:val="00CF2409"/>
    <w:rsid w:val="00CF6E00"/>
    <w:rsid w:val="00D0147A"/>
    <w:rsid w:val="00D0217D"/>
    <w:rsid w:val="00D03ABB"/>
    <w:rsid w:val="00D059D4"/>
    <w:rsid w:val="00D06FD2"/>
    <w:rsid w:val="00D16CDE"/>
    <w:rsid w:val="00D26861"/>
    <w:rsid w:val="00D27103"/>
    <w:rsid w:val="00D31B6C"/>
    <w:rsid w:val="00D32EC2"/>
    <w:rsid w:val="00D427DB"/>
    <w:rsid w:val="00D42959"/>
    <w:rsid w:val="00D45768"/>
    <w:rsid w:val="00D460AA"/>
    <w:rsid w:val="00D56E33"/>
    <w:rsid w:val="00D70B4E"/>
    <w:rsid w:val="00D725CC"/>
    <w:rsid w:val="00D73FD2"/>
    <w:rsid w:val="00D754B8"/>
    <w:rsid w:val="00D763DC"/>
    <w:rsid w:val="00D76AE7"/>
    <w:rsid w:val="00D84C5B"/>
    <w:rsid w:val="00D85CE5"/>
    <w:rsid w:val="00D91BA9"/>
    <w:rsid w:val="00DB10A3"/>
    <w:rsid w:val="00DC1728"/>
    <w:rsid w:val="00DC5815"/>
    <w:rsid w:val="00DC58DE"/>
    <w:rsid w:val="00DC629F"/>
    <w:rsid w:val="00DD1CCE"/>
    <w:rsid w:val="00DD5A0C"/>
    <w:rsid w:val="00DD7A6E"/>
    <w:rsid w:val="00DE2017"/>
    <w:rsid w:val="00DE3A3C"/>
    <w:rsid w:val="00DE64AF"/>
    <w:rsid w:val="00DF0B00"/>
    <w:rsid w:val="00DF16BF"/>
    <w:rsid w:val="00DF1DE3"/>
    <w:rsid w:val="00DF4696"/>
    <w:rsid w:val="00DF6582"/>
    <w:rsid w:val="00E0336C"/>
    <w:rsid w:val="00E13303"/>
    <w:rsid w:val="00E162B9"/>
    <w:rsid w:val="00E37559"/>
    <w:rsid w:val="00E430AC"/>
    <w:rsid w:val="00E530CB"/>
    <w:rsid w:val="00E54504"/>
    <w:rsid w:val="00E61BF2"/>
    <w:rsid w:val="00E6247D"/>
    <w:rsid w:val="00E652F5"/>
    <w:rsid w:val="00E752FE"/>
    <w:rsid w:val="00E77596"/>
    <w:rsid w:val="00E8055B"/>
    <w:rsid w:val="00E848EB"/>
    <w:rsid w:val="00E862B3"/>
    <w:rsid w:val="00E86AF6"/>
    <w:rsid w:val="00E93A43"/>
    <w:rsid w:val="00E94060"/>
    <w:rsid w:val="00EA0C9E"/>
    <w:rsid w:val="00EB265B"/>
    <w:rsid w:val="00EB26EA"/>
    <w:rsid w:val="00EB2832"/>
    <w:rsid w:val="00EB7650"/>
    <w:rsid w:val="00EC0BBF"/>
    <w:rsid w:val="00ED4E7F"/>
    <w:rsid w:val="00EE1C1D"/>
    <w:rsid w:val="00EF5CA6"/>
    <w:rsid w:val="00F1129D"/>
    <w:rsid w:val="00F11F3A"/>
    <w:rsid w:val="00F1689B"/>
    <w:rsid w:val="00F16D5C"/>
    <w:rsid w:val="00F17349"/>
    <w:rsid w:val="00F20573"/>
    <w:rsid w:val="00F253CD"/>
    <w:rsid w:val="00F4075C"/>
    <w:rsid w:val="00F44CDF"/>
    <w:rsid w:val="00F46008"/>
    <w:rsid w:val="00F62A90"/>
    <w:rsid w:val="00F6592B"/>
    <w:rsid w:val="00F65C00"/>
    <w:rsid w:val="00F66538"/>
    <w:rsid w:val="00F70FC0"/>
    <w:rsid w:val="00F71179"/>
    <w:rsid w:val="00F74EBE"/>
    <w:rsid w:val="00F763CE"/>
    <w:rsid w:val="00F90466"/>
    <w:rsid w:val="00F94FA3"/>
    <w:rsid w:val="00FA1287"/>
    <w:rsid w:val="00FA1413"/>
    <w:rsid w:val="00FA1F40"/>
    <w:rsid w:val="00FA3703"/>
    <w:rsid w:val="00FA410A"/>
    <w:rsid w:val="00FA4DB9"/>
    <w:rsid w:val="00FB1EF2"/>
    <w:rsid w:val="00FC2D22"/>
    <w:rsid w:val="00FD03D1"/>
    <w:rsid w:val="00FD16EF"/>
    <w:rsid w:val="00FD3338"/>
    <w:rsid w:val="00FE7D86"/>
    <w:rsid w:val="00FF05D6"/>
    <w:rsid w:val="011EA51B"/>
    <w:rsid w:val="01D9BFDE"/>
    <w:rsid w:val="02342DD3"/>
    <w:rsid w:val="03395140"/>
    <w:rsid w:val="037B1812"/>
    <w:rsid w:val="044C3637"/>
    <w:rsid w:val="062A765F"/>
    <w:rsid w:val="06B1EE7D"/>
    <w:rsid w:val="07F34F91"/>
    <w:rsid w:val="08EAB3B1"/>
    <w:rsid w:val="0999CF34"/>
    <w:rsid w:val="0ADE81F9"/>
    <w:rsid w:val="0AE2AE44"/>
    <w:rsid w:val="0B3D50C4"/>
    <w:rsid w:val="0B6829B8"/>
    <w:rsid w:val="0C19F74A"/>
    <w:rsid w:val="0CB51D27"/>
    <w:rsid w:val="1027A506"/>
    <w:rsid w:val="1032F8A8"/>
    <w:rsid w:val="10859A15"/>
    <w:rsid w:val="13275869"/>
    <w:rsid w:val="133C5F68"/>
    <w:rsid w:val="145AFF2D"/>
    <w:rsid w:val="15BFC2B3"/>
    <w:rsid w:val="170945B8"/>
    <w:rsid w:val="18F04421"/>
    <w:rsid w:val="1A707315"/>
    <w:rsid w:val="1C62B319"/>
    <w:rsid w:val="1D025285"/>
    <w:rsid w:val="1D76C1F6"/>
    <w:rsid w:val="1E23E278"/>
    <w:rsid w:val="1EE7DA3B"/>
    <w:rsid w:val="1F34198C"/>
    <w:rsid w:val="2083FD1F"/>
    <w:rsid w:val="20D563DA"/>
    <w:rsid w:val="21C90833"/>
    <w:rsid w:val="23DF60D0"/>
    <w:rsid w:val="243EC0E9"/>
    <w:rsid w:val="2447A583"/>
    <w:rsid w:val="24DF90A2"/>
    <w:rsid w:val="25ED7989"/>
    <w:rsid w:val="262110E7"/>
    <w:rsid w:val="26D64D93"/>
    <w:rsid w:val="26E74BAC"/>
    <w:rsid w:val="28A9EFC7"/>
    <w:rsid w:val="29090127"/>
    <w:rsid w:val="29E9AECE"/>
    <w:rsid w:val="2CF0F405"/>
    <w:rsid w:val="2CFF5E8B"/>
    <w:rsid w:val="2D60BF28"/>
    <w:rsid w:val="2D8F1CB7"/>
    <w:rsid w:val="3073E3F6"/>
    <w:rsid w:val="30817A0C"/>
    <w:rsid w:val="311C6703"/>
    <w:rsid w:val="312F708D"/>
    <w:rsid w:val="339AACA0"/>
    <w:rsid w:val="33D31349"/>
    <w:rsid w:val="3617B66A"/>
    <w:rsid w:val="361D08E3"/>
    <w:rsid w:val="3791CC67"/>
    <w:rsid w:val="3865D520"/>
    <w:rsid w:val="386FC18F"/>
    <w:rsid w:val="39E0EB6C"/>
    <w:rsid w:val="3A01CA11"/>
    <w:rsid w:val="3A5C5F7C"/>
    <w:rsid w:val="3C4FD7EC"/>
    <w:rsid w:val="3CB3961D"/>
    <w:rsid w:val="3E4723B0"/>
    <w:rsid w:val="3EEA6E8D"/>
    <w:rsid w:val="3F20D97F"/>
    <w:rsid w:val="3FDD2924"/>
    <w:rsid w:val="43125536"/>
    <w:rsid w:val="438D54E8"/>
    <w:rsid w:val="43DA7217"/>
    <w:rsid w:val="43F6E534"/>
    <w:rsid w:val="48A43229"/>
    <w:rsid w:val="49FAB549"/>
    <w:rsid w:val="4A57295E"/>
    <w:rsid w:val="4AE79A26"/>
    <w:rsid w:val="4B0D490B"/>
    <w:rsid w:val="4CF31978"/>
    <w:rsid w:val="4F6397F5"/>
    <w:rsid w:val="4FDB45BB"/>
    <w:rsid w:val="518E63F2"/>
    <w:rsid w:val="528C9C38"/>
    <w:rsid w:val="54FB0CCE"/>
    <w:rsid w:val="5583FA34"/>
    <w:rsid w:val="5600B07F"/>
    <w:rsid w:val="562E33FC"/>
    <w:rsid w:val="587DFAB4"/>
    <w:rsid w:val="5918D39D"/>
    <w:rsid w:val="596C1E9F"/>
    <w:rsid w:val="59820F33"/>
    <w:rsid w:val="5A4DCC5A"/>
    <w:rsid w:val="5ABB8145"/>
    <w:rsid w:val="5B31901E"/>
    <w:rsid w:val="5B7CAB1A"/>
    <w:rsid w:val="5D76FEC7"/>
    <w:rsid w:val="5D845305"/>
    <w:rsid w:val="5E40258A"/>
    <w:rsid w:val="5EF701CA"/>
    <w:rsid w:val="5FE8AA9E"/>
    <w:rsid w:val="61CF6718"/>
    <w:rsid w:val="6203C570"/>
    <w:rsid w:val="64CE314E"/>
    <w:rsid w:val="66041B80"/>
    <w:rsid w:val="667313F2"/>
    <w:rsid w:val="6791D354"/>
    <w:rsid w:val="6801FD63"/>
    <w:rsid w:val="68DE92D8"/>
    <w:rsid w:val="68E0674D"/>
    <w:rsid w:val="6A2130FB"/>
    <w:rsid w:val="6AF05FA2"/>
    <w:rsid w:val="6C5A0071"/>
    <w:rsid w:val="6ECB3B6F"/>
    <w:rsid w:val="7213053A"/>
    <w:rsid w:val="724A3C9D"/>
    <w:rsid w:val="727B9EDC"/>
    <w:rsid w:val="735CD97C"/>
    <w:rsid w:val="7382D478"/>
    <w:rsid w:val="73DBB6F8"/>
    <w:rsid w:val="742EFEB0"/>
    <w:rsid w:val="755ACCE8"/>
    <w:rsid w:val="78DC216A"/>
    <w:rsid w:val="78FB528D"/>
    <w:rsid w:val="78FC0A8A"/>
    <w:rsid w:val="799939F6"/>
    <w:rsid w:val="7A3BB428"/>
    <w:rsid w:val="7AC20362"/>
    <w:rsid w:val="7B65754A"/>
    <w:rsid w:val="7BC5094A"/>
    <w:rsid w:val="7C80561A"/>
    <w:rsid w:val="7E1BF83F"/>
    <w:rsid w:val="7FB394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0B18C"/>
  <w15:docId w15:val="{4DBB877E-9248-4A12-8558-35E6E369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BE"/>
    <w:pPr>
      <w:widowControl/>
    </w:pPr>
    <w:rPr>
      <w:sz w:val="24"/>
      <w:szCs w:val="24"/>
      <w:lang w:eastAsia="en-US"/>
    </w:rPr>
  </w:style>
  <w:style w:type="paragraph" w:styleId="Heading1">
    <w:name w:val="heading 1"/>
    <w:basedOn w:val="Normal"/>
    <w:next w:val="Normal"/>
    <w:uiPriority w:val="9"/>
    <w:qFormat/>
    <w:pPr>
      <w:widowControl w:val="0"/>
      <w:spacing w:before="93"/>
      <w:ind w:left="1076" w:right="1144"/>
      <w:jc w:val="center"/>
      <w:outlineLvl w:val="0"/>
    </w:pPr>
    <w:rPr>
      <w:rFonts w:ascii="Arial" w:eastAsia="Arial" w:hAnsi="Arial" w:cs="Arial"/>
      <w:b/>
      <w:sz w:val="26"/>
      <w:szCs w:val="26"/>
      <w:lang w:eastAsia="ja-JP"/>
    </w:rPr>
  </w:style>
  <w:style w:type="paragraph" w:styleId="Heading2">
    <w:name w:val="heading 2"/>
    <w:basedOn w:val="Normal"/>
    <w:next w:val="Normal"/>
    <w:uiPriority w:val="9"/>
    <w:unhideWhenUsed/>
    <w:qFormat/>
    <w:pPr>
      <w:widowControl w:val="0"/>
      <w:ind w:left="909"/>
      <w:outlineLvl w:val="1"/>
    </w:pPr>
    <w:rPr>
      <w:b/>
      <w:lang w:eastAsia="ja-JP"/>
    </w:rPr>
  </w:style>
  <w:style w:type="paragraph" w:styleId="Heading3">
    <w:name w:val="heading 3"/>
    <w:basedOn w:val="Normal"/>
    <w:next w:val="Normal"/>
    <w:uiPriority w:val="9"/>
    <w:unhideWhenUsed/>
    <w:qFormat/>
    <w:pPr>
      <w:widowControl w:val="0"/>
      <w:ind w:left="1629"/>
      <w:outlineLvl w:val="2"/>
    </w:pPr>
    <w:rPr>
      <w:rFonts w:ascii="Times" w:eastAsia="Times" w:hAnsi="Times" w:cs="Times"/>
      <w:b/>
      <w:i/>
      <w:lang w:eastAsia="ja-JP"/>
    </w:rPr>
  </w:style>
  <w:style w:type="paragraph" w:styleId="Heading4">
    <w:name w:val="heading 4"/>
    <w:basedOn w:val="Normal"/>
    <w:next w:val="Normal"/>
    <w:uiPriority w:val="9"/>
    <w:semiHidden/>
    <w:unhideWhenUsed/>
    <w:qFormat/>
    <w:pPr>
      <w:keepNext/>
      <w:keepLines/>
      <w:widowControl w:val="0"/>
      <w:spacing w:before="240" w:after="40"/>
      <w:outlineLvl w:val="3"/>
    </w:pPr>
    <w:rPr>
      <w:b/>
      <w:lang w:eastAsia="ja-JP"/>
    </w:rPr>
  </w:style>
  <w:style w:type="paragraph" w:styleId="Heading5">
    <w:name w:val="heading 5"/>
    <w:basedOn w:val="Normal"/>
    <w:next w:val="Normal"/>
    <w:uiPriority w:val="9"/>
    <w:semiHidden/>
    <w:unhideWhenUsed/>
    <w:qFormat/>
    <w:pPr>
      <w:keepNext/>
      <w:keepLines/>
      <w:widowControl w:val="0"/>
      <w:spacing w:before="220" w:after="40"/>
      <w:outlineLvl w:val="4"/>
    </w:pPr>
    <w:rPr>
      <w:b/>
      <w:sz w:val="22"/>
      <w:szCs w:val="22"/>
      <w:lang w:eastAsia="ja-JP"/>
    </w:rPr>
  </w:style>
  <w:style w:type="paragraph" w:styleId="Heading6">
    <w:name w:val="heading 6"/>
    <w:basedOn w:val="Normal"/>
    <w:next w:val="Normal"/>
    <w:uiPriority w:val="9"/>
    <w:semiHidden/>
    <w:unhideWhenUsed/>
    <w:qFormat/>
    <w:pPr>
      <w:keepNext/>
      <w:keepLines/>
      <w:widowControl w:val="0"/>
      <w:spacing w:before="200" w:after="40"/>
      <w:outlineLvl w:val="5"/>
    </w:pPr>
    <w:rPr>
      <w:b/>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widowControl w:val="0"/>
      <w:spacing w:before="480" w:after="120"/>
    </w:pPr>
    <w:rPr>
      <w:b/>
      <w:sz w:val="72"/>
      <w:szCs w:val="72"/>
      <w:lang w:eastAsia="ja-JP"/>
    </w:rPr>
  </w:style>
  <w:style w:type="paragraph" w:styleId="Subtitle">
    <w:name w:val="Subtitle"/>
    <w:basedOn w:val="Normal"/>
    <w:next w:val="Normal"/>
    <w:uiPriority w:val="11"/>
    <w:qFormat/>
    <w:pPr>
      <w:keepNext/>
      <w:keepLines/>
      <w:widowControl w:val="0"/>
      <w:spacing w:before="360" w:after="80"/>
    </w:pPr>
    <w:rPr>
      <w:rFonts w:ascii="Georgia" w:eastAsia="Georgia" w:hAnsi="Georgia" w:cs="Georgia"/>
      <w:i/>
      <w:color w:val="666666"/>
      <w:sz w:val="48"/>
      <w:szCs w:val="48"/>
      <w:lang w:eastAsia="ja-JP"/>
    </w:rPr>
  </w:style>
  <w:style w:type="paragraph" w:styleId="CommentText">
    <w:name w:val="annotation text"/>
    <w:basedOn w:val="Normal"/>
    <w:link w:val="CommentTextChar"/>
    <w:uiPriority w:val="99"/>
    <w:semiHidden/>
    <w:unhideWhenUsed/>
    <w:pPr>
      <w:widowControl w:val="0"/>
    </w:pPr>
    <w:rPr>
      <w:sz w:val="20"/>
      <w:szCs w:val="20"/>
      <w:lang w:eastAsia="ja-JP"/>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widowControl w:val="0"/>
      <w:tabs>
        <w:tab w:val="center" w:pos="4680"/>
        <w:tab w:val="right" w:pos="9360"/>
      </w:tabs>
    </w:pPr>
    <w:rPr>
      <w:sz w:val="22"/>
      <w:szCs w:val="22"/>
      <w:lang w:eastAsia="ja-JP"/>
    </w:rPr>
  </w:style>
  <w:style w:type="paragraph" w:styleId="Revision">
    <w:name w:val="Revision"/>
    <w:hidden/>
    <w:uiPriority w:val="99"/>
    <w:semiHidden/>
    <w:rsid w:val="00BC77B0"/>
    <w:pPr>
      <w:widowControl/>
    </w:pPr>
  </w:style>
  <w:style w:type="paragraph" w:styleId="NormalWeb">
    <w:name w:val="Normal (Web)"/>
    <w:basedOn w:val="Normal"/>
    <w:uiPriority w:val="99"/>
    <w:unhideWhenUsed/>
    <w:rsid w:val="00B67FAA"/>
    <w:pPr>
      <w:spacing w:before="100" w:beforeAutospacing="1" w:after="100" w:afterAutospacing="1"/>
    </w:pPr>
  </w:style>
  <w:style w:type="character" w:customStyle="1" w:styleId="apple-tab-span">
    <w:name w:val="apple-tab-span"/>
    <w:basedOn w:val="DefaultParagraphFont"/>
    <w:rsid w:val="006C4F6B"/>
  </w:style>
  <w:style w:type="paragraph" w:styleId="ListParagraph">
    <w:name w:val="List Paragraph"/>
    <w:basedOn w:val="Normal"/>
    <w:uiPriority w:val="34"/>
    <w:qFormat/>
    <w:rsid w:val="00FA4DB9"/>
    <w:pPr>
      <w:ind w:left="720"/>
      <w:contextualSpacing/>
    </w:pPr>
  </w:style>
  <w:style w:type="paragraph" w:styleId="FootnoteText">
    <w:name w:val="footnote text"/>
    <w:basedOn w:val="Normal"/>
    <w:link w:val="FootnoteTextChar"/>
    <w:uiPriority w:val="99"/>
    <w:semiHidden/>
    <w:unhideWhenUsed/>
    <w:rsid w:val="00DF6582"/>
    <w:rPr>
      <w:sz w:val="20"/>
      <w:szCs w:val="20"/>
    </w:rPr>
  </w:style>
  <w:style w:type="character" w:customStyle="1" w:styleId="FootnoteTextChar">
    <w:name w:val="Footnote Text Char"/>
    <w:basedOn w:val="DefaultParagraphFont"/>
    <w:link w:val="FootnoteText"/>
    <w:uiPriority w:val="99"/>
    <w:semiHidden/>
    <w:rsid w:val="00DF6582"/>
    <w:rPr>
      <w:sz w:val="20"/>
      <w:szCs w:val="20"/>
      <w:lang w:eastAsia="en-US"/>
    </w:rPr>
  </w:style>
  <w:style w:type="character" w:styleId="FootnoteReference">
    <w:name w:val="footnote reference"/>
    <w:basedOn w:val="DefaultParagraphFont"/>
    <w:uiPriority w:val="99"/>
    <w:semiHidden/>
    <w:unhideWhenUsed/>
    <w:rsid w:val="00DF6582"/>
    <w:rPr>
      <w:vertAlign w:val="superscript"/>
    </w:rPr>
  </w:style>
  <w:style w:type="paragraph" w:styleId="Bibliography">
    <w:name w:val="Bibliography"/>
    <w:basedOn w:val="Normal"/>
    <w:next w:val="Normal"/>
    <w:uiPriority w:val="37"/>
    <w:unhideWhenUsed/>
    <w:rsid w:val="008B4197"/>
    <w:pPr>
      <w:spacing w:line="480" w:lineRule="auto"/>
      <w:ind w:left="720" w:hanging="720"/>
    </w:pPr>
  </w:style>
  <w:style w:type="paragraph" w:styleId="CommentSubject">
    <w:name w:val="annotation subject"/>
    <w:basedOn w:val="CommentText"/>
    <w:next w:val="CommentText"/>
    <w:link w:val="CommentSubjectChar"/>
    <w:uiPriority w:val="99"/>
    <w:semiHidden/>
    <w:unhideWhenUsed/>
    <w:rsid w:val="00BA1780"/>
    <w:pPr>
      <w:widowControl/>
    </w:pPr>
    <w:rPr>
      <w:b/>
      <w:bCs/>
      <w:lang w:eastAsia="en-US"/>
    </w:rPr>
  </w:style>
  <w:style w:type="character" w:customStyle="1" w:styleId="CommentSubjectChar">
    <w:name w:val="Comment Subject Char"/>
    <w:basedOn w:val="CommentTextChar"/>
    <w:link w:val="CommentSubject"/>
    <w:uiPriority w:val="99"/>
    <w:semiHidden/>
    <w:rsid w:val="00BA1780"/>
    <w:rPr>
      <w:b/>
      <w:bCs/>
      <w:sz w:val="20"/>
      <w:szCs w:val="20"/>
      <w:lang w:eastAsia="en-US"/>
    </w:rPr>
  </w:style>
  <w:style w:type="paragraph" w:styleId="Footer">
    <w:name w:val="footer"/>
    <w:basedOn w:val="Normal"/>
    <w:link w:val="FooterChar"/>
    <w:uiPriority w:val="99"/>
    <w:unhideWhenUsed/>
    <w:rsid w:val="00543EEC"/>
    <w:pPr>
      <w:tabs>
        <w:tab w:val="center" w:pos="4680"/>
        <w:tab w:val="right" w:pos="9360"/>
      </w:tabs>
    </w:pPr>
  </w:style>
  <w:style w:type="character" w:customStyle="1" w:styleId="FooterChar">
    <w:name w:val="Footer Char"/>
    <w:basedOn w:val="DefaultParagraphFont"/>
    <w:link w:val="Footer"/>
    <w:uiPriority w:val="99"/>
    <w:rsid w:val="00543EEC"/>
    <w:rPr>
      <w:sz w:val="24"/>
      <w:szCs w:val="24"/>
      <w:lang w:eastAsia="en-US"/>
    </w:rPr>
  </w:style>
  <w:style w:type="character" w:styleId="PageNumber">
    <w:name w:val="page number"/>
    <w:basedOn w:val="DefaultParagraphFont"/>
    <w:uiPriority w:val="99"/>
    <w:semiHidden/>
    <w:unhideWhenUsed/>
    <w:rsid w:val="00543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459729">
      <w:bodyDiv w:val="1"/>
      <w:marLeft w:val="0"/>
      <w:marRight w:val="0"/>
      <w:marTop w:val="0"/>
      <w:marBottom w:val="0"/>
      <w:divBdr>
        <w:top w:val="none" w:sz="0" w:space="0" w:color="auto"/>
        <w:left w:val="none" w:sz="0" w:space="0" w:color="auto"/>
        <w:bottom w:val="none" w:sz="0" w:space="0" w:color="auto"/>
        <w:right w:val="none" w:sz="0" w:space="0" w:color="auto"/>
      </w:divBdr>
    </w:div>
    <w:div w:id="1101880375">
      <w:bodyDiv w:val="1"/>
      <w:marLeft w:val="0"/>
      <w:marRight w:val="0"/>
      <w:marTop w:val="0"/>
      <w:marBottom w:val="0"/>
      <w:divBdr>
        <w:top w:val="none" w:sz="0" w:space="0" w:color="auto"/>
        <w:left w:val="none" w:sz="0" w:space="0" w:color="auto"/>
        <w:bottom w:val="none" w:sz="0" w:space="0" w:color="auto"/>
        <w:right w:val="none" w:sz="0" w:space="0" w:color="auto"/>
      </w:divBdr>
    </w:div>
    <w:div w:id="1175726417">
      <w:bodyDiv w:val="1"/>
      <w:marLeft w:val="0"/>
      <w:marRight w:val="0"/>
      <w:marTop w:val="0"/>
      <w:marBottom w:val="0"/>
      <w:divBdr>
        <w:top w:val="none" w:sz="0" w:space="0" w:color="auto"/>
        <w:left w:val="none" w:sz="0" w:space="0" w:color="auto"/>
        <w:bottom w:val="none" w:sz="0" w:space="0" w:color="auto"/>
        <w:right w:val="none" w:sz="0" w:space="0" w:color="auto"/>
      </w:divBdr>
      <w:divsChild>
        <w:div w:id="2126651506">
          <w:marLeft w:val="1440"/>
          <w:marRight w:val="0"/>
          <w:marTop w:val="0"/>
          <w:marBottom w:val="0"/>
          <w:divBdr>
            <w:top w:val="none" w:sz="0" w:space="0" w:color="auto"/>
            <w:left w:val="none" w:sz="0" w:space="0" w:color="auto"/>
            <w:bottom w:val="none" w:sz="0" w:space="0" w:color="auto"/>
            <w:right w:val="none" w:sz="0" w:space="0" w:color="auto"/>
          </w:divBdr>
        </w:div>
      </w:divsChild>
    </w:div>
    <w:div w:id="1279678570">
      <w:bodyDiv w:val="1"/>
      <w:marLeft w:val="0"/>
      <w:marRight w:val="0"/>
      <w:marTop w:val="0"/>
      <w:marBottom w:val="0"/>
      <w:divBdr>
        <w:top w:val="none" w:sz="0" w:space="0" w:color="auto"/>
        <w:left w:val="none" w:sz="0" w:space="0" w:color="auto"/>
        <w:bottom w:val="none" w:sz="0" w:space="0" w:color="auto"/>
        <w:right w:val="none" w:sz="0" w:space="0" w:color="auto"/>
      </w:divBdr>
    </w:div>
    <w:div w:id="1645693593">
      <w:bodyDiv w:val="1"/>
      <w:marLeft w:val="0"/>
      <w:marRight w:val="0"/>
      <w:marTop w:val="0"/>
      <w:marBottom w:val="0"/>
      <w:divBdr>
        <w:top w:val="none" w:sz="0" w:space="0" w:color="auto"/>
        <w:left w:val="none" w:sz="0" w:space="0" w:color="auto"/>
        <w:bottom w:val="none" w:sz="0" w:space="0" w:color="auto"/>
        <w:right w:val="none" w:sz="0" w:space="0" w:color="auto"/>
      </w:divBdr>
    </w:div>
    <w:div w:id="1784962902">
      <w:bodyDiv w:val="1"/>
      <w:marLeft w:val="0"/>
      <w:marRight w:val="0"/>
      <w:marTop w:val="0"/>
      <w:marBottom w:val="0"/>
      <w:divBdr>
        <w:top w:val="none" w:sz="0" w:space="0" w:color="auto"/>
        <w:left w:val="none" w:sz="0" w:space="0" w:color="auto"/>
        <w:bottom w:val="none" w:sz="0" w:space="0" w:color="auto"/>
        <w:right w:val="none" w:sz="0" w:space="0" w:color="auto"/>
      </w:divBdr>
    </w:div>
    <w:div w:id="1806653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1.png"/><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5.xml"/><Relationship Id="rId32" Type="http://schemas.microsoft.com/office/2020/10/relationships/intelligence" Target="intelligence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6.png"/><Relationship Id="rId28" Type="http://schemas.openxmlformats.org/officeDocument/2006/relationships/image" Target="media/image8.png"/><Relationship Id="rId10" Type="http://schemas.openxmlformats.org/officeDocument/2006/relationships/header" Target="header1.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image" Target="media/image7.png"/><Relationship Id="rId30" Type="http://schemas.microsoft.com/office/2011/relationships/people" Target="peop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E3A700-0AB6-CB45-A904-97198FCD3A3E}">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CC04D110C97B4BACE80BECB57D345B" ma:contentTypeVersion="4" ma:contentTypeDescription="Create a new document." ma:contentTypeScope="" ma:versionID="58a3678caa1015658df1dc644a197c14">
  <xsd:schema xmlns:xsd="http://www.w3.org/2001/XMLSchema" xmlns:xs="http://www.w3.org/2001/XMLSchema" xmlns:p="http://schemas.microsoft.com/office/2006/metadata/properties" xmlns:ns2="544fb7a5-d469-435e-8f1e-bfd580fa9fb4" targetNamespace="http://schemas.microsoft.com/office/2006/metadata/properties" ma:root="true" ma:fieldsID="54141aa784a0e20a415bf259c67e3e68" ns2:_="">
    <xsd:import namespace="544fb7a5-d469-435e-8f1e-bfd580fa9f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fb7a5-d469-435e-8f1e-bfd580fa9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280B01-8E07-4168-AE9B-CB1F7E78F5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7B751E-D609-4F6B-9023-BEAF8122FDB3}">
  <ds:schemaRefs>
    <ds:schemaRef ds:uri="http://schemas.microsoft.com/sharepoint/v3/contenttype/forms"/>
  </ds:schemaRefs>
</ds:datastoreItem>
</file>

<file path=customXml/itemProps3.xml><?xml version="1.0" encoding="utf-8"?>
<ds:datastoreItem xmlns:ds="http://schemas.openxmlformats.org/officeDocument/2006/customXml" ds:itemID="{800025A3-C73E-4432-B1B6-F031B3A1D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fb7a5-d469-435e-8f1e-bfd580fa9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80</Pages>
  <Words>88707</Words>
  <Characters>505633</Characters>
  <Application>Microsoft Office Word</Application>
  <DocSecurity>0</DocSecurity>
  <Lines>4213</Lines>
  <Paragraphs>1186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Johnston, Madison L.</cp:lastModifiedBy>
  <cp:revision>4</cp:revision>
  <cp:lastPrinted>2024-07-26T17:53:00Z</cp:lastPrinted>
  <dcterms:created xsi:type="dcterms:W3CDTF">2024-07-26T17:53:00Z</dcterms:created>
  <dcterms:modified xsi:type="dcterms:W3CDTF">2024-07-26T18:37:00Z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0x010100B3CC04D110C97B4BACE80BECB57D345B</vt:lpwstr>
  </property>
  <property fmtid="{D5CDD505-2E9C-101B-9397-08002B2CF9AE}" pid="3" name="ZOTERO_PREF_1">
    <vt:lpwstr>&lt;data data-version="3" zotero-version="7.0.0-beta.105+c5c613c82"&gt;&lt;session id="tPRb234F"/&gt;&lt;style id="http://www.zotero.org/styles/apa" locale="en-US" hasBibliography="1" bibliographyStyleHasBeenSet="1"/&gt;&lt;prefs&gt;&lt;pref name="fieldType" value="Field"/&gt;&lt;/prefs&gt;</vt:lpwstr>
  </property>
  <property fmtid="{D5CDD505-2E9C-101B-9397-08002B2CF9AE}" pid="4" name="ZOTERO_PREF_2">
    <vt:lpwstr>&lt;/data&gt;</vt:lpwstr>
  </property>
  <property fmtid="{D5CDD505-2E9C-101B-9397-08002B2CF9AE}" pid="5" name="grammarly_documentId">
    <vt:lpwstr>documentId_8278</vt:lpwstr>
  </property>
  <property fmtid="{D5CDD505-2E9C-101B-9397-08002B2CF9AE}" pid="6" name="grammarly_documentContext">
    <vt:lpwstr>{"goals":[],"domain":"general","emotions":[],"dialect":"american"}</vt:lpwstr>
  </property>
</Properties>
</file>