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667BE"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University of Oklahoma</w:t>
      </w:r>
    </w:p>
    <w:p w14:paraId="1976CD4D"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Graduate College</w:t>
      </w:r>
    </w:p>
    <w:p w14:paraId="7DAEBE50"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p>
    <w:p w14:paraId="33C7FDDF" w14:textId="6703D615" w:rsidR="00BD14FB" w:rsidRDefault="00BD14FB" w:rsidP="00BC2CA0">
      <w:pPr>
        <w:pStyle w:val="NoSpacing"/>
        <w:spacing w:beforeLines="120" w:before="288" w:afterLines="120" w:after="288"/>
        <w:ind w:firstLine="720"/>
        <w:jc w:val="center"/>
        <w:rPr>
          <w:rFonts w:ascii="Georgia Pro" w:hAnsi="Georgia Pro" w:cstheme="minorHAnsi"/>
          <w:caps/>
          <w:sz w:val="24"/>
          <w:szCs w:val="24"/>
        </w:rPr>
      </w:pPr>
    </w:p>
    <w:p w14:paraId="1938DE84" w14:textId="77777777" w:rsidR="005F2CBB" w:rsidRPr="0015600B" w:rsidRDefault="005F2CBB" w:rsidP="00BC2CA0">
      <w:pPr>
        <w:pStyle w:val="NoSpacing"/>
        <w:spacing w:beforeLines="120" w:before="288" w:afterLines="120" w:after="288"/>
        <w:ind w:firstLine="720"/>
        <w:jc w:val="center"/>
        <w:rPr>
          <w:rFonts w:ascii="Georgia Pro" w:hAnsi="Georgia Pro" w:cstheme="minorHAnsi"/>
          <w:caps/>
          <w:sz w:val="24"/>
          <w:szCs w:val="24"/>
        </w:rPr>
      </w:pPr>
    </w:p>
    <w:sdt>
      <w:sdtPr>
        <w:rPr>
          <w:rFonts w:ascii="Georgia Pro" w:eastAsiaTheme="minorHAnsi" w:hAnsi="Georgia Pro" w:cstheme="minorHAnsi"/>
          <w:caps/>
          <w:spacing w:val="0"/>
          <w:kern w:val="0"/>
          <w:sz w:val="24"/>
          <w:szCs w:val="24"/>
        </w:rPr>
        <w:alias w:val="Click to enter thesis title"/>
        <w:tag w:val="Click to enter thesis title"/>
        <w:id w:val="30091832"/>
        <w:placeholder>
          <w:docPart w:val="23A1EA2A2F594AF58E1903900F7B39E3"/>
        </w:placeholder>
      </w:sdtPr>
      <w:sdtEndPr>
        <w:rPr>
          <w:rFonts w:eastAsiaTheme="majorEastAsia"/>
          <w:spacing w:val="-10"/>
          <w:kern w:val="28"/>
        </w:rPr>
      </w:sdtEndPr>
      <w:sdtContent>
        <w:p w14:paraId="1A6322C4" w14:textId="622A8367" w:rsidR="00BD14FB" w:rsidRPr="0015600B" w:rsidRDefault="00BD14FB" w:rsidP="00BC2CA0">
          <w:pPr>
            <w:pStyle w:val="Title"/>
            <w:spacing w:beforeLines="120" w:before="288" w:afterLines="120" w:after="288"/>
            <w:jc w:val="center"/>
            <w:rPr>
              <w:rFonts w:ascii="Georgia Pro" w:hAnsi="Georgia Pro" w:cstheme="minorHAnsi"/>
              <w:sz w:val="24"/>
              <w:szCs w:val="24"/>
            </w:rPr>
          </w:pPr>
          <w:r w:rsidRPr="0015600B">
            <w:rPr>
              <w:rFonts w:ascii="Georgia Pro" w:hAnsi="Georgia Pro" w:cstheme="minorHAnsi"/>
              <w:sz w:val="24"/>
              <w:szCs w:val="24"/>
            </w:rPr>
            <w:t xml:space="preserve">ENERGY PERFORMANCE STUDY OF </w:t>
          </w:r>
        </w:p>
        <w:p w14:paraId="68396901" w14:textId="005E63BD" w:rsidR="00BD14FB" w:rsidRPr="0015600B" w:rsidRDefault="00E178D8" w:rsidP="00BC2CA0">
          <w:pPr>
            <w:pStyle w:val="Title"/>
            <w:spacing w:beforeLines="120" w:before="288" w:afterLines="120" w:after="288"/>
            <w:jc w:val="center"/>
            <w:rPr>
              <w:rFonts w:ascii="Georgia Pro" w:hAnsi="Georgia Pro" w:cstheme="minorHAnsi"/>
              <w:sz w:val="24"/>
              <w:szCs w:val="24"/>
            </w:rPr>
          </w:pPr>
          <w:r w:rsidRPr="0015600B">
            <w:rPr>
              <w:rFonts w:ascii="Georgia Pro" w:hAnsi="Georgia Pro" w:cstheme="minorHAnsi"/>
              <w:sz w:val="24"/>
              <w:szCs w:val="24"/>
            </w:rPr>
            <w:t>HEATING,</w:t>
          </w:r>
          <w:r w:rsidR="00BD14FB" w:rsidRPr="0015600B">
            <w:rPr>
              <w:rFonts w:ascii="Georgia Pro" w:hAnsi="Georgia Pro" w:cstheme="minorHAnsi"/>
              <w:sz w:val="24"/>
              <w:szCs w:val="24"/>
            </w:rPr>
            <w:t xml:space="preserve"> </w:t>
          </w:r>
          <w:r w:rsidR="001715DD">
            <w:rPr>
              <w:rFonts w:ascii="Georgia Pro" w:hAnsi="Georgia Pro" w:cstheme="minorHAnsi"/>
              <w:sz w:val="24"/>
              <w:szCs w:val="24"/>
            </w:rPr>
            <w:t xml:space="preserve">COOLING, </w:t>
          </w:r>
          <w:r w:rsidR="00BD14FB" w:rsidRPr="0015600B">
            <w:rPr>
              <w:rFonts w:ascii="Georgia Pro" w:hAnsi="Georgia Pro" w:cstheme="minorHAnsi"/>
              <w:sz w:val="24"/>
              <w:szCs w:val="24"/>
            </w:rPr>
            <w:t>AND HOT WATER</w:t>
          </w:r>
        </w:p>
        <w:p w14:paraId="7D7E4737" w14:textId="64CB6D0C" w:rsidR="00BD14FB" w:rsidRPr="0015600B" w:rsidRDefault="00BD14FB" w:rsidP="00BC2CA0">
          <w:pPr>
            <w:pStyle w:val="Title"/>
            <w:spacing w:beforeLines="120" w:before="288" w:afterLines="120" w:after="288"/>
            <w:jc w:val="center"/>
            <w:rPr>
              <w:rFonts w:ascii="Georgia Pro" w:hAnsi="Georgia Pro" w:cstheme="minorHAnsi"/>
              <w:caps/>
              <w:sz w:val="24"/>
              <w:szCs w:val="24"/>
            </w:rPr>
          </w:pPr>
          <w:r w:rsidRPr="0015600B">
            <w:rPr>
              <w:rFonts w:ascii="Georgia Pro" w:hAnsi="Georgia Pro" w:cstheme="minorHAnsi"/>
              <w:sz w:val="24"/>
              <w:szCs w:val="24"/>
            </w:rPr>
            <w:t xml:space="preserve">SYSTEM </w:t>
          </w:r>
          <w:r w:rsidR="003F50C9">
            <w:rPr>
              <w:rFonts w:ascii="Georgia Pro" w:hAnsi="Georgia Pro" w:cstheme="minorHAnsi"/>
              <w:sz w:val="24"/>
              <w:szCs w:val="24"/>
            </w:rPr>
            <w:t xml:space="preserve">INTEGRATED </w:t>
          </w:r>
          <w:r w:rsidRPr="0015600B">
            <w:rPr>
              <w:rFonts w:ascii="Georgia Pro" w:hAnsi="Georgia Pro" w:cstheme="minorHAnsi"/>
              <w:sz w:val="24"/>
              <w:szCs w:val="24"/>
            </w:rPr>
            <w:t xml:space="preserve">WITH </w:t>
          </w:r>
          <w:r w:rsidR="003F50C9">
            <w:rPr>
              <w:rFonts w:ascii="Georgia Pro" w:hAnsi="Georgia Pro" w:cstheme="minorHAnsi"/>
              <w:sz w:val="24"/>
              <w:szCs w:val="24"/>
            </w:rPr>
            <w:t xml:space="preserve">THE </w:t>
          </w:r>
          <w:r w:rsidRPr="0015600B">
            <w:rPr>
              <w:rFonts w:ascii="Georgia Pro" w:hAnsi="Georgia Pro" w:cstheme="minorHAnsi"/>
              <w:sz w:val="24"/>
              <w:szCs w:val="24"/>
            </w:rPr>
            <w:t>LATENT HEAT THERMAL ENERGY STORAGE IN DIFFERENT U.S. CLIMATE ZONES</w:t>
          </w:r>
        </w:p>
      </w:sdtContent>
    </w:sdt>
    <w:p w14:paraId="707F12D9"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p>
    <w:p w14:paraId="5602F110" w14:textId="35BD1D3C" w:rsidR="008641CA" w:rsidRDefault="008641CA" w:rsidP="00BC2CA0">
      <w:pPr>
        <w:pStyle w:val="NoSpacing"/>
        <w:spacing w:beforeLines="120" w:before="288" w:afterLines="120" w:after="288"/>
        <w:ind w:firstLine="720"/>
        <w:jc w:val="center"/>
        <w:rPr>
          <w:rFonts w:ascii="Georgia Pro" w:hAnsi="Georgia Pro" w:cstheme="minorHAnsi"/>
          <w:caps/>
          <w:sz w:val="24"/>
          <w:szCs w:val="24"/>
        </w:rPr>
      </w:pPr>
    </w:p>
    <w:p w14:paraId="331751E0" w14:textId="20ACD85E" w:rsidR="005F2CBB" w:rsidRDefault="005F2CBB" w:rsidP="00BC2CA0">
      <w:pPr>
        <w:pStyle w:val="NoSpacing"/>
        <w:spacing w:beforeLines="120" w:before="288" w:afterLines="120" w:after="288"/>
        <w:ind w:firstLine="720"/>
        <w:jc w:val="center"/>
        <w:rPr>
          <w:rFonts w:ascii="Georgia Pro" w:hAnsi="Georgia Pro" w:cstheme="minorHAnsi"/>
          <w:caps/>
          <w:sz w:val="24"/>
          <w:szCs w:val="24"/>
        </w:rPr>
      </w:pPr>
    </w:p>
    <w:p w14:paraId="21F54765" w14:textId="77777777" w:rsidR="005F2CBB" w:rsidRPr="0015600B" w:rsidRDefault="005F2CBB" w:rsidP="00BC2CA0">
      <w:pPr>
        <w:pStyle w:val="NoSpacing"/>
        <w:spacing w:beforeLines="120" w:before="288" w:afterLines="120" w:after="288"/>
        <w:ind w:firstLine="720"/>
        <w:jc w:val="center"/>
        <w:rPr>
          <w:rFonts w:ascii="Georgia Pro" w:hAnsi="Georgia Pro" w:cstheme="minorHAnsi"/>
          <w:caps/>
          <w:sz w:val="24"/>
          <w:szCs w:val="24"/>
        </w:rPr>
      </w:pPr>
    </w:p>
    <w:p w14:paraId="49E6D1BF"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A thesis</w:t>
      </w:r>
    </w:p>
    <w:p w14:paraId="37096B8C" w14:textId="77777777"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submitted to the Graduate Faculty</w:t>
      </w:r>
    </w:p>
    <w:p w14:paraId="7F6FA78E" w14:textId="77777777" w:rsidR="00BD14FB" w:rsidRPr="0015600B" w:rsidRDefault="00BD14FB" w:rsidP="00BC2CA0">
      <w:pPr>
        <w:pStyle w:val="NoSpacing"/>
        <w:spacing w:beforeLines="120" w:before="288" w:afterLines="120" w:after="288"/>
        <w:ind w:firstLine="720"/>
        <w:jc w:val="center"/>
        <w:rPr>
          <w:rFonts w:ascii="Georgia Pro" w:hAnsi="Georgia Pro" w:cstheme="minorHAnsi"/>
          <w:sz w:val="24"/>
          <w:szCs w:val="24"/>
        </w:rPr>
      </w:pPr>
      <w:r w:rsidRPr="0015600B">
        <w:rPr>
          <w:rFonts w:ascii="Georgia Pro" w:hAnsi="Georgia Pro" w:cstheme="minorHAnsi"/>
          <w:sz w:val="24"/>
          <w:szCs w:val="24"/>
        </w:rPr>
        <w:t>in partial fulfillment of the requirements for the</w:t>
      </w:r>
    </w:p>
    <w:p w14:paraId="797C00A6" w14:textId="77777777" w:rsidR="00BD14FB" w:rsidRPr="0015600B" w:rsidRDefault="00BD14FB" w:rsidP="00BC2CA0">
      <w:pPr>
        <w:pStyle w:val="NoSpacing"/>
        <w:spacing w:beforeLines="120" w:before="288" w:afterLines="120" w:after="288"/>
        <w:ind w:firstLine="720"/>
        <w:jc w:val="center"/>
        <w:rPr>
          <w:rFonts w:ascii="Georgia Pro" w:hAnsi="Georgia Pro" w:cstheme="minorHAnsi"/>
          <w:sz w:val="24"/>
          <w:szCs w:val="24"/>
        </w:rPr>
      </w:pPr>
      <w:r w:rsidRPr="0015600B">
        <w:rPr>
          <w:rFonts w:ascii="Georgia Pro" w:hAnsi="Georgia Pro" w:cstheme="minorHAnsi"/>
          <w:sz w:val="24"/>
          <w:szCs w:val="24"/>
        </w:rPr>
        <w:t>Degree of</w:t>
      </w:r>
    </w:p>
    <w:sdt>
      <w:sdtPr>
        <w:rPr>
          <w:rFonts w:ascii="Georgia Pro" w:hAnsi="Georgia Pro" w:cstheme="minorHAnsi"/>
          <w:caps/>
          <w:sz w:val="24"/>
          <w:szCs w:val="24"/>
        </w:rPr>
        <w:alias w:val="Select the exact name of your degree"/>
        <w:tag w:val="Exact name of your degree in ALL CAPS"/>
        <w:id w:val="8173860"/>
        <w:placeholder>
          <w:docPart w:val="3DC1E22B694146769BF8B68F51C8D27A"/>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2531C922" w14:textId="7C49A90F"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Master of Science</w:t>
          </w:r>
        </w:p>
      </w:sdtContent>
    </w:sdt>
    <w:p w14:paraId="01FDD554" w14:textId="77777777" w:rsidR="00BD14FB" w:rsidRPr="0015600B" w:rsidRDefault="00BD14FB" w:rsidP="00BC2CA0">
      <w:pPr>
        <w:pStyle w:val="NoSpacing"/>
        <w:spacing w:beforeLines="120" w:before="288" w:afterLines="120" w:after="288"/>
        <w:ind w:firstLine="720"/>
        <w:jc w:val="center"/>
        <w:rPr>
          <w:rFonts w:ascii="Georgia Pro" w:hAnsi="Georgia Pro" w:cstheme="minorHAnsi"/>
          <w:sz w:val="24"/>
          <w:szCs w:val="24"/>
        </w:rPr>
      </w:pPr>
    </w:p>
    <w:p w14:paraId="01ED9EEF" w14:textId="59C0BED6" w:rsidR="00BD14FB" w:rsidRDefault="00BD14FB" w:rsidP="00BC2CA0">
      <w:pPr>
        <w:pStyle w:val="NoSpacing"/>
        <w:spacing w:beforeLines="120" w:before="288" w:afterLines="120" w:after="288"/>
        <w:ind w:firstLine="720"/>
        <w:jc w:val="center"/>
        <w:rPr>
          <w:rFonts w:ascii="Georgia Pro" w:hAnsi="Georgia Pro" w:cstheme="minorHAnsi"/>
          <w:sz w:val="24"/>
          <w:szCs w:val="24"/>
        </w:rPr>
      </w:pPr>
    </w:p>
    <w:p w14:paraId="52660D14" w14:textId="3010A357"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095709BD" w14:textId="6B1D55EC"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5F763CC3" w14:textId="5605F2C2"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3D3EE839" w14:textId="315FB431"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3F907B57" w14:textId="24D893A5"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23A4EF05" w14:textId="097250A3" w:rsidR="005F2CBB" w:rsidRDefault="005F2CBB" w:rsidP="00BC2CA0">
      <w:pPr>
        <w:pStyle w:val="NoSpacing"/>
        <w:spacing w:beforeLines="120" w:before="288" w:afterLines="120" w:after="288"/>
        <w:ind w:firstLine="720"/>
        <w:jc w:val="center"/>
        <w:rPr>
          <w:rFonts w:ascii="Georgia Pro" w:hAnsi="Georgia Pro" w:cstheme="minorHAnsi"/>
          <w:sz w:val="24"/>
          <w:szCs w:val="24"/>
        </w:rPr>
      </w:pPr>
    </w:p>
    <w:p w14:paraId="3B35C3EB" w14:textId="77777777" w:rsidR="005F2CBB" w:rsidRPr="0015600B" w:rsidRDefault="005F2CBB" w:rsidP="00BC2CA0">
      <w:pPr>
        <w:pStyle w:val="NoSpacing"/>
        <w:spacing w:beforeLines="120" w:before="288" w:afterLines="120" w:after="288"/>
        <w:ind w:firstLine="720"/>
        <w:jc w:val="center"/>
        <w:rPr>
          <w:rFonts w:ascii="Georgia Pro" w:hAnsi="Georgia Pro" w:cstheme="minorHAnsi"/>
          <w:sz w:val="24"/>
          <w:szCs w:val="24"/>
        </w:rPr>
      </w:pPr>
    </w:p>
    <w:p w14:paraId="13F6D8C6" w14:textId="77777777" w:rsidR="00BD14FB" w:rsidRPr="0015600B" w:rsidRDefault="00BD14FB" w:rsidP="00BC2CA0">
      <w:pPr>
        <w:pStyle w:val="NoSpacing"/>
        <w:spacing w:beforeLines="120" w:before="288" w:afterLines="120" w:after="288"/>
        <w:ind w:firstLine="720"/>
        <w:jc w:val="center"/>
        <w:rPr>
          <w:rFonts w:ascii="Georgia Pro" w:hAnsi="Georgia Pro" w:cstheme="minorHAnsi"/>
          <w:sz w:val="24"/>
          <w:szCs w:val="24"/>
        </w:rPr>
      </w:pPr>
      <w:r w:rsidRPr="0015600B">
        <w:rPr>
          <w:rFonts w:ascii="Georgia Pro" w:hAnsi="Georgia Pro" w:cstheme="minorHAnsi"/>
          <w:sz w:val="24"/>
          <w:szCs w:val="24"/>
        </w:rPr>
        <w:t>By</w:t>
      </w:r>
    </w:p>
    <w:sdt>
      <w:sdtPr>
        <w:rPr>
          <w:rFonts w:ascii="Georgia Pro" w:hAnsi="Georgia Pro" w:cstheme="minorHAnsi"/>
          <w:caps/>
          <w:sz w:val="24"/>
          <w:szCs w:val="24"/>
        </w:rPr>
        <w:alias w:val="Click to enter your name (must match University records)"/>
        <w:tag w:val="Click to enter your name (must match University records)"/>
        <w:id w:val="24310776"/>
        <w:placeholder>
          <w:docPart w:val="6BBF569392B14F7C831658AF8AAB6DE1"/>
        </w:placeholder>
      </w:sdtPr>
      <w:sdtContent>
        <w:p w14:paraId="7FE6D2E7" w14:textId="07DD83FB"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Emmnauel Hakizimana</w:t>
          </w:r>
        </w:p>
      </w:sdtContent>
    </w:sdt>
    <w:p w14:paraId="5535DC39" w14:textId="77777777" w:rsidR="00BD14FB" w:rsidRPr="0015600B" w:rsidRDefault="00BD14FB" w:rsidP="00BC2CA0">
      <w:pPr>
        <w:pStyle w:val="NoSpacing"/>
        <w:spacing w:beforeLines="120" w:before="288" w:afterLines="120" w:after="288"/>
        <w:ind w:firstLine="720"/>
        <w:jc w:val="center"/>
        <w:rPr>
          <w:rFonts w:ascii="Georgia Pro" w:hAnsi="Georgia Pro" w:cstheme="minorHAnsi"/>
          <w:sz w:val="24"/>
          <w:szCs w:val="24"/>
        </w:rPr>
      </w:pPr>
      <w:r w:rsidRPr="0015600B">
        <w:rPr>
          <w:rFonts w:ascii="Georgia Pro" w:hAnsi="Georgia Pro" w:cstheme="minorHAnsi"/>
          <w:sz w:val="24"/>
          <w:szCs w:val="24"/>
        </w:rPr>
        <w:t>Norman, Oklahoma</w:t>
      </w:r>
    </w:p>
    <w:p w14:paraId="0E4E6B86" w14:textId="77777777" w:rsidR="008641CA" w:rsidRPr="0015600B" w:rsidRDefault="00BD14FB" w:rsidP="00BC2CA0">
      <w:pPr>
        <w:pStyle w:val="NoSpacing"/>
        <w:spacing w:beforeLines="120" w:before="288" w:afterLines="120" w:after="288"/>
        <w:ind w:firstLine="720"/>
        <w:jc w:val="center"/>
        <w:rPr>
          <w:rFonts w:ascii="Georgia Pro" w:hAnsi="Georgia Pro" w:cstheme="minorHAnsi"/>
          <w:sz w:val="24"/>
          <w:szCs w:val="24"/>
        </w:rPr>
        <w:sectPr w:rsidR="008641CA" w:rsidRPr="0015600B" w:rsidSect="002962D0">
          <w:headerReference w:type="even" r:id="rId11"/>
          <w:footerReference w:type="default" r:id="rId12"/>
          <w:pgSz w:w="12240" w:h="15840" w:code="1"/>
          <w:pgMar w:top="1440" w:right="1440" w:bottom="1440" w:left="2160" w:header="720" w:footer="720" w:gutter="0"/>
          <w:cols w:space="720"/>
          <w:docGrid w:linePitch="360"/>
        </w:sectPr>
      </w:pPr>
      <w:r w:rsidRPr="0015600B">
        <w:rPr>
          <w:rFonts w:ascii="Georgia Pro" w:hAnsi="Georgia Pro" w:cstheme="minorHAnsi"/>
          <w:sz w:val="24"/>
          <w:szCs w:val="24"/>
        </w:rPr>
        <w:t>2020</w:t>
      </w:r>
    </w:p>
    <w:sdt>
      <w:sdtPr>
        <w:rPr>
          <w:rFonts w:ascii="Georgia Pro" w:eastAsiaTheme="minorHAnsi" w:hAnsi="Georgia Pro" w:cstheme="minorHAnsi"/>
          <w:caps/>
          <w:spacing w:val="0"/>
          <w:kern w:val="0"/>
          <w:sz w:val="24"/>
          <w:szCs w:val="24"/>
        </w:rPr>
        <w:alias w:val="Click to enter thesis title"/>
        <w:tag w:val="Click to enter thesis title"/>
        <w:id w:val="-624238160"/>
        <w:placeholder>
          <w:docPart w:val="05B1570571C643C5A0F540ACCC87968D"/>
        </w:placeholder>
      </w:sdtPr>
      <w:sdtEndPr>
        <w:rPr>
          <w:rFonts w:eastAsiaTheme="majorEastAsia"/>
          <w:spacing w:val="-10"/>
          <w:kern w:val="28"/>
        </w:rPr>
      </w:sdtEndPr>
      <w:sdtContent>
        <w:sdt>
          <w:sdtPr>
            <w:rPr>
              <w:rFonts w:ascii="Georgia Pro" w:eastAsiaTheme="minorHAnsi" w:hAnsi="Georgia Pro" w:cstheme="minorHAnsi"/>
              <w:spacing w:val="0"/>
              <w:kern w:val="0"/>
              <w:sz w:val="24"/>
              <w:szCs w:val="24"/>
            </w:rPr>
            <w:alias w:val="Click to enter thesis title"/>
            <w:tag w:val="Click to enter thesis title"/>
            <w:id w:val="-218597538"/>
            <w:placeholder>
              <w:docPart w:val="A326930D02804F3BAA7FE5851C45A4C5"/>
            </w:placeholder>
          </w:sdtPr>
          <w:sdtEndPr>
            <w:rPr>
              <w:rFonts w:eastAsiaTheme="majorEastAsia"/>
              <w:spacing w:val="-10"/>
              <w:kern w:val="28"/>
            </w:rPr>
          </w:sdtEndPr>
          <w:sdtContent>
            <w:sdt>
              <w:sdtPr>
                <w:rPr>
                  <w:rFonts w:ascii="Georgia Pro" w:eastAsiaTheme="minorHAnsi" w:hAnsi="Georgia Pro" w:cstheme="minorHAnsi"/>
                  <w:caps/>
                  <w:spacing w:val="0"/>
                  <w:kern w:val="0"/>
                  <w:sz w:val="24"/>
                  <w:szCs w:val="24"/>
                </w:rPr>
                <w:alias w:val="Click to enter thesis title"/>
                <w:tag w:val="Click to enter thesis title"/>
                <w:id w:val="693193855"/>
                <w:placeholder>
                  <w:docPart w:val="DB4155AC384047E5B8E527B4E792CC48"/>
                </w:placeholder>
              </w:sdtPr>
              <w:sdtEndPr>
                <w:rPr>
                  <w:rFonts w:eastAsiaTheme="majorEastAsia"/>
                  <w:spacing w:val="-10"/>
                  <w:kern w:val="28"/>
                </w:rPr>
              </w:sdtEndPr>
              <w:sdtContent>
                <w:p w14:paraId="717FADF9" w14:textId="77777777" w:rsidR="003016C2" w:rsidRPr="0015600B" w:rsidRDefault="003016C2" w:rsidP="00BC2CA0">
                  <w:pPr>
                    <w:pStyle w:val="Title"/>
                    <w:spacing w:beforeLines="120" w:before="288" w:afterLines="120" w:after="288"/>
                    <w:jc w:val="center"/>
                    <w:rPr>
                      <w:rFonts w:ascii="Georgia Pro" w:eastAsiaTheme="minorHAnsi" w:hAnsi="Georgia Pro" w:cstheme="minorHAnsi"/>
                      <w:caps/>
                      <w:spacing w:val="0"/>
                      <w:kern w:val="0"/>
                      <w:sz w:val="24"/>
                      <w:szCs w:val="24"/>
                    </w:rPr>
                  </w:pPr>
                </w:p>
                <w:p w14:paraId="4A420F6F" w14:textId="1E8192CC" w:rsidR="00BD14FB" w:rsidRPr="0015600B" w:rsidRDefault="008641CA" w:rsidP="00BC2CA0">
                  <w:pPr>
                    <w:pStyle w:val="Title"/>
                    <w:spacing w:beforeLines="120" w:before="288" w:afterLines="120" w:after="288"/>
                    <w:jc w:val="center"/>
                    <w:rPr>
                      <w:rFonts w:ascii="Georgia Pro" w:hAnsi="Georgia Pro" w:cstheme="minorHAnsi"/>
                      <w:sz w:val="24"/>
                      <w:szCs w:val="24"/>
                    </w:rPr>
                  </w:pPr>
                  <w:r w:rsidRPr="0015600B">
                    <w:rPr>
                      <w:rFonts w:ascii="Georgia Pro" w:hAnsi="Georgia Pro" w:cstheme="minorHAnsi"/>
                      <w:sz w:val="24"/>
                      <w:szCs w:val="24"/>
                    </w:rPr>
                    <w:t xml:space="preserve">ENERGY PERFORMANCE STUDY OF </w:t>
                  </w:r>
                </w:p>
                <w:p w14:paraId="6356F767" w14:textId="10D0EB48" w:rsidR="00BD14FB" w:rsidRPr="0015600B" w:rsidRDefault="00E178D8" w:rsidP="00BC2CA0">
                  <w:pPr>
                    <w:pStyle w:val="Title"/>
                    <w:spacing w:beforeLines="120" w:before="288" w:afterLines="120" w:after="288"/>
                    <w:jc w:val="center"/>
                    <w:rPr>
                      <w:rFonts w:ascii="Georgia Pro" w:hAnsi="Georgia Pro" w:cstheme="minorHAnsi"/>
                      <w:sz w:val="24"/>
                      <w:szCs w:val="24"/>
                    </w:rPr>
                  </w:pPr>
                  <w:r w:rsidRPr="0015600B">
                    <w:rPr>
                      <w:rFonts w:ascii="Georgia Pro" w:hAnsi="Georgia Pro" w:cstheme="minorHAnsi"/>
                      <w:sz w:val="24"/>
                      <w:szCs w:val="24"/>
                    </w:rPr>
                    <w:t>HEATING,</w:t>
                  </w:r>
                  <w:r w:rsidR="008641CA" w:rsidRPr="0015600B">
                    <w:rPr>
                      <w:rFonts w:ascii="Georgia Pro" w:hAnsi="Georgia Pro" w:cstheme="minorHAnsi"/>
                      <w:sz w:val="24"/>
                      <w:szCs w:val="24"/>
                    </w:rPr>
                    <w:t xml:space="preserve"> </w:t>
                  </w:r>
                  <w:r w:rsidR="001715DD">
                    <w:rPr>
                      <w:rFonts w:ascii="Georgia Pro" w:hAnsi="Georgia Pro" w:cstheme="minorHAnsi"/>
                      <w:sz w:val="24"/>
                      <w:szCs w:val="24"/>
                    </w:rPr>
                    <w:t xml:space="preserve">COOLING, </w:t>
                  </w:r>
                  <w:r w:rsidR="008641CA" w:rsidRPr="0015600B">
                    <w:rPr>
                      <w:rFonts w:ascii="Georgia Pro" w:hAnsi="Georgia Pro" w:cstheme="minorHAnsi"/>
                      <w:sz w:val="24"/>
                      <w:szCs w:val="24"/>
                    </w:rPr>
                    <w:t>AND HOT WATER</w:t>
                  </w:r>
                </w:p>
                <w:p w14:paraId="1A5E21B5" w14:textId="2072B270" w:rsidR="00BD14FB" w:rsidRPr="0015600B" w:rsidRDefault="008641CA" w:rsidP="00BC2CA0">
                  <w:pPr>
                    <w:pStyle w:val="Title"/>
                    <w:spacing w:beforeLines="120" w:before="288" w:afterLines="120" w:after="288"/>
                    <w:jc w:val="center"/>
                    <w:rPr>
                      <w:rFonts w:ascii="Georgia Pro" w:hAnsi="Georgia Pro" w:cstheme="minorHAnsi"/>
                      <w:caps/>
                      <w:sz w:val="24"/>
                      <w:szCs w:val="24"/>
                    </w:rPr>
                  </w:pPr>
                  <w:r w:rsidRPr="0015600B">
                    <w:rPr>
                      <w:rFonts w:ascii="Georgia Pro" w:hAnsi="Georgia Pro" w:cstheme="minorHAnsi"/>
                      <w:sz w:val="24"/>
                      <w:szCs w:val="24"/>
                    </w:rPr>
                    <w:t xml:space="preserve">SYSTEM </w:t>
                  </w:r>
                  <w:r w:rsidR="003F50C9">
                    <w:rPr>
                      <w:rFonts w:ascii="Georgia Pro" w:hAnsi="Georgia Pro" w:cstheme="minorHAnsi"/>
                      <w:sz w:val="24"/>
                      <w:szCs w:val="24"/>
                    </w:rPr>
                    <w:t xml:space="preserve">INTEGRATED </w:t>
                  </w:r>
                  <w:r w:rsidRPr="0015600B">
                    <w:rPr>
                      <w:rFonts w:ascii="Georgia Pro" w:hAnsi="Georgia Pro" w:cstheme="minorHAnsi"/>
                      <w:sz w:val="24"/>
                      <w:szCs w:val="24"/>
                    </w:rPr>
                    <w:t xml:space="preserve">WITH </w:t>
                  </w:r>
                  <w:r w:rsidR="003F50C9">
                    <w:rPr>
                      <w:rFonts w:ascii="Georgia Pro" w:hAnsi="Georgia Pro" w:cstheme="minorHAnsi"/>
                      <w:sz w:val="24"/>
                      <w:szCs w:val="24"/>
                    </w:rPr>
                    <w:t xml:space="preserve">THE </w:t>
                  </w:r>
                  <w:r w:rsidRPr="0015600B">
                    <w:rPr>
                      <w:rFonts w:ascii="Georgia Pro" w:hAnsi="Georgia Pro" w:cstheme="minorHAnsi"/>
                      <w:sz w:val="24"/>
                      <w:szCs w:val="24"/>
                    </w:rPr>
                    <w:t>LATENT HEAT THERMAL ENERGY STORAGE IN DIFFERENT U.S. CLIMATE ZONES</w:t>
                  </w:r>
                </w:p>
              </w:sdtContent>
            </w:sdt>
            <w:p w14:paraId="283FD6D3" w14:textId="766772E7" w:rsidR="008641CA" w:rsidRPr="0015600B" w:rsidRDefault="003A0B43" w:rsidP="00BC2CA0">
              <w:pPr>
                <w:pStyle w:val="Title"/>
                <w:spacing w:beforeLines="120" w:before="288" w:afterLines="120" w:after="288"/>
                <w:jc w:val="center"/>
                <w:rPr>
                  <w:rFonts w:ascii="Georgia Pro" w:hAnsi="Georgia Pro" w:cstheme="minorHAnsi"/>
                  <w:caps/>
                  <w:sz w:val="24"/>
                  <w:szCs w:val="24"/>
                </w:rPr>
              </w:pPr>
            </w:p>
          </w:sdtContent>
        </w:sdt>
      </w:sdtContent>
    </w:sdt>
    <w:p w14:paraId="7ED5AB0C" w14:textId="77777777"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6AAC2595" w14:textId="77777777"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5AD69185" w14:textId="77777777"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34212DBA" w14:textId="551D29B9"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A thesis approved for the</w:t>
      </w:r>
    </w:p>
    <w:sdt>
      <w:sdtPr>
        <w:rPr>
          <w:rFonts w:ascii="Georgia Pro" w:hAnsi="Georgia Pro" w:cstheme="minorHAnsi"/>
          <w:caps/>
          <w:sz w:val="24"/>
          <w:szCs w:val="24"/>
        </w:rPr>
        <w:alias w:val="Select the exact name of your academic unit"/>
        <w:tag w:val="Exact name of your academic unit in ALL CAPS"/>
        <w:id w:val="8173889"/>
        <w:placeholder>
          <w:docPart w:val="C517DEB98A044455BD8603485E964885"/>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77E40093" w14:textId="5073D948" w:rsidR="00BD14FB" w:rsidRPr="0015600B" w:rsidRDefault="00BD14FB" w:rsidP="00BC2CA0">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School of Aerospace and Mechanical Engineering</w:t>
          </w:r>
        </w:p>
      </w:sdtContent>
    </w:sdt>
    <w:p w14:paraId="00F6F69A" w14:textId="44DBC5B4" w:rsidR="00BD14FB" w:rsidRDefault="00BD14FB" w:rsidP="00BC2CA0">
      <w:pPr>
        <w:pStyle w:val="NoSpacing"/>
        <w:spacing w:beforeLines="120" w:before="288" w:afterLines="120" w:after="288"/>
        <w:ind w:firstLine="720"/>
        <w:jc w:val="center"/>
        <w:rPr>
          <w:rFonts w:ascii="Georgia Pro" w:hAnsi="Georgia Pro" w:cstheme="minorHAnsi"/>
          <w:caps/>
          <w:sz w:val="24"/>
          <w:szCs w:val="24"/>
        </w:rPr>
      </w:pPr>
    </w:p>
    <w:p w14:paraId="3E3C746A" w14:textId="42208338"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7456D1BC" w14:textId="41B903B2"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71CF9ACE" w14:textId="4472B431"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7F77903E" w14:textId="054EF82A" w:rsidR="00976912"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41930F51" w14:textId="77777777" w:rsidR="00976912" w:rsidRPr="0015600B"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1D5F1457" w14:textId="77777777" w:rsidR="003016C2" w:rsidRPr="0015600B" w:rsidRDefault="003016C2" w:rsidP="00BC2CA0">
      <w:pPr>
        <w:pStyle w:val="NoSpacing"/>
        <w:spacing w:beforeLines="120" w:before="288" w:afterLines="120" w:after="288"/>
        <w:ind w:firstLine="720"/>
        <w:jc w:val="center"/>
        <w:rPr>
          <w:rFonts w:ascii="Georgia Pro" w:hAnsi="Georgia Pro" w:cstheme="minorHAnsi"/>
          <w:caps/>
          <w:sz w:val="24"/>
          <w:szCs w:val="24"/>
        </w:rPr>
      </w:pPr>
    </w:p>
    <w:p w14:paraId="639C0F64" w14:textId="20939432" w:rsidR="003016C2" w:rsidRDefault="003016C2" w:rsidP="00BC2CA0">
      <w:pPr>
        <w:pStyle w:val="NoSpacing"/>
        <w:spacing w:beforeLines="120" w:before="288" w:afterLines="120" w:after="288"/>
        <w:ind w:firstLine="720"/>
        <w:jc w:val="center"/>
        <w:rPr>
          <w:rFonts w:ascii="Georgia Pro" w:hAnsi="Georgia Pro" w:cstheme="minorHAnsi"/>
          <w:caps/>
          <w:sz w:val="24"/>
          <w:szCs w:val="24"/>
        </w:rPr>
      </w:pPr>
    </w:p>
    <w:p w14:paraId="58A8FF61" w14:textId="77777777" w:rsidR="003C5CF5" w:rsidRPr="0015600B" w:rsidRDefault="003C5CF5" w:rsidP="00BC2CA0">
      <w:pPr>
        <w:pStyle w:val="NoSpacing"/>
        <w:spacing w:beforeLines="120" w:before="288" w:afterLines="120" w:after="288"/>
        <w:ind w:firstLine="720"/>
        <w:jc w:val="center"/>
        <w:rPr>
          <w:rFonts w:ascii="Georgia Pro" w:hAnsi="Georgia Pro" w:cstheme="minorHAnsi"/>
          <w:caps/>
          <w:sz w:val="24"/>
          <w:szCs w:val="24"/>
        </w:rPr>
      </w:pPr>
    </w:p>
    <w:p w14:paraId="75076719" w14:textId="3EA6DDEC" w:rsidR="003016C2" w:rsidRDefault="003016C2" w:rsidP="00BC2CA0">
      <w:pPr>
        <w:pStyle w:val="NoSpacing"/>
        <w:spacing w:beforeLines="120" w:before="288" w:afterLines="120" w:after="288"/>
        <w:ind w:firstLine="720"/>
        <w:jc w:val="center"/>
        <w:rPr>
          <w:rFonts w:ascii="Georgia Pro" w:hAnsi="Georgia Pro" w:cstheme="minorHAnsi"/>
          <w:caps/>
          <w:sz w:val="24"/>
          <w:szCs w:val="24"/>
        </w:rPr>
      </w:pPr>
    </w:p>
    <w:p w14:paraId="764E0591" w14:textId="77777777" w:rsidR="00976912" w:rsidRPr="0015600B" w:rsidRDefault="00976912" w:rsidP="00BC2CA0">
      <w:pPr>
        <w:pStyle w:val="NoSpacing"/>
        <w:spacing w:beforeLines="120" w:before="288" w:afterLines="120" w:after="288"/>
        <w:ind w:firstLine="720"/>
        <w:jc w:val="center"/>
        <w:rPr>
          <w:rFonts w:ascii="Georgia Pro" w:hAnsi="Georgia Pro" w:cstheme="minorHAnsi"/>
          <w:caps/>
          <w:sz w:val="24"/>
          <w:szCs w:val="24"/>
        </w:rPr>
      </w:pPr>
    </w:p>
    <w:p w14:paraId="1E8A6DE5" w14:textId="52926BE0" w:rsidR="008641CA" w:rsidRPr="0015600B" w:rsidRDefault="00BD14FB" w:rsidP="00976912">
      <w:pPr>
        <w:pStyle w:val="NoSpacing"/>
        <w:spacing w:beforeLines="120" w:before="288" w:afterLines="120" w:after="288"/>
        <w:ind w:firstLine="720"/>
        <w:jc w:val="center"/>
        <w:rPr>
          <w:rFonts w:ascii="Georgia Pro" w:hAnsi="Georgia Pro" w:cstheme="minorHAnsi"/>
          <w:caps/>
          <w:sz w:val="24"/>
          <w:szCs w:val="24"/>
        </w:rPr>
      </w:pPr>
      <w:r w:rsidRPr="0015600B">
        <w:rPr>
          <w:rFonts w:ascii="Georgia Pro" w:hAnsi="Georgia Pro" w:cstheme="minorHAnsi"/>
          <w:caps/>
          <w:sz w:val="24"/>
          <w:szCs w:val="24"/>
        </w:rPr>
        <w:t>by</w:t>
      </w:r>
      <w:r w:rsidR="008641CA" w:rsidRPr="0015600B">
        <w:rPr>
          <w:rFonts w:ascii="Georgia Pro" w:hAnsi="Georgia Pro" w:cstheme="minorHAnsi"/>
          <w:caps/>
          <w:sz w:val="24"/>
          <w:szCs w:val="24"/>
        </w:rPr>
        <w:t xml:space="preserve"> THE COMMITTEE CONSISTING OF</w:t>
      </w:r>
    </w:p>
    <w:p w14:paraId="3FA69F64" w14:textId="77777777" w:rsidR="008641CA" w:rsidRPr="0015600B" w:rsidRDefault="008641CA" w:rsidP="00BC2CA0">
      <w:pPr>
        <w:pStyle w:val="NoSpacing"/>
        <w:spacing w:beforeLines="120" w:before="288" w:afterLines="120" w:after="288"/>
        <w:ind w:firstLine="720"/>
        <w:jc w:val="center"/>
        <w:rPr>
          <w:rFonts w:ascii="Georgia Pro" w:hAnsi="Georgia Pro" w:cstheme="minorHAnsi"/>
          <w:caps/>
          <w:sz w:val="24"/>
          <w:szCs w:val="24"/>
        </w:rPr>
      </w:pPr>
    </w:p>
    <w:p w14:paraId="763D97D1" w14:textId="6BC7EE89" w:rsidR="003016C2" w:rsidRDefault="003016C2" w:rsidP="007F34F8">
      <w:pPr>
        <w:pStyle w:val="NoSpacing"/>
        <w:spacing w:beforeLines="120" w:before="288" w:afterLines="120" w:after="288"/>
        <w:ind w:firstLine="720"/>
        <w:jc w:val="right"/>
        <w:rPr>
          <w:rFonts w:ascii="Georgia Pro" w:hAnsi="Georgia Pro" w:cstheme="minorHAnsi"/>
          <w:caps/>
          <w:sz w:val="24"/>
          <w:szCs w:val="24"/>
        </w:rPr>
      </w:pPr>
    </w:p>
    <w:p w14:paraId="1AF4C75B" w14:textId="77777777" w:rsidR="003C5CF5" w:rsidRPr="0015600B" w:rsidRDefault="003C5CF5" w:rsidP="007F34F8">
      <w:pPr>
        <w:pStyle w:val="NoSpacing"/>
        <w:spacing w:beforeLines="120" w:before="288" w:afterLines="120" w:after="288"/>
        <w:ind w:firstLine="720"/>
        <w:jc w:val="right"/>
        <w:rPr>
          <w:rFonts w:ascii="Georgia Pro" w:hAnsi="Georgia Pro" w:cstheme="minorHAnsi"/>
          <w:caps/>
          <w:sz w:val="24"/>
          <w:szCs w:val="24"/>
        </w:rPr>
      </w:pPr>
    </w:p>
    <w:p w14:paraId="03681C9C" w14:textId="211F0F69" w:rsidR="00BD14FB" w:rsidRPr="0015600B" w:rsidRDefault="003A0B43" w:rsidP="007F34F8">
      <w:pPr>
        <w:pStyle w:val="NoSpacing"/>
        <w:spacing w:beforeLines="120" w:before="288" w:afterLines="120" w:after="288"/>
        <w:ind w:firstLine="720"/>
        <w:jc w:val="right"/>
        <w:rPr>
          <w:rFonts w:ascii="Georgia Pro" w:hAnsi="Georgia Pro" w:cstheme="minorHAnsi"/>
          <w:sz w:val="24"/>
          <w:szCs w:val="24"/>
        </w:rPr>
      </w:pPr>
      <w:sdt>
        <w:sdtPr>
          <w:rPr>
            <w:rFonts w:ascii="Georgia Pro" w:hAnsi="Georgia Pro" w:cstheme="minorHAnsi"/>
            <w:sz w:val="24"/>
            <w:szCs w:val="24"/>
          </w:rPr>
          <w:alias w:val="Select the appropriate prefix"/>
          <w:tag w:val="Prefix"/>
          <w:id w:val="3768269"/>
          <w:placeholder>
            <w:docPart w:val="FB0DC2401F6149B3BB3313824A67B5B2"/>
          </w:placeholder>
          <w:dropDownList>
            <w:listItem w:displayText="[Dr. / Mr. / Mrs. / Ms.]" w:value="[Dr. / Mr. / Mrs. / Ms.]"/>
            <w:listItem w:displayText="Dr." w:value="Dr."/>
            <w:listItem w:displayText="Mr." w:value="Mr."/>
            <w:listItem w:displayText="Mrs." w:value="Mrs."/>
            <w:listItem w:displayText="Ms." w:value="Ms."/>
          </w:dropDownList>
        </w:sdtPr>
        <w:sdtContent>
          <w:r w:rsidR="002E3FD3">
            <w:rPr>
              <w:rFonts w:ascii="Georgia Pro" w:hAnsi="Georgia Pro" w:cstheme="minorHAnsi"/>
              <w:sz w:val="24"/>
              <w:szCs w:val="24"/>
            </w:rPr>
            <w:t>Dr.</w:t>
          </w:r>
        </w:sdtContent>
      </w:sdt>
      <w:r w:rsidR="00BD14FB" w:rsidRPr="0015600B">
        <w:rPr>
          <w:rFonts w:ascii="Georgia Pro" w:hAnsi="Georgia Pro" w:cstheme="minorHAnsi"/>
          <w:sz w:val="24"/>
          <w:szCs w:val="24"/>
        </w:rPr>
        <w:t xml:space="preserve"> </w:t>
      </w:r>
      <w:sdt>
        <w:sdtPr>
          <w:rPr>
            <w:rFonts w:ascii="Georgia Pro" w:hAnsi="Georgia Pro" w:cstheme="minorHAnsi"/>
            <w:sz w:val="24"/>
            <w:szCs w:val="24"/>
          </w:rPr>
          <w:alias w:val="Click to enter committee chair name"/>
          <w:tag w:val="committee chair"/>
          <w:id w:val="30091849"/>
          <w:placeholder>
            <w:docPart w:val="23A1EA2A2F594AF58E1903900F7B39E3"/>
          </w:placeholder>
        </w:sdtPr>
        <w:sdtContent>
          <w:r w:rsidR="00BD14FB" w:rsidRPr="0015600B">
            <w:rPr>
              <w:rFonts w:ascii="Georgia Pro" w:hAnsi="Georgia Pro" w:cstheme="minorHAnsi"/>
              <w:sz w:val="24"/>
              <w:szCs w:val="24"/>
            </w:rPr>
            <w:t>Li Song</w:t>
          </w:r>
          <w:r w:rsidR="002E3FD3">
            <w:rPr>
              <w:rFonts w:ascii="Georgia Pro" w:hAnsi="Georgia Pro" w:cstheme="minorHAnsi"/>
              <w:sz w:val="24"/>
              <w:szCs w:val="24"/>
            </w:rPr>
            <w:t>, Chair</w:t>
          </w:r>
        </w:sdtContent>
      </w:sdt>
    </w:p>
    <w:p w14:paraId="439E1301" w14:textId="77777777" w:rsidR="00976912" w:rsidRDefault="00976912" w:rsidP="007F34F8">
      <w:pPr>
        <w:pStyle w:val="NoSpacing"/>
        <w:spacing w:beforeLines="120" w:before="288" w:afterLines="120" w:after="288"/>
        <w:ind w:firstLine="720"/>
        <w:jc w:val="right"/>
        <w:rPr>
          <w:rFonts w:ascii="Georgia Pro" w:hAnsi="Georgia Pro" w:cstheme="minorHAnsi"/>
          <w:sz w:val="24"/>
          <w:szCs w:val="24"/>
        </w:rPr>
      </w:pPr>
    </w:p>
    <w:p w14:paraId="3CCF8329" w14:textId="42C2658A" w:rsidR="00BD14FB" w:rsidRPr="0015600B" w:rsidRDefault="003A0B43" w:rsidP="007F34F8">
      <w:pPr>
        <w:pStyle w:val="NoSpacing"/>
        <w:spacing w:beforeLines="120" w:before="288" w:afterLines="120" w:after="288"/>
        <w:ind w:firstLine="720"/>
        <w:jc w:val="right"/>
        <w:rPr>
          <w:rFonts w:ascii="Georgia Pro" w:hAnsi="Georgia Pro" w:cstheme="minorHAnsi"/>
          <w:sz w:val="24"/>
          <w:szCs w:val="24"/>
        </w:rPr>
      </w:pPr>
      <w:sdt>
        <w:sdtPr>
          <w:rPr>
            <w:rFonts w:ascii="Georgia Pro" w:hAnsi="Georgia Pro" w:cstheme="minorHAnsi"/>
            <w:sz w:val="24"/>
            <w:szCs w:val="24"/>
          </w:rPr>
          <w:alias w:val="Select the appropriate prefix"/>
          <w:tag w:val="Prefix"/>
          <w:id w:val="8173872"/>
          <w:placeholder>
            <w:docPart w:val="4C94310BBAB64C31B3EB3C9AD34E1555"/>
          </w:placeholder>
          <w:dropDownList>
            <w:listItem w:displayText="[Prefix]" w:value="[Prefix]"/>
            <w:listItem w:displayText="Dr." w:value="Dr."/>
            <w:listItem w:displayText="Mr." w:value="Mr."/>
            <w:listItem w:displayText="Mrs." w:value="Mrs."/>
            <w:listItem w:displayText="Ms." w:value="Ms."/>
          </w:dropDownList>
        </w:sdtPr>
        <w:sdtContent>
          <w:r w:rsidR="00BD14FB" w:rsidRPr="0015600B">
            <w:rPr>
              <w:rFonts w:ascii="Georgia Pro" w:hAnsi="Georgia Pro" w:cstheme="minorHAnsi"/>
              <w:sz w:val="24"/>
              <w:szCs w:val="24"/>
            </w:rPr>
            <w:t>Dr.</w:t>
          </w:r>
        </w:sdtContent>
      </w:sdt>
      <w:r w:rsidR="00BD14FB" w:rsidRPr="0015600B">
        <w:rPr>
          <w:rFonts w:ascii="Georgia Pro" w:hAnsi="Georgia Pro" w:cstheme="minorHAnsi"/>
          <w:sz w:val="24"/>
          <w:szCs w:val="24"/>
        </w:rPr>
        <w:t xml:space="preserve"> </w:t>
      </w:r>
      <w:sdt>
        <w:sdtPr>
          <w:rPr>
            <w:rFonts w:ascii="Georgia Pro" w:hAnsi="Georgia Pro" w:cstheme="minorHAnsi"/>
            <w:sz w:val="24"/>
            <w:szCs w:val="24"/>
          </w:rPr>
          <w:alias w:val="Click to enter 2nd member name"/>
          <w:tag w:val="2nd member"/>
          <w:id w:val="30091850"/>
          <w:placeholder>
            <w:docPart w:val="41B80D1CD4C64B9F9264A3E720D5F37D"/>
          </w:placeholder>
        </w:sdtPr>
        <w:sdtContent>
          <w:r w:rsidR="00BD14FB" w:rsidRPr="0015600B">
            <w:rPr>
              <w:rFonts w:ascii="Georgia Pro" w:hAnsi="Georgia Pro" w:cstheme="minorHAnsi"/>
              <w:sz w:val="24"/>
              <w:szCs w:val="24"/>
            </w:rPr>
            <w:t>Hamidreza Shabgard</w:t>
          </w:r>
          <w:r w:rsidR="002E3FD3">
            <w:rPr>
              <w:rFonts w:ascii="Georgia Pro" w:hAnsi="Georgia Pro" w:cstheme="minorHAnsi"/>
              <w:sz w:val="24"/>
              <w:szCs w:val="24"/>
            </w:rPr>
            <w:t>, co-Chair</w:t>
          </w:r>
        </w:sdtContent>
      </w:sdt>
    </w:p>
    <w:p w14:paraId="5D0DBD4C" w14:textId="77777777" w:rsidR="00976912" w:rsidRDefault="00976912" w:rsidP="007F34F8">
      <w:pPr>
        <w:pStyle w:val="NoSpacing"/>
        <w:spacing w:beforeLines="120" w:before="288" w:afterLines="120" w:after="288"/>
        <w:ind w:firstLine="720"/>
        <w:jc w:val="right"/>
        <w:rPr>
          <w:rFonts w:ascii="Georgia Pro" w:hAnsi="Georgia Pro" w:cstheme="minorHAnsi"/>
          <w:sz w:val="24"/>
          <w:szCs w:val="24"/>
        </w:rPr>
      </w:pPr>
    </w:p>
    <w:p w14:paraId="742B6AA9" w14:textId="1D2C70CE" w:rsidR="003016C2" w:rsidRPr="0015600B" w:rsidRDefault="003A0B43" w:rsidP="007F34F8">
      <w:pPr>
        <w:pStyle w:val="NoSpacing"/>
        <w:spacing w:beforeLines="120" w:before="288" w:afterLines="120" w:after="288"/>
        <w:ind w:firstLine="720"/>
        <w:jc w:val="right"/>
        <w:rPr>
          <w:rFonts w:ascii="Georgia Pro" w:hAnsi="Georgia Pro" w:cstheme="minorHAnsi"/>
          <w:sz w:val="24"/>
          <w:szCs w:val="24"/>
        </w:rPr>
        <w:sectPr w:rsidR="003016C2" w:rsidRPr="0015600B" w:rsidSect="002962D0">
          <w:pgSz w:w="12240" w:h="15840" w:code="1"/>
          <w:pgMar w:top="1440" w:right="1440" w:bottom="1440" w:left="2160" w:header="720" w:footer="720" w:gutter="0"/>
          <w:cols w:space="720"/>
          <w:docGrid w:linePitch="360"/>
        </w:sectPr>
      </w:pPr>
      <w:sdt>
        <w:sdtPr>
          <w:rPr>
            <w:rFonts w:ascii="Georgia Pro" w:hAnsi="Georgia Pro" w:cstheme="minorHAnsi"/>
            <w:sz w:val="24"/>
            <w:szCs w:val="24"/>
          </w:rPr>
          <w:alias w:val="Select the appropriate prefix"/>
          <w:tag w:val="Prefix"/>
          <w:id w:val="30091851"/>
          <w:placeholder>
            <w:docPart w:val="82326D3F6A494E66A71E4D5F48025A9F"/>
          </w:placeholder>
          <w:dropDownList>
            <w:listItem w:displayText="[Prefix]" w:value="[Prefix]"/>
            <w:listItem w:displayText="Dr." w:value="Dr."/>
            <w:listItem w:displayText="Mr." w:value="Mr."/>
            <w:listItem w:displayText="Mrs." w:value="Mrs."/>
            <w:listItem w:displayText="Ms." w:value="Ms."/>
          </w:dropDownList>
        </w:sdtPr>
        <w:sdtContent>
          <w:r w:rsidR="00BD14FB" w:rsidRPr="0015600B">
            <w:rPr>
              <w:rFonts w:ascii="Georgia Pro" w:hAnsi="Georgia Pro" w:cstheme="minorHAnsi"/>
              <w:sz w:val="24"/>
              <w:szCs w:val="24"/>
            </w:rPr>
            <w:t>Dr.</w:t>
          </w:r>
        </w:sdtContent>
      </w:sdt>
      <w:r w:rsidR="00BD14FB" w:rsidRPr="0015600B">
        <w:rPr>
          <w:rFonts w:ascii="Georgia Pro" w:hAnsi="Georgia Pro" w:cstheme="minorHAnsi"/>
          <w:sz w:val="24"/>
          <w:szCs w:val="24"/>
        </w:rPr>
        <w:t xml:space="preserve"> </w:t>
      </w:r>
      <w:sdt>
        <w:sdtPr>
          <w:rPr>
            <w:rFonts w:ascii="Georgia Pro" w:hAnsi="Georgia Pro" w:cstheme="minorHAnsi"/>
            <w:sz w:val="24"/>
            <w:szCs w:val="24"/>
          </w:rPr>
          <w:alias w:val="Click to enter 3rd member name"/>
          <w:tag w:val="3rd member"/>
          <w:id w:val="30091852"/>
          <w:placeholder>
            <w:docPart w:val="7D0A85F69E194F6A98BE984C2618212A"/>
          </w:placeholder>
        </w:sdtPr>
        <w:sdtContent>
          <w:r w:rsidR="00BD14FB" w:rsidRPr="0015600B">
            <w:rPr>
              <w:rFonts w:ascii="Georgia Pro" w:hAnsi="Georgia Pro" w:cstheme="minorHAnsi"/>
              <w:sz w:val="24"/>
              <w:szCs w:val="24"/>
            </w:rPr>
            <w:t>Jie Cai</w:t>
          </w:r>
          <w:r w:rsidR="002E3FD3">
            <w:rPr>
              <w:rFonts w:ascii="Georgia Pro" w:hAnsi="Georgia Pro" w:cstheme="minorHAnsi"/>
              <w:sz w:val="24"/>
              <w:szCs w:val="24"/>
            </w:rPr>
            <w:t>, 3</w:t>
          </w:r>
          <w:r w:rsidR="002E3FD3" w:rsidRPr="002E3FD3">
            <w:rPr>
              <w:rFonts w:ascii="Georgia Pro" w:hAnsi="Georgia Pro" w:cstheme="minorHAnsi"/>
              <w:sz w:val="24"/>
              <w:szCs w:val="24"/>
              <w:vertAlign w:val="superscript"/>
            </w:rPr>
            <w:t>rd</w:t>
          </w:r>
          <w:r w:rsidR="002E3FD3">
            <w:rPr>
              <w:rFonts w:ascii="Georgia Pro" w:hAnsi="Georgia Pro" w:cstheme="minorHAnsi"/>
              <w:sz w:val="24"/>
              <w:szCs w:val="24"/>
            </w:rPr>
            <w:t xml:space="preserve"> committee member</w:t>
          </w:r>
        </w:sdtContent>
      </w:sdt>
    </w:p>
    <w:p w14:paraId="40A7DA64"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0272180E"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6E118FE0"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32C96676"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36C7E6D"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243B1954"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0A477D91"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3A8D32D"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2EBA6BB2"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40C2595D"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AEB2C7C"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2B1679E0"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184E3E59"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0CBAAA1C"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01CBC7A"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19777907"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176AB9D1"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4674A35"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3996D7CE"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6AE1B9BF"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09FD243" w14:textId="3013BA9C" w:rsidR="003016C2" w:rsidRDefault="003016C2" w:rsidP="00BC2CA0">
      <w:pPr>
        <w:pStyle w:val="NoSpacing"/>
        <w:spacing w:beforeLines="120" w:before="288" w:afterLines="120" w:after="288"/>
        <w:jc w:val="center"/>
        <w:rPr>
          <w:rFonts w:ascii="Georgia Pro" w:hAnsi="Georgia Pro" w:cstheme="minorHAnsi"/>
          <w:sz w:val="24"/>
          <w:szCs w:val="24"/>
        </w:rPr>
      </w:pPr>
    </w:p>
    <w:p w14:paraId="7FEACE02" w14:textId="3B7E9608" w:rsidR="00C8566C" w:rsidRDefault="00C8566C" w:rsidP="00BC2CA0">
      <w:pPr>
        <w:pStyle w:val="NoSpacing"/>
        <w:spacing w:beforeLines="120" w:before="288" w:afterLines="120" w:after="288"/>
        <w:jc w:val="center"/>
        <w:rPr>
          <w:rFonts w:ascii="Georgia Pro" w:hAnsi="Georgia Pro" w:cstheme="minorHAnsi"/>
          <w:sz w:val="24"/>
          <w:szCs w:val="24"/>
        </w:rPr>
      </w:pPr>
    </w:p>
    <w:p w14:paraId="024E81AF" w14:textId="18D1C2B6" w:rsidR="00C8566C" w:rsidRDefault="00C8566C" w:rsidP="00BC2CA0">
      <w:pPr>
        <w:pStyle w:val="NoSpacing"/>
        <w:spacing w:beforeLines="120" w:before="288" w:afterLines="120" w:after="288"/>
        <w:jc w:val="center"/>
        <w:rPr>
          <w:rFonts w:ascii="Georgia Pro" w:hAnsi="Georgia Pro" w:cstheme="minorHAnsi"/>
          <w:sz w:val="24"/>
          <w:szCs w:val="24"/>
        </w:rPr>
      </w:pPr>
    </w:p>
    <w:p w14:paraId="42277312" w14:textId="7E7657CC" w:rsidR="00C8566C" w:rsidRDefault="00C8566C" w:rsidP="00BC2CA0">
      <w:pPr>
        <w:pStyle w:val="NoSpacing"/>
        <w:spacing w:beforeLines="120" w:before="288" w:afterLines="120" w:after="288"/>
        <w:jc w:val="center"/>
        <w:rPr>
          <w:rFonts w:ascii="Georgia Pro" w:hAnsi="Georgia Pro" w:cstheme="minorHAnsi"/>
          <w:sz w:val="24"/>
          <w:szCs w:val="24"/>
        </w:rPr>
      </w:pPr>
    </w:p>
    <w:p w14:paraId="1D131A48" w14:textId="00E408AA" w:rsidR="00C8566C" w:rsidRDefault="00C8566C" w:rsidP="00BC2CA0">
      <w:pPr>
        <w:pStyle w:val="NoSpacing"/>
        <w:spacing w:beforeLines="120" w:before="288" w:afterLines="120" w:after="288"/>
        <w:jc w:val="center"/>
        <w:rPr>
          <w:rFonts w:ascii="Georgia Pro" w:hAnsi="Georgia Pro" w:cstheme="minorHAnsi"/>
          <w:sz w:val="24"/>
          <w:szCs w:val="24"/>
        </w:rPr>
      </w:pPr>
    </w:p>
    <w:p w14:paraId="472D0054" w14:textId="2472748E" w:rsidR="00C8566C" w:rsidRDefault="00C8566C" w:rsidP="00BC2CA0">
      <w:pPr>
        <w:pStyle w:val="NoSpacing"/>
        <w:spacing w:beforeLines="120" w:before="288" w:afterLines="120" w:after="288"/>
        <w:jc w:val="center"/>
        <w:rPr>
          <w:rFonts w:ascii="Georgia Pro" w:hAnsi="Georgia Pro" w:cstheme="minorHAnsi"/>
          <w:sz w:val="24"/>
          <w:szCs w:val="24"/>
        </w:rPr>
      </w:pPr>
    </w:p>
    <w:p w14:paraId="55EE28F4" w14:textId="2CA5E96A" w:rsidR="00C8566C" w:rsidRDefault="00C8566C" w:rsidP="00BC2CA0">
      <w:pPr>
        <w:pStyle w:val="NoSpacing"/>
        <w:spacing w:beforeLines="120" w:before="288" w:afterLines="120" w:after="288"/>
        <w:jc w:val="center"/>
        <w:rPr>
          <w:rFonts w:ascii="Georgia Pro" w:hAnsi="Georgia Pro" w:cstheme="minorHAnsi"/>
          <w:sz w:val="24"/>
          <w:szCs w:val="24"/>
        </w:rPr>
      </w:pPr>
    </w:p>
    <w:p w14:paraId="73F85A00" w14:textId="19A1B1AE" w:rsidR="00C8566C" w:rsidRDefault="00C8566C" w:rsidP="00BC2CA0">
      <w:pPr>
        <w:pStyle w:val="NoSpacing"/>
        <w:spacing w:beforeLines="120" w:before="288" w:afterLines="120" w:after="288"/>
        <w:jc w:val="center"/>
        <w:rPr>
          <w:rFonts w:ascii="Georgia Pro" w:hAnsi="Georgia Pro" w:cstheme="minorHAnsi"/>
          <w:sz w:val="24"/>
          <w:szCs w:val="24"/>
        </w:rPr>
      </w:pPr>
    </w:p>
    <w:p w14:paraId="6B2A2777" w14:textId="4B38F678" w:rsidR="00C8566C" w:rsidRDefault="00C8566C" w:rsidP="00BC2CA0">
      <w:pPr>
        <w:pStyle w:val="NoSpacing"/>
        <w:spacing w:beforeLines="120" w:before="288" w:afterLines="120" w:after="288"/>
        <w:jc w:val="center"/>
        <w:rPr>
          <w:rFonts w:ascii="Georgia Pro" w:hAnsi="Georgia Pro" w:cstheme="minorHAnsi"/>
          <w:sz w:val="24"/>
          <w:szCs w:val="24"/>
        </w:rPr>
      </w:pPr>
    </w:p>
    <w:p w14:paraId="63542558" w14:textId="2E299350" w:rsidR="00C8566C" w:rsidRDefault="00C8566C" w:rsidP="00BC2CA0">
      <w:pPr>
        <w:pStyle w:val="NoSpacing"/>
        <w:spacing w:beforeLines="120" w:before="288" w:afterLines="120" w:after="288"/>
        <w:jc w:val="center"/>
        <w:rPr>
          <w:rFonts w:ascii="Georgia Pro" w:hAnsi="Georgia Pro" w:cstheme="minorHAnsi"/>
          <w:sz w:val="24"/>
          <w:szCs w:val="24"/>
        </w:rPr>
      </w:pPr>
    </w:p>
    <w:p w14:paraId="0C051E96" w14:textId="3B730EA6" w:rsidR="00C8566C" w:rsidRDefault="00C8566C" w:rsidP="00BC2CA0">
      <w:pPr>
        <w:pStyle w:val="NoSpacing"/>
        <w:spacing w:beforeLines="120" w:before="288" w:afterLines="120" w:after="288"/>
        <w:jc w:val="center"/>
        <w:rPr>
          <w:rFonts w:ascii="Georgia Pro" w:hAnsi="Georgia Pro" w:cstheme="minorHAnsi"/>
          <w:sz w:val="24"/>
          <w:szCs w:val="24"/>
        </w:rPr>
      </w:pPr>
    </w:p>
    <w:p w14:paraId="4805CBF3" w14:textId="20DCAA7E" w:rsidR="00C8566C" w:rsidRDefault="00C8566C" w:rsidP="00BC2CA0">
      <w:pPr>
        <w:pStyle w:val="NoSpacing"/>
        <w:spacing w:beforeLines="120" w:before="288" w:afterLines="120" w:after="288"/>
        <w:jc w:val="center"/>
        <w:rPr>
          <w:rFonts w:ascii="Georgia Pro" w:hAnsi="Georgia Pro" w:cstheme="minorHAnsi"/>
          <w:sz w:val="24"/>
          <w:szCs w:val="24"/>
        </w:rPr>
      </w:pPr>
    </w:p>
    <w:p w14:paraId="233DDD7E" w14:textId="77777777" w:rsidR="00C8566C" w:rsidRPr="0015600B" w:rsidRDefault="00C8566C" w:rsidP="00BC2CA0">
      <w:pPr>
        <w:pStyle w:val="NoSpacing"/>
        <w:spacing w:beforeLines="120" w:before="288" w:afterLines="120" w:after="288"/>
        <w:jc w:val="center"/>
        <w:rPr>
          <w:rFonts w:ascii="Georgia Pro" w:hAnsi="Georgia Pro" w:cstheme="minorHAnsi"/>
          <w:sz w:val="24"/>
          <w:szCs w:val="24"/>
        </w:rPr>
      </w:pPr>
    </w:p>
    <w:p w14:paraId="3E525A89" w14:textId="77777777" w:rsidR="003016C2" w:rsidRPr="0015600B" w:rsidRDefault="003016C2" w:rsidP="00BC2CA0">
      <w:pPr>
        <w:pStyle w:val="NoSpacing"/>
        <w:spacing w:beforeLines="120" w:before="288" w:afterLines="120" w:after="288"/>
        <w:jc w:val="center"/>
        <w:rPr>
          <w:rFonts w:ascii="Georgia Pro" w:hAnsi="Georgia Pro" w:cstheme="minorHAnsi"/>
          <w:sz w:val="24"/>
          <w:szCs w:val="24"/>
        </w:rPr>
      </w:pPr>
    </w:p>
    <w:p w14:paraId="78681FE5" w14:textId="5E424548" w:rsidR="00BD14FB" w:rsidRPr="0015600B" w:rsidRDefault="00BD14FB" w:rsidP="00BC2CA0">
      <w:pPr>
        <w:pStyle w:val="NoSpacing"/>
        <w:spacing w:beforeLines="120" w:before="288" w:afterLines="120" w:after="288"/>
        <w:jc w:val="center"/>
        <w:rPr>
          <w:rFonts w:ascii="Georgia Pro" w:hAnsi="Georgia Pro" w:cstheme="minorHAnsi"/>
          <w:sz w:val="24"/>
          <w:szCs w:val="24"/>
        </w:rPr>
      </w:pPr>
      <w:r w:rsidRPr="0015600B">
        <w:rPr>
          <w:rFonts w:ascii="Georgia Pro" w:hAnsi="Georgia Pro" w:cstheme="minorHAnsi"/>
          <w:sz w:val="24"/>
          <w:szCs w:val="24"/>
        </w:rPr>
        <w:t xml:space="preserve">© Copyright by </w:t>
      </w:r>
      <w:sdt>
        <w:sdtPr>
          <w:rPr>
            <w:rFonts w:ascii="Georgia Pro" w:hAnsi="Georgia Pro" w:cstheme="minorHAnsi"/>
            <w:sz w:val="24"/>
            <w:szCs w:val="24"/>
          </w:rPr>
          <w:alias w:val="Click here to enter your name (must match University records)"/>
          <w:tag w:val="Click here to enter your name (must match University records)"/>
          <w:id w:val="2590303"/>
          <w:placeholder>
            <w:docPart w:val="23A1EA2A2F594AF58E1903900F7B39E3"/>
          </w:placeholder>
        </w:sdtPr>
        <w:sdtEndPr>
          <w:rPr>
            <w:caps/>
          </w:rPr>
        </w:sdtEndPr>
        <w:sdtContent>
          <w:r w:rsidRPr="0015600B">
            <w:rPr>
              <w:rFonts w:ascii="Georgia Pro" w:hAnsi="Georgia Pro" w:cstheme="minorHAnsi"/>
              <w:sz w:val="24"/>
              <w:szCs w:val="24"/>
            </w:rPr>
            <w:t>EMMANUEL HAKIZIMANA</w:t>
          </w:r>
        </w:sdtContent>
      </w:sdt>
      <w:r w:rsidRPr="0015600B">
        <w:rPr>
          <w:rFonts w:ascii="Georgia Pro" w:hAnsi="Georgia Pro" w:cstheme="minorHAnsi"/>
          <w:sz w:val="24"/>
          <w:szCs w:val="24"/>
        </w:rPr>
        <w:t xml:space="preserve"> </w:t>
      </w:r>
      <w:sdt>
        <w:sdtPr>
          <w:rPr>
            <w:rFonts w:ascii="Georgia Pro" w:hAnsi="Georgia Pro" w:cstheme="minorHAnsi"/>
            <w:sz w:val="24"/>
            <w:szCs w:val="24"/>
          </w:rPr>
          <w:alias w:val="Click to enter the year you are depositing thesis"/>
          <w:tag w:val="Click to enter the year you are depositing thesis"/>
          <w:id w:val="2590304"/>
          <w:placeholder>
            <w:docPart w:val="23A1EA2A2F594AF58E1903900F7B39E3"/>
          </w:placeholder>
        </w:sdtPr>
        <w:sdtContent>
          <w:r w:rsidRPr="0015600B">
            <w:rPr>
              <w:rFonts w:ascii="Georgia Pro" w:hAnsi="Georgia Pro" w:cstheme="minorHAnsi"/>
              <w:sz w:val="24"/>
              <w:szCs w:val="24"/>
            </w:rPr>
            <w:t>2020</w:t>
          </w:r>
        </w:sdtContent>
      </w:sdt>
    </w:p>
    <w:p w14:paraId="6CFB5F1D" w14:textId="119FC20D" w:rsidR="00AE7CD5" w:rsidRPr="009C2956" w:rsidRDefault="00BD14FB" w:rsidP="00B90FD8">
      <w:pPr>
        <w:pStyle w:val="NoSpacing"/>
        <w:spacing w:beforeLines="120" w:before="288" w:afterLines="120" w:after="288"/>
        <w:ind w:firstLine="720"/>
        <w:jc w:val="center"/>
      </w:pPr>
      <w:r w:rsidRPr="0015600B">
        <w:rPr>
          <w:rFonts w:ascii="Georgia Pro" w:hAnsi="Georgia Pro" w:cstheme="minorHAnsi"/>
          <w:sz w:val="24"/>
          <w:szCs w:val="24"/>
        </w:rPr>
        <w:t>All Rights Reserved.</w:t>
      </w:r>
    </w:p>
    <w:p w14:paraId="7F6DFC1E" w14:textId="6728F41A" w:rsidR="00AE7CD5" w:rsidRPr="00723466" w:rsidRDefault="00AE7CD5" w:rsidP="00B90FD8">
      <w:pPr>
        <w:tabs>
          <w:tab w:val="left" w:pos="7368"/>
        </w:tabs>
        <w:ind w:firstLine="0"/>
        <w:sectPr w:rsidR="00AE7CD5" w:rsidRPr="00723466" w:rsidSect="0075738B">
          <w:headerReference w:type="default" r:id="rId13"/>
          <w:footerReference w:type="default" r:id="rId14"/>
          <w:pgSz w:w="12240" w:h="15840" w:code="1"/>
          <w:pgMar w:top="1440" w:right="1440" w:bottom="1440" w:left="2160" w:header="720" w:footer="720" w:gutter="0"/>
          <w:pgNumType w:fmt="lowerRoman" w:start="1"/>
          <w:cols w:space="720"/>
          <w:docGrid w:linePitch="326"/>
        </w:sectPr>
      </w:pPr>
      <w:bookmarkStart w:id="0" w:name="_Toc38008277"/>
      <w:bookmarkStart w:id="1" w:name="_Toc41075465"/>
    </w:p>
    <w:p w14:paraId="16049EA5" w14:textId="2DD903C6" w:rsidR="00BD14FB" w:rsidRPr="0015600B" w:rsidRDefault="00BD14FB" w:rsidP="0077158F">
      <w:pPr>
        <w:pStyle w:val="Heading2"/>
      </w:pPr>
      <w:bookmarkStart w:id="2" w:name="_Toc43877954"/>
      <w:bookmarkStart w:id="3" w:name="_Toc47467717"/>
      <w:r w:rsidRPr="0015600B">
        <w:lastRenderedPageBreak/>
        <w:t>Acknowledgment</w:t>
      </w:r>
      <w:bookmarkEnd w:id="0"/>
      <w:bookmarkEnd w:id="1"/>
      <w:bookmarkEnd w:id="2"/>
      <w:bookmarkEnd w:id="3"/>
    </w:p>
    <w:p w14:paraId="4A46E15A" w14:textId="7D92BC6A" w:rsidR="00BD14FB" w:rsidRPr="0015600B" w:rsidRDefault="00BD14FB" w:rsidP="00BC2CA0">
      <w:pPr>
        <w:spacing w:beforeLines="120" w:before="288" w:afterLines="120" w:after="288"/>
        <w:rPr>
          <w:szCs w:val="24"/>
        </w:rPr>
      </w:pPr>
      <w:r w:rsidRPr="0015600B">
        <w:rPr>
          <w:szCs w:val="24"/>
        </w:rPr>
        <w:t>Foremost, praise</w:t>
      </w:r>
      <w:r w:rsidR="00667561">
        <w:rPr>
          <w:szCs w:val="24"/>
        </w:rPr>
        <w:t>d be</w:t>
      </w:r>
      <w:r w:rsidRPr="0015600B">
        <w:rPr>
          <w:szCs w:val="24"/>
        </w:rPr>
        <w:t xml:space="preserve"> </w:t>
      </w:r>
      <w:r w:rsidR="00863F50">
        <w:rPr>
          <w:szCs w:val="24"/>
        </w:rPr>
        <w:t xml:space="preserve">the LORD </w:t>
      </w:r>
      <w:r w:rsidRPr="0015600B">
        <w:rPr>
          <w:szCs w:val="24"/>
        </w:rPr>
        <w:t>God</w:t>
      </w:r>
      <w:r w:rsidR="00863F50">
        <w:rPr>
          <w:szCs w:val="24"/>
        </w:rPr>
        <w:t xml:space="preserve"> </w:t>
      </w:r>
      <w:r w:rsidR="00F379F6">
        <w:rPr>
          <w:szCs w:val="24"/>
        </w:rPr>
        <w:t>Almighty</w:t>
      </w:r>
      <w:r w:rsidR="00F379F6" w:rsidRPr="0015600B">
        <w:rPr>
          <w:szCs w:val="24"/>
        </w:rPr>
        <w:t xml:space="preserve"> </w:t>
      </w:r>
      <w:r w:rsidRPr="0015600B">
        <w:rPr>
          <w:szCs w:val="24"/>
        </w:rPr>
        <w:t xml:space="preserve">for </w:t>
      </w:r>
      <w:r w:rsidR="00863F50">
        <w:rPr>
          <w:szCs w:val="24"/>
        </w:rPr>
        <w:t>His</w:t>
      </w:r>
      <w:r w:rsidRPr="0015600B">
        <w:rPr>
          <w:szCs w:val="24"/>
        </w:rPr>
        <w:t xml:space="preserve"> love, mercy, care</w:t>
      </w:r>
      <w:r w:rsidR="006E55B7" w:rsidRPr="0015600B">
        <w:rPr>
          <w:szCs w:val="24"/>
        </w:rPr>
        <w:t>,</w:t>
      </w:r>
      <w:r w:rsidRPr="0015600B">
        <w:rPr>
          <w:szCs w:val="24"/>
        </w:rPr>
        <w:t xml:space="preserve"> and protection to </w:t>
      </w:r>
      <w:r w:rsidR="00863F50">
        <w:rPr>
          <w:szCs w:val="24"/>
        </w:rPr>
        <w:t>m</w:t>
      </w:r>
      <w:r w:rsidR="008F0CF3">
        <w:rPr>
          <w:szCs w:val="24"/>
        </w:rPr>
        <w:t>y committee members and me</w:t>
      </w:r>
      <w:r w:rsidRPr="0015600B">
        <w:rPr>
          <w:szCs w:val="24"/>
        </w:rPr>
        <w:t xml:space="preserve"> through the COVID-19 pandemic and all the time. A great and wonderful God continues to sustain </w:t>
      </w:r>
      <w:r w:rsidR="00863F50">
        <w:rPr>
          <w:szCs w:val="24"/>
        </w:rPr>
        <w:t>me</w:t>
      </w:r>
      <w:r w:rsidRPr="0015600B">
        <w:rPr>
          <w:szCs w:val="24"/>
        </w:rPr>
        <w:t xml:space="preserve"> every day. Glory to </w:t>
      </w:r>
      <w:r w:rsidR="00863F50">
        <w:rPr>
          <w:szCs w:val="24"/>
        </w:rPr>
        <w:t>H</w:t>
      </w:r>
      <w:r w:rsidRPr="0015600B">
        <w:rPr>
          <w:szCs w:val="24"/>
        </w:rPr>
        <w:t>im</w:t>
      </w:r>
      <w:r w:rsidR="00863F50">
        <w:rPr>
          <w:szCs w:val="24"/>
        </w:rPr>
        <w:t xml:space="preserve"> (God)</w:t>
      </w:r>
      <w:r w:rsidR="008F0CF3">
        <w:rPr>
          <w:szCs w:val="24"/>
        </w:rPr>
        <w:t>,</w:t>
      </w:r>
      <w:r w:rsidRPr="0015600B">
        <w:rPr>
          <w:szCs w:val="24"/>
        </w:rPr>
        <w:t xml:space="preserve"> who live</w:t>
      </w:r>
      <w:r w:rsidR="00B400EA" w:rsidRPr="0015600B">
        <w:rPr>
          <w:szCs w:val="24"/>
        </w:rPr>
        <w:t>s</w:t>
      </w:r>
      <w:r w:rsidRPr="0015600B">
        <w:rPr>
          <w:szCs w:val="24"/>
        </w:rPr>
        <w:t xml:space="preserve"> forever. </w:t>
      </w:r>
    </w:p>
    <w:p w14:paraId="1C40297E" w14:textId="2A2810FF" w:rsidR="00BD14FB" w:rsidRPr="0015600B" w:rsidRDefault="00505129" w:rsidP="00BB5401">
      <w:pPr>
        <w:spacing w:beforeLines="120" w:before="288" w:afterLines="120" w:after="288"/>
        <w:rPr>
          <w:szCs w:val="24"/>
        </w:rPr>
      </w:pPr>
      <w:r>
        <w:rPr>
          <w:szCs w:val="24"/>
        </w:rPr>
        <w:t>I w</w:t>
      </w:r>
      <w:r w:rsidR="00B400EA" w:rsidRPr="0015600B">
        <w:rPr>
          <w:szCs w:val="24"/>
        </w:rPr>
        <w:t>ould</w:t>
      </w:r>
      <w:r w:rsidR="00F3777D" w:rsidRPr="0015600B">
        <w:rPr>
          <w:szCs w:val="24"/>
        </w:rPr>
        <w:t xml:space="preserve"> </w:t>
      </w:r>
      <w:r w:rsidR="00BD14FB" w:rsidRPr="0015600B">
        <w:rPr>
          <w:szCs w:val="24"/>
        </w:rPr>
        <w:t xml:space="preserve">like to express my </w:t>
      </w:r>
      <w:r w:rsidR="008F0CF3">
        <w:rPr>
          <w:szCs w:val="24"/>
        </w:rPr>
        <w:t>sincere</w:t>
      </w:r>
      <w:r w:rsidR="00BD14FB" w:rsidRPr="0015600B">
        <w:rPr>
          <w:szCs w:val="24"/>
        </w:rPr>
        <w:t xml:space="preserve"> gratitude to my master’s thesis advisor</w:t>
      </w:r>
      <w:r w:rsidR="00492B5E" w:rsidRPr="0015600B">
        <w:rPr>
          <w:szCs w:val="24"/>
        </w:rPr>
        <w:t>s</w:t>
      </w:r>
      <w:r w:rsidR="00BD14FB" w:rsidRPr="0015600B">
        <w:rPr>
          <w:szCs w:val="24"/>
        </w:rPr>
        <w:t>, Dr. Li Song</w:t>
      </w:r>
      <w:r>
        <w:rPr>
          <w:szCs w:val="24"/>
        </w:rPr>
        <w:t>,</w:t>
      </w:r>
      <w:r w:rsidR="00BD14FB" w:rsidRPr="0015600B">
        <w:rPr>
          <w:szCs w:val="24"/>
        </w:rPr>
        <w:t xml:space="preserve"> and Dr. Hamidreza Shabgard. </w:t>
      </w:r>
      <w:r w:rsidR="00667561">
        <w:rPr>
          <w:szCs w:val="24"/>
        </w:rPr>
        <w:t>P</w:t>
      </w:r>
      <w:r w:rsidR="00BD14FB" w:rsidRPr="0015600B">
        <w:rPr>
          <w:szCs w:val="24"/>
        </w:rPr>
        <w:t>r</w:t>
      </w:r>
      <w:r w:rsidR="00667561">
        <w:rPr>
          <w:szCs w:val="24"/>
        </w:rPr>
        <w:t>of</w:t>
      </w:r>
      <w:r w:rsidR="00BD14FB" w:rsidRPr="0015600B">
        <w:rPr>
          <w:szCs w:val="24"/>
        </w:rPr>
        <w:t xml:space="preserve">. Song accepted me into her lab and trained and encouraged me to be a better technical writer, a </w:t>
      </w:r>
      <w:r w:rsidR="00265E6C" w:rsidRPr="0015600B">
        <w:rPr>
          <w:szCs w:val="24"/>
        </w:rPr>
        <w:t>researcher,</w:t>
      </w:r>
      <w:r w:rsidR="00BD14FB" w:rsidRPr="0015600B">
        <w:rPr>
          <w:szCs w:val="24"/>
        </w:rPr>
        <w:t xml:space="preserve"> and a better academic version of me. Her guidance, </w:t>
      </w:r>
      <w:r w:rsidR="008F0CF3">
        <w:rPr>
          <w:szCs w:val="24"/>
        </w:rPr>
        <w:t>end</w:t>
      </w:r>
      <w:r w:rsidR="00BD14FB" w:rsidRPr="0015600B">
        <w:rPr>
          <w:szCs w:val="24"/>
        </w:rPr>
        <w:t>less patience</w:t>
      </w:r>
      <w:r>
        <w:rPr>
          <w:szCs w:val="24"/>
        </w:rPr>
        <w:t>,</w:t>
      </w:r>
      <w:r w:rsidR="00BD14FB" w:rsidRPr="0015600B">
        <w:rPr>
          <w:szCs w:val="24"/>
        </w:rPr>
        <w:t xml:space="preserve"> and </w:t>
      </w:r>
      <w:r w:rsidR="008F0CF3">
        <w:rPr>
          <w:szCs w:val="24"/>
        </w:rPr>
        <w:t>infinite</w:t>
      </w:r>
      <w:r w:rsidR="00BD14FB" w:rsidRPr="0015600B">
        <w:rPr>
          <w:szCs w:val="24"/>
        </w:rPr>
        <w:t xml:space="preserve"> support ha</w:t>
      </w:r>
      <w:r>
        <w:rPr>
          <w:szCs w:val="24"/>
        </w:rPr>
        <w:t>ve</w:t>
      </w:r>
      <w:r w:rsidR="00BD14FB" w:rsidRPr="0015600B">
        <w:rPr>
          <w:szCs w:val="24"/>
        </w:rPr>
        <w:t xml:space="preserve"> intellectually shaped me, supported my growth</w:t>
      </w:r>
      <w:r w:rsidR="00265E6C" w:rsidRPr="0015600B">
        <w:rPr>
          <w:szCs w:val="24"/>
        </w:rPr>
        <w:t>,</w:t>
      </w:r>
      <w:r w:rsidR="00BD14FB" w:rsidRPr="0015600B">
        <w:rPr>
          <w:szCs w:val="24"/>
        </w:rPr>
        <w:t xml:space="preserve"> and inspired me to complete this work. My sincere gratitude to Dr. Hamidreza Shabgard,</w:t>
      </w:r>
      <w:r w:rsidR="00667561">
        <w:rPr>
          <w:szCs w:val="24"/>
        </w:rPr>
        <w:t xml:space="preserve"> </w:t>
      </w:r>
      <w:r w:rsidR="00BD14FB" w:rsidRPr="0015600B">
        <w:rPr>
          <w:szCs w:val="24"/>
        </w:rPr>
        <w:t>co-advisor</w:t>
      </w:r>
      <w:r w:rsidR="008F0CF3">
        <w:rPr>
          <w:szCs w:val="24"/>
        </w:rPr>
        <w:t>,</w:t>
      </w:r>
      <w:r w:rsidR="00BD14FB" w:rsidRPr="0015600B">
        <w:rPr>
          <w:szCs w:val="24"/>
        </w:rPr>
        <w:t xml:space="preserve"> for his patience and guidance. Without both </w:t>
      </w:r>
      <w:r w:rsidR="00667561">
        <w:rPr>
          <w:szCs w:val="24"/>
        </w:rPr>
        <w:t>Prof</w:t>
      </w:r>
      <w:r w:rsidR="00BD14FB" w:rsidRPr="0015600B">
        <w:rPr>
          <w:szCs w:val="24"/>
        </w:rPr>
        <w:t>. Song and Dr. Shabgard, this thesis work would not have come to completion.</w:t>
      </w:r>
      <w:r w:rsidR="00BB5401">
        <w:rPr>
          <w:szCs w:val="24"/>
        </w:rPr>
        <w:t xml:space="preserve"> </w:t>
      </w:r>
      <w:r w:rsidR="00BB5401" w:rsidRPr="0015600B">
        <w:rPr>
          <w:szCs w:val="24"/>
        </w:rPr>
        <w:t xml:space="preserve">Special thanks to Dr. Jie Cai for accepting to be on my committee member. I look up to him for his gentleness and </w:t>
      </w:r>
      <w:r w:rsidR="00667561">
        <w:rPr>
          <w:szCs w:val="24"/>
        </w:rPr>
        <w:t>caring</w:t>
      </w:r>
      <w:r w:rsidR="00BB5401" w:rsidRPr="0015600B">
        <w:rPr>
          <w:szCs w:val="24"/>
        </w:rPr>
        <w:t xml:space="preserve">. I am </w:t>
      </w:r>
      <w:r>
        <w:rPr>
          <w:szCs w:val="24"/>
        </w:rPr>
        <w:t>d</w:t>
      </w:r>
      <w:r w:rsidR="00BB5401" w:rsidRPr="0015600B">
        <w:rPr>
          <w:szCs w:val="24"/>
        </w:rPr>
        <w:t xml:space="preserve">eeply motivated to take up </w:t>
      </w:r>
      <w:r w:rsidR="00667561">
        <w:rPr>
          <w:szCs w:val="24"/>
        </w:rPr>
        <w:t>his</w:t>
      </w:r>
      <w:r w:rsidR="00BB5401" w:rsidRPr="0015600B">
        <w:rPr>
          <w:szCs w:val="24"/>
        </w:rPr>
        <w:t xml:space="preserve"> example. </w:t>
      </w:r>
    </w:p>
    <w:p w14:paraId="735A97DE" w14:textId="05083D5F" w:rsidR="009F0407" w:rsidRPr="0015600B" w:rsidRDefault="00BD14FB" w:rsidP="00BB5401">
      <w:pPr>
        <w:spacing w:beforeLines="120" w:before="288" w:afterLines="120" w:after="288"/>
        <w:rPr>
          <w:szCs w:val="24"/>
        </w:rPr>
      </w:pPr>
      <w:r w:rsidRPr="0015600B">
        <w:rPr>
          <w:szCs w:val="24"/>
        </w:rPr>
        <w:t xml:space="preserve">I would like to express my special thanks to Prof. Mistree </w:t>
      </w:r>
      <w:r w:rsidR="008F0CF3">
        <w:rPr>
          <w:szCs w:val="24"/>
        </w:rPr>
        <w:t>for his friendship</w:t>
      </w:r>
      <w:r w:rsidRPr="0015600B">
        <w:rPr>
          <w:szCs w:val="24"/>
        </w:rPr>
        <w:t>. Word</w:t>
      </w:r>
      <w:r w:rsidR="00901DAC" w:rsidRPr="0015600B">
        <w:rPr>
          <w:szCs w:val="24"/>
        </w:rPr>
        <w:t>s</w:t>
      </w:r>
      <w:r w:rsidRPr="0015600B">
        <w:rPr>
          <w:szCs w:val="24"/>
        </w:rPr>
        <w:t xml:space="preserve"> cannot express how grateful I am. His impact and selfless support would be </w:t>
      </w:r>
      <w:r w:rsidR="00667561">
        <w:rPr>
          <w:szCs w:val="24"/>
        </w:rPr>
        <w:t>my</w:t>
      </w:r>
      <w:r w:rsidR="00BB0338" w:rsidRPr="0015600B">
        <w:rPr>
          <w:szCs w:val="24"/>
        </w:rPr>
        <w:t xml:space="preserve"> </w:t>
      </w:r>
      <w:r w:rsidRPr="0015600B">
        <w:rPr>
          <w:szCs w:val="24"/>
        </w:rPr>
        <w:t xml:space="preserve">legacy forever. </w:t>
      </w:r>
    </w:p>
    <w:p w14:paraId="3EF370B0" w14:textId="3402B05C" w:rsidR="00BD14FB" w:rsidRPr="0015600B" w:rsidRDefault="00F379F6" w:rsidP="00BC2CA0">
      <w:pPr>
        <w:spacing w:beforeLines="120" w:before="288" w:afterLines="120" w:after="288"/>
        <w:rPr>
          <w:szCs w:val="24"/>
        </w:rPr>
      </w:pPr>
      <w:r>
        <w:rPr>
          <w:szCs w:val="24"/>
        </w:rPr>
        <w:t>For</w:t>
      </w:r>
      <w:r w:rsidRPr="0015600B">
        <w:rPr>
          <w:szCs w:val="24"/>
        </w:rPr>
        <w:t xml:space="preserve"> </w:t>
      </w:r>
      <w:r w:rsidR="00BD14FB" w:rsidRPr="0015600B">
        <w:rPr>
          <w:szCs w:val="24"/>
        </w:rPr>
        <w:t>two years, m</w:t>
      </w:r>
      <w:r w:rsidR="00667561">
        <w:rPr>
          <w:szCs w:val="24"/>
        </w:rPr>
        <w:t>an</w:t>
      </w:r>
      <w:r w:rsidR="00BD14FB" w:rsidRPr="0015600B">
        <w:rPr>
          <w:szCs w:val="24"/>
        </w:rPr>
        <w:t>y people have been helpful to color my life both academic</w:t>
      </w:r>
      <w:r w:rsidR="00505129">
        <w:rPr>
          <w:szCs w:val="24"/>
        </w:rPr>
        <w:t>ally</w:t>
      </w:r>
      <w:r w:rsidR="00BD14FB" w:rsidRPr="0015600B">
        <w:rPr>
          <w:szCs w:val="24"/>
        </w:rPr>
        <w:t xml:space="preserve"> and </w:t>
      </w:r>
      <w:r w:rsidR="00667561">
        <w:rPr>
          <w:szCs w:val="24"/>
        </w:rPr>
        <w:t>socially</w:t>
      </w:r>
      <w:r w:rsidR="00BD14FB" w:rsidRPr="0015600B">
        <w:rPr>
          <w:szCs w:val="24"/>
        </w:rPr>
        <w:t>. I would like to thank my colle</w:t>
      </w:r>
      <w:r w:rsidR="00667561">
        <w:rPr>
          <w:szCs w:val="24"/>
        </w:rPr>
        <w:t>a</w:t>
      </w:r>
      <w:r w:rsidR="00BD14FB" w:rsidRPr="0015600B">
        <w:rPr>
          <w:szCs w:val="24"/>
        </w:rPr>
        <w:t>g</w:t>
      </w:r>
      <w:r w:rsidR="00667561">
        <w:rPr>
          <w:szCs w:val="24"/>
        </w:rPr>
        <w:t>u</w:t>
      </w:r>
      <w:r w:rsidR="00BD14FB" w:rsidRPr="0015600B">
        <w:rPr>
          <w:szCs w:val="24"/>
        </w:rPr>
        <w:t>e at the graduate student community. They have believed in me an</w:t>
      </w:r>
      <w:r w:rsidR="00F91801" w:rsidRPr="0015600B">
        <w:rPr>
          <w:szCs w:val="24"/>
        </w:rPr>
        <w:t>d</w:t>
      </w:r>
      <w:r w:rsidR="00BD14FB" w:rsidRPr="0015600B">
        <w:rPr>
          <w:szCs w:val="24"/>
        </w:rPr>
        <w:t xml:space="preserve"> nominated </w:t>
      </w:r>
      <w:r w:rsidR="00F91801" w:rsidRPr="0015600B">
        <w:rPr>
          <w:szCs w:val="24"/>
        </w:rPr>
        <w:t xml:space="preserve">me to be the </w:t>
      </w:r>
      <w:r w:rsidR="00BD14FB" w:rsidRPr="0015600B">
        <w:rPr>
          <w:szCs w:val="24"/>
        </w:rPr>
        <w:t xml:space="preserve">co-chair for </w:t>
      </w:r>
      <w:r w:rsidR="00F91801" w:rsidRPr="0015600B">
        <w:rPr>
          <w:szCs w:val="24"/>
        </w:rPr>
        <w:t>one</w:t>
      </w:r>
      <w:r w:rsidR="00BD14FB" w:rsidRPr="0015600B">
        <w:rPr>
          <w:szCs w:val="24"/>
        </w:rPr>
        <w:t xml:space="preserve"> </w:t>
      </w:r>
      <w:r w:rsidR="00F91801" w:rsidRPr="0015600B">
        <w:rPr>
          <w:szCs w:val="24"/>
        </w:rPr>
        <w:t xml:space="preserve">and </w:t>
      </w:r>
      <w:r w:rsidR="00505129">
        <w:rPr>
          <w:szCs w:val="24"/>
        </w:rPr>
        <w:t xml:space="preserve">a </w:t>
      </w:r>
      <w:r w:rsidR="00BD14FB" w:rsidRPr="0015600B">
        <w:rPr>
          <w:szCs w:val="24"/>
        </w:rPr>
        <w:t>half</w:t>
      </w:r>
      <w:r w:rsidR="00F91801" w:rsidRPr="0015600B">
        <w:rPr>
          <w:szCs w:val="24"/>
        </w:rPr>
        <w:t xml:space="preserve"> years</w:t>
      </w:r>
      <w:r w:rsidR="00BD14FB" w:rsidRPr="0015600B">
        <w:rPr>
          <w:szCs w:val="24"/>
        </w:rPr>
        <w:t>. Not only have I gained leadership experience, but</w:t>
      </w:r>
      <w:r w:rsidR="00505129">
        <w:rPr>
          <w:szCs w:val="24"/>
        </w:rPr>
        <w:t xml:space="preserve"> </w:t>
      </w:r>
      <w:r w:rsidR="00BD14FB" w:rsidRPr="0015600B">
        <w:rPr>
          <w:szCs w:val="24"/>
        </w:rPr>
        <w:t xml:space="preserve">also </w:t>
      </w:r>
      <w:r w:rsidR="00667561">
        <w:rPr>
          <w:szCs w:val="24"/>
        </w:rPr>
        <w:t xml:space="preserve">I </w:t>
      </w:r>
      <w:r w:rsidR="00BD14FB" w:rsidRPr="0015600B">
        <w:rPr>
          <w:szCs w:val="24"/>
        </w:rPr>
        <w:lastRenderedPageBreak/>
        <w:t>got an opportunity to develop networking. Further, I would like to acknowledge fellow student</w:t>
      </w:r>
      <w:r w:rsidR="00F91801" w:rsidRPr="0015600B">
        <w:rPr>
          <w:szCs w:val="24"/>
        </w:rPr>
        <w:t>s</w:t>
      </w:r>
      <w:r w:rsidR="00BD14FB" w:rsidRPr="0015600B">
        <w:rPr>
          <w:szCs w:val="24"/>
        </w:rPr>
        <w:t xml:space="preserve"> from building energy efficiency laboratory</w:t>
      </w:r>
      <w:r w:rsidR="00D829DC" w:rsidRPr="0015600B">
        <w:rPr>
          <w:szCs w:val="24"/>
        </w:rPr>
        <w:t>.</w:t>
      </w:r>
      <w:r w:rsidR="00BD14FB" w:rsidRPr="0015600B">
        <w:rPr>
          <w:szCs w:val="24"/>
        </w:rPr>
        <w:t xml:space="preserve"> </w:t>
      </w:r>
      <w:r w:rsidR="00667561">
        <w:rPr>
          <w:szCs w:val="24"/>
        </w:rPr>
        <w:t xml:space="preserve">Their support was </w:t>
      </w:r>
      <w:r w:rsidR="008F0CF3">
        <w:rPr>
          <w:szCs w:val="24"/>
        </w:rPr>
        <w:t>essential</w:t>
      </w:r>
      <w:r w:rsidR="00667561">
        <w:rPr>
          <w:szCs w:val="24"/>
        </w:rPr>
        <w:t xml:space="preserve"> to me. </w:t>
      </w:r>
    </w:p>
    <w:p w14:paraId="1C36DFAA" w14:textId="42A7EFB6" w:rsidR="00F1329F" w:rsidRPr="0015600B" w:rsidRDefault="00BD14FB" w:rsidP="00BC2CA0">
      <w:pPr>
        <w:spacing w:beforeLines="120" w:before="288" w:afterLines="120" w:after="288"/>
        <w:rPr>
          <w:szCs w:val="24"/>
        </w:rPr>
      </w:pPr>
      <w:r w:rsidRPr="0015600B">
        <w:rPr>
          <w:szCs w:val="24"/>
        </w:rPr>
        <w:t xml:space="preserve">Lastly, I express my sincere appreciation to my family for their </w:t>
      </w:r>
      <w:r w:rsidR="009F0407" w:rsidRPr="0015600B">
        <w:rPr>
          <w:szCs w:val="24"/>
        </w:rPr>
        <w:t xml:space="preserve">love and </w:t>
      </w:r>
      <w:r w:rsidRPr="0015600B">
        <w:rPr>
          <w:szCs w:val="24"/>
        </w:rPr>
        <w:t>support throughout</w:t>
      </w:r>
      <w:r w:rsidR="008F0CF3">
        <w:rPr>
          <w:szCs w:val="24"/>
        </w:rPr>
        <w:t>,</w:t>
      </w:r>
      <w:r w:rsidR="003D1990">
        <w:rPr>
          <w:szCs w:val="24"/>
        </w:rPr>
        <w:t xml:space="preserve"> especially my brother Alphonse Mugenzi</w:t>
      </w:r>
      <w:r w:rsidRPr="0015600B">
        <w:rPr>
          <w:szCs w:val="24"/>
        </w:rPr>
        <w:t xml:space="preserve">. Special thanks to my girlfriend </w:t>
      </w:r>
      <w:r w:rsidR="00820070">
        <w:rPr>
          <w:szCs w:val="24"/>
        </w:rPr>
        <w:t xml:space="preserve">and my best friend </w:t>
      </w:r>
      <w:r w:rsidRPr="0015600B">
        <w:rPr>
          <w:szCs w:val="24"/>
        </w:rPr>
        <w:t xml:space="preserve">Jennymae </w:t>
      </w:r>
      <w:r w:rsidR="003D1990">
        <w:rPr>
          <w:szCs w:val="24"/>
        </w:rPr>
        <w:t>Joseph</w:t>
      </w:r>
      <w:r w:rsidR="008F0CF3">
        <w:rPr>
          <w:szCs w:val="24"/>
        </w:rPr>
        <w:t>,</w:t>
      </w:r>
      <w:r w:rsidRPr="0015600B">
        <w:rPr>
          <w:szCs w:val="24"/>
        </w:rPr>
        <w:t xml:space="preserve"> who </w:t>
      </w:r>
      <w:r w:rsidR="00F1329F" w:rsidRPr="0015600B">
        <w:rPr>
          <w:szCs w:val="24"/>
        </w:rPr>
        <w:t xml:space="preserve">encourages me </w:t>
      </w:r>
      <w:r w:rsidR="008F0CF3">
        <w:rPr>
          <w:szCs w:val="24"/>
        </w:rPr>
        <w:t>always to</w:t>
      </w:r>
      <w:r w:rsidR="00F1329F" w:rsidRPr="0015600B">
        <w:rPr>
          <w:szCs w:val="24"/>
        </w:rPr>
        <w:t xml:space="preserve"> give my best</w:t>
      </w:r>
      <w:r w:rsidRPr="0015600B">
        <w:rPr>
          <w:szCs w:val="24"/>
        </w:rPr>
        <w:t>. Special thanks to my church family at Norman seventh day Adventist. Glory be to God who brought you into my life</w:t>
      </w:r>
      <w:r w:rsidR="00667561">
        <w:rPr>
          <w:szCs w:val="24"/>
        </w:rPr>
        <w:t>.</w:t>
      </w:r>
      <w:r w:rsidR="00F1329F" w:rsidRPr="0015600B">
        <w:rPr>
          <w:szCs w:val="24"/>
        </w:rPr>
        <w:br w:type="page"/>
      </w:r>
    </w:p>
    <w:bookmarkStart w:id="4" w:name="_Toc47467718" w:displacedByCustomXml="next"/>
    <w:sdt>
      <w:sdtPr>
        <w:rPr>
          <w:rFonts w:eastAsiaTheme="minorHAnsi" w:cstheme="minorBidi"/>
          <w:b w:val="0"/>
          <w:szCs w:val="22"/>
        </w:rPr>
        <w:id w:val="-1610044865"/>
        <w:docPartObj>
          <w:docPartGallery w:val="Table of Contents"/>
          <w:docPartUnique/>
        </w:docPartObj>
      </w:sdtPr>
      <w:sdtEndPr>
        <w:rPr>
          <w:bCs/>
          <w:noProof/>
        </w:rPr>
      </w:sdtEndPr>
      <w:sdtContent>
        <w:p w14:paraId="2F3E4068" w14:textId="43D4A681" w:rsidR="005847E6" w:rsidRDefault="005847E6" w:rsidP="001256AE">
          <w:pPr>
            <w:pStyle w:val="Heading2"/>
          </w:pPr>
          <w:r>
            <w:t>Table of Contents</w:t>
          </w:r>
          <w:bookmarkEnd w:id="4"/>
        </w:p>
        <w:p w14:paraId="442B464F" w14:textId="2151A9A8" w:rsidR="003A0B43" w:rsidRDefault="004F6B22">
          <w:pPr>
            <w:pStyle w:val="TOC2"/>
            <w:tabs>
              <w:tab w:val="right" w:leader="dot" w:pos="8630"/>
            </w:tabs>
            <w:rPr>
              <w:rFonts w:asciiTheme="minorHAnsi" w:eastAsiaTheme="minorEastAsia" w:hAnsiTheme="minorHAnsi"/>
              <w:noProof/>
              <w:sz w:val="22"/>
            </w:rPr>
          </w:pPr>
          <w:r>
            <w:fldChar w:fldCharType="begin"/>
          </w:r>
          <w:r>
            <w:instrText xml:space="preserve"> TOC \o "1-2" \h \z \u </w:instrText>
          </w:r>
          <w:r>
            <w:fldChar w:fldCharType="separate"/>
          </w:r>
          <w:hyperlink w:anchor="_Toc47467717" w:history="1">
            <w:r w:rsidR="003A0B43" w:rsidRPr="00C505A6">
              <w:rPr>
                <w:rStyle w:val="Hyperlink"/>
                <w:noProof/>
              </w:rPr>
              <w:t>Acknowledgment</w:t>
            </w:r>
            <w:r w:rsidR="003A0B43">
              <w:rPr>
                <w:noProof/>
                <w:webHidden/>
              </w:rPr>
              <w:tab/>
            </w:r>
            <w:r w:rsidR="003A0B43">
              <w:rPr>
                <w:noProof/>
                <w:webHidden/>
              </w:rPr>
              <w:fldChar w:fldCharType="begin"/>
            </w:r>
            <w:r w:rsidR="003A0B43">
              <w:rPr>
                <w:noProof/>
                <w:webHidden/>
              </w:rPr>
              <w:instrText xml:space="preserve"> PAGEREF _Toc47467717 \h </w:instrText>
            </w:r>
            <w:r w:rsidR="003A0B43">
              <w:rPr>
                <w:noProof/>
                <w:webHidden/>
              </w:rPr>
            </w:r>
            <w:r w:rsidR="003A0B43">
              <w:rPr>
                <w:noProof/>
                <w:webHidden/>
              </w:rPr>
              <w:fldChar w:fldCharType="separate"/>
            </w:r>
            <w:r w:rsidR="00D979B8">
              <w:rPr>
                <w:noProof/>
                <w:webHidden/>
              </w:rPr>
              <w:t>iv</w:t>
            </w:r>
            <w:r w:rsidR="003A0B43">
              <w:rPr>
                <w:noProof/>
                <w:webHidden/>
              </w:rPr>
              <w:fldChar w:fldCharType="end"/>
            </w:r>
          </w:hyperlink>
        </w:p>
        <w:p w14:paraId="4B3520A3" w14:textId="25C54732" w:rsidR="003A0B43" w:rsidRDefault="003A0B43">
          <w:pPr>
            <w:pStyle w:val="TOC2"/>
            <w:tabs>
              <w:tab w:val="right" w:leader="dot" w:pos="8630"/>
            </w:tabs>
            <w:rPr>
              <w:rFonts w:asciiTheme="minorHAnsi" w:eastAsiaTheme="minorEastAsia" w:hAnsiTheme="minorHAnsi"/>
              <w:noProof/>
              <w:sz w:val="22"/>
            </w:rPr>
          </w:pPr>
          <w:hyperlink w:anchor="_Toc47467718" w:history="1">
            <w:r w:rsidRPr="00C505A6">
              <w:rPr>
                <w:rStyle w:val="Hyperlink"/>
                <w:noProof/>
              </w:rPr>
              <w:t>Table of Contents</w:t>
            </w:r>
            <w:r>
              <w:rPr>
                <w:noProof/>
                <w:webHidden/>
              </w:rPr>
              <w:tab/>
            </w:r>
            <w:r>
              <w:rPr>
                <w:noProof/>
                <w:webHidden/>
              </w:rPr>
              <w:fldChar w:fldCharType="begin"/>
            </w:r>
            <w:r>
              <w:rPr>
                <w:noProof/>
                <w:webHidden/>
              </w:rPr>
              <w:instrText xml:space="preserve"> PAGEREF _Toc47467718 \h </w:instrText>
            </w:r>
            <w:r>
              <w:rPr>
                <w:noProof/>
                <w:webHidden/>
              </w:rPr>
            </w:r>
            <w:r>
              <w:rPr>
                <w:noProof/>
                <w:webHidden/>
              </w:rPr>
              <w:fldChar w:fldCharType="separate"/>
            </w:r>
            <w:r w:rsidR="00D979B8">
              <w:rPr>
                <w:noProof/>
                <w:webHidden/>
              </w:rPr>
              <w:t>vi</w:t>
            </w:r>
            <w:r>
              <w:rPr>
                <w:noProof/>
                <w:webHidden/>
              </w:rPr>
              <w:fldChar w:fldCharType="end"/>
            </w:r>
          </w:hyperlink>
        </w:p>
        <w:p w14:paraId="5031E22F" w14:textId="3A38ACE9" w:rsidR="003A0B43" w:rsidRDefault="003A0B43">
          <w:pPr>
            <w:pStyle w:val="TOC2"/>
            <w:tabs>
              <w:tab w:val="right" w:leader="dot" w:pos="8630"/>
            </w:tabs>
            <w:rPr>
              <w:rFonts w:asciiTheme="minorHAnsi" w:eastAsiaTheme="minorEastAsia" w:hAnsiTheme="minorHAnsi"/>
              <w:noProof/>
              <w:sz w:val="22"/>
            </w:rPr>
          </w:pPr>
          <w:hyperlink w:anchor="_Toc47467719" w:history="1">
            <w:r w:rsidRPr="00C505A6">
              <w:rPr>
                <w:rStyle w:val="Hyperlink"/>
                <w:noProof/>
              </w:rPr>
              <w:t>List of Tables</w:t>
            </w:r>
            <w:r>
              <w:rPr>
                <w:noProof/>
                <w:webHidden/>
              </w:rPr>
              <w:tab/>
            </w:r>
            <w:r>
              <w:rPr>
                <w:noProof/>
                <w:webHidden/>
              </w:rPr>
              <w:fldChar w:fldCharType="begin"/>
            </w:r>
            <w:r>
              <w:rPr>
                <w:noProof/>
                <w:webHidden/>
              </w:rPr>
              <w:instrText xml:space="preserve"> PAGEREF _Toc47467719 \h </w:instrText>
            </w:r>
            <w:r>
              <w:rPr>
                <w:noProof/>
                <w:webHidden/>
              </w:rPr>
            </w:r>
            <w:r>
              <w:rPr>
                <w:noProof/>
                <w:webHidden/>
              </w:rPr>
              <w:fldChar w:fldCharType="separate"/>
            </w:r>
            <w:r w:rsidR="00D979B8">
              <w:rPr>
                <w:noProof/>
                <w:webHidden/>
              </w:rPr>
              <w:t>viii</w:t>
            </w:r>
            <w:r>
              <w:rPr>
                <w:noProof/>
                <w:webHidden/>
              </w:rPr>
              <w:fldChar w:fldCharType="end"/>
            </w:r>
          </w:hyperlink>
        </w:p>
        <w:p w14:paraId="24BEFE2A" w14:textId="72EA53C7" w:rsidR="003A0B43" w:rsidRDefault="003A0B43">
          <w:pPr>
            <w:pStyle w:val="TOC2"/>
            <w:tabs>
              <w:tab w:val="right" w:leader="dot" w:pos="8630"/>
            </w:tabs>
            <w:rPr>
              <w:rFonts w:asciiTheme="minorHAnsi" w:eastAsiaTheme="minorEastAsia" w:hAnsiTheme="minorHAnsi"/>
              <w:noProof/>
              <w:sz w:val="22"/>
            </w:rPr>
          </w:pPr>
          <w:hyperlink w:anchor="_Toc47467720" w:history="1">
            <w:r w:rsidRPr="00C505A6">
              <w:rPr>
                <w:rStyle w:val="Hyperlink"/>
                <w:noProof/>
              </w:rPr>
              <w:t>List of Figures</w:t>
            </w:r>
            <w:r>
              <w:rPr>
                <w:noProof/>
                <w:webHidden/>
              </w:rPr>
              <w:tab/>
            </w:r>
            <w:r>
              <w:rPr>
                <w:noProof/>
                <w:webHidden/>
              </w:rPr>
              <w:fldChar w:fldCharType="begin"/>
            </w:r>
            <w:r>
              <w:rPr>
                <w:noProof/>
                <w:webHidden/>
              </w:rPr>
              <w:instrText xml:space="preserve"> PAGEREF _Toc47467720 \h </w:instrText>
            </w:r>
            <w:r>
              <w:rPr>
                <w:noProof/>
                <w:webHidden/>
              </w:rPr>
            </w:r>
            <w:r>
              <w:rPr>
                <w:noProof/>
                <w:webHidden/>
              </w:rPr>
              <w:fldChar w:fldCharType="separate"/>
            </w:r>
            <w:r w:rsidR="00D979B8">
              <w:rPr>
                <w:noProof/>
                <w:webHidden/>
              </w:rPr>
              <w:t>viii</w:t>
            </w:r>
            <w:r>
              <w:rPr>
                <w:noProof/>
                <w:webHidden/>
              </w:rPr>
              <w:fldChar w:fldCharType="end"/>
            </w:r>
          </w:hyperlink>
        </w:p>
        <w:p w14:paraId="4E2969F9" w14:textId="7A2DB98A" w:rsidR="003A0B43" w:rsidRDefault="003A0B43">
          <w:pPr>
            <w:pStyle w:val="TOC2"/>
            <w:tabs>
              <w:tab w:val="right" w:leader="dot" w:pos="8630"/>
            </w:tabs>
            <w:rPr>
              <w:rFonts w:asciiTheme="minorHAnsi" w:eastAsiaTheme="minorEastAsia" w:hAnsiTheme="minorHAnsi"/>
              <w:noProof/>
              <w:sz w:val="22"/>
            </w:rPr>
          </w:pPr>
          <w:hyperlink w:anchor="_Toc47467721" w:history="1">
            <w:r w:rsidRPr="00C505A6">
              <w:rPr>
                <w:rStyle w:val="Hyperlink"/>
                <w:noProof/>
              </w:rPr>
              <w:t>Definition of the Terms</w:t>
            </w:r>
            <w:r>
              <w:rPr>
                <w:noProof/>
                <w:webHidden/>
              </w:rPr>
              <w:tab/>
            </w:r>
            <w:r>
              <w:rPr>
                <w:noProof/>
                <w:webHidden/>
              </w:rPr>
              <w:fldChar w:fldCharType="begin"/>
            </w:r>
            <w:r>
              <w:rPr>
                <w:noProof/>
                <w:webHidden/>
              </w:rPr>
              <w:instrText xml:space="preserve"> PAGEREF _Toc47467721 \h </w:instrText>
            </w:r>
            <w:r>
              <w:rPr>
                <w:noProof/>
                <w:webHidden/>
              </w:rPr>
            </w:r>
            <w:r>
              <w:rPr>
                <w:noProof/>
                <w:webHidden/>
              </w:rPr>
              <w:fldChar w:fldCharType="separate"/>
            </w:r>
            <w:r w:rsidR="00D979B8">
              <w:rPr>
                <w:noProof/>
                <w:webHidden/>
              </w:rPr>
              <w:t>xi</w:t>
            </w:r>
            <w:r>
              <w:rPr>
                <w:noProof/>
                <w:webHidden/>
              </w:rPr>
              <w:fldChar w:fldCharType="end"/>
            </w:r>
          </w:hyperlink>
        </w:p>
        <w:p w14:paraId="25D351B2" w14:textId="2C185267" w:rsidR="003A0B43" w:rsidRDefault="003A0B43">
          <w:pPr>
            <w:pStyle w:val="TOC2"/>
            <w:tabs>
              <w:tab w:val="right" w:leader="dot" w:pos="8630"/>
            </w:tabs>
            <w:rPr>
              <w:rFonts w:asciiTheme="minorHAnsi" w:eastAsiaTheme="minorEastAsia" w:hAnsiTheme="minorHAnsi"/>
              <w:noProof/>
              <w:sz w:val="22"/>
            </w:rPr>
          </w:pPr>
          <w:hyperlink w:anchor="_Toc47467722" w:history="1">
            <w:r w:rsidRPr="00C505A6">
              <w:rPr>
                <w:rStyle w:val="Hyperlink"/>
                <w:noProof/>
              </w:rPr>
              <w:t>ABSTRACT</w:t>
            </w:r>
            <w:r>
              <w:rPr>
                <w:noProof/>
                <w:webHidden/>
              </w:rPr>
              <w:tab/>
            </w:r>
            <w:r>
              <w:rPr>
                <w:noProof/>
                <w:webHidden/>
              </w:rPr>
              <w:fldChar w:fldCharType="begin"/>
            </w:r>
            <w:r>
              <w:rPr>
                <w:noProof/>
                <w:webHidden/>
              </w:rPr>
              <w:instrText xml:space="preserve"> PAGEREF _Toc47467722 \h </w:instrText>
            </w:r>
            <w:r>
              <w:rPr>
                <w:noProof/>
                <w:webHidden/>
              </w:rPr>
            </w:r>
            <w:r>
              <w:rPr>
                <w:noProof/>
                <w:webHidden/>
              </w:rPr>
              <w:fldChar w:fldCharType="separate"/>
            </w:r>
            <w:r w:rsidR="00D979B8">
              <w:rPr>
                <w:noProof/>
                <w:webHidden/>
              </w:rPr>
              <w:t>xiii</w:t>
            </w:r>
            <w:r>
              <w:rPr>
                <w:noProof/>
                <w:webHidden/>
              </w:rPr>
              <w:fldChar w:fldCharType="end"/>
            </w:r>
          </w:hyperlink>
        </w:p>
        <w:p w14:paraId="36F1E425" w14:textId="669F5620" w:rsidR="003A0B43" w:rsidRDefault="003A0B43">
          <w:pPr>
            <w:pStyle w:val="TOC1"/>
            <w:tabs>
              <w:tab w:val="left" w:pos="1320"/>
              <w:tab w:val="right" w:leader="dot" w:pos="8630"/>
            </w:tabs>
            <w:rPr>
              <w:rFonts w:asciiTheme="minorHAnsi" w:eastAsiaTheme="minorEastAsia" w:hAnsiTheme="minorHAnsi"/>
              <w:noProof/>
              <w:sz w:val="22"/>
            </w:rPr>
          </w:pPr>
          <w:hyperlink w:anchor="_Toc47467723" w:history="1">
            <w:r w:rsidRPr="00C505A6">
              <w:rPr>
                <w:rStyle w:val="Hyperlink"/>
                <w:noProof/>
              </w:rPr>
              <w:t>1.</w:t>
            </w:r>
            <w:r>
              <w:rPr>
                <w:rFonts w:asciiTheme="minorHAnsi" w:eastAsiaTheme="minorEastAsia" w:hAnsiTheme="minorHAnsi"/>
                <w:noProof/>
                <w:sz w:val="22"/>
              </w:rPr>
              <w:tab/>
            </w:r>
            <w:r w:rsidRPr="00C505A6">
              <w:rPr>
                <w:rStyle w:val="Hyperlink"/>
                <w:noProof/>
              </w:rPr>
              <w:t>THE BACKGROUND OF THE PROJECT</w:t>
            </w:r>
            <w:r>
              <w:rPr>
                <w:noProof/>
                <w:webHidden/>
              </w:rPr>
              <w:tab/>
            </w:r>
            <w:r>
              <w:rPr>
                <w:noProof/>
                <w:webHidden/>
              </w:rPr>
              <w:fldChar w:fldCharType="begin"/>
            </w:r>
            <w:r>
              <w:rPr>
                <w:noProof/>
                <w:webHidden/>
              </w:rPr>
              <w:instrText xml:space="preserve"> PAGEREF _Toc47467723 \h </w:instrText>
            </w:r>
            <w:r>
              <w:rPr>
                <w:noProof/>
                <w:webHidden/>
              </w:rPr>
            </w:r>
            <w:r>
              <w:rPr>
                <w:noProof/>
                <w:webHidden/>
              </w:rPr>
              <w:fldChar w:fldCharType="separate"/>
            </w:r>
            <w:r w:rsidR="00D979B8">
              <w:rPr>
                <w:noProof/>
                <w:webHidden/>
              </w:rPr>
              <w:t>1</w:t>
            </w:r>
            <w:r>
              <w:rPr>
                <w:noProof/>
                <w:webHidden/>
              </w:rPr>
              <w:fldChar w:fldCharType="end"/>
            </w:r>
          </w:hyperlink>
        </w:p>
        <w:p w14:paraId="78CA280B" w14:textId="6F7B73F1" w:rsidR="003A0B43" w:rsidRDefault="003A0B43">
          <w:pPr>
            <w:pStyle w:val="TOC2"/>
            <w:tabs>
              <w:tab w:val="left" w:pos="1760"/>
              <w:tab w:val="right" w:leader="dot" w:pos="8630"/>
            </w:tabs>
            <w:rPr>
              <w:rFonts w:asciiTheme="minorHAnsi" w:eastAsiaTheme="minorEastAsia" w:hAnsiTheme="minorHAnsi"/>
              <w:noProof/>
              <w:sz w:val="22"/>
            </w:rPr>
          </w:pPr>
          <w:hyperlink w:anchor="_Toc47467724" w:history="1">
            <w:r w:rsidRPr="00C505A6">
              <w:rPr>
                <w:rStyle w:val="Hyperlink"/>
                <w:noProof/>
              </w:rPr>
              <w:t>1.1.</w:t>
            </w:r>
            <w:r>
              <w:rPr>
                <w:rFonts w:asciiTheme="minorHAnsi" w:eastAsiaTheme="minorEastAsia" w:hAnsiTheme="minorHAnsi"/>
                <w:noProof/>
                <w:sz w:val="22"/>
              </w:rPr>
              <w:tab/>
            </w:r>
            <w:r w:rsidRPr="00C505A6">
              <w:rPr>
                <w:rStyle w:val="Hyperlink"/>
                <w:noProof/>
              </w:rPr>
              <w:t>The System Layout</w:t>
            </w:r>
            <w:r>
              <w:rPr>
                <w:noProof/>
                <w:webHidden/>
              </w:rPr>
              <w:tab/>
            </w:r>
            <w:r>
              <w:rPr>
                <w:noProof/>
                <w:webHidden/>
              </w:rPr>
              <w:fldChar w:fldCharType="begin"/>
            </w:r>
            <w:r>
              <w:rPr>
                <w:noProof/>
                <w:webHidden/>
              </w:rPr>
              <w:instrText xml:space="preserve"> PAGEREF _Toc47467724 \h </w:instrText>
            </w:r>
            <w:r>
              <w:rPr>
                <w:noProof/>
                <w:webHidden/>
              </w:rPr>
            </w:r>
            <w:r>
              <w:rPr>
                <w:noProof/>
                <w:webHidden/>
              </w:rPr>
              <w:fldChar w:fldCharType="separate"/>
            </w:r>
            <w:r w:rsidR="00D979B8">
              <w:rPr>
                <w:noProof/>
                <w:webHidden/>
              </w:rPr>
              <w:t>1</w:t>
            </w:r>
            <w:r>
              <w:rPr>
                <w:noProof/>
                <w:webHidden/>
              </w:rPr>
              <w:fldChar w:fldCharType="end"/>
            </w:r>
          </w:hyperlink>
        </w:p>
        <w:p w14:paraId="7E6F2E92" w14:textId="3D82C4B0" w:rsidR="003A0B43" w:rsidRDefault="003A0B43">
          <w:pPr>
            <w:pStyle w:val="TOC2"/>
            <w:tabs>
              <w:tab w:val="left" w:pos="1760"/>
              <w:tab w:val="right" w:leader="dot" w:pos="8630"/>
            </w:tabs>
            <w:rPr>
              <w:rFonts w:asciiTheme="minorHAnsi" w:eastAsiaTheme="minorEastAsia" w:hAnsiTheme="minorHAnsi"/>
              <w:noProof/>
              <w:sz w:val="22"/>
            </w:rPr>
          </w:pPr>
          <w:hyperlink w:anchor="_Toc47467725" w:history="1">
            <w:r w:rsidRPr="00C505A6">
              <w:rPr>
                <w:rStyle w:val="Hyperlink"/>
                <w:noProof/>
              </w:rPr>
              <w:t>1.2.</w:t>
            </w:r>
            <w:r>
              <w:rPr>
                <w:rFonts w:asciiTheme="minorHAnsi" w:eastAsiaTheme="minorEastAsia" w:hAnsiTheme="minorHAnsi"/>
                <w:noProof/>
                <w:sz w:val="22"/>
              </w:rPr>
              <w:tab/>
            </w:r>
            <w:r w:rsidRPr="00C505A6">
              <w:rPr>
                <w:rStyle w:val="Hyperlink"/>
                <w:noProof/>
              </w:rPr>
              <w:t>The Components of the LTHES System</w:t>
            </w:r>
            <w:r>
              <w:rPr>
                <w:noProof/>
                <w:webHidden/>
              </w:rPr>
              <w:tab/>
            </w:r>
            <w:r>
              <w:rPr>
                <w:noProof/>
                <w:webHidden/>
              </w:rPr>
              <w:fldChar w:fldCharType="begin"/>
            </w:r>
            <w:r>
              <w:rPr>
                <w:noProof/>
                <w:webHidden/>
              </w:rPr>
              <w:instrText xml:space="preserve"> PAGEREF _Toc47467725 \h </w:instrText>
            </w:r>
            <w:r>
              <w:rPr>
                <w:noProof/>
                <w:webHidden/>
              </w:rPr>
            </w:r>
            <w:r>
              <w:rPr>
                <w:noProof/>
                <w:webHidden/>
              </w:rPr>
              <w:fldChar w:fldCharType="separate"/>
            </w:r>
            <w:r w:rsidR="00D979B8">
              <w:rPr>
                <w:noProof/>
                <w:webHidden/>
              </w:rPr>
              <w:t>3</w:t>
            </w:r>
            <w:r>
              <w:rPr>
                <w:noProof/>
                <w:webHidden/>
              </w:rPr>
              <w:fldChar w:fldCharType="end"/>
            </w:r>
          </w:hyperlink>
        </w:p>
        <w:p w14:paraId="0A5A8B8E" w14:textId="5CD8C19E" w:rsidR="003A0B43" w:rsidRDefault="003A0B43">
          <w:pPr>
            <w:pStyle w:val="TOC2"/>
            <w:tabs>
              <w:tab w:val="left" w:pos="1760"/>
              <w:tab w:val="right" w:leader="dot" w:pos="8630"/>
            </w:tabs>
            <w:rPr>
              <w:rFonts w:asciiTheme="minorHAnsi" w:eastAsiaTheme="minorEastAsia" w:hAnsiTheme="minorHAnsi"/>
              <w:noProof/>
              <w:sz w:val="22"/>
            </w:rPr>
          </w:pPr>
          <w:hyperlink w:anchor="_Toc47467726" w:history="1">
            <w:r w:rsidRPr="00C505A6">
              <w:rPr>
                <w:rStyle w:val="Hyperlink"/>
                <w:noProof/>
              </w:rPr>
              <w:t>1.3.</w:t>
            </w:r>
            <w:r>
              <w:rPr>
                <w:rFonts w:asciiTheme="minorHAnsi" w:eastAsiaTheme="minorEastAsia" w:hAnsiTheme="minorHAnsi"/>
                <w:noProof/>
                <w:sz w:val="22"/>
              </w:rPr>
              <w:tab/>
            </w:r>
            <w:r w:rsidRPr="00C505A6">
              <w:rPr>
                <w:rStyle w:val="Hyperlink"/>
                <w:noProof/>
              </w:rPr>
              <w:t>Research Objectives</w:t>
            </w:r>
            <w:r>
              <w:rPr>
                <w:noProof/>
                <w:webHidden/>
              </w:rPr>
              <w:tab/>
            </w:r>
            <w:r>
              <w:rPr>
                <w:noProof/>
                <w:webHidden/>
              </w:rPr>
              <w:fldChar w:fldCharType="begin"/>
            </w:r>
            <w:r>
              <w:rPr>
                <w:noProof/>
                <w:webHidden/>
              </w:rPr>
              <w:instrText xml:space="preserve"> PAGEREF _Toc47467726 \h </w:instrText>
            </w:r>
            <w:r>
              <w:rPr>
                <w:noProof/>
                <w:webHidden/>
              </w:rPr>
            </w:r>
            <w:r>
              <w:rPr>
                <w:noProof/>
                <w:webHidden/>
              </w:rPr>
              <w:fldChar w:fldCharType="separate"/>
            </w:r>
            <w:r w:rsidR="00D979B8">
              <w:rPr>
                <w:noProof/>
                <w:webHidden/>
              </w:rPr>
              <w:t>8</w:t>
            </w:r>
            <w:r>
              <w:rPr>
                <w:noProof/>
                <w:webHidden/>
              </w:rPr>
              <w:fldChar w:fldCharType="end"/>
            </w:r>
          </w:hyperlink>
        </w:p>
        <w:p w14:paraId="4EA88B72" w14:textId="53FC9130" w:rsidR="003A0B43" w:rsidRDefault="003A0B43">
          <w:pPr>
            <w:pStyle w:val="TOC2"/>
            <w:tabs>
              <w:tab w:val="left" w:pos="1760"/>
              <w:tab w:val="right" w:leader="dot" w:pos="8630"/>
            </w:tabs>
            <w:rPr>
              <w:rFonts w:asciiTheme="minorHAnsi" w:eastAsiaTheme="minorEastAsia" w:hAnsiTheme="minorHAnsi"/>
              <w:noProof/>
              <w:sz w:val="22"/>
            </w:rPr>
          </w:pPr>
          <w:hyperlink w:anchor="_Toc47467727" w:history="1">
            <w:r w:rsidRPr="00C505A6">
              <w:rPr>
                <w:rStyle w:val="Hyperlink"/>
                <w:noProof/>
              </w:rPr>
              <w:t>1.4.</w:t>
            </w:r>
            <w:r>
              <w:rPr>
                <w:rFonts w:asciiTheme="minorHAnsi" w:eastAsiaTheme="minorEastAsia" w:hAnsiTheme="minorHAnsi"/>
                <w:noProof/>
                <w:sz w:val="22"/>
              </w:rPr>
              <w:tab/>
            </w:r>
            <w:r w:rsidRPr="00C505A6">
              <w:rPr>
                <w:rStyle w:val="Hyperlink"/>
                <w:noProof/>
              </w:rPr>
              <w:t>Thesis Overview/Organization</w:t>
            </w:r>
            <w:r>
              <w:rPr>
                <w:noProof/>
                <w:webHidden/>
              </w:rPr>
              <w:tab/>
            </w:r>
            <w:r>
              <w:rPr>
                <w:noProof/>
                <w:webHidden/>
              </w:rPr>
              <w:fldChar w:fldCharType="begin"/>
            </w:r>
            <w:r>
              <w:rPr>
                <w:noProof/>
                <w:webHidden/>
              </w:rPr>
              <w:instrText xml:space="preserve"> PAGEREF _Toc47467727 \h </w:instrText>
            </w:r>
            <w:r>
              <w:rPr>
                <w:noProof/>
                <w:webHidden/>
              </w:rPr>
            </w:r>
            <w:r>
              <w:rPr>
                <w:noProof/>
                <w:webHidden/>
              </w:rPr>
              <w:fldChar w:fldCharType="separate"/>
            </w:r>
            <w:r w:rsidR="00D979B8">
              <w:rPr>
                <w:noProof/>
                <w:webHidden/>
              </w:rPr>
              <w:t>9</w:t>
            </w:r>
            <w:r>
              <w:rPr>
                <w:noProof/>
                <w:webHidden/>
              </w:rPr>
              <w:fldChar w:fldCharType="end"/>
            </w:r>
          </w:hyperlink>
        </w:p>
        <w:p w14:paraId="32FA6B7B" w14:textId="0200689C" w:rsidR="003A0B43" w:rsidRDefault="003A0B43">
          <w:pPr>
            <w:pStyle w:val="TOC1"/>
            <w:tabs>
              <w:tab w:val="left" w:pos="1320"/>
              <w:tab w:val="right" w:leader="dot" w:pos="8630"/>
            </w:tabs>
            <w:rPr>
              <w:rFonts w:asciiTheme="minorHAnsi" w:eastAsiaTheme="minorEastAsia" w:hAnsiTheme="minorHAnsi"/>
              <w:noProof/>
              <w:sz w:val="22"/>
            </w:rPr>
          </w:pPr>
          <w:hyperlink w:anchor="_Toc47467728" w:history="1">
            <w:r w:rsidRPr="00C505A6">
              <w:rPr>
                <w:rStyle w:val="Hyperlink"/>
                <w:noProof/>
              </w:rPr>
              <w:t>2.</w:t>
            </w:r>
            <w:r>
              <w:rPr>
                <w:rFonts w:asciiTheme="minorHAnsi" w:eastAsiaTheme="minorEastAsia" w:hAnsiTheme="minorHAnsi"/>
                <w:noProof/>
                <w:sz w:val="22"/>
              </w:rPr>
              <w:tab/>
            </w:r>
            <w:r w:rsidRPr="00C505A6">
              <w:rPr>
                <w:rStyle w:val="Hyperlink"/>
                <w:noProof/>
              </w:rPr>
              <w:t>LITERATURE REVIEWS</w:t>
            </w:r>
            <w:r>
              <w:rPr>
                <w:noProof/>
                <w:webHidden/>
              </w:rPr>
              <w:tab/>
            </w:r>
            <w:r>
              <w:rPr>
                <w:noProof/>
                <w:webHidden/>
              </w:rPr>
              <w:fldChar w:fldCharType="begin"/>
            </w:r>
            <w:r>
              <w:rPr>
                <w:noProof/>
                <w:webHidden/>
              </w:rPr>
              <w:instrText xml:space="preserve"> PAGEREF _Toc47467728 \h </w:instrText>
            </w:r>
            <w:r>
              <w:rPr>
                <w:noProof/>
                <w:webHidden/>
              </w:rPr>
            </w:r>
            <w:r>
              <w:rPr>
                <w:noProof/>
                <w:webHidden/>
              </w:rPr>
              <w:fldChar w:fldCharType="separate"/>
            </w:r>
            <w:r w:rsidR="00D979B8">
              <w:rPr>
                <w:noProof/>
                <w:webHidden/>
              </w:rPr>
              <w:t>11</w:t>
            </w:r>
            <w:r>
              <w:rPr>
                <w:noProof/>
                <w:webHidden/>
              </w:rPr>
              <w:fldChar w:fldCharType="end"/>
            </w:r>
          </w:hyperlink>
        </w:p>
        <w:p w14:paraId="4BFA2A12" w14:textId="4A5642EF" w:rsidR="003A0B43" w:rsidRDefault="003A0B43">
          <w:pPr>
            <w:pStyle w:val="TOC2"/>
            <w:tabs>
              <w:tab w:val="left" w:pos="1760"/>
              <w:tab w:val="right" w:leader="dot" w:pos="8630"/>
            </w:tabs>
            <w:rPr>
              <w:rFonts w:asciiTheme="minorHAnsi" w:eastAsiaTheme="minorEastAsia" w:hAnsiTheme="minorHAnsi"/>
              <w:noProof/>
              <w:sz w:val="22"/>
            </w:rPr>
          </w:pPr>
          <w:hyperlink w:anchor="_Toc47467729" w:history="1">
            <w:r w:rsidRPr="00C505A6">
              <w:rPr>
                <w:rStyle w:val="Hyperlink"/>
                <w:noProof/>
              </w:rPr>
              <w:t>2.1.</w:t>
            </w:r>
            <w:r>
              <w:rPr>
                <w:rFonts w:asciiTheme="minorHAnsi" w:eastAsiaTheme="minorEastAsia" w:hAnsiTheme="minorHAnsi"/>
                <w:noProof/>
                <w:sz w:val="22"/>
              </w:rPr>
              <w:tab/>
            </w:r>
            <w:r w:rsidRPr="00C505A6">
              <w:rPr>
                <w:rStyle w:val="Hyperlink"/>
                <w:noProof/>
              </w:rPr>
              <w:t>State of Art</w:t>
            </w:r>
            <w:r>
              <w:rPr>
                <w:noProof/>
                <w:webHidden/>
              </w:rPr>
              <w:tab/>
            </w:r>
            <w:r>
              <w:rPr>
                <w:noProof/>
                <w:webHidden/>
              </w:rPr>
              <w:fldChar w:fldCharType="begin"/>
            </w:r>
            <w:r>
              <w:rPr>
                <w:noProof/>
                <w:webHidden/>
              </w:rPr>
              <w:instrText xml:space="preserve"> PAGEREF _Toc47467729 \h </w:instrText>
            </w:r>
            <w:r>
              <w:rPr>
                <w:noProof/>
                <w:webHidden/>
              </w:rPr>
            </w:r>
            <w:r>
              <w:rPr>
                <w:noProof/>
                <w:webHidden/>
              </w:rPr>
              <w:fldChar w:fldCharType="separate"/>
            </w:r>
            <w:r w:rsidR="00D979B8">
              <w:rPr>
                <w:noProof/>
                <w:webHidden/>
              </w:rPr>
              <w:t>12</w:t>
            </w:r>
            <w:r>
              <w:rPr>
                <w:noProof/>
                <w:webHidden/>
              </w:rPr>
              <w:fldChar w:fldCharType="end"/>
            </w:r>
          </w:hyperlink>
        </w:p>
        <w:p w14:paraId="572CCCF4" w14:textId="007B1450" w:rsidR="003A0B43" w:rsidRDefault="003A0B43">
          <w:pPr>
            <w:pStyle w:val="TOC2"/>
            <w:tabs>
              <w:tab w:val="left" w:pos="1760"/>
              <w:tab w:val="right" w:leader="dot" w:pos="8630"/>
            </w:tabs>
            <w:rPr>
              <w:rFonts w:asciiTheme="minorHAnsi" w:eastAsiaTheme="minorEastAsia" w:hAnsiTheme="minorHAnsi"/>
              <w:noProof/>
              <w:sz w:val="22"/>
            </w:rPr>
          </w:pPr>
          <w:hyperlink w:anchor="_Toc47467730" w:history="1">
            <w:r w:rsidRPr="00C505A6">
              <w:rPr>
                <w:rStyle w:val="Hyperlink"/>
                <w:noProof/>
              </w:rPr>
              <w:t>2.2.</w:t>
            </w:r>
            <w:r>
              <w:rPr>
                <w:rFonts w:asciiTheme="minorHAnsi" w:eastAsiaTheme="minorEastAsia" w:hAnsiTheme="minorHAnsi"/>
                <w:noProof/>
                <w:sz w:val="22"/>
              </w:rPr>
              <w:tab/>
            </w:r>
            <w:r w:rsidRPr="00C505A6">
              <w:rPr>
                <w:rStyle w:val="Hyperlink"/>
                <w:noProof/>
              </w:rPr>
              <w:t>Identifying the Gaps</w:t>
            </w:r>
            <w:r>
              <w:rPr>
                <w:noProof/>
                <w:webHidden/>
              </w:rPr>
              <w:tab/>
            </w:r>
            <w:r>
              <w:rPr>
                <w:noProof/>
                <w:webHidden/>
              </w:rPr>
              <w:fldChar w:fldCharType="begin"/>
            </w:r>
            <w:r>
              <w:rPr>
                <w:noProof/>
                <w:webHidden/>
              </w:rPr>
              <w:instrText xml:space="preserve"> PAGEREF _Toc47467730 \h </w:instrText>
            </w:r>
            <w:r>
              <w:rPr>
                <w:noProof/>
                <w:webHidden/>
              </w:rPr>
            </w:r>
            <w:r>
              <w:rPr>
                <w:noProof/>
                <w:webHidden/>
              </w:rPr>
              <w:fldChar w:fldCharType="separate"/>
            </w:r>
            <w:r w:rsidR="00D979B8">
              <w:rPr>
                <w:noProof/>
                <w:webHidden/>
              </w:rPr>
              <w:t>21</w:t>
            </w:r>
            <w:r>
              <w:rPr>
                <w:noProof/>
                <w:webHidden/>
              </w:rPr>
              <w:fldChar w:fldCharType="end"/>
            </w:r>
          </w:hyperlink>
        </w:p>
        <w:p w14:paraId="6CBF935D" w14:textId="4630345C" w:rsidR="003A0B43" w:rsidRDefault="003A0B43">
          <w:pPr>
            <w:pStyle w:val="TOC1"/>
            <w:tabs>
              <w:tab w:val="left" w:pos="1320"/>
              <w:tab w:val="right" w:leader="dot" w:pos="8630"/>
            </w:tabs>
            <w:rPr>
              <w:rFonts w:asciiTheme="minorHAnsi" w:eastAsiaTheme="minorEastAsia" w:hAnsiTheme="minorHAnsi"/>
              <w:noProof/>
              <w:sz w:val="22"/>
            </w:rPr>
          </w:pPr>
          <w:hyperlink w:anchor="_Toc47467731" w:history="1">
            <w:r w:rsidRPr="00C505A6">
              <w:rPr>
                <w:rStyle w:val="Hyperlink"/>
                <w:noProof/>
              </w:rPr>
              <w:t>3.</w:t>
            </w:r>
            <w:r>
              <w:rPr>
                <w:rFonts w:asciiTheme="minorHAnsi" w:eastAsiaTheme="minorEastAsia" w:hAnsiTheme="minorHAnsi"/>
                <w:noProof/>
                <w:sz w:val="22"/>
              </w:rPr>
              <w:tab/>
            </w:r>
            <w:r w:rsidRPr="00C505A6">
              <w:rPr>
                <w:rStyle w:val="Hyperlink"/>
                <w:noProof/>
              </w:rPr>
              <w:t>LHTES SYSTEM MATHEMATICAL MODELING AND EQUIPMENT SIZING</w:t>
            </w:r>
            <w:r>
              <w:rPr>
                <w:noProof/>
                <w:webHidden/>
              </w:rPr>
              <w:tab/>
            </w:r>
            <w:r>
              <w:rPr>
                <w:noProof/>
                <w:webHidden/>
              </w:rPr>
              <w:fldChar w:fldCharType="begin"/>
            </w:r>
            <w:r>
              <w:rPr>
                <w:noProof/>
                <w:webHidden/>
              </w:rPr>
              <w:instrText xml:space="preserve"> PAGEREF _Toc47467731 \h </w:instrText>
            </w:r>
            <w:r>
              <w:rPr>
                <w:noProof/>
                <w:webHidden/>
              </w:rPr>
            </w:r>
            <w:r>
              <w:rPr>
                <w:noProof/>
                <w:webHidden/>
              </w:rPr>
              <w:fldChar w:fldCharType="separate"/>
            </w:r>
            <w:r w:rsidR="00D979B8">
              <w:rPr>
                <w:noProof/>
                <w:webHidden/>
              </w:rPr>
              <w:t>23</w:t>
            </w:r>
            <w:r>
              <w:rPr>
                <w:noProof/>
                <w:webHidden/>
              </w:rPr>
              <w:fldChar w:fldCharType="end"/>
            </w:r>
          </w:hyperlink>
        </w:p>
        <w:p w14:paraId="0C85581D" w14:textId="666AF486" w:rsidR="003A0B43" w:rsidRDefault="003A0B43">
          <w:pPr>
            <w:pStyle w:val="TOC2"/>
            <w:tabs>
              <w:tab w:val="left" w:pos="1760"/>
              <w:tab w:val="right" w:leader="dot" w:pos="8630"/>
            </w:tabs>
            <w:rPr>
              <w:rFonts w:asciiTheme="minorHAnsi" w:eastAsiaTheme="minorEastAsia" w:hAnsiTheme="minorHAnsi"/>
              <w:noProof/>
              <w:sz w:val="22"/>
            </w:rPr>
          </w:pPr>
          <w:hyperlink w:anchor="_Toc47467732" w:history="1">
            <w:r w:rsidRPr="00C505A6">
              <w:rPr>
                <w:rStyle w:val="Hyperlink"/>
                <w:noProof/>
              </w:rPr>
              <w:t>3.1.</w:t>
            </w:r>
            <w:r>
              <w:rPr>
                <w:rFonts w:asciiTheme="minorHAnsi" w:eastAsiaTheme="minorEastAsia" w:hAnsiTheme="minorHAnsi"/>
                <w:noProof/>
                <w:sz w:val="22"/>
              </w:rPr>
              <w:tab/>
            </w:r>
            <w:r w:rsidRPr="00C505A6">
              <w:rPr>
                <w:rStyle w:val="Hyperlink"/>
                <w:noProof/>
              </w:rPr>
              <w:t>Mathematical Heat Transfer and Exergy Modeling</w:t>
            </w:r>
            <w:r>
              <w:rPr>
                <w:noProof/>
                <w:webHidden/>
              </w:rPr>
              <w:tab/>
            </w:r>
            <w:r>
              <w:rPr>
                <w:noProof/>
                <w:webHidden/>
              </w:rPr>
              <w:fldChar w:fldCharType="begin"/>
            </w:r>
            <w:r>
              <w:rPr>
                <w:noProof/>
                <w:webHidden/>
              </w:rPr>
              <w:instrText xml:space="preserve"> PAGEREF _Toc47467732 \h </w:instrText>
            </w:r>
            <w:r>
              <w:rPr>
                <w:noProof/>
                <w:webHidden/>
              </w:rPr>
            </w:r>
            <w:r>
              <w:rPr>
                <w:noProof/>
                <w:webHidden/>
              </w:rPr>
              <w:fldChar w:fldCharType="separate"/>
            </w:r>
            <w:r w:rsidR="00D979B8">
              <w:rPr>
                <w:noProof/>
                <w:webHidden/>
              </w:rPr>
              <w:t>23</w:t>
            </w:r>
            <w:r>
              <w:rPr>
                <w:noProof/>
                <w:webHidden/>
              </w:rPr>
              <w:fldChar w:fldCharType="end"/>
            </w:r>
          </w:hyperlink>
        </w:p>
        <w:p w14:paraId="729217CA" w14:textId="4B3188CF" w:rsidR="003A0B43" w:rsidRDefault="003A0B43">
          <w:pPr>
            <w:pStyle w:val="TOC2"/>
            <w:tabs>
              <w:tab w:val="left" w:pos="1760"/>
              <w:tab w:val="right" w:leader="dot" w:pos="8630"/>
            </w:tabs>
            <w:rPr>
              <w:rFonts w:asciiTheme="minorHAnsi" w:eastAsiaTheme="minorEastAsia" w:hAnsiTheme="minorHAnsi"/>
              <w:noProof/>
              <w:sz w:val="22"/>
            </w:rPr>
          </w:pPr>
          <w:hyperlink w:anchor="_Toc47467733" w:history="1">
            <w:r w:rsidRPr="00C505A6">
              <w:rPr>
                <w:rStyle w:val="Hyperlink"/>
                <w:noProof/>
              </w:rPr>
              <w:t>3.2.</w:t>
            </w:r>
            <w:r>
              <w:rPr>
                <w:rFonts w:asciiTheme="minorHAnsi" w:eastAsiaTheme="minorEastAsia" w:hAnsiTheme="minorHAnsi"/>
                <w:noProof/>
                <w:sz w:val="22"/>
              </w:rPr>
              <w:tab/>
            </w:r>
            <w:r w:rsidRPr="00C505A6">
              <w:rPr>
                <w:rStyle w:val="Hyperlink"/>
                <w:noProof/>
              </w:rPr>
              <w:t>Candidate Cities Selection and Equipment Sizing</w:t>
            </w:r>
            <w:r>
              <w:rPr>
                <w:noProof/>
                <w:webHidden/>
              </w:rPr>
              <w:tab/>
            </w:r>
            <w:r>
              <w:rPr>
                <w:noProof/>
                <w:webHidden/>
              </w:rPr>
              <w:fldChar w:fldCharType="begin"/>
            </w:r>
            <w:r>
              <w:rPr>
                <w:noProof/>
                <w:webHidden/>
              </w:rPr>
              <w:instrText xml:space="preserve"> PAGEREF _Toc47467733 \h </w:instrText>
            </w:r>
            <w:r>
              <w:rPr>
                <w:noProof/>
                <w:webHidden/>
              </w:rPr>
            </w:r>
            <w:r>
              <w:rPr>
                <w:noProof/>
                <w:webHidden/>
              </w:rPr>
              <w:fldChar w:fldCharType="separate"/>
            </w:r>
            <w:r w:rsidR="00D979B8">
              <w:rPr>
                <w:noProof/>
                <w:webHidden/>
              </w:rPr>
              <w:t>31</w:t>
            </w:r>
            <w:r>
              <w:rPr>
                <w:noProof/>
                <w:webHidden/>
              </w:rPr>
              <w:fldChar w:fldCharType="end"/>
            </w:r>
          </w:hyperlink>
        </w:p>
        <w:p w14:paraId="69A7969E" w14:textId="0F83E665" w:rsidR="003A0B43" w:rsidRDefault="003A0B43">
          <w:pPr>
            <w:pStyle w:val="TOC2"/>
            <w:tabs>
              <w:tab w:val="left" w:pos="1760"/>
              <w:tab w:val="right" w:leader="dot" w:pos="8630"/>
            </w:tabs>
            <w:rPr>
              <w:rFonts w:asciiTheme="minorHAnsi" w:eastAsiaTheme="minorEastAsia" w:hAnsiTheme="minorHAnsi"/>
              <w:noProof/>
              <w:sz w:val="22"/>
            </w:rPr>
          </w:pPr>
          <w:hyperlink w:anchor="_Toc47467734" w:history="1">
            <w:r w:rsidRPr="00C505A6">
              <w:rPr>
                <w:rStyle w:val="Hyperlink"/>
                <w:noProof/>
              </w:rPr>
              <w:t>3.3.</w:t>
            </w:r>
            <w:r>
              <w:rPr>
                <w:rFonts w:asciiTheme="minorHAnsi" w:eastAsiaTheme="minorEastAsia" w:hAnsiTheme="minorHAnsi"/>
                <w:noProof/>
                <w:sz w:val="22"/>
              </w:rPr>
              <w:tab/>
            </w:r>
            <w:r w:rsidRPr="00C505A6">
              <w:rPr>
                <w:rStyle w:val="Hyperlink"/>
                <w:noProof/>
              </w:rPr>
              <w:t>Equipment Base Size</w:t>
            </w:r>
            <w:r>
              <w:rPr>
                <w:noProof/>
                <w:webHidden/>
              </w:rPr>
              <w:tab/>
            </w:r>
            <w:r>
              <w:rPr>
                <w:noProof/>
                <w:webHidden/>
              </w:rPr>
              <w:fldChar w:fldCharType="begin"/>
            </w:r>
            <w:r>
              <w:rPr>
                <w:noProof/>
                <w:webHidden/>
              </w:rPr>
              <w:instrText xml:space="preserve"> PAGEREF _Toc47467734 \h </w:instrText>
            </w:r>
            <w:r>
              <w:rPr>
                <w:noProof/>
                <w:webHidden/>
              </w:rPr>
            </w:r>
            <w:r>
              <w:rPr>
                <w:noProof/>
                <w:webHidden/>
              </w:rPr>
              <w:fldChar w:fldCharType="separate"/>
            </w:r>
            <w:r w:rsidR="00D979B8">
              <w:rPr>
                <w:noProof/>
                <w:webHidden/>
              </w:rPr>
              <w:t>38</w:t>
            </w:r>
            <w:r>
              <w:rPr>
                <w:noProof/>
                <w:webHidden/>
              </w:rPr>
              <w:fldChar w:fldCharType="end"/>
            </w:r>
          </w:hyperlink>
        </w:p>
        <w:p w14:paraId="5D4A1D83" w14:textId="416DFEFB" w:rsidR="003A0B43" w:rsidRDefault="003A0B43">
          <w:pPr>
            <w:pStyle w:val="TOC1"/>
            <w:tabs>
              <w:tab w:val="left" w:pos="1320"/>
              <w:tab w:val="right" w:leader="dot" w:pos="8630"/>
            </w:tabs>
            <w:rPr>
              <w:rFonts w:asciiTheme="minorHAnsi" w:eastAsiaTheme="minorEastAsia" w:hAnsiTheme="minorHAnsi"/>
              <w:noProof/>
              <w:sz w:val="22"/>
            </w:rPr>
          </w:pPr>
          <w:hyperlink w:anchor="_Toc47467735" w:history="1">
            <w:r w:rsidRPr="00C505A6">
              <w:rPr>
                <w:rStyle w:val="Hyperlink"/>
                <w:noProof/>
              </w:rPr>
              <w:t>4.</w:t>
            </w:r>
            <w:r>
              <w:rPr>
                <w:rFonts w:asciiTheme="minorHAnsi" w:eastAsiaTheme="minorEastAsia" w:hAnsiTheme="minorHAnsi"/>
                <w:noProof/>
                <w:sz w:val="22"/>
              </w:rPr>
              <w:tab/>
            </w:r>
            <w:r w:rsidRPr="00C505A6">
              <w:rPr>
                <w:rStyle w:val="Hyperlink"/>
                <w:noProof/>
              </w:rPr>
              <w:t>LHTES SYSTEM HEAT TRANSFER AND ENERGY PERFORMANCE ANALYSIS</w:t>
            </w:r>
            <w:r>
              <w:rPr>
                <w:noProof/>
                <w:webHidden/>
              </w:rPr>
              <w:tab/>
            </w:r>
            <w:r>
              <w:rPr>
                <w:noProof/>
                <w:webHidden/>
              </w:rPr>
              <w:fldChar w:fldCharType="begin"/>
            </w:r>
            <w:r>
              <w:rPr>
                <w:noProof/>
                <w:webHidden/>
              </w:rPr>
              <w:instrText xml:space="preserve"> PAGEREF _Toc47467735 \h </w:instrText>
            </w:r>
            <w:r>
              <w:rPr>
                <w:noProof/>
                <w:webHidden/>
              </w:rPr>
            </w:r>
            <w:r>
              <w:rPr>
                <w:noProof/>
                <w:webHidden/>
              </w:rPr>
              <w:fldChar w:fldCharType="separate"/>
            </w:r>
            <w:r w:rsidR="00D979B8">
              <w:rPr>
                <w:noProof/>
                <w:webHidden/>
              </w:rPr>
              <w:t>40</w:t>
            </w:r>
            <w:r>
              <w:rPr>
                <w:noProof/>
                <w:webHidden/>
              </w:rPr>
              <w:fldChar w:fldCharType="end"/>
            </w:r>
          </w:hyperlink>
        </w:p>
        <w:p w14:paraId="7F5B1CED" w14:textId="0EBEAE90" w:rsidR="003A0B43" w:rsidRDefault="003A0B43">
          <w:pPr>
            <w:pStyle w:val="TOC2"/>
            <w:tabs>
              <w:tab w:val="left" w:pos="1760"/>
              <w:tab w:val="right" w:leader="dot" w:pos="8630"/>
            </w:tabs>
            <w:rPr>
              <w:rFonts w:asciiTheme="minorHAnsi" w:eastAsiaTheme="minorEastAsia" w:hAnsiTheme="minorHAnsi"/>
              <w:noProof/>
              <w:sz w:val="22"/>
            </w:rPr>
          </w:pPr>
          <w:hyperlink w:anchor="_Toc47467736" w:history="1">
            <w:r w:rsidRPr="00C505A6">
              <w:rPr>
                <w:rStyle w:val="Hyperlink"/>
                <w:noProof/>
              </w:rPr>
              <w:t>4.1.</w:t>
            </w:r>
            <w:r>
              <w:rPr>
                <w:rFonts w:asciiTheme="minorHAnsi" w:eastAsiaTheme="minorEastAsia" w:hAnsiTheme="minorHAnsi"/>
                <w:noProof/>
                <w:sz w:val="22"/>
              </w:rPr>
              <w:tab/>
            </w:r>
            <w:r w:rsidRPr="00C505A6">
              <w:rPr>
                <w:rStyle w:val="Hyperlink"/>
                <w:noProof/>
              </w:rPr>
              <w:t>Heat Transfer and Exergy Analysis</w:t>
            </w:r>
            <w:r>
              <w:rPr>
                <w:noProof/>
                <w:webHidden/>
              </w:rPr>
              <w:tab/>
            </w:r>
            <w:r>
              <w:rPr>
                <w:noProof/>
                <w:webHidden/>
              </w:rPr>
              <w:fldChar w:fldCharType="begin"/>
            </w:r>
            <w:r>
              <w:rPr>
                <w:noProof/>
                <w:webHidden/>
              </w:rPr>
              <w:instrText xml:space="preserve"> PAGEREF _Toc47467736 \h </w:instrText>
            </w:r>
            <w:r>
              <w:rPr>
                <w:noProof/>
                <w:webHidden/>
              </w:rPr>
            </w:r>
            <w:r>
              <w:rPr>
                <w:noProof/>
                <w:webHidden/>
              </w:rPr>
              <w:fldChar w:fldCharType="separate"/>
            </w:r>
            <w:r w:rsidR="00D979B8">
              <w:rPr>
                <w:noProof/>
                <w:webHidden/>
              </w:rPr>
              <w:t>40</w:t>
            </w:r>
            <w:r>
              <w:rPr>
                <w:noProof/>
                <w:webHidden/>
              </w:rPr>
              <w:fldChar w:fldCharType="end"/>
            </w:r>
          </w:hyperlink>
        </w:p>
        <w:p w14:paraId="6571B757" w14:textId="3B7D673A" w:rsidR="003A0B43" w:rsidRDefault="003A0B43">
          <w:pPr>
            <w:pStyle w:val="TOC2"/>
            <w:tabs>
              <w:tab w:val="left" w:pos="1760"/>
              <w:tab w:val="right" w:leader="dot" w:pos="8630"/>
            </w:tabs>
            <w:rPr>
              <w:rFonts w:asciiTheme="minorHAnsi" w:eastAsiaTheme="minorEastAsia" w:hAnsiTheme="minorHAnsi"/>
              <w:noProof/>
              <w:sz w:val="22"/>
            </w:rPr>
          </w:pPr>
          <w:hyperlink w:anchor="_Toc47467737" w:history="1">
            <w:r w:rsidRPr="00C505A6">
              <w:rPr>
                <w:rStyle w:val="Hyperlink"/>
                <w:noProof/>
              </w:rPr>
              <w:t>4.2.</w:t>
            </w:r>
            <w:r>
              <w:rPr>
                <w:rFonts w:asciiTheme="minorHAnsi" w:eastAsiaTheme="minorEastAsia" w:hAnsiTheme="minorHAnsi"/>
                <w:noProof/>
                <w:sz w:val="22"/>
              </w:rPr>
              <w:tab/>
            </w:r>
            <w:r w:rsidRPr="00C505A6">
              <w:rPr>
                <w:rStyle w:val="Hyperlink"/>
                <w:noProof/>
              </w:rPr>
              <w:t>Auxiliary Energy Demand</w:t>
            </w:r>
            <w:r>
              <w:rPr>
                <w:noProof/>
                <w:webHidden/>
              </w:rPr>
              <w:tab/>
            </w:r>
            <w:r>
              <w:rPr>
                <w:noProof/>
                <w:webHidden/>
              </w:rPr>
              <w:fldChar w:fldCharType="begin"/>
            </w:r>
            <w:r>
              <w:rPr>
                <w:noProof/>
                <w:webHidden/>
              </w:rPr>
              <w:instrText xml:space="preserve"> PAGEREF _Toc47467737 \h </w:instrText>
            </w:r>
            <w:r>
              <w:rPr>
                <w:noProof/>
                <w:webHidden/>
              </w:rPr>
            </w:r>
            <w:r>
              <w:rPr>
                <w:noProof/>
                <w:webHidden/>
              </w:rPr>
              <w:fldChar w:fldCharType="separate"/>
            </w:r>
            <w:r w:rsidR="00D979B8">
              <w:rPr>
                <w:noProof/>
                <w:webHidden/>
              </w:rPr>
              <w:t>44</w:t>
            </w:r>
            <w:r>
              <w:rPr>
                <w:noProof/>
                <w:webHidden/>
              </w:rPr>
              <w:fldChar w:fldCharType="end"/>
            </w:r>
          </w:hyperlink>
        </w:p>
        <w:p w14:paraId="56937F90" w14:textId="4456A77A" w:rsidR="003A0B43" w:rsidRDefault="003A0B43">
          <w:pPr>
            <w:pStyle w:val="TOC2"/>
            <w:tabs>
              <w:tab w:val="left" w:pos="1760"/>
              <w:tab w:val="right" w:leader="dot" w:pos="8630"/>
            </w:tabs>
            <w:rPr>
              <w:rFonts w:asciiTheme="minorHAnsi" w:eastAsiaTheme="minorEastAsia" w:hAnsiTheme="minorHAnsi"/>
              <w:noProof/>
              <w:sz w:val="22"/>
            </w:rPr>
          </w:pPr>
          <w:hyperlink w:anchor="_Toc47467738" w:history="1">
            <w:r w:rsidRPr="00C505A6">
              <w:rPr>
                <w:rStyle w:val="Hyperlink"/>
                <w:noProof/>
              </w:rPr>
              <w:t>4.3.</w:t>
            </w:r>
            <w:r>
              <w:rPr>
                <w:rFonts w:asciiTheme="minorHAnsi" w:eastAsiaTheme="minorEastAsia" w:hAnsiTheme="minorHAnsi"/>
                <w:noProof/>
                <w:sz w:val="22"/>
              </w:rPr>
              <w:tab/>
            </w:r>
            <w:r w:rsidRPr="00C505A6">
              <w:rPr>
                <w:rStyle w:val="Hyperlink"/>
                <w:noProof/>
              </w:rPr>
              <w:t>Energy Cost Analysis</w:t>
            </w:r>
            <w:r>
              <w:rPr>
                <w:noProof/>
                <w:webHidden/>
              </w:rPr>
              <w:tab/>
            </w:r>
            <w:r>
              <w:rPr>
                <w:noProof/>
                <w:webHidden/>
              </w:rPr>
              <w:fldChar w:fldCharType="begin"/>
            </w:r>
            <w:r>
              <w:rPr>
                <w:noProof/>
                <w:webHidden/>
              </w:rPr>
              <w:instrText xml:space="preserve"> PAGEREF _Toc47467738 \h </w:instrText>
            </w:r>
            <w:r>
              <w:rPr>
                <w:noProof/>
                <w:webHidden/>
              </w:rPr>
            </w:r>
            <w:r>
              <w:rPr>
                <w:noProof/>
                <w:webHidden/>
              </w:rPr>
              <w:fldChar w:fldCharType="separate"/>
            </w:r>
            <w:r w:rsidR="00D979B8">
              <w:rPr>
                <w:noProof/>
                <w:webHidden/>
              </w:rPr>
              <w:t>60</w:t>
            </w:r>
            <w:r>
              <w:rPr>
                <w:noProof/>
                <w:webHidden/>
              </w:rPr>
              <w:fldChar w:fldCharType="end"/>
            </w:r>
          </w:hyperlink>
        </w:p>
        <w:p w14:paraId="739193EC" w14:textId="4ECDEF0C" w:rsidR="003A0B43" w:rsidRDefault="003A0B43">
          <w:pPr>
            <w:pStyle w:val="TOC2"/>
            <w:tabs>
              <w:tab w:val="left" w:pos="1760"/>
              <w:tab w:val="right" w:leader="dot" w:pos="8630"/>
            </w:tabs>
            <w:rPr>
              <w:rFonts w:asciiTheme="minorHAnsi" w:eastAsiaTheme="minorEastAsia" w:hAnsiTheme="minorHAnsi"/>
              <w:noProof/>
              <w:sz w:val="22"/>
            </w:rPr>
          </w:pPr>
          <w:hyperlink w:anchor="_Toc47467739" w:history="1">
            <w:r w:rsidRPr="00C505A6">
              <w:rPr>
                <w:rStyle w:val="Hyperlink"/>
                <w:noProof/>
              </w:rPr>
              <w:t>4.4.</w:t>
            </w:r>
            <w:r>
              <w:rPr>
                <w:rFonts w:asciiTheme="minorHAnsi" w:eastAsiaTheme="minorEastAsia" w:hAnsiTheme="minorHAnsi"/>
                <w:noProof/>
                <w:sz w:val="22"/>
              </w:rPr>
              <w:tab/>
            </w:r>
            <w:r w:rsidRPr="00C505A6">
              <w:rPr>
                <w:rStyle w:val="Hyperlink"/>
                <w:noProof/>
              </w:rPr>
              <w:t>Energy Performance Evaluation</w:t>
            </w:r>
            <w:r>
              <w:rPr>
                <w:noProof/>
                <w:webHidden/>
              </w:rPr>
              <w:tab/>
            </w:r>
            <w:r>
              <w:rPr>
                <w:noProof/>
                <w:webHidden/>
              </w:rPr>
              <w:fldChar w:fldCharType="begin"/>
            </w:r>
            <w:r>
              <w:rPr>
                <w:noProof/>
                <w:webHidden/>
              </w:rPr>
              <w:instrText xml:space="preserve"> PAGEREF _Toc47467739 \h </w:instrText>
            </w:r>
            <w:r>
              <w:rPr>
                <w:noProof/>
                <w:webHidden/>
              </w:rPr>
            </w:r>
            <w:r>
              <w:rPr>
                <w:noProof/>
                <w:webHidden/>
              </w:rPr>
              <w:fldChar w:fldCharType="separate"/>
            </w:r>
            <w:r w:rsidR="00D979B8">
              <w:rPr>
                <w:noProof/>
                <w:webHidden/>
              </w:rPr>
              <w:t>63</w:t>
            </w:r>
            <w:r>
              <w:rPr>
                <w:noProof/>
                <w:webHidden/>
              </w:rPr>
              <w:fldChar w:fldCharType="end"/>
            </w:r>
          </w:hyperlink>
        </w:p>
        <w:p w14:paraId="32E4B20E" w14:textId="59648636" w:rsidR="003A0B43" w:rsidRDefault="003A0B43">
          <w:pPr>
            <w:pStyle w:val="TOC1"/>
            <w:tabs>
              <w:tab w:val="left" w:pos="1320"/>
              <w:tab w:val="right" w:leader="dot" w:pos="8630"/>
            </w:tabs>
            <w:rPr>
              <w:rFonts w:asciiTheme="minorHAnsi" w:eastAsiaTheme="minorEastAsia" w:hAnsiTheme="minorHAnsi"/>
              <w:noProof/>
              <w:sz w:val="22"/>
            </w:rPr>
          </w:pPr>
          <w:hyperlink w:anchor="_Toc47467740" w:history="1">
            <w:r w:rsidRPr="00C505A6">
              <w:rPr>
                <w:rStyle w:val="Hyperlink"/>
                <w:noProof/>
              </w:rPr>
              <w:t>5.</w:t>
            </w:r>
            <w:r>
              <w:rPr>
                <w:rFonts w:asciiTheme="minorHAnsi" w:eastAsiaTheme="minorEastAsia" w:hAnsiTheme="minorHAnsi"/>
                <w:noProof/>
                <w:sz w:val="22"/>
              </w:rPr>
              <w:tab/>
            </w:r>
            <w:r w:rsidRPr="00C505A6">
              <w:rPr>
                <w:rStyle w:val="Hyperlink"/>
                <w:noProof/>
              </w:rPr>
              <w:t>CLOSING REMARKS</w:t>
            </w:r>
            <w:r>
              <w:rPr>
                <w:noProof/>
                <w:webHidden/>
              </w:rPr>
              <w:tab/>
            </w:r>
            <w:r>
              <w:rPr>
                <w:noProof/>
                <w:webHidden/>
              </w:rPr>
              <w:fldChar w:fldCharType="begin"/>
            </w:r>
            <w:r>
              <w:rPr>
                <w:noProof/>
                <w:webHidden/>
              </w:rPr>
              <w:instrText xml:space="preserve"> PAGEREF _Toc47467740 \h </w:instrText>
            </w:r>
            <w:r>
              <w:rPr>
                <w:noProof/>
                <w:webHidden/>
              </w:rPr>
            </w:r>
            <w:r>
              <w:rPr>
                <w:noProof/>
                <w:webHidden/>
              </w:rPr>
              <w:fldChar w:fldCharType="separate"/>
            </w:r>
            <w:r w:rsidR="00D979B8">
              <w:rPr>
                <w:noProof/>
                <w:webHidden/>
              </w:rPr>
              <w:t>70</w:t>
            </w:r>
            <w:r>
              <w:rPr>
                <w:noProof/>
                <w:webHidden/>
              </w:rPr>
              <w:fldChar w:fldCharType="end"/>
            </w:r>
          </w:hyperlink>
        </w:p>
        <w:p w14:paraId="0A8F9D87" w14:textId="6FE20B96" w:rsidR="003A0B43" w:rsidRDefault="003A0B43">
          <w:pPr>
            <w:pStyle w:val="TOC1"/>
            <w:tabs>
              <w:tab w:val="right" w:leader="dot" w:pos="8630"/>
            </w:tabs>
            <w:rPr>
              <w:rFonts w:asciiTheme="minorHAnsi" w:eastAsiaTheme="minorEastAsia" w:hAnsiTheme="minorHAnsi"/>
              <w:noProof/>
              <w:sz w:val="22"/>
            </w:rPr>
          </w:pPr>
          <w:hyperlink w:anchor="_Toc47467741" w:history="1">
            <w:r w:rsidRPr="00C505A6">
              <w:rPr>
                <w:rStyle w:val="Hyperlink"/>
                <w:noProof/>
              </w:rPr>
              <w:t>REFERENCES</w:t>
            </w:r>
            <w:r>
              <w:rPr>
                <w:noProof/>
                <w:webHidden/>
              </w:rPr>
              <w:tab/>
            </w:r>
            <w:r>
              <w:rPr>
                <w:noProof/>
                <w:webHidden/>
              </w:rPr>
              <w:fldChar w:fldCharType="begin"/>
            </w:r>
            <w:r>
              <w:rPr>
                <w:noProof/>
                <w:webHidden/>
              </w:rPr>
              <w:instrText xml:space="preserve"> PAGEREF _Toc47467741 \h </w:instrText>
            </w:r>
            <w:r>
              <w:rPr>
                <w:noProof/>
                <w:webHidden/>
              </w:rPr>
            </w:r>
            <w:r>
              <w:rPr>
                <w:noProof/>
                <w:webHidden/>
              </w:rPr>
              <w:fldChar w:fldCharType="separate"/>
            </w:r>
            <w:r w:rsidR="00D979B8">
              <w:rPr>
                <w:noProof/>
                <w:webHidden/>
              </w:rPr>
              <w:t>74</w:t>
            </w:r>
            <w:r>
              <w:rPr>
                <w:noProof/>
                <w:webHidden/>
              </w:rPr>
              <w:fldChar w:fldCharType="end"/>
            </w:r>
          </w:hyperlink>
        </w:p>
        <w:p w14:paraId="429B00BC" w14:textId="272E6814" w:rsidR="003A0B43" w:rsidRDefault="003A0B43">
          <w:pPr>
            <w:pStyle w:val="TOC1"/>
            <w:tabs>
              <w:tab w:val="right" w:leader="dot" w:pos="8630"/>
            </w:tabs>
            <w:rPr>
              <w:rFonts w:asciiTheme="minorHAnsi" w:eastAsiaTheme="minorEastAsia" w:hAnsiTheme="minorHAnsi"/>
              <w:noProof/>
              <w:sz w:val="22"/>
            </w:rPr>
          </w:pPr>
          <w:hyperlink w:anchor="_Toc47467742" w:history="1">
            <w:r w:rsidRPr="00C505A6">
              <w:rPr>
                <w:rStyle w:val="Hyperlink"/>
                <w:noProof/>
              </w:rPr>
              <w:t>APPENDIX</w:t>
            </w:r>
            <w:r>
              <w:rPr>
                <w:noProof/>
                <w:webHidden/>
              </w:rPr>
              <w:tab/>
            </w:r>
            <w:r>
              <w:rPr>
                <w:noProof/>
                <w:webHidden/>
              </w:rPr>
              <w:fldChar w:fldCharType="begin"/>
            </w:r>
            <w:r>
              <w:rPr>
                <w:noProof/>
                <w:webHidden/>
              </w:rPr>
              <w:instrText xml:space="preserve"> PAGEREF _Toc47467742 \h </w:instrText>
            </w:r>
            <w:r>
              <w:rPr>
                <w:noProof/>
                <w:webHidden/>
              </w:rPr>
            </w:r>
            <w:r>
              <w:rPr>
                <w:noProof/>
                <w:webHidden/>
              </w:rPr>
              <w:fldChar w:fldCharType="separate"/>
            </w:r>
            <w:r w:rsidR="00D979B8">
              <w:rPr>
                <w:noProof/>
                <w:webHidden/>
              </w:rPr>
              <w:t>85</w:t>
            </w:r>
            <w:r>
              <w:rPr>
                <w:noProof/>
                <w:webHidden/>
              </w:rPr>
              <w:fldChar w:fldCharType="end"/>
            </w:r>
          </w:hyperlink>
        </w:p>
        <w:p w14:paraId="0239AA87" w14:textId="4F780B15" w:rsidR="005847E6" w:rsidRDefault="004F6B22">
          <w:r>
            <w:fldChar w:fldCharType="end"/>
          </w:r>
        </w:p>
      </w:sdtContent>
    </w:sdt>
    <w:p w14:paraId="252796AD" w14:textId="68629501" w:rsidR="005847E6" w:rsidRDefault="005847E6">
      <w:pPr>
        <w:pStyle w:val="TOC3"/>
        <w:ind w:left="446"/>
      </w:pPr>
    </w:p>
    <w:p w14:paraId="51094926" w14:textId="16F737E0" w:rsidR="0047252C" w:rsidRPr="0015600B" w:rsidRDefault="0047252C" w:rsidP="00BC2CA0">
      <w:pPr>
        <w:spacing w:beforeLines="120" w:before="288" w:afterLines="120" w:after="288"/>
        <w:rPr>
          <w:szCs w:val="24"/>
        </w:rPr>
      </w:pPr>
    </w:p>
    <w:p w14:paraId="6C48058D" w14:textId="16CAA5CB" w:rsidR="00F1329F" w:rsidRPr="0015600B" w:rsidRDefault="00F1329F" w:rsidP="00BC2CA0">
      <w:pPr>
        <w:spacing w:beforeLines="120" w:before="288" w:afterLines="120" w:after="288"/>
        <w:rPr>
          <w:szCs w:val="24"/>
        </w:rPr>
      </w:pPr>
      <w:r w:rsidRPr="0015600B">
        <w:rPr>
          <w:szCs w:val="24"/>
        </w:rPr>
        <w:br w:type="page"/>
      </w:r>
    </w:p>
    <w:p w14:paraId="4087C799" w14:textId="7BAC84C2" w:rsidR="004F2C5B" w:rsidRPr="0015600B" w:rsidRDefault="00F1329F" w:rsidP="001256AE">
      <w:pPr>
        <w:pStyle w:val="Heading2"/>
      </w:pPr>
      <w:bookmarkStart w:id="5" w:name="_Toc43877956"/>
      <w:bookmarkStart w:id="6" w:name="_Toc47467719"/>
      <w:r w:rsidRPr="0015600B">
        <w:lastRenderedPageBreak/>
        <w:t xml:space="preserve">List </w:t>
      </w:r>
      <w:r w:rsidR="00996866" w:rsidRPr="0015600B">
        <w:t>o</w:t>
      </w:r>
      <w:r w:rsidR="00851F71" w:rsidRPr="0015600B">
        <w:t xml:space="preserve">f </w:t>
      </w:r>
      <w:r w:rsidRPr="0015600B">
        <w:t>Table</w:t>
      </w:r>
      <w:r w:rsidR="00247DED" w:rsidRPr="0015600B">
        <w:t>s</w:t>
      </w:r>
      <w:bookmarkEnd w:id="5"/>
      <w:bookmarkEnd w:id="6"/>
    </w:p>
    <w:p w14:paraId="7AA3F877" w14:textId="1DCF9413" w:rsidR="003A0B43" w:rsidRDefault="00F1374C">
      <w:pPr>
        <w:pStyle w:val="TableofFigures"/>
        <w:tabs>
          <w:tab w:val="right" w:leader="dot" w:pos="8630"/>
        </w:tabs>
        <w:rPr>
          <w:rFonts w:asciiTheme="minorHAnsi" w:eastAsiaTheme="minorEastAsia" w:hAnsiTheme="minorHAnsi"/>
          <w:noProof/>
          <w:sz w:val="22"/>
        </w:rPr>
      </w:pPr>
      <w:r w:rsidRPr="0015600B">
        <w:fldChar w:fldCharType="begin"/>
      </w:r>
      <w:r w:rsidRPr="0015600B">
        <w:instrText xml:space="preserve"> TOC \h \z \c "Table" </w:instrText>
      </w:r>
      <w:r w:rsidRPr="0015600B">
        <w:fldChar w:fldCharType="separate"/>
      </w:r>
      <w:hyperlink w:anchor="_Toc47467743" w:history="1">
        <w:r w:rsidR="003A0B43" w:rsidRPr="00907B3A">
          <w:rPr>
            <w:rStyle w:val="Hyperlink"/>
            <w:noProof/>
          </w:rPr>
          <w:t>Table 3.1. Description of the thermal elements appearing in Figure 4.2 (a) (adopted from  [1]).</w:t>
        </w:r>
        <w:r w:rsidR="003A0B43">
          <w:rPr>
            <w:noProof/>
            <w:webHidden/>
          </w:rPr>
          <w:tab/>
        </w:r>
        <w:r w:rsidR="003A0B43">
          <w:rPr>
            <w:noProof/>
            <w:webHidden/>
          </w:rPr>
          <w:fldChar w:fldCharType="begin"/>
        </w:r>
        <w:r w:rsidR="003A0B43">
          <w:rPr>
            <w:noProof/>
            <w:webHidden/>
          </w:rPr>
          <w:instrText xml:space="preserve"> PAGEREF _Toc47467743 \h </w:instrText>
        </w:r>
        <w:r w:rsidR="003A0B43">
          <w:rPr>
            <w:noProof/>
            <w:webHidden/>
          </w:rPr>
        </w:r>
        <w:r w:rsidR="003A0B43">
          <w:rPr>
            <w:noProof/>
            <w:webHidden/>
          </w:rPr>
          <w:fldChar w:fldCharType="separate"/>
        </w:r>
        <w:r w:rsidR="00D979B8">
          <w:rPr>
            <w:noProof/>
            <w:webHidden/>
          </w:rPr>
          <w:t>26</w:t>
        </w:r>
        <w:r w:rsidR="003A0B43">
          <w:rPr>
            <w:noProof/>
            <w:webHidden/>
          </w:rPr>
          <w:fldChar w:fldCharType="end"/>
        </w:r>
      </w:hyperlink>
    </w:p>
    <w:p w14:paraId="7F7FF49F" w14:textId="5668E123" w:rsidR="003A0B43" w:rsidRDefault="003A0B43">
      <w:pPr>
        <w:pStyle w:val="TableofFigures"/>
        <w:tabs>
          <w:tab w:val="right" w:leader="dot" w:pos="8630"/>
        </w:tabs>
        <w:rPr>
          <w:rFonts w:asciiTheme="minorHAnsi" w:eastAsiaTheme="minorEastAsia" w:hAnsiTheme="minorHAnsi"/>
          <w:noProof/>
          <w:sz w:val="22"/>
        </w:rPr>
      </w:pPr>
      <w:hyperlink w:anchor="_Toc47467744" w:history="1">
        <w:r w:rsidRPr="00907B3A">
          <w:rPr>
            <w:rStyle w:val="Hyperlink"/>
            <w:noProof/>
          </w:rPr>
          <w:t>Table 3.2. Annual total building energy demand, total annual GHI, solar collector area, and thermal energy storage size.</w:t>
        </w:r>
        <w:r>
          <w:rPr>
            <w:noProof/>
            <w:webHidden/>
          </w:rPr>
          <w:tab/>
        </w:r>
        <w:r>
          <w:rPr>
            <w:noProof/>
            <w:webHidden/>
          </w:rPr>
          <w:fldChar w:fldCharType="begin"/>
        </w:r>
        <w:r>
          <w:rPr>
            <w:noProof/>
            <w:webHidden/>
          </w:rPr>
          <w:instrText xml:space="preserve"> PAGEREF _Toc47467744 \h </w:instrText>
        </w:r>
        <w:r>
          <w:rPr>
            <w:noProof/>
            <w:webHidden/>
          </w:rPr>
        </w:r>
        <w:r>
          <w:rPr>
            <w:noProof/>
            <w:webHidden/>
          </w:rPr>
          <w:fldChar w:fldCharType="separate"/>
        </w:r>
        <w:r w:rsidR="00D979B8">
          <w:rPr>
            <w:noProof/>
            <w:webHidden/>
          </w:rPr>
          <w:t>38</w:t>
        </w:r>
        <w:r>
          <w:rPr>
            <w:noProof/>
            <w:webHidden/>
          </w:rPr>
          <w:fldChar w:fldCharType="end"/>
        </w:r>
      </w:hyperlink>
    </w:p>
    <w:p w14:paraId="6AD880A7" w14:textId="4766C6FD" w:rsidR="003A0B43" w:rsidRDefault="003A0B43">
      <w:pPr>
        <w:pStyle w:val="TableofFigures"/>
        <w:tabs>
          <w:tab w:val="right" w:leader="dot" w:pos="8630"/>
        </w:tabs>
        <w:rPr>
          <w:rFonts w:asciiTheme="minorHAnsi" w:eastAsiaTheme="minorEastAsia" w:hAnsiTheme="minorHAnsi"/>
          <w:noProof/>
          <w:sz w:val="22"/>
        </w:rPr>
      </w:pPr>
      <w:hyperlink w:anchor="_Toc47467745" w:history="1">
        <w:r w:rsidRPr="00907B3A">
          <w:rPr>
            <w:rStyle w:val="Hyperlink"/>
            <w:noProof/>
          </w:rPr>
          <w:t>Table 4.1 Utility rate for the candidate cities</w:t>
        </w:r>
        <w:r>
          <w:rPr>
            <w:noProof/>
            <w:webHidden/>
          </w:rPr>
          <w:tab/>
        </w:r>
        <w:r>
          <w:rPr>
            <w:noProof/>
            <w:webHidden/>
          </w:rPr>
          <w:fldChar w:fldCharType="begin"/>
        </w:r>
        <w:r>
          <w:rPr>
            <w:noProof/>
            <w:webHidden/>
          </w:rPr>
          <w:instrText xml:space="preserve"> PAGEREF _Toc47467745 \h </w:instrText>
        </w:r>
        <w:r>
          <w:rPr>
            <w:noProof/>
            <w:webHidden/>
          </w:rPr>
        </w:r>
        <w:r>
          <w:rPr>
            <w:noProof/>
            <w:webHidden/>
          </w:rPr>
          <w:fldChar w:fldCharType="separate"/>
        </w:r>
        <w:r w:rsidR="00D979B8">
          <w:rPr>
            <w:noProof/>
            <w:webHidden/>
          </w:rPr>
          <w:t>61</w:t>
        </w:r>
        <w:r>
          <w:rPr>
            <w:noProof/>
            <w:webHidden/>
          </w:rPr>
          <w:fldChar w:fldCharType="end"/>
        </w:r>
      </w:hyperlink>
    </w:p>
    <w:p w14:paraId="0ECC817B" w14:textId="2F520596" w:rsidR="003A0B43" w:rsidRDefault="003A0B43">
      <w:pPr>
        <w:pStyle w:val="TableofFigures"/>
        <w:tabs>
          <w:tab w:val="right" w:leader="dot" w:pos="8630"/>
        </w:tabs>
        <w:rPr>
          <w:rFonts w:asciiTheme="minorHAnsi" w:eastAsiaTheme="minorEastAsia" w:hAnsiTheme="minorHAnsi"/>
          <w:noProof/>
          <w:sz w:val="22"/>
        </w:rPr>
      </w:pPr>
      <w:hyperlink w:anchor="_Toc47467746" w:history="1">
        <w:r w:rsidRPr="00907B3A">
          <w:rPr>
            <w:rStyle w:val="Hyperlink"/>
            <w:noProof/>
          </w:rPr>
          <w:t>Table 4.2 The annual energy cost savings</w:t>
        </w:r>
        <w:r>
          <w:rPr>
            <w:noProof/>
            <w:webHidden/>
          </w:rPr>
          <w:tab/>
        </w:r>
        <w:r>
          <w:rPr>
            <w:noProof/>
            <w:webHidden/>
          </w:rPr>
          <w:fldChar w:fldCharType="begin"/>
        </w:r>
        <w:r>
          <w:rPr>
            <w:noProof/>
            <w:webHidden/>
          </w:rPr>
          <w:instrText xml:space="preserve"> PAGEREF _Toc47467746 \h </w:instrText>
        </w:r>
        <w:r>
          <w:rPr>
            <w:noProof/>
            <w:webHidden/>
          </w:rPr>
        </w:r>
        <w:r>
          <w:rPr>
            <w:noProof/>
            <w:webHidden/>
          </w:rPr>
          <w:fldChar w:fldCharType="separate"/>
        </w:r>
        <w:r w:rsidR="00D979B8">
          <w:rPr>
            <w:noProof/>
            <w:webHidden/>
          </w:rPr>
          <w:t>62</w:t>
        </w:r>
        <w:r>
          <w:rPr>
            <w:noProof/>
            <w:webHidden/>
          </w:rPr>
          <w:fldChar w:fldCharType="end"/>
        </w:r>
      </w:hyperlink>
    </w:p>
    <w:p w14:paraId="230D69F3" w14:textId="568FF412" w:rsidR="00F1374C" w:rsidRPr="0015600B" w:rsidRDefault="00F1374C" w:rsidP="001256AE">
      <w:pPr>
        <w:pStyle w:val="Heading2"/>
      </w:pPr>
      <w:r w:rsidRPr="0015600B">
        <w:fldChar w:fldCharType="end"/>
      </w:r>
      <w:bookmarkStart w:id="7" w:name="_Toc43877957"/>
      <w:bookmarkStart w:id="8" w:name="_Toc47467720"/>
      <w:r w:rsidR="00D66AC9" w:rsidRPr="0015600B">
        <w:t xml:space="preserve">List </w:t>
      </w:r>
      <w:r w:rsidR="00996866" w:rsidRPr="0015600B">
        <w:t>o</w:t>
      </w:r>
      <w:r w:rsidR="00851F71" w:rsidRPr="0015600B">
        <w:t xml:space="preserve">f </w:t>
      </w:r>
      <w:r w:rsidR="00D66AC9" w:rsidRPr="0015600B">
        <w:t>Figures</w:t>
      </w:r>
      <w:bookmarkEnd w:id="7"/>
      <w:bookmarkEnd w:id="8"/>
    </w:p>
    <w:p w14:paraId="468170EE" w14:textId="6E707BD0" w:rsidR="003A0B43" w:rsidRDefault="00F1374C">
      <w:pPr>
        <w:pStyle w:val="TableofFigures"/>
        <w:tabs>
          <w:tab w:val="right" w:leader="dot" w:pos="8630"/>
        </w:tabs>
        <w:rPr>
          <w:rFonts w:asciiTheme="minorHAnsi" w:eastAsiaTheme="minorEastAsia" w:hAnsiTheme="minorHAnsi"/>
          <w:noProof/>
          <w:sz w:val="22"/>
        </w:rPr>
      </w:pPr>
      <w:r w:rsidRPr="0015600B">
        <w:rPr>
          <w:szCs w:val="24"/>
        </w:rPr>
        <w:fldChar w:fldCharType="begin"/>
      </w:r>
      <w:r w:rsidRPr="0015600B">
        <w:rPr>
          <w:szCs w:val="24"/>
        </w:rPr>
        <w:instrText xml:space="preserve"> TOC \h \z \c "Figure" </w:instrText>
      </w:r>
      <w:r w:rsidRPr="0015600B">
        <w:rPr>
          <w:szCs w:val="24"/>
        </w:rPr>
        <w:fldChar w:fldCharType="separate"/>
      </w:r>
      <w:hyperlink w:anchor="_Toc47467750" w:history="1">
        <w:r w:rsidR="003A0B43" w:rsidRPr="00007318">
          <w:rPr>
            <w:rStyle w:val="Hyperlink"/>
            <w:noProof/>
          </w:rPr>
          <w:t>Figure 1.1. The view of the combined solar heating, cooling, and hot water with latent thermal energy storage (adopted from [1]).</w:t>
        </w:r>
        <w:r w:rsidR="003A0B43">
          <w:rPr>
            <w:noProof/>
            <w:webHidden/>
          </w:rPr>
          <w:tab/>
        </w:r>
        <w:r w:rsidR="003A0B43">
          <w:rPr>
            <w:noProof/>
            <w:webHidden/>
          </w:rPr>
          <w:fldChar w:fldCharType="begin"/>
        </w:r>
        <w:r w:rsidR="003A0B43">
          <w:rPr>
            <w:noProof/>
            <w:webHidden/>
          </w:rPr>
          <w:instrText xml:space="preserve"> PAGEREF _Toc47467750 \h </w:instrText>
        </w:r>
        <w:r w:rsidR="003A0B43">
          <w:rPr>
            <w:noProof/>
            <w:webHidden/>
          </w:rPr>
        </w:r>
        <w:r w:rsidR="003A0B43">
          <w:rPr>
            <w:noProof/>
            <w:webHidden/>
          </w:rPr>
          <w:fldChar w:fldCharType="separate"/>
        </w:r>
        <w:r w:rsidR="00D979B8">
          <w:rPr>
            <w:noProof/>
            <w:webHidden/>
          </w:rPr>
          <w:t>2</w:t>
        </w:r>
        <w:r w:rsidR="003A0B43">
          <w:rPr>
            <w:noProof/>
            <w:webHidden/>
          </w:rPr>
          <w:fldChar w:fldCharType="end"/>
        </w:r>
      </w:hyperlink>
    </w:p>
    <w:p w14:paraId="6ED62D54" w14:textId="0C787CD2" w:rsidR="003A0B43" w:rsidRDefault="003A0B43">
      <w:pPr>
        <w:pStyle w:val="TableofFigures"/>
        <w:tabs>
          <w:tab w:val="right" w:leader="dot" w:pos="8630"/>
        </w:tabs>
        <w:rPr>
          <w:rFonts w:asciiTheme="minorHAnsi" w:eastAsiaTheme="minorEastAsia" w:hAnsiTheme="minorHAnsi"/>
          <w:noProof/>
          <w:sz w:val="22"/>
        </w:rPr>
      </w:pPr>
      <w:hyperlink w:anchor="_Toc47467751" w:history="1">
        <w:r w:rsidRPr="00007318">
          <w:rPr>
            <w:rStyle w:val="Hyperlink"/>
            <w:noProof/>
          </w:rPr>
          <w:t>Figure 1.2. A schematic of an evacuated tube solar collector (adopted from  [2]).</w:t>
        </w:r>
        <w:r>
          <w:rPr>
            <w:noProof/>
            <w:webHidden/>
          </w:rPr>
          <w:tab/>
        </w:r>
        <w:r>
          <w:rPr>
            <w:noProof/>
            <w:webHidden/>
          </w:rPr>
          <w:fldChar w:fldCharType="begin"/>
        </w:r>
        <w:r>
          <w:rPr>
            <w:noProof/>
            <w:webHidden/>
          </w:rPr>
          <w:instrText xml:space="preserve"> PAGEREF _Toc47467751 \h </w:instrText>
        </w:r>
        <w:r>
          <w:rPr>
            <w:noProof/>
            <w:webHidden/>
          </w:rPr>
        </w:r>
        <w:r>
          <w:rPr>
            <w:noProof/>
            <w:webHidden/>
          </w:rPr>
          <w:fldChar w:fldCharType="separate"/>
        </w:r>
        <w:r w:rsidR="00D979B8">
          <w:rPr>
            <w:noProof/>
            <w:webHidden/>
          </w:rPr>
          <w:t>4</w:t>
        </w:r>
        <w:r>
          <w:rPr>
            <w:noProof/>
            <w:webHidden/>
          </w:rPr>
          <w:fldChar w:fldCharType="end"/>
        </w:r>
      </w:hyperlink>
    </w:p>
    <w:p w14:paraId="2995EBAC" w14:textId="48C342A3" w:rsidR="003A0B43" w:rsidRDefault="003A0B43">
      <w:pPr>
        <w:pStyle w:val="TableofFigures"/>
        <w:tabs>
          <w:tab w:val="right" w:leader="dot" w:pos="8630"/>
        </w:tabs>
        <w:rPr>
          <w:rFonts w:asciiTheme="minorHAnsi" w:eastAsiaTheme="minorEastAsia" w:hAnsiTheme="minorHAnsi"/>
          <w:noProof/>
          <w:sz w:val="22"/>
        </w:rPr>
      </w:pPr>
      <w:hyperlink w:anchor="_Toc47467752" w:history="1">
        <w:r w:rsidRPr="00007318">
          <w:rPr>
            <w:rStyle w:val="Hyperlink"/>
            <w:noProof/>
          </w:rPr>
          <w:t>Figure 1.3. Schematic of the LHTES system showing the condenser section of the input heat pipe, output heat pipes, and related heat exchangers (adopted from [1]).</w:t>
        </w:r>
        <w:r>
          <w:rPr>
            <w:noProof/>
            <w:webHidden/>
          </w:rPr>
          <w:tab/>
        </w:r>
        <w:r>
          <w:rPr>
            <w:noProof/>
            <w:webHidden/>
          </w:rPr>
          <w:fldChar w:fldCharType="begin"/>
        </w:r>
        <w:r>
          <w:rPr>
            <w:noProof/>
            <w:webHidden/>
          </w:rPr>
          <w:instrText xml:space="preserve"> PAGEREF _Toc47467752 \h </w:instrText>
        </w:r>
        <w:r>
          <w:rPr>
            <w:noProof/>
            <w:webHidden/>
          </w:rPr>
        </w:r>
        <w:r>
          <w:rPr>
            <w:noProof/>
            <w:webHidden/>
          </w:rPr>
          <w:fldChar w:fldCharType="separate"/>
        </w:r>
        <w:r w:rsidR="00D979B8">
          <w:rPr>
            <w:noProof/>
            <w:webHidden/>
          </w:rPr>
          <w:t>6</w:t>
        </w:r>
        <w:r>
          <w:rPr>
            <w:noProof/>
            <w:webHidden/>
          </w:rPr>
          <w:fldChar w:fldCharType="end"/>
        </w:r>
      </w:hyperlink>
    </w:p>
    <w:p w14:paraId="777EFE92" w14:textId="06914EBF" w:rsidR="003A0B43" w:rsidRDefault="003A0B43">
      <w:pPr>
        <w:pStyle w:val="TableofFigures"/>
        <w:tabs>
          <w:tab w:val="right" w:leader="dot" w:pos="8630"/>
        </w:tabs>
        <w:rPr>
          <w:rFonts w:asciiTheme="minorHAnsi" w:eastAsiaTheme="minorEastAsia" w:hAnsiTheme="minorHAnsi"/>
          <w:noProof/>
          <w:sz w:val="22"/>
        </w:rPr>
      </w:pPr>
      <w:hyperlink w:anchor="_Toc47467753" w:history="1">
        <w:r w:rsidRPr="00007318">
          <w:rPr>
            <w:rStyle w:val="Hyperlink"/>
            <w:noProof/>
          </w:rPr>
          <w:t>Figure 1.4. Hot water preparation loop in latent heat thermal energy storage system</w:t>
        </w:r>
        <w:r>
          <w:rPr>
            <w:noProof/>
            <w:webHidden/>
          </w:rPr>
          <w:tab/>
        </w:r>
        <w:r>
          <w:rPr>
            <w:noProof/>
            <w:webHidden/>
          </w:rPr>
          <w:fldChar w:fldCharType="begin"/>
        </w:r>
        <w:r>
          <w:rPr>
            <w:noProof/>
            <w:webHidden/>
          </w:rPr>
          <w:instrText xml:space="preserve"> PAGEREF _Toc47467753 \h </w:instrText>
        </w:r>
        <w:r>
          <w:rPr>
            <w:noProof/>
            <w:webHidden/>
          </w:rPr>
        </w:r>
        <w:r>
          <w:rPr>
            <w:noProof/>
            <w:webHidden/>
          </w:rPr>
          <w:fldChar w:fldCharType="separate"/>
        </w:r>
        <w:r w:rsidR="00D979B8">
          <w:rPr>
            <w:noProof/>
            <w:webHidden/>
          </w:rPr>
          <w:t>8</w:t>
        </w:r>
        <w:r>
          <w:rPr>
            <w:noProof/>
            <w:webHidden/>
          </w:rPr>
          <w:fldChar w:fldCharType="end"/>
        </w:r>
      </w:hyperlink>
    </w:p>
    <w:p w14:paraId="5DF9261E" w14:textId="3AD285ED" w:rsidR="003A0B43" w:rsidRDefault="003A0B43">
      <w:pPr>
        <w:pStyle w:val="TableofFigures"/>
        <w:tabs>
          <w:tab w:val="right" w:leader="dot" w:pos="8630"/>
        </w:tabs>
        <w:rPr>
          <w:rFonts w:asciiTheme="minorHAnsi" w:eastAsiaTheme="minorEastAsia" w:hAnsiTheme="minorHAnsi"/>
          <w:noProof/>
          <w:sz w:val="22"/>
        </w:rPr>
      </w:pPr>
      <w:hyperlink w:anchor="_Toc47467754" w:history="1">
        <w:r w:rsidRPr="00007318">
          <w:rPr>
            <w:rStyle w:val="Hyperlink"/>
            <w:noProof/>
          </w:rPr>
          <w:t>Figure 2.1. The U.S electricity nameplate capacity and generation. (The distributions of various categories of energy under renewable generations in the U.S) (adopted from [11]).</w:t>
        </w:r>
        <w:r>
          <w:rPr>
            <w:noProof/>
            <w:webHidden/>
          </w:rPr>
          <w:tab/>
        </w:r>
        <w:r>
          <w:rPr>
            <w:noProof/>
            <w:webHidden/>
          </w:rPr>
          <w:fldChar w:fldCharType="begin"/>
        </w:r>
        <w:r>
          <w:rPr>
            <w:noProof/>
            <w:webHidden/>
          </w:rPr>
          <w:instrText xml:space="preserve"> PAGEREF _Toc47467754 \h </w:instrText>
        </w:r>
        <w:r>
          <w:rPr>
            <w:noProof/>
            <w:webHidden/>
          </w:rPr>
        </w:r>
        <w:r>
          <w:rPr>
            <w:noProof/>
            <w:webHidden/>
          </w:rPr>
          <w:fldChar w:fldCharType="separate"/>
        </w:r>
        <w:r w:rsidR="00D979B8">
          <w:rPr>
            <w:noProof/>
            <w:webHidden/>
          </w:rPr>
          <w:t>11</w:t>
        </w:r>
        <w:r>
          <w:rPr>
            <w:noProof/>
            <w:webHidden/>
          </w:rPr>
          <w:fldChar w:fldCharType="end"/>
        </w:r>
      </w:hyperlink>
    </w:p>
    <w:p w14:paraId="3A382923" w14:textId="7DB05A04" w:rsidR="003A0B43" w:rsidRDefault="003A0B43">
      <w:pPr>
        <w:pStyle w:val="TableofFigures"/>
        <w:tabs>
          <w:tab w:val="right" w:leader="dot" w:pos="8630"/>
        </w:tabs>
        <w:rPr>
          <w:rFonts w:asciiTheme="minorHAnsi" w:eastAsiaTheme="minorEastAsia" w:hAnsiTheme="minorHAnsi"/>
          <w:noProof/>
          <w:sz w:val="22"/>
        </w:rPr>
      </w:pPr>
      <w:hyperlink w:anchor="_Toc47467755" w:history="1">
        <w:r w:rsidRPr="00007318">
          <w:rPr>
            <w:rStyle w:val="Hyperlink"/>
            <w:noProof/>
          </w:rPr>
          <w:t>Figure 3.1. (a) A cross-sectional view of the LHTES system (along the line A-A in Figure 1.3 embedded with the condenser sections of the output heat pipe and evaporator sections of the heat pipe, (b) unit cell including one full input heat pipe and an equivalent full output heat pipe, and (c) 1D cell equivalent to the unit cell shown in the middle (adopted from  [1]).</w:t>
        </w:r>
        <w:r>
          <w:rPr>
            <w:noProof/>
            <w:webHidden/>
          </w:rPr>
          <w:tab/>
        </w:r>
        <w:r>
          <w:rPr>
            <w:noProof/>
            <w:webHidden/>
          </w:rPr>
          <w:fldChar w:fldCharType="begin"/>
        </w:r>
        <w:r>
          <w:rPr>
            <w:noProof/>
            <w:webHidden/>
          </w:rPr>
          <w:instrText xml:space="preserve"> PAGEREF _Toc47467755 \h </w:instrText>
        </w:r>
        <w:r>
          <w:rPr>
            <w:noProof/>
            <w:webHidden/>
          </w:rPr>
        </w:r>
        <w:r>
          <w:rPr>
            <w:noProof/>
            <w:webHidden/>
          </w:rPr>
          <w:fldChar w:fldCharType="separate"/>
        </w:r>
        <w:r w:rsidR="00D979B8">
          <w:rPr>
            <w:noProof/>
            <w:webHidden/>
          </w:rPr>
          <w:t>24</w:t>
        </w:r>
        <w:r>
          <w:rPr>
            <w:noProof/>
            <w:webHidden/>
          </w:rPr>
          <w:fldChar w:fldCharType="end"/>
        </w:r>
      </w:hyperlink>
    </w:p>
    <w:p w14:paraId="178EEE32" w14:textId="791A5BC7" w:rsidR="003A0B43" w:rsidRDefault="003A0B43">
      <w:pPr>
        <w:pStyle w:val="TableofFigures"/>
        <w:tabs>
          <w:tab w:val="right" w:leader="dot" w:pos="8630"/>
        </w:tabs>
        <w:rPr>
          <w:rFonts w:asciiTheme="minorHAnsi" w:eastAsiaTheme="minorEastAsia" w:hAnsiTheme="minorHAnsi"/>
          <w:noProof/>
          <w:sz w:val="22"/>
        </w:rPr>
      </w:pPr>
      <w:hyperlink w:anchor="_Toc47467756" w:history="1">
        <w:r w:rsidRPr="00007318">
          <w:rPr>
            <w:rStyle w:val="Hyperlink"/>
            <w:noProof/>
          </w:rPr>
          <w:t>Figure 3.2. (a) Thermal resistance network for heat transfer analysis of the LHTES system and related heat exchangers, (b) definition of the element temperatures and interfacial temperatures between neighboring elements, (c) illustration of the temperature variations across elements (adopted from  [1]).</w:t>
        </w:r>
        <w:r>
          <w:rPr>
            <w:noProof/>
            <w:webHidden/>
          </w:rPr>
          <w:tab/>
        </w:r>
        <w:r>
          <w:rPr>
            <w:noProof/>
            <w:webHidden/>
          </w:rPr>
          <w:fldChar w:fldCharType="begin"/>
        </w:r>
        <w:r>
          <w:rPr>
            <w:noProof/>
            <w:webHidden/>
          </w:rPr>
          <w:instrText xml:space="preserve"> PAGEREF _Toc47467756 \h </w:instrText>
        </w:r>
        <w:r>
          <w:rPr>
            <w:noProof/>
            <w:webHidden/>
          </w:rPr>
        </w:r>
        <w:r>
          <w:rPr>
            <w:noProof/>
            <w:webHidden/>
          </w:rPr>
          <w:fldChar w:fldCharType="separate"/>
        </w:r>
        <w:r w:rsidR="00D979B8">
          <w:rPr>
            <w:noProof/>
            <w:webHidden/>
          </w:rPr>
          <w:t>25</w:t>
        </w:r>
        <w:r>
          <w:rPr>
            <w:noProof/>
            <w:webHidden/>
          </w:rPr>
          <w:fldChar w:fldCharType="end"/>
        </w:r>
      </w:hyperlink>
    </w:p>
    <w:p w14:paraId="6154BCC5" w14:textId="454490AD" w:rsidR="003A0B43" w:rsidRDefault="003A0B43">
      <w:pPr>
        <w:pStyle w:val="TableofFigures"/>
        <w:tabs>
          <w:tab w:val="right" w:leader="dot" w:pos="8630"/>
        </w:tabs>
        <w:rPr>
          <w:rFonts w:asciiTheme="minorHAnsi" w:eastAsiaTheme="minorEastAsia" w:hAnsiTheme="minorHAnsi"/>
          <w:noProof/>
          <w:sz w:val="22"/>
        </w:rPr>
      </w:pPr>
      <w:hyperlink w:anchor="_Toc47467757" w:history="1">
        <w:r w:rsidRPr="00007318">
          <w:rPr>
            <w:rStyle w:val="Hyperlink"/>
            <w:noProof/>
          </w:rPr>
          <w:t>Figure 3.3. Showing ASHRAE Climate Zones and marking selected cities (adopted from [60]).</w:t>
        </w:r>
        <w:r>
          <w:rPr>
            <w:noProof/>
            <w:webHidden/>
          </w:rPr>
          <w:tab/>
        </w:r>
        <w:r>
          <w:rPr>
            <w:noProof/>
            <w:webHidden/>
          </w:rPr>
          <w:fldChar w:fldCharType="begin"/>
        </w:r>
        <w:r>
          <w:rPr>
            <w:noProof/>
            <w:webHidden/>
          </w:rPr>
          <w:instrText xml:space="preserve"> PAGEREF _Toc47467757 \h </w:instrText>
        </w:r>
        <w:r>
          <w:rPr>
            <w:noProof/>
            <w:webHidden/>
          </w:rPr>
        </w:r>
        <w:r>
          <w:rPr>
            <w:noProof/>
            <w:webHidden/>
          </w:rPr>
          <w:fldChar w:fldCharType="separate"/>
        </w:r>
        <w:r w:rsidR="00D979B8">
          <w:rPr>
            <w:noProof/>
            <w:webHidden/>
          </w:rPr>
          <w:t>34</w:t>
        </w:r>
        <w:r>
          <w:rPr>
            <w:noProof/>
            <w:webHidden/>
          </w:rPr>
          <w:fldChar w:fldCharType="end"/>
        </w:r>
      </w:hyperlink>
    </w:p>
    <w:p w14:paraId="0ADAABC9" w14:textId="2ADA65B5" w:rsidR="003A0B43" w:rsidRDefault="003A0B43">
      <w:pPr>
        <w:pStyle w:val="TableofFigures"/>
        <w:tabs>
          <w:tab w:val="right" w:leader="dot" w:pos="8630"/>
        </w:tabs>
        <w:rPr>
          <w:rFonts w:asciiTheme="minorHAnsi" w:eastAsiaTheme="minorEastAsia" w:hAnsiTheme="minorHAnsi"/>
          <w:noProof/>
          <w:sz w:val="22"/>
        </w:rPr>
      </w:pPr>
      <w:hyperlink w:anchor="_Toc47467758" w:history="1">
        <w:r w:rsidRPr="00007318">
          <w:rPr>
            <w:rStyle w:val="Hyperlink"/>
            <w:noProof/>
          </w:rPr>
          <w:t>Figure 4.1. Time variation of the melt volume fraction and the temperature at which thermal energy is delivered to the load. (a) Jan 1</w:t>
        </w:r>
        <w:r w:rsidRPr="00007318">
          <w:rPr>
            <w:rStyle w:val="Hyperlink"/>
            <w:noProof/>
            <w:vertAlign w:val="superscript"/>
          </w:rPr>
          <w:t>st</w:t>
        </w:r>
        <w:r w:rsidRPr="00007318">
          <w:rPr>
            <w:rStyle w:val="Hyperlink"/>
            <w:noProof/>
          </w:rPr>
          <w:t>, (b)April 1</w:t>
        </w:r>
        <w:r w:rsidRPr="00007318">
          <w:rPr>
            <w:rStyle w:val="Hyperlink"/>
            <w:noProof/>
            <w:vertAlign w:val="superscript"/>
          </w:rPr>
          <w:t>st</w:t>
        </w:r>
        <w:r w:rsidRPr="00007318">
          <w:rPr>
            <w:rStyle w:val="Hyperlink"/>
            <w:noProof/>
          </w:rPr>
          <w:t xml:space="preserve"> (c) July 1</w:t>
        </w:r>
        <w:r w:rsidRPr="00007318">
          <w:rPr>
            <w:rStyle w:val="Hyperlink"/>
            <w:noProof/>
            <w:vertAlign w:val="superscript"/>
          </w:rPr>
          <w:t>st</w:t>
        </w:r>
        <w:r w:rsidRPr="00007318">
          <w:rPr>
            <w:rStyle w:val="Hyperlink"/>
            <w:noProof/>
          </w:rPr>
          <w:t xml:space="preserve"> and (d) October 1</w:t>
        </w:r>
        <w:r w:rsidRPr="00007318">
          <w:rPr>
            <w:rStyle w:val="Hyperlink"/>
            <w:noProof/>
            <w:vertAlign w:val="superscript"/>
          </w:rPr>
          <w:t>st</w:t>
        </w:r>
        <w:r w:rsidRPr="00007318">
          <w:rPr>
            <w:rStyle w:val="Hyperlink"/>
            <w:noProof/>
          </w:rPr>
          <w:t>.</w:t>
        </w:r>
        <w:r>
          <w:rPr>
            <w:noProof/>
            <w:webHidden/>
          </w:rPr>
          <w:tab/>
        </w:r>
        <w:r>
          <w:rPr>
            <w:noProof/>
            <w:webHidden/>
          </w:rPr>
          <w:fldChar w:fldCharType="begin"/>
        </w:r>
        <w:r>
          <w:rPr>
            <w:noProof/>
            <w:webHidden/>
          </w:rPr>
          <w:instrText xml:space="preserve"> PAGEREF _Toc47467758 \h </w:instrText>
        </w:r>
        <w:r>
          <w:rPr>
            <w:noProof/>
            <w:webHidden/>
          </w:rPr>
        </w:r>
        <w:r>
          <w:rPr>
            <w:noProof/>
            <w:webHidden/>
          </w:rPr>
          <w:fldChar w:fldCharType="separate"/>
        </w:r>
        <w:r w:rsidR="00D979B8">
          <w:rPr>
            <w:noProof/>
            <w:webHidden/>
          </w:rPr>
          <w:t>43</w:t>
        </w:r>
        <w:r>
          <w:rPr>
            <w:noProof/>
            <w:webHidden/>
          </w:rPr>
          <w:fldChar w:fldCharType="end"/>
        </w:r>
      </w:hyperlink>
    </w:p>
    <w:p w14:paraId="01FCE5D0" w14:textId="24A95AE5" w:rsidR="003A0B43" w:rsidRDefault="003A0B43">
      <w:pPr>
        <w:pStyle w:val="TableofFigures"/>
        <w:tabs>
          <w:tab w:val="right" w:leader="dot" w:pos="8630"/>
        </w:tabs>
        <w:rPr>
          <w:rFonts w:asciiTheme="minorHAnsi" w:eastAsiaTheme="minorEastAsia" w:hAnsiTheme="minorHAnsi"/>
          <w:noProof/>
          <w:sz w:val="22"/>
        </w:rPr>
      </w:pPr>
      <w:hyperlink w:anchor="_Toc47467759" w:history="1">
        <w:r w:rsidRPr="00007318">
          <w:rPr>
            <w:rStyle w:val="Hyperlink"/>
            <w:noProof/>
          </w:rPr>
          <w:t>Figure 4.2. End of month exergy efficiency of the latent heat thermal energy storage system in Los Angeles, CA.</w:t>
        </w:r>
        <w:r>
          <w:rPr>
            <w:noProof/>
            <w:webHidden/>
          </w:rPr>
          <w:tab/>
        </w:r>
        <w:r>
          <w:rPr>
            <w:noProof/>
            <w:webHidden/>
          </w:rPr>
          <w:fldChar w:fldCharType="begin"/>
        </w:r>
        <w:r>
          <w:rPr>
            <w:noProof/>
            <w:webHidden/>
          </w:rPr>
          <w:instrText xml:space="preserve"> PAGEREF _Toc47467759 \h </w:instrText>
        </w:r>
        <w:r>
          <w:rPr>
            <w:noProof/>
            <w:webHidden/>
          </w:rPr>
        </w:r>
        <w:r>
          <w:rPr>
            <w:noProof/>
            <w:webHidden/>
          </w:rPr>
          <w:fldChar w:fldCharType="separate"/>
        </w:r>
        <w:r w:rsidR="00D979B8">
          <w:rPr>
            <w:noProof/>
            <w:webHidden/>
          </w:rPr>
          <w:t>44</w:t>
        </w:r>
        <w:r>
          <w:rPr>
            <w:noProof/>
            <w:webHidden/>
          </w:rPr>
          <w:fldChar w:fldCharType="end"/>
        </w:r>
      </w:hyperlink>
    </w:p>
    <w:p w14:paraId="5E08FAFB" w14:textId="6C2B5091" w:rsidR="003A0B43" w:rsidRDefault="003A0B43">
      <w:pPr>
        <w:pStyle w:val="TableofFigures"/>
        <w:tabs>
          <w:tab w:val="right" w:leader="dot" w:pos="8630"/>
        </w:tabs>
        <w:rPr>
          <w:rFonts w:asciiTheme="minorHAnsi" w:eastAsiaTheme="minorEastAsia" w:hAnsiTheme="minorHAnsi"/>
          <w:noProof/>
          <w:sz w:val="22"/>
        </w:rPr>
      </w:pPr>
      <w:hyperlink w:anchor="_Toc47467760" w:history="1">
        <w:r w:rsidRPr="00007318">
          <w:rPr>
            <w:rStyle w:val="Hyperlink"/>
            <w:noProof/>
          </w:rPr>
          <w:t>Figure 4.3. Miami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_Toc47467760 \h </w:instrText>
        </w:r>
        <w:r>
          <w:rPr>
            <w:noProof/>
            <w:webHidden/>
          </w:rPr>
        </w:r>
        <w:r>
          <w:rPr>
            <w:noProof/>
            <w:webHidden/>
          </w:rPr>
          <w:fldChar w:fldCharType="separate"/>
        </w:r>
        <w:r w:rsidR="00D979B8">
          <w:rPr>
            <w:noProof/>
            <w:webHidden/>
          </w:rPr>
          <w:t>46</w:t>
        </w:r>
        <w:r>
          <w:rPr>
            <w:noProof/>
            <w:webHidden/>
          </w:rPr>
          <w:fldChar w:fldCharType="end"/>
        </w:r>
      </w:hyperlink>
    </w:p>
    <w:p w14:paraId="199165A6" w14:textId="345D83CD" w:rsidR="003A0B43" w:rsidRDefault="003A0B43">
      <w:pPr>
        <w:pStyle w:val="TableofFigures"/>
        <w:tabs>
          <w:tab w:val="right" w:leader="dot" w:pos="8630"/>
        </w:tabs>
        <w:rPr>
          <w:rFonts w:asciiTheme="minorHAnsi" w:eastAsiaTheme="minorEastAsia" w:hAnsiTheme="minorHAnsi"/>
          <w:noProof/>
          <w:sz w:val="22"/>
        </w:rPr>
      </w:pPr>
      <w:hyperlink w:anchor="_Toc47467761" w:history="1">
        <w:r w:rsidRPr="00007318">
          <w:rPr>
            <w:rStyle w:val="Hyperlink"/>
            <w:noProof/>
          </w:rPr>
          <w:t>Figure 4.4. Miami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_Toc47467761 \h </w:instrText>
        </w:r>
        <w:r>
          <w:rPr>
            <w:noProof/>
            <w:webHidden/>
          </w:rPr>
        </w:r>
        <w:r>
          <w:rPr>
            <w:noProof/>
            <w:webHidden/>
          </w:rPr>
          <w:fldChar w:fldCharType="separate"/>
        </w:r>
        <w:r w:rsidR="00D979B8">
          <w:rPr>
            <w:noProof/>
            <w:webHidden/>
          </w:rPr>
          <w:t>47</w:t>
        </w:r>
        <w:r>
          <w:rPr>
            <w:noProof/>
            <w:webHidden/>
          </w:rPr>
          <w:fldChar w:fldCharType="end"/>
        </w:r>
      </w:hyperlink>
    </w:p>
    <w:p w14:paraId="79F56273" w14:textId="52157DC4" w:rsidR="003A0B43" w:rsidRDefault="003A0B43">
      <w:pPr>
        <w:pStyle w:val="TableofFigures"/>
        <w:tabs>
          <w:tab w:val="right" w:leader="dot" w:pos="8630"/>
        </w:tabs>
        <w:rPr>
          <w:rFonts w:asciiTheme="minorHAnsi" w:eastAsiaTheme="minorEastAsia" w:hAnsiTheme="minorHAnsi"/>
          <w:noProof/>
          <w:sz w:val="22"/>
        </w:rPr>
      </w:pPr>
      <w:hyperlink w:anchor="_Toc47467762" w:history="1">
        <w:r w:rsidRPr="00007318">
          <w:rPr>
            <w:rStyle w:val="Hyperlink"/>
            <w:noProof/>
          </w:rPr>
          <w:t>Figure 4.5. Duluth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_Toc47467762 \h </w:instrText>
        </w:r>
        <w:r>
          <w:rPr>
            <w:noProof/>
            <w:webHidden/>
          </w:rPr>
        </w:r>
        <w:r>
          <w:rPr>
            <w:noProof/>
            <w:webHidden/>
          </w:rPr>
          <w:fldChar w:fldCharType="separate"/>
        </w:r>
        <w:r w:rsidR="00D979B8">
          <w:rPr>
            <w:noProof/>
            <w:webHidden/>
          </w:rPr>
          <w:t>49</w:t>
        </w:r>
        <w:r>
          <w:rPr>
            <w:noProof/>
            <w:webHidden/>
          </w:rPr>
          <w:fldChar w:fldCharType="end"/>
        </w:r>
      </w:hyperlink>
    </w:p>
    <w:p w14:paraId="55CECB1D" w14:textId="5070CF44" w:rsidR="003A0B43" w:rsidRDefault="003A0B43">
      <w:pPr>
        <w:pStyle w:val="TableofFigures"/>
        <w:tabs>
          <w:tab w:val="right" w:leader="dot" w:pos="8630"/>
        </w:tabs>
        <w:rPr>
          <w:rFonts w:asciiTheme="minorHAnsi" w:eastAsiaTheme="minorEastAsia" w:hAnsiTheme="minorHAnsi"/>
          <w:noProof/>
          <w:sz w:val="22"/>
        </w:rPr>
      </w:pPr>
      <w:hyperlink w:anchor="_Toc47467763" w:history="1">
        <w:r w:rsidRPr="00007318">
          <w:rPr>
            <w:rStyle w:val="Hyperlink"/>
            <w:noProof/>
          </w:rPr>
          <w:t>Figure 4.6. Duluth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_Toc47467763 \h </w:instrText>
        </w:r>
        <w:r>
          <w:rPr>
            <w:noProof/>
            <w:webHidden/>
          </w:rPr>
        </w:r>
        <w:r>
          <w:rPr>
            <w:noProof/>
            <w:webHidden/>
          </w:rPr>
          <w:fldChar w:fldCharType="separate"/>
        </w:r>
        <w:r w:rsidR="00D979B8">
          <w:rPr>
            <w:noProof/>
            <w:webHidden/>
          </w:rPr>
          <w:t>50</w:t>
        </w:r>
        <w:r>
          <w:rPr>
            <w:noProof/>
            <w:webHidden/>
          </w:rPr>
          <w:fldChar w:fldCharType="end"/>
        </w:r>
      </w:hyperlink>
    </w:p>
    <w:p w14:paraId="795302C1" w14:textId="41B4FFE8" w:rsidR="003A0B43" w:rsidRDefault="003A0B43">
      <w:pPr>
        <w:pStyle w:val="TableofFigures"/>
        <w:tabs>
          <w:tab w:val="right" w:leader="dot" w:pos="8630"/>
        </w:tabs>
        <w:rPr>
          <w:rFonts w:asciiTheme="minorHAnsi" w:eastAsiaTheme="minorEastAsia" w:hAnsiTheme="minorHAnsi"/>
          <w:noProof/>
          <w:sz w:val="22"/>
        </w:rPr>
      </w:pPr>
      <w:hyperlink w:anchor="_Toc47467764" w:history="1">
        <w:r w:rsidRPr="00007318">
          <w:rPr>
            <w:rStyle w:val="Hyperlink"/>
            <w:noProof/>
          </w:rPr>
          <w:t>Figure 4.7. Oklahoma City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_Toc47467764 \h </w:instrText>
        </w:r>
        <w:r>
          <w:rPr>
            <w:noProof/>
            <w:webHidden/>
          </w:rPr>
        </w:r>
        <w:r>
          <w:rPr>
            <w:noProof/>
            <w:webHidden/>
          </w:rPr>
          <w:fldChar w:fldCharType="separate"/>
        </w:r>
        <w:r w:rsidR="00D979B8">
          <w:rPr>
            <w:noProof/>
            <w:webHidden/>
          </w:rPr>
          <w:t>51</w:t>
        </w:r>
        <w:r>
          <w:rPr>
            <w:noProof/>
            <w:webHidden/>
          </w:rPr>
          <w:fldChar w:fldCharType="end"/>
        </w:r>
      </w:hyperlink>
    </w:p>
    <w:p w14:paraId="009DA38C" w14:textId="06FCFF3F" w:rsidR="003A0B43" w:rsidRDefault="003A0B43">
      <w:pPr>
        <w:pStyle w:val="TableofFigures"/>
        <w:tabs>
          <w:tab w:val="right" w:leader="dot" w:pos="8630"/>
        </w:tabs>
        <w:rPr>
          <w:rFonts w:asciiTheme="minorHAnsi" w:eastAsiaTheme="minorEastAsia" w:hAnsiTheme="minorHAnsi"/>
          <w:noProof/>
          <w:sz w:val="22"/>
        </w:rPr>
      </w:pPr>
      <w:hyperlink w:anchor="_Toc47467765" w:history="1">
        <w:r w:rsidRPr="00007318">
          <w:rPr>
            <w:rStyle w:val="Hyperlink"/>
            <w:noProof/>
          </w:rPr>
          <w:t>Figure 4.8. Oklahoma City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_Toc47467765 \h </w:instrText>
        </w:r>
        <w:r>
          <w:rPr>
            <w:noProof/>
            <w:webHidden/>
          </w:rPr>
        </w:r>
        <w:r>
          <w:rPr>
            <w:noProof/>
            <w:webHidden/>
          </w:rPr>
          <w:fldChar w:fldCharType="separate"/>
        </w:r>
        <w:r w:rsidR="00D979B8">
          <w:rPr>
            <w:noProof/>
            <w:webHidden/>
          </w:rPr>
          <w:t>52</w:t>
        </w:r>
        <w:r>
          <w:rPr>
            <w:noProof/>
            <w:webHidden/>
          </w:rPr>
          <w:fldChar w:fldCharType="end"/>
        </w:r>
      </w:hyperlink>
    </w:p>
    <w:p w14:paraId="3A97E808" w14:textId="403FD9A6" w:rsidR="003A0B43" w:rsidRDefault="003A0B43">
      <w:pPr>
        <w:pStyle w:val="TableofFigures"/>
        <w:tabs>
          <w:tab w:val="right" w:leader="dot" w:pos="8630"/>
        </w:tabs>
        <w:rPr>
          <w:rFonts w:asciiTheme="minorHAnsi" w:eastAsiaTheme="minorEastAsia" w:hAnsiTheme="minorHAnsi"/>
          <w:noProof/>
          <w:sz w:val="22"/>
        </w:rPr>
      </w:pPr>
      <w:hyperlink w:anchor="_Toc47467766" w:history="1">
        <w:r w:rsidRPr="00007318">
          <w:rPr>
            <w:rStyle w:val="Hyperlink"/>
            <w:noProof/>
          </w:rPr>
          <w:t>Figure 4.9. Albuquerque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_Toc47467766 \h </w:instrText>
        </w:r>
        <w:r>
          <w:rPr>
            <w:noProof/>
            <w:webHidden/>
          </w:rPr>
        </w:r>
        <w:r>
          <w:rPr>
            <w:noProof/>
            <w:webHidden/>
          </w:rPr>
          <w:fldChar w:fldCharType="separate"/>
        </w:r>
        <w:r w:rsidR="00D979B8">
          <w:rPr>
            <w:noProof/>
            <w:webHidden/>
          </w:rPr>
          <w:t>53</w:t>
        </w:r>
        <w:r>
          <w:rPr>
            <w:noProof/>
            <w:webHidden/>
          </w:rPr>
          <w:fldChar w:fldCharType="end"/>
        </w:r>
      </w:hyperlink>
    </w:p>
    <w:p w14:paraId="70AD6142" w14:textId="0D68D3BD" w:rsidR="003A0B43" w:rsidRDefault="003A0B43">
      <w:pPr>
        <w:pStyle w:val="TableofFigures"/>
        <w:tabs>
          <w:tab w:val="right" w:leader="dot" w:pos="8630"/>
        </w:tabs>
        <w:rPr>
          <w:rFonts w:asciiTheme="minorHAnsi" w:eastAsiaTheme="minorEastAsia" w:hAnsiTheme="minorHAnsi"/>
          <w:noProof/>
          <w:sz w:val="22"/>
        </w:rPr>
      </w:pPr>
      <w:hyperlink w:anchor="_Toc47467767" w:history="1">
        <w:r w:rsidRPr="00007318">
          <w:rPr>
            <w:rStyle w:val="Hyperlink"/>
            <w:noProof/>
          </w:rPr>
          <w:t>Figure 4.10. Albuquerque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_Toc47467767 \h </w:instrText>
        </w:r>
        <w:r>
          <w:rPr>
            <w:noProof/>
            <w:webHidden/>
          </w:rPr>
        </w:r>
        <w:r>
          <w:rPr>
            <w:noProof/>
            <w:webHidden/>
          </w:rPr>
          <w:fldChar w:fldCharType="separate"/>
        </w:r>
        <w:r w:rsidR="00D979B8">
          <w:rPr>
            <w:noProof/>
            <w:webHidden/>
          </w:rPr>
          <w:t>54</w:t>
        </w:r>
        <w:r>
          <w:rPr>
            <w:noProof/>
            <w:webHidden/>
          </w:rPr>
          <w:fldChar w:fldCharType="end"/>
        </w:r>
      </w:hyperlink>
    </w:p>
    <w:p w14:paraId="46790AED" w14:textId="67F1E962" w:rsidR="003A0B43" w:rsidRDefault="003A0B43">
      <w:pPr>
        <w:pStyle w:val="TableofFigures"/>
        <w:tabs>
          <w:tab w:val="right" w:leader="dot" w:pos="8630"/>
        </w:tabs>
        <w:rPr>
          <w:rFonts w:asciiTheme="minorHAnsi" w:eastAsiaTheme="minorEastAsia" w:hAnsiTheme="minorHAnsi"/>
          <w:noProof/>
          <w:sz w:val="22"/>
        </w:rPr>
      </w:pPr>
      <w:hyperlink w:anchor="_Toc47467768" w:history="1">
        <w:r w:rsidRPr="00007318">
          <w:rPr>
            <w:rStyle w:val="Hyperlink"/>
            <w:noProof/>
          </w:rPr>
          <w:t>Figure 4.11. Los Angeles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_Toc47467768 \h </w:instrText>
        </w:r>
        <w:r>
          <w:rPr>
            <w:noProof/>
            <w:webHidden/>
          </w:rPr>
        </w:r>
        <w:r>
          <w:rPr>
            <w:noProof/>
            <w:webHidden/>
          </w:rPr>
          <w:fldChar w:fldCharType="separate"/>
        </w:r>
        <w:r w:rsidR="00D979B8">
          <w:rPr>
            <w:noProof/>
            <w:webHidden/>
          </w:rPr>
          <w:t>55</w:t>
        </w:r>
        <w:r>
          <w:rPr>
            <w:noProof/>
            <w:webHidden/>
          </w:rPr>
          <w:fldChar w:fldCharType="end"/>
        </w:r>
      </w:hyperlink>
    </w:p>
    <w:p w14:paraId="2CA4F9F2" w14:textId="1D17F549" w:rsidR="003A0B43" w:rsidRDefault="003A0B43">
      <w:pPr>
        <w:pStyle w:val="TableofFigures"/>
        <w:tabs>
          <w:tab w:val="right" w:leader="dot" w:pos="8630"/>
        </w:tabs>
        <w:rPr>
          <w:rFonts w:asciiTheme="minorHAnsi" w:eastAsiaTheme="minorEastAsia" w:hAnsiTheme="minorHAnsi"/>
          <w:noProof/>
          <w:sz w:val="22"/>
        </w:rPr>
      </w:pPr>
      <w:hyperlink w:anchor="_Toc47467769" w:history="1">
        <w:r w:rsidRPr="00007318">
          <w:rPr>
            <w:rStyle w:val="Hyperlink"/>
            <w:noProof/>
          </w:rPr>
          <w:t>Figure 4.12. Los Angeles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_Toc47467769 \h </w:instrText>
        </w:r>
        <w:r>
          <w:rPr>
            <w:noProof/>
            <w:webHidden/>
          </w:rPr>
        </w:r>
        <w:r>
          <w:rPr>
            <w:noProof/>
            <w:webHidden/>
          </w:rPr>
          <w:fldChar w:fldCharType="separate"/>
        </w:r>
        <w:r w:rsidR="00D979B8">
          <w:rPr>
            <w:noProof/>
            <w:webHidden/>
          </w:rPr>
          <w:t>56</w:t>
        </w:r>
        <w:r>
          <w:rPr>
            <w:noProof/>
            <w:webHidden/>
          </w:rPr>
          <w:fldChar w:fldCharType="end"/>
        </w:r>
      </w:hyperlink>
    </w:p>
    <w:p w14:paraId="50157634" w14:textId="4B4EF268" w:rsidR="003A0B43" w:rsidRDefault="003A0B43">
      <w:pPr>
        <w:pStyle w:val="TableofFigures"/>
        <w:tabs>
          <w:tab w:val="right" w:leader="dot" w:pos="8630"/>
        </w:tabs>
        <w:rPr>
          <w:rFonts w:asciiTheme="minorHAnsi" w:eastAsiaTheme="minorEastAsia" w:hAnsiTheme="minorHAnsi"/>
          <w:noProof/>
          <w:sz w:val="22"/>
        </w:rPr>
      </w:pPr>
      <w:hyperlink w:anchor="_Toc47467770" w:history="1">
        <w:r w:rsidRPr="00007318">
          <w:rPr>
            <w:rStyle w:val="Hyperlink"/>
            <w:noProof/>
          </w:rPr>
          <w:t>Figure 4.13. Reno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_Toc47467770 \h </w:instrText>
        </w:r>
        <w:r>
          <w:rPr>
            <w:noProof/>
            <w:webHidden/>
          </w:rPr>
        </w:r>
        <w:r>
          <w:rPr>
            <w:noProof/>
            <w:webHidden/>
          </w:rPr>
          <w:fldChar w:fldCharType="separate"/>
        </w:r>
        <w:r w:rsidR="00D979B8">
          <w:rPr>
            <w:noProof/>
            <w:webHidden/>
          </w:rPr>
          <w:t>57</w:t>
        </w:r>
        <w:r>
          <w:rPr>
            <w:noProof/>
            <w:webHidden/>
          </w:rPr>
          <w:fldChar w:fldCharType="end"/>
        </w:r>
      </w:hyperlink>
    </w:p>
    <w:p w14:paraId="6264990E" w14:textId="25A72E47" w:rsidR="003A0B43" w:rsidRDefault="003A0B43">
      <w:pPr>
        <w:pStyle w:val="TableofFigures"/>
        <w:tabs>
          <w:tab w:val="right" w:leader="dot" w:pos="8630"/>
        </w:tabs>
        <w:rPr>
          <w:rFonts w:asciiTheme="minorHAnsi" w:eastAsiaTheme="minorEastAsia" w:hAnsiTheme="minorHAnsi"/>
          <w:noProof/>
          <w:sz w:val="22"/>
        </w:rPr>
      </w:pPr>
      <w:hyperlink w:anchor="_Toc47467771" w:history="1">
        <w:r w:rsidRPr="00007318">
          <w:rPr>
            <w:rStyle w:val="Hyperlink"/>
            <w:noProof/>
          </w:rPr>
          <w:t>Figure 4.14. Reno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_Toc47467771 \h </w:instrText>
        </w:r>
        <w:r>
          <w:rPr>
            <w:noProof/>
            <w:webHidden/>
          </w:rPr>
        </w:r>
        <w:r>
          <w:rPr>
            <w:noProof/>
            <w:webHidden/>
          </w:rPr>
          <w:fldChar w:fldCharType="separate"/>
        </w:r>
        <w:r w:rsidR="00D979B8">
          <w:rPr>
            <w:noProof/>
            <w:webHidden/>
          </w:rPr>
          <w:t>58</w:t>
        </w:r>
        <w:r>
          <w:rPr>
            <w:noProof/>
            <w:webHidden/>
          </w:rPr>
          <w:fldChar w:fldCharType="end"/>
        </w:r>
      </w:hyperlink>
    </w:p>
    <w:p w14:paraId="4850AB11" w14:textId="3DD3A6C4" w:rsidR="003A0B43" w:rsidRDefault="003A0B43">
      <w:pPr>
        <w:pStyle w:val="TableofFigures"/>
        <w:tabs>
          <w:tab w:val="right" w:leader="dot" w:pos="8630"/>
        </w:tabs>
        <w:rPr>
          <w:rFonts w:asciiTheme="minorHAnsi" w:eastAsiaTheme="minorEastAsia" w:hAnsiTheme="minorHAnsi"/>
          <w:noProof/>
          <w:sz w:val="22"/>
        </w:rPr>
      </w:pPr>
      <w:hyperlink w:anchor="_Toc47467772" w:history="1">
        <w:r w:rsidRPr="00007318">
          <w:rPr>
            <w:rStyle w:val="Hyperlink"/>
            <w:noProof/>
          </w:rPr>
          <w:t>Figure 4.15. Portland - Daily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_Toc47467772 \h </w:instrText>
        </w:r>
        <w:r>
          <w:rPr>
            <w:noProof/>
            <w:webHidden/>
          </w:rPr>
        </w:r>
        <w:r>
          <w:rPr>
            <w:noProof/>
            <w:webHidden/>
          </w:rPr>
          <w:fldChar w:fldCharType="separate"/>
        </w:r>
        <w:r w:rsidR="00D979B8">
          <w:rPr>
            <w:noProof/>
            <w:webHidden/>
          </w:rPr>
          <w:t>59</w:t>
        </w:r>
        <w:r>
          <w:rPr>
            <w:noProof/>
            <w:webHidden/>
          </w:rPr>
          <w:fldChar w:fldCharType="end"/>
        </w:r>
      </w:hyperlink>
    </w:p>
    <w:p w14:paraId="59BF841D" w14:textId="649C4268" w:rsidR="003A0B43" w:rsidRDefault="003A0B43">
      <w:pPr>
        <w:pStyle w:val="TableofFigures"/>
        <w:tabs>
          <w:tab w:val="right" w:leader="dot" w:pos="8630"/>
        </w:tabs>
        <w:rPr>
          <w:rFonts w:asciiTheme="minorHAnsi" w:eastAsiaTheme="minorEastAsia" w:hAnsiTheme="minorHAnsi"/>
          <w:noProof/>
          <w:sz w:val="22"/>
        </w:rPr>
      </w:pPr>
      <w:hyperlink w:anchor="_Toc47467773" w:history="1">
        <w:r w:rsidRPr="00007318">
          <w:rPr>
            <w:rStyle w:val="Hyperlink"/>
            <w:noProof/>
          </w:rPr>
          <w:t>Figure 4.16. Portland - Monthly energy demand for residential heating, cooling, and hot water during the typical meteorological year with and without a solar collector.</w:t>
        </w:r>
        <w:r>
          <w:rPr>
            <w:noProof/>
            <w:webHidden/>
          </w:rPr>
          <w:tab/>
        </w:r>
        <w:r>
          <w:rPr>
            <w:noProof/>
            <w:webHidden/>
          </w:rPr>
          <w:fldChar w:fldCharType="begin"/>
        </w:r>
        <w:r>
          <w:rPr>
            <w:noProof/>
            <w:webHidden/>
          </w:rPr>
          <w:instrText xml:space="preserve"> PAGEREF _Toc47467773 \h </w:instrText>
        </w:r>
        <w:r>
          <w:rPr>
            <w:noProof/>
            <w:webHidden/>
          </w:rPr>
        </w:r>
        <w:r>
          <w:rPr>
            <w:noProof/>
            <w:webHidden/>
          </w:rPr>
          <w:fldChar w:fldCharType="separate"/>
        </w:r>
        <w:r w:rsidR="00D979B8">
          <w:rPr>
            <w:noProof/>
            <w:webHidden/>
          </w:rPr>
          <w:t>60</w:t>
        </w:r>
        <w:r>
          <w:rPr>
            <w:noProof/>
            <w:webHidden/>
          </w:rPr>
          <w:fldChar w:fldCharType="end"/>
        </w:r>
      </w:hyperlink>
    </w:p>
    <w:p w14:paraId="233C3DAE" w14:textId="4ACF1738" w:rsidR="003A0B43" w:rsidRDefault="003A0B43">
      <w:pPr>
        <w:pStyle w:val="TableofFigures"/>
        <w:tabs>
          <w:tab w:val="right" w:leader="dot" w:pos="8630"/>
        </w:tabs>
        <w:rPr>
          <w:rFonts w:asciiTheme="minorHAnsi" w:eastAsiaTheme="minorEastAsia" w:hAnsiTheme="minorHAnsi"/>
          <w:noProof/>
          <w:sz w:val="22"/>
        </w:rPr>
      </w:pPr>
      <w:hyperlink w:anchor="_Toc47467774" w:history="1">
        <w:r w:rsidRPr="00007318">
          <w:rPr>
            <w:rStyle w:val="Hyperlink"/>
            <w:noProof/>
          </w:rPr>
          <w:t>Figure 4.17. Energy savings per collector size versus energy saving per PCM mass.</w:t>
        </w:r>
        <w:r>
          <w:rPr>
            <w:noProof/>
            <w:webHidden/>
          </w:rPr>
          <w:tab/>
        </w:r>
        <w:r>
          <w:rPr>
            <w:noProof/>
            <w:webHidden/>
          </w:rPr>
          <w:fldChar w:fldCharType="begin"/>
        </w:r>
        <w:r>
          <w:rPr>
            <w:noProof/>
            <w:webHidden/>
          </w:rPr>
          <w:instrText xml:space="preserve"> PAGEREF _Toc47467774 \h </w:instrText>
        </w:r>
        <w:r>
          <w:rPr>
            <w:noProof/>
            <w:webHidden/>
          </w:rPr>
        </w:r>
        <w:r>
          <w:rPr>
            <w:noProof/>
            <w:webHidden/>
          </w:rPr>
          <w:fldChar w:fldCharType="separate"/>
        </w:r>
        <w:r w:rsidR="00D979B8">
          <w:rPr>
            <w:noProof/>
            <w:webHidden/>
          </w:rPr>
          <w:t>65</w:t>
        </w:r>
        <w:r>
          <w:rPr>
            <w:noProof/>
            <w:webHidden/>
          </w:rPr>
          <w:fldChar w:fldCharType="end"/>
        </w:r>
      </w:hyperlink>
    </w:p>
    <w:p w14:paraId="5916FA53" w14:textId="65289400" w:rsidR="003A0B43" w:rsidRDefault="003A0B43">
      <w:pPr>
        <w:pStyle w:val="TableofFigures"/>
        <w:tabs>
          <w:tab w:val="right" w:leader="dot" w:pos="8630"/>
        </w:tabs>
        <w:rPr>
          <w:rFonts w:asciiTheme="minorHAnsi" w:eastAsiaTheme="minorEastAsia" w:hAnsiTheme="minorHAnsi"/>
          <w:noProof/>
          <w:sz w:val="22"/>
        </w:rPr>
      </w:pPr>
      <w:hyperlink w:anchor="_Toc47467775" w:history="1">
        <w:r w:rsidRPr="00007318">
          <w:rPr>
            <w:rStyle w:val="Hyperlink"/>
            <w:noProof/>
          </w:rPr>
          <w:t>Figure 4.18. Daily total building energy and the absorbed solar energy (1) Duluth, (2) Oklahoma City, and (3) Los Angeles</w:t>
        </w:r>
        <w:r>
          <w:rPr>
            <w:noProof/>
            <w:webHidden/>
          </w:rPr>
          <w:tab/>
        </w:r>
        <w:r>
          <w:rPr>
            <w:noProof/>
            <w:webHidden/>
          </w:rPr>
          <w:fldChar w:fldCharType="begin"/>
        </w:r>
        <w:r>
          <w:rPr>
            <w:noProof/>
            <w:webHidden/>
          </w:rPr>
          <w:instrText xml:space="preserve"> PAGEREF _Toc47467775 \h </w:instrText>
        </w:r>
        <w:r>
          <w:rPr>
            <w:noProof/>
            <w:webHidden/>
          </w:rPr>
        </w:r>
        <w:r>
          <w:rPr>
            <w:noProof/>
            <w:webHidden/>
          </w:rPr>
          <w:fldChar w:fldCharType="separate"/>
        </w:r>
        <w:r w:rsidR="00D979B8">
          <w:rPr>
            <w:noProof/>
            <w:webHidden/>
          </w:rPr>
          <w:t>67</w:t>
        </w:r>
        <w:r>
          <w:rPr>
            <w:noProof/>
            <w:webHidden/>
          </w:rPr>
          <w:fldChar w:fldCharType="end"/>
        </w:r>
      </w:hyperlink>
    </w:p>
    <w:p w14:paraId="7B6592A9" w14:textId="618E323E" w:rsidR="004F2C5B" w:rsidRPr="0015600B" w:rsidRDefault="00F1374C" w:rsidP="00F1374C">
      <w:pPr>
        <w:pStyle w:val="TableofFigures"/>
        <w:tabs>
          <w:tab w:val="right" w:leader="dot" w:pos="8630"/>
        </w:tabs>
        <w:rPr>
          <w:rFonts w:asciiTheme="minorHAnsi" w:eastAsiaTheme="minorEastAsia" w:hAnsiTheme="minorHAnsi"/>
          <w:noProof/>
          <w:sz w:val="22"/>
        </w:rPr>
      </w:pPr>
      <w:r w:rsidRPr="0015600B">
        <w:rPr>
          <w:szCs w:val="24"/>
        </w:rPr>
        <w:fldChar w:fldCharType="end"/>
      </w:r>
      <w:r w:rsidR="004F2C5B" w:rsidRPr="0015600B">
        <w:rPr>
          <w:szCs w:val="24"/>
        </w:rPr>
        <w:br w:type="page"/>
      </w:r>
    </w:p>
    <w:p w14:paraId="6A58E408" w14:textId="2970E76D" w:rsidR="00F1329F" w:rsidRPr="0015600B" w:rsidRDefault="009C47B0" w:rsidP="001256AE">
      <w:pPr>
        <w:pStyle w:val="Heading2"/>
        <w:pBdr>
          <w:bottom w:val="single" w:sz="4" w:space="1" w:color="auto"/>
        </w:pBdr>
      </w:pPr>
      <w:bookmarkStart w:id="9" w:name="_Toc43877958"/>
      <w:bookmarkStart w:id="10" w:name="_Toc47467721"/>
      <w:r w:rsidRPr="0015600B">
        <w:lastRenderedPageBreak/>
        <w:t xml:space="preserve">Definition of the </w:t>
      </w:r>
      <w:r w:rsidR="004F2C5B" w:rsidRPr="0015600B">
        <w:t>T</w:t>
      </w:r>
      <w:r w:rsidRPr="0015600B">
        <w:t>erms</w:t>
      </w:r>
      <w:bookmarkEnd w:id="9"/>
      <w:bookmarkEnd w:id="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7"/>
        <w:gridCol w:w="6923"/>
      </w:tblGrid>
      <w:tr w:rsidR="00C81E93" w:rsidRPr="00F04270" w14:paraId="791DD62E" w14:textId="77777777" w:rsidTr="00561FBE">
        <w:tc>
          <w:tcPr>
            <w:tcW w:w="1717" w:type="dxa"/>
          </w:tcPr>
          <w:p w14:paraId="6F30E769" w14:textId="5D3B5367" w:rsidR="00C81E93" w:rsidRPr="00F060E7" w:rsidRDefault="00421527" w:rsidP="00AE3273">
            <w:pPr>
              <w:spacing w:afterLines="60" w:after="144" w:line="300" w:lineRule="auto"/>
              <w:jc w:val="center"/>
              <w:rPr>
                <w:szCs w:val="24"/>
              </w:rPr>
            </w:pPr>
            <m:oMathPara>
              <m:oMath>
                <m:r>
                  <w:rPr>
                    <w:rFonts w:ascii="Cambria Math" w:hAnsi="Cambria Math"/>
                    <w:szCs w:val="24"/>
                  </w:rPr>
                  <m:t>Q</m:t>
                </m:r>
              </m:oMath>
            </m:oMathPara>
          </w:p>
        </w:tc>
        <w:tc>
          <w:tcPr>
            <w:tcW w:w="6923" w:type="dxa"/>
          </w:tcPr>
          <w:p w14:paraId="422AA58C" w14:textId="2FA9206A" w:rsidR="00C81E93" w:rsidRPr="00F04270" w:rsidRDefault="00F04270" w:rsidP="00F04270">
            <w:pPr>
              <w:spacing w:afterLines="60" w:after="144" w:line="300" w:lineRule="auto"/>
              <w:ind w:firstLine="0"/>
              <w:rPr>
                <w:szCs w:val="24"/>
              </w:rPr>
            </w:pPr>
            <w:r w:rsidRPr="00F04270">
              <w:rPr>
                <w:szCs w:val="24"/>
              </w:rPr>
              <w:t>energy (k</w:t>
            </w:r>
            <w:r>
              <w:rPr>
                <w:szCs w:val="24"/>
              </w:rPr>
              <w:t>W</w:t>
            </w:r>
            <w:r w:rsidRPr="00F04270">
              <w:rPr>
                <w:szCs w:val="24"/>
              </w:rPr>
              <w:t>h)</w:t>
            </w:r>
          </w:p>
        </w:tc>
      </w:tr>
      <w:tr w:rsidR="00AE58F4" w:rsidRPr="00F04270" w14:paraId="22599C73" w14:textId="77777777" w:rsidTr="00561FBE">
        <w:tc>
          <w:tcPr>
            <w:tcW w:w="1717" w:type="dxa"/>
          </w:tcPr>
          <w:p w14:paraId="08AE9940" w14:textId="77777777" w:rsidR="00AE58F4" w:rsidRPr="00F060E7" w:rsidRDefault="00AE58F4" w:rsidP="00AE3273">
            <w:pPr>
              <w:spacing w:afterLines="60" w:after="144" w:line="300" w:lineRule="auto"/>
              <w:jc w:val="center"/>
              <w:rPr>
                <w:rFonts w:eastAsia="DengXian Light" w:cs="Times New Roman"/>
                <w:szCs w:val="24"/>
              </w:rPr>
            </w:pPr>
            <m:oMathPara>
              <m:oMath>
                <m:r>
                  <w:rPr>
                    <w:rFonts w:ascii="Cambria Math" w:hAnsi="Cambria Math"/>
                    <w:szCs w:val="24"/>
                  </w:rPr>
                  <m:t>load</m:t>
                </m:r>
              </m:oMath>
            </m:oMathPara>
          </w:p>
        </w:tc>
        <w:tc>
          <w:tcPr>
            <w:tcW w:w="6923" w:type="dxa"/>
          </w:tcPr>
          <w:p w14:paraId="2D39ED84" w14:textId="4D69071D" w:rsidR="00AE58F4" w:rsidRPr="00F04270" w:rsidRDefault="00F04270" w:rsidP="00F04270">
            <w:pPr>
              <w:spacing w:afterLines="60" w:after="144" w:line="300" w:lineRule="auto"/>
              <w:ind w:firstLine="0"/>
              <w:rPr>
                <w:szCs w:val="24"/>
              </w:rPr>
            </w:pPr>
            <w:r w:rsidRPr="00F04270">
              <w:rPr>
                <w:szCs w:val="24"/>
              </w:rPr>
              <w:t>heating, cooling, and hot water loads (k</w:t>
            </w:r>
            <w:r>
              <w:rPr>
                <w:szCs w:val="24"/>
              </w:rPr>
              <w:t>W</w:t>
            </w:r>
            <w:r w:rsidRPr="00F04270">
              <w:rPr>
                <w:szCs w:val="24"/>
              </w:rPr>
              <w:t>h)</w:t>
            </w:r>
          </w:p>
        </w:tc>
      </w:tr>
      <w:tr w:rsidR="00C81E93" w:rsidRPr="00F04270" w14:paraId="5D729771" w14:textId="77777777" w:rsidTr="00561FBE">
        <w:tc>
          <w:tcPr>
            <w:tcW w:w="1717" w:type="dxa"/>
          </w:tcPr>
          <w:p w14:paraId="62D3A3CB" w14:textId="77777777" w:rsidR="00C81E93" w:rsidRPr="00F060E7" w:rsidRDefault="003A0B43" w:rsidP="00AE3273">
            <w:pPr>
              <w:spacing w:afterLines="60" w:after="144" w:line="300" w:lineRule="auto"/>
              <w:jc w:val="center"/>
              <w:rPr>
                <w:szCs w:val="24"/>
              </w:rPr>
            </w:pPr>
            <m:oMathPara>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collector</m:t>
                    </m:r>
                  </m:sub>
                </m:sSub>
              </m:oMath>
            </m:oMathPara>
          </w:p>
        </w:tc>
        <w:tc>
          <w:tcPr>
            <w:tcW w:w="6923" w:type="dxa"/>
          </w:tcPr>
          <w:p w14:paraId="6C3F8F8A" w14:textId="0EFFD014" w:rsidR="00C81E93" w:rsidRPr="00F04270" w:rsidRDefault="00F04270" w:rsidP="00F04270">
            <w:pPr>
              <w:spacing w:afterLines="60" w:after="144" w:line="300" w:lineRule="auto"/>
              <w:ind w:firstLine="0"/>
              <w:rPr>
                <w:szCs w:val="24"/>
              </w:rPr>
            </w:pPr>
            <w:r w:rsidRPr="00F04270">
              <w:rPr>
                <w:szCs w:val="24"/>
              </w:rPr>
              <w:t>collector surface area (m</w:t>
            </w:r>
            <w:r w:rsidRPr="00F04270">
              <w:rPr>
                <w:szCs w:val="24"/>
                <w:vertAlign w:val="superscript"/>
              </w:rPr>
              <w:t>2</w:t>
            </w:r>
            <w:r w:rsidRPr="00F04270">
              <w:rPr>
                <w:szCs w:val="24"/>
              </w:rPr>
              <w:t>)</w:t>
            </w:r>
          </w:p>
        </w:tc>
      </w:tr>
      <w:tr w:rsidR="00C81E93" w:rsidRPr="00F04270" w14:paraId="7444A167" w14:textId="77777777" w:rsidTr="00561FBE">
        <w:tc>
          <w:tcPr>
            <w:tcW w:w="1717" w:type="dxa"/>
          </w:tcPr>
          <w:p w14:paraId="1028C310" w14:textId="77777777" w:rsidR="00C81E93" w:rsidRPr="00F060E7" w:rsidRDefault="00421527" w:rsidP="00AE3273">
            <w:pPr>
              <w:spacing w:afterLines="60" w:after="144" w:line="300" w:lineRule="auto"/>
              <w:jc w:val="center"/>
              <w:rPr>
                <w:szCs w:val="24"/>
              </w:rPr>
            </w:pPr>
            <m:oMathPara>
              <m:oMath>
                <m:r>
                  <w:rPr>
                    <w:rFonts w:ascii="Cambria Math" w:eastAsia="Calibri" w:hAnsi="Cambria Math" w:cs="Times New Roman"/>
                    <w:szCs w:val="24"/>
                  </w:rPr>
                  <m:t>COP</m:t>
                </m:r>
              </m:oMath>
            </m:oMathPara>
          </w:p>
        </w:tc>
        <w:tc>
          <w:tcPr>
            <w:tcW w:w="6923" w:type="dxa"/>
          </w:tcPr>
          <w:p w14:paraId="06CFFDB4" w14:textId="1A7F047F" w:rsidR="00C81E93" w:rsidRPr="00F04270" w:rsidRDefault="00F04270" w:rsidP="00F04270">
            <w:pPr>
              <w:spacing w:afterLines="60" w:after="144" w:line="300" w:lineRule="auto"/>
              <w:ind w:firstLine="0"/>
              <w:rPr>
                <w:szCs w:val="24"/>
              </w:rPr>
            </w:pPr>
            <w:r w:rsidRPr="00F04270">
              <w:rPr>
                <w:szCs w:val="24"/>
              </w:rPr>
              <w:t>coefficient of performance</w:t>
            </w:r>
          </w:p>
        </w:tc>
      </w:tr>
      <w:tr w:rsidR="00C81E93" w:rsidRPr="00F04270" w14:paraId="1A7BD82A" w14:textId="77777777" w:rsidTr="00561FBE">
        <w:tc>
          <w:tcPr>
            <w:tcW w:w="1717" w:type="dxa"/>
            <w:vAlign w:val="center"/>
          </w:tcPr>
          <w:p w14:paraId="07F0E368" w14:textId="77777777" w:rsidR="00C81E93" w:rsidRPr="00F060E7" w:rsidRDefault="00C81E93" w:rsidP="00AE3273">
            <w:pPr>
              <w:spacing w:afterLines="60" w:after="144" w:line="300" w:lineRule="auto"/>
              <w:ind w:firstLine="0"/>
              <w:jc w:val="center"/>
              <w:rPr>
                <w:szCs w:val="24"/>
              </w:rPr>
            </w:pPr>
            <w:r w:rsidRPr="00F060E7">
              <w:rPr>
                <w:szCs w:val="24"/>
              </w:rPr>
              <w:t>GHI</w:t>
            </w:r>
          </w:p>
        </w:tc>
        <w:tc>
          <w:tcPr>
            <w:tcW w:w="6923" w:type="dxa"/>
          </w:tcPr>
          <w:p w14:paraId="3F50D157" w14:textId="3C7CFBCD" w:rsidR="00C81E93" w:rsidRPr="00F04270" w:rsidRDefault="00F04270" w:rsidP="00F04270">
            <w:pPr>
              <w:spacing w:afterLines="60" w:after="144" w:line="300" w:lineRule="auto"/>
              <w:ind w:firstLine="0"/>
              <w:rPr>
                <w:szCs w:val="24"/>
              </w:rPr>
            </w:pPr>
            <w:r w:rsidRPr="00F04270">
              <w:rPr>
                <w:szCs w:val="24"/>
              </w:rPr>
              <w:t>global horizontal index</w:t>
            </w:r>
          </w:p>
        </w:tc>
      </w:tr>
      <w:tr w:rsidR="00C81E93" w:rsidRPr="00F04270" w14:paraId="0F1BA2B7" w14:textId="77777777" w:rsidTr="00561FBE">
        <w:tc>
          <w:tcPr>
            <w:tcW w:w="1717" w:type="dxa"/>
            <w:vAlign w:val="center"/>
          </w:tcPr>
          <w:p w14:paraId="1C2089C5" w14:textId="77777777" w:rsidR="00C81E93" w:rsidRPr="00F060E7" w:rsidRDefault="00C81E93" w:rsidP="00AE3273">
            <w:pPr>
              <w:spacing w:afterLines="60" w:after="144" w:line="300" w:lineRule="auto"/>
              <w:ind w:firstLine="0"/>
              <w:jc w:val="center"/>
              <w:rPr>
                <w:szCs w:val="24"/>
              </w:rPr>
            </w:pPr>
            <w:r w:rsidRPr="00F060E7">
              <w:rPr>
                <w:szCs w:val="24"/>
              </w:rPr>
              <w:t>HP</w:t>
            </w:r>
          </w:p>
        </w:tc>
        <w:tc>
          <w:tcPr>
            <w:tcW w:w="6923" w:type="dxa"/>
          </w:tcPr>
          <w:p w14:paraId="2751FB1F" w14:textId="78BE5A9B" w:rsidR="00C81E93" w:rsidRPr="00F04270" w:rsidRDefault="00F04270" w:rsidP="00F04270">
            <w:pPr>
              <w:spacing w:afterLines="60" w:after="144" w:line="300" w:lineRule="auto"/>
              <w:ind w:firstLine="0"/>
              <w:rPr>
                <w:szCs w:val="24"/>
              </w:rPr>
            </w:pPr>
            <w:r w:rsidRPr="00F04270">
              <w:rPr>
                <w:szCs w:val="24"/>
              </w:rPr>
              <w:t>heat pipe</w:t>
            </w:r>
          </w:p>
        </w:tc>
      </w:tr>
      <w:tr w:rsidR="00C81E93" w:rsidRPr="00F04270" w14:paraId="03DA534B" w14:textId="77777777" w:rsidTr="00561FBE">
        <w:tc>
          <w:tcPr>
            <w:tcW w:w="1717" w:type="dxa"/>
            <w:vAlign w:val="center"/>
          </w:tcPr>
          <w:p w14:paraId="323E00C7" w14:textId="77777777" w:rsidR="00C81E93" w:rsidRPr="00F060E7" w:rsidRDefault="00C81E93" w:rsidP="00AE3273">
            <w:pPr>
              <w:spacing w:afterLines="60" w:after="144" w:line="300" w:lineRule="auto"/>
              <w:ind w:firstLine="0"/>
              <w:jc w:val="center"/>
              <w:rPr>
                <w:szCs w:val="24"/>
              </w:rPr>
            </w:pPr>
            <w:r w:rsidRPr="00F060E7">
              <w:rPr>
                <w:szCs w:val="24"/>
              </w:rPr>
              <w:t>HVAC</w:t>
            </w:r>
          </w:p>
        </w:tc>
        <w:tc>
          <w:tcPr>
            <w:tcW w:w="6923" w:type="dxa"/>
          </w:tcPr>
          <w:p w14:paraId="0FB091E9" w14:textId="50037AFE" w:rsidR="00C81E93" w:rsidRPr="00F04270" w:rsidRDefault="00F04270" w:rsidP="00F04270">
            <w:pPr>
              <w:spacing w:afterLines="60" w:after="144" w:line="300" w:lineRule="auto"/>
              <w:ind w:firstLine="0"/>
              <w:rPr>
                <w:szCs w:val="24"/>
              </w:rPr>
            </w:pPr>
            <w:r w:rsidRPr="00F04270">
              <w:rPr>
                <w:szCs w:val="24"/>
              </w:rPr>
              <w:t>heating, cooling, and air conditioning</w:t>
            </w:r>
          </w:p>
        </w:tc>
      </w:tr>
      <w:tr w:rsidR="00C81E93" w:rsidRPr="00F04270" w14:paraId="3A2C114F" w14:textId="77777777" w:rsidTr="00561FBE">
        <w:tc>
          <w:tcPr>
            <w:tcW w:w="1717" w:type="dxa"/>
            <w:vAlign w:val="center"/>
          </w:tcPr>
          <w:p w14:paraId="69BA07D6" w14:textId="77777777" w:rsidR="00C81E93" w:rsidRPr="00F060E7" w:rsidRDefault="00C81E93" w:rsidP="00AE3273">
            <w:pPr>
              <w:spacing w:afterLines="60" w:after="144" w:line="300" w:lineRule="auto"/>
              <w:ind w:firstLine="0"/>
              <w:jc w:val="center"/>
              <w:rPr>
                <w:szCs w:val="24"/>
              </w:rPr>
            </w:pPr>
            <w:r w:rsidRPr="00F060E7">
              <w:rPr>
                <w:szCs w:val="24"/>
              </w:rPr>
              <w:t>LHTES</w:t>
            </w:r>
          </w:p>
        </w:tc>
        <w:tc>
          <w:tcPr>
            <w:tcW w:w="6923" w:type="dxa"/>
          </w:tcPr>
          <w:p w14:paraId="20CB814C" w14:textId="1542B98D" w:rsidR="00C81E93" w:rsidRPr="00F04270" w:rsidRDefault="00F04270" w:rsidP="00F04270">
            <w:pPr>
              <w:spacing w:afterLines="60" w:after="144" w:line="300" w:lineRule="auto"/>
              <w:ind w:firstLine="0"/>
              <w:rPr>
                <w:szCs w:val="24"/>
              </w:rPr>
            </w:pPr>
            <w:r w:rsidRPr="00F04270">
              <w:rPr>
                <w:szCs w:val="24"/>
              </w:rPr>
              <w:t>latent heat thermal energy storage</w:t>
            </w:r>
          </w:p>
        </w:tc>
      </w:tr>
      <w:tr w:rsidR="00787853" w:rsidRPr="00F04270" w14:paraId="02BC5C72" w14:textId="77777777" w:rsidTr="00561FBE">
        <w:tc>
          <w:tcPr>
            <w:tcW w:w="1717" w:type="dxa"/>
            <w:vAlign w:val="center"/>
          </w:tcPr>
          <w:p w14:paraId="1D31DDF8" w14:textId="6A002BCC" w:rsidR="00787853" w:rsidRPr="00F060E7" w:rsidRDefault="00787853" w:rsidP="00AE3273">
            <w:pPr>
              <w:spacing w:afterLines="60" w:after="144" w:line="300" w:lineRule="auto"/>
              <w:ind w:firstLine="0"/>
              <w:jc w:val="center"/>
              <w:rPr>
                <w:szCs w:val="24"/>
              </w:rPr>
            </w:pPr>
            <w:r w:rsidRPr="00F060E7">
              <w:rPr>
                <w:szCs w:val="24"/>
              </w:rPr>
              <w:t>HX</w:t>
            </w:r>
          </w:p>
        </w:tc>
        <w:tc>
          <w:tcPr>
            <w:tcW w:w="6923" w:type="dxa"/>
          </w:tcPr>
          <w:p w14:paraId="1D1D290B" w14:textId="1A8432C6" w:rsidR="00787853" w:rsidRPr="00F04270" w:rsidRDefault="00787853" w:rsidP="00F04270">
            <w:pPr>
              <w:spacing w:afterLines="60" w:after="144" w:line="300" w:lineRule="auto"/>
              <w:ind w:firstLine="0"/>
              <w:rPr>
                <w:szCs w:val="24"/>
              </w:rPr>
            </w:pPr>
            <w:r>
              <w:rPr>
                <w:szCs w:val="24"/>
              </w:rPr>
              <w:t>heat exchanger</w:t>
            </w:r>
          </w:p>
        </w:tc>
      </w:tr>
      <w:tr w:rsidR="00C81E93" w:rsidRPr="00F04270" w14:paraId="0C1E5F1D" w14:textId="77777777" w:rsidTr="00561FBE">
        <w:tc>
          <w:tcPr>
            <w:tcW w:w="1717" w:type="dxa"/>
            <w:vAlign w:val="center"/>
          </w:tcPr>
          <w:p w14:paraId="47A0CF3A" w14:textId="77777777" w:rsidR="00C81E93" w:rsidRPr="00F060E7" w:rsidRDefault="00C81E93" w:rsidP="00AE3273">
            <w:pPr>
              <w:spacing w:afterLines="60" w:after="144" w:line="300" w:lineRule="auto"/>
              <w:ind w:firstLine="0"/>
              <w:jc w:val="center"/>
              <w:rPr>
                <w:szCs w:val="24"/>
              </w:rPr>
            </w:pPr>
            <w:r w:rsidRPr="00F060E7">
              <w:rPr>
                <w:szCs w:val="24"/>
              </w:rPr>
              <w:t>ODE</w:t>
            </w:r>
          </w:p>
        </w:tc>
        <w:tc>
          <w:tcPr>
            <w:tcW w:w="6923" w:type="dxa"/>
          </w:tcPr>
          <w:p w14:paraId="7F3AC181" w14:textId="7AA4DE5F" w:rsidR="00C81E93" w:rsidRPr="00F04270" w:rsidRDefault="00F04270" w:rsidP="00F04270">
            <w:pPr>
              <w:spacing w:afterLines="60" w:after="144" w:line="300" w:lineRule="auto"/>
              <w:ind w:firstLine="0"/>
              <w:rPr>
                <w:szCs w:val="24"/>
              </w:rPr>
            </w:pPr>
            <w:r w:rsidRPr="00F04270">
              <w:rPr>
                <w:szCs w:val="24"/>
              </w:rPr>
              <w:t>ordinary differential equation</w:t>
            </w:r>
          </w:p>
        </w:tc>
      </w:tr>
      <w:tr w:rsidR="00C81E93" w:rsidRPr="00F04270" w14:paraId="46074E6A" w14:textId="77777777" w:rsidTr="00561FBE">
        <w:tc>
          <w:tcPr>
            <w:tcW w:w="1717" w:type="dxa"/>
            <w:vAlign w:val="center"/>
          </w:tcPr>
          <w:p w14:paraId="043388B9" w14:textId="77777777" w:rsidR="00C81E93" w:rsidRPr="00F060E7" w:rsidRDefault="00C81E93" w:rsidP="00AE3273">
            <w:pPr>
              <w:spacing w:afterLines="60" w:after="144" w:line="300" w:lineRule="auto"/>
              <w:ind w:firstLine="0"/>
              <w:jc w:val="center"/>
              <w:rPr>
                <w:szCs w:val="24"/>
              </w:rPr>
            </w:pPr>
            <w:r w:rsidRPr="00F060E7">
              <w:rPr>
                <w:szCs w:val="24"/>
              </w:rPr>
              <w:t>PCM</w:t>
            </w:r>
          </w:p>
        </w:tc>
        <w:tc>
          <w:tcPr>
            <w:tcW w:w="6923" w:type="dxa"/>
          </w:tcPr>
          <w:p w14:paraId="4810C2A0" w14:textId="24503806" w:rsidR="00C81E93" w:rsidRPr="00F04270" w:rsidRDefault="00F04270" w:rsidP="00F04270">
            <w:pPr>
              <w:spacing w:afterLines="60" w:after="144" w:line="300" w:lineRule="auto"/>
              <w:ind w:firstLine="0"/>
              <w:rPr>
                <w:szCs w:val="24"/>
              </w:rPr>
            </w:pPr>
            <w:r w:rsidRPr="00F04270">
              <w:rPr>
                <w:szCs w:val="24"/>
              </w:rPr>
              <w:t>phase change material</w:t>
            </w:r>
          </w:p>
        </w:tc>
      </w:tr>
      <w:tr w:rsidR="00C81E93" w:rsidRPr="00F04270" w14:paraId="53999AA4" w14:textId="77777777" w:rsidTr="00561FBE">
        <w:tc>
          <w:tcPr>
            <w:tcW w:w="1717" w:type="dxa"/>
            <w:vAlign w:val="center"/>
          </w:tcPr>
          <w:p w14:paraId="21580DA1" w14:textId="77777777" w:rsidR="00C81E93" w:rsidRPr="00F060E7" w:rsidRDefault="00C81E93" w:rsidP="00AE3273">
            <w:pPr>
              <w:spacing w:afterLines="60" w:after="144" w:line="300" w:lineRule="auto"/>
              <w:ind w:firstLine="0"/>
              <w:jc w:val="center"/>
              <w:rPr>
                <w:szCs w:val="24"/>
              </w:rPr>
            </w:pPr>
            <w:r w:rsidRPr="00F060E7">
              <w:rPr>
                <w:szCs w:val="24"/>
              </w:rPr>
              <w:t>TMY</w:t>
            </w:r>
          </w:p>
        </w:tc>
        <w:tc>
          <w:tcPr>
            <w:tcW w:w="6923" w:type="dxa"/>
          </w:tcPr>
          <w:p w14:paraId="4A0F9A27" w14:textId="7D30F160" w:rsidR="00C81E93" w:rsidRPr="00F04270" w:rsidRDefault="00F04270" w:rsidP="00F04270">
            <w:pPr>
              <w:spacing w:afterLines="60" w:after="144" w:line="300" w:lineRule="auto"/>
              <w:ind w:firstLine="0"/>
              <w:rPr>
                <w:szCs w:val="24"/>
              </w:rPr>
            </w:pPr>
            <w:r w:rsidRPr="00F04270">
              <w:rPr>
                <w:szCs w:val="24"/>
              </w:rPr>
              <w:t>typical meteorological year</w:t>
            </w:r>
          </w:p>
        </w:tc>
      </w:tr>
      <w:tr w:rsidR="00421527" w:rsidRPr="00F04270" w14:paraId="29B1D64C" w14:textId="77777777" w:rsidTr="00561FBE">
        <w:tc>
          <w:tcPr>
            <w:tcW w:w="1717" w:type="dxa"/>
            <w:vAlign w:val="center"/>
          </w:tcPr>
          <w:p w14:paraId="46CE6290" w14:textId="77777777" w:rsidR="00421527" w:rsidRPr="00F060E7" w:rsidRDefault="00421527" w:rsidP="00AE3273">
            <w:pPr>
              <w:spacing w:afterLines="60" w:after="144" w:line="300" w:lineRule="auto"/>
              <w:ind w:firstLine="0"/>
              <w:jc w:val="center"/>
              <w:rPr>
                <w:szCs w:val="24"/>
              </w:rPr>
            </w:pPr>
            <w:r w:rsidRPr="00F060E7">
              <w:rPr>
                <w:szCs w:val="24"/>
              </w:rPr>
              <w:t>TES</w:t>
            </w:r>
          </w:p>
        </w:tc>
        <w:tc>
          <w:tcPr>
            <w:tcW w:w="6923" w:type="dxa"/>
          </w:tcPr>
          <w:p w14:paraId="76A8181C" w14:textId="75BDBC68" w:rsidR="00421527" w:rsidRPr="00F04270" w:rsidRDefault="00F04270" w:rsidP="00F04270">
            <w:pPr>
              <w:spacing w:afterLines="60" w:after="144" w:line="300" w:lineRule="auto"/>
              <w:ind w:firstLine="0"/>
              <w:rPr>
                <w:szCs w:val="24"/>
              </w:rPr>
            </w:pPr>
            <w:r w:rsidRPr="00F04270">
              <w:rPr>
                <w:szCs w:val="24"/>
              </w:rPr>
              <w:t>thermal energy storage (</w:t>
            </w:r>
            <w:r w:rsidR="0004454A">
              <w:rPr>
                <w:szCs w:val="24"/>
              </w:rPr>
              <w:t>k</w:t>
            </w:r>
            <w:r>
              <w:rPr>
                <w:szCs w:val="24"/>
              </w:rPr>
              <w:t>W</w:t>
            </w:r>
            <w:r w:rsidRPr="00F04270">
              <w:rPr>
                <w:szCs w:val="24"/>
              </w:rPr>
              <w:t>h)</w:t>
            </w:r>
          </w:p>
        </w:tc>
      </w:tr>
      <w:tr w:rsidR="00C81E93" w:rsidRPr="00F04270" w14:paraId="4D444306" w14:textId="77777777" w:rsidTr="00561FBE">
        <w:tc>
          <w:tcPr>
            <w:tcW w:w="1717" w:type="dxa"/>
          </w:tcPr>
          <w:p w14:paraId="2676D948" w14:textId="075E16E4" w:rsidR="00C81E93" w:rsidRPr="00F060E7" w:rsidRDefault="00421527" w:rsidP="00AE3273">
            <w:pPr>
              <w:spacing w:afterLines="60" w:after="144" w:line="300" w:lineRule="auto"/>
              <w:ind w:firstLine="0"/>
              <w:jc w:val="center"/>
              <w:rPr>
                <w:szCs w:val="24"/>
              </w:rPr>
            </w:pPr>
            <m:oMathPara>
              <m:oMath>
                <m:r>
                  <m:rPr>
                    <m:sty m:val="p"/>
                  </m:rPr>
                  <w:rPr>
                    <w:rFonts w:ascii="Cambria Math" w:hAnsi="Cambria Math"/>
                    <w:szCs w:val="24"/>
                  </w:rPr>
                  <m:t>ASHRAE</m:t>
                </m:r>
              </m:oMath>
            </m:oMathPara>
          </w:p>
        </w:tc>
        <w:tc>
          <w:tcPr>
            <w:tcW w:w="6923" w:type="dxa"/>
          </w:tcPr>
          <w:p w14:paraId="387A776C" w14:textId="324ACD61" w:rsidR="00C81E93" w:rsidRPr="00F04270" w:rsidRDefault="00F04270" w:rsidP="00F04270">
            <w:pPr>
              <w:spacing w:afterLines="60" w:after="144" w:line="300" w:lineRule="auto"/>
              <w:ind w:firstLine="0"/>
              <w:rPr>
                <w:szCs w:val="24"/>
              </w:rPr>
            </w:pPr>
            <w:r>
              <w:rPr>
                <w:szCs w:val="24"/>
              </w:rPr>
              <w:t>A</w:t>
            </w:r>
            <w:r w:rsidRPr="00F04270">
              <w:rPr>
                <w:szCs w:val="24"/>
              </w:rPr>
              <w:t xml:space="preserve">merican </w:t>
            </w:r>
            <w:r>
              <w:rPr>
                <w:szCs w:val="24"/>
              </w:rPr>
              <w:t>S</w:t>
            </w:r>
            <w:r w:rsidRPr="00F04270">
              <w:rPr>
                <w:szCs w:val="24"/>
              </w:rPr>
              <w:t xml:space="preserve">ociety of </w:t>
            </w:r>
            <w:r>
              <w:rPr>
                <w:szCs w:val="24"/>
              </w:rPr>
              <w:t>H</w:t>
            </w:r>
            <w:r w:rsidRPr="00F04270">
              <w:rPr>
                <w:szCs w:val="24"/>
              </w:rPr>
              <w:t xml:space="preserve">eating, </w:t>
            </w:r>
            <w:r>
              <w:rPr>
                <w:szCs w:val="24"/>
              </w:rPr>
              <w:t>R</w:t>
            </w:r>
            <w:r w:rsidRPr="00F04270">
              <w:rPr>
                <w:szCs w:val="24"/>
              </w:rPr>
              <w:t xml:space="preserve">efrigerating and </w:t>
            </w:r>
            <w:r>
              <w:rPr>
                <w:szCs w:val="24"/>
              </w:rPr>
              <w:t>A</w:t>
            </w:r>
            <w:r w:rsidRPr="00F04270">
              <w:rPr>
                <w:szCs w:val="24"/>
              </w:rPr>
              <w:t>ir-</w:t>
            </w:r>
            <w:r>
              <w:rPr>
                <w:szCs w:val="24"/>
              </w:rPr>
              <w:t>C</w:t>
            </w:r>
            <w:r w:rsidRPr="00F04270">
              <w:rPr>
                <w:szCs w:val="24"/>
              </w:rPr>
              <w:t xml:space="preserve">onditioning </w:t>
            </w:r>
            <w:r>
              <w:rPr>
                <w:szCs w:val="24"/>
              </w:rPr>
              <w:t>E</w:t>
            </w:r>
            <w:r w:rsidRPr="00F04270">
              <w:rPr>
                <w:szCs w:val="24"/>
              </w:rPr>
              <w:t>ngineers</w:t>
            </w:r>
          </w:p>
        </w:tc>
      </w:tr>
      <w:tr w:rsidR="003A6D08" w:rsidRPr="00F04270" w14:paraId="7F2E0521" w14:textId="77777777" w:rsidTr="00561FBE">
        <w:tc>
          <w:tcPr>
            <w:tcW w:w="1717" w:type="dxa"/>
          </w:tcPr>
          <w:p w14:paraId="4ECC2062" w14:textId="77777777" w:rsidR="003A6D08" w:rsidRPr="00F060E7" w:rsidRDefault="003A6D08" w:rsidP="00AE3273">
            <w:pPr>
              <w:spacing w:afterLines="60" w:after="144" w:line="300" w:lineRule="auto"/>
              <w:ind w:firstLine="0"/>
              <w:jc w:val="center"/>
              <w:rPr>
                <w:rFonts w:eastAsia="Calibri" w:cs="Times New Roman"/>
                <w:szCs w:val="24"/>
              </w:rPr>
            </w:pPr>
            <w:r w:rsidRPr="00F060E7">
              <w:rPr>
                <w:rFonts w:eastAsia="Calibri" w:cs="Times New Roman"/>
                <w:szCs w:val="24"/>
              </w:rPr>
              <w:t>SEER</w:t>
            </w:r>
          </w:p>
        </w:tc>
        <w:tc>
          <w:tcPr>
            <w:tcW w:w="6923" w:type="dxa"/>
          </w:tcPr>
          <w:p w14:paraId="08033C54" w14:textId="7CB97609" w:rsidR="003A6D08" w:rsidRPr="00F04270" w:rsidRDefault="00A40BBE" w:rsidP="00F04270">
            <w:pPr>
              <w:spacing w:afterLines="60" w:after="144" w:line="300" w:lineRule="auto"/>
              <w:ind w:firstLine="0"/>
              <w:rPr>
                <w:szCs w:val="24"/>
              </w:rPr>
            </w:pPr>
            <w:r>
              <w:rPr>
                <w:szCs w:val="24"/>
              </w:rPr>
              <w:t xml:space="preserve">the </w:t>
            </w:r>
            <w:r w:rsidR="00F04270" w:rsidRPr="00F04270">
              <w:rPr>
                <w:szCs w:val="24"/>
              </w:rPr>
              <w:t>seasonal energy efficiency ratio</w:t>
            </w:r>
          </w:p>
        </w:tc>
      </w:tr>
      <w:tr w:rsidR="003A6D08" w:rsidRPr="00F04270" w14:paraId="758C7BCE" w14:textId="77777777" w:rsidTr="00561FBE">
        <w:tc>
          <w:tcPr>
            <w:tcW w:w="1717" w:type="dxa"/>
          </w:tcPr>
          <w:p w14:paraId="2387C00C" w14:textId="77777777" w:rsidR="003A6D08" w:rsidRPr="00F060E7" w:rsidRDefault="003A6D08" w:rsidP="00AE3273">
            <w:pPr>
              <w:spacing w:afterLines="60" w:after="144" w:line="300" w:lineRule="auto"/>
              <w:ind w:firstLine="0"/>
              <w:jc w:val="center"/>
              <w:rPr>
                <w:rFonts w:eastAsia="Calibri" w:cs="Times New Roman"/>
                <w:szCs w:val="24"/>
              </w:rPr>
            </w:pPr>
            <w:r w:rsidRPr="00F060E7">
              <w:rPr>
                <w:rFonts w:eastAsia="Calibri" w:cs="Times New Roman"/>
                <w:szCs w:val="24"/>
              </w:rPr>
              <w:t>EER</w:t>
            </w:r>
          </w:p>
        </w:tc>
        <w:tc>
          <w:tcPr>
            <w:tcW w:w="6923" w:type="dxa"/>
          </w:tcPr>
          <w:p w14:paraId="29DF45FB" w14:textId="7B4ECF23" w:rsidR="003A6D08" w:rsidRPr="00F04270" w:rsidRDefault="00F04270" w:rsidP="00F04270">
            <w:pPr>
              <w:spacing w:afterLines="60" w:after="144" w:line="300" w:lineRule="auto"/>
              <w:ind w:firstLine="0"/>
              <w:rPr>
                <w:szCs w:val="24"/>
              </w:rPr>
            </w:pPr>
            <w:r w:rsidRPr="00F04270">
              <w:rPr>
                <w:szCs w:val="24"/>
              </w:rPr>
              <w:t>energy efficiency ratio</w:t>
            </w:r>
          </w:p>
        </w:tc>
      </w:tr>
      <w:tr w:rsidR="00421527" w:rsidRPr="00F04270" w14:paraId="378E628A" w14:textId="77777777" w:rsidTr="00561FBE">
        <w:tc>
          <w:tcPr>
            <w:tcW w:w="1717" w:type="dxa"/>
          </w:tcPr>
          <w:p w14:paraId="297694EF" w14:textId="6B12BD8D" w:rsidR="00421527" w:rsidRPr="00F060E7" w:rsidRDefault="00542EE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h</m:t>
                </m:r>
              </m:oMath>
            </m:oMathPara>
          </w:p>
        </w:tc>
        <w:tc>
          <w:tcPr>
            <w:tcW w:w="6923" w:type="dxa"/>
          </w:tcPr>
          <w:p w14:paraId="453C5B7B" w14:textId="3C6C3043" w:rsidR="00421527" w:rsidRPr="00F04270" w:rsidRDefault="00890F06" w:rsidP="00F04270">
            <w:pPr>
              <w:spacing w:afterLines="60" w:after="144" w:line="300" w:lineRule="auto"/>
              <w:ind w:firstLine="0"/>
              <w:rPr>
                <w:szCs w:val="24"/>
              </w:rPr>
            </w:pPr>
            <w:r>
              <w:rPr>
                <w:szCs w:val="24"/>
              </w:rPr>
              <w:t>h</w:t>
            </w:r>
            <w:r w:rsidR="00F04270" w:rsidRPr="00F04270">
              <w:rPr>
                <w:szCs w:val="24"/>
              </w:rPr>
              <w:t>our</w:t>
            </w:r>
          </w:p>
        </w:tc>
      </w:tr>
      <w:tr w:rsidR="00421527" w:rsidRPr="00F04270" w14:paraId="7099AF05" w14:textId="77777777" w:rsidTr="00561FBE">
        <w:tc>
          <w:tcPr>
            <w:tcW w:w="1717" w:type="dxa"/>
          </w:tcPr>
          <w:p w14:paraId="6C670E57" w14:textId="7BA60814" w:rsidR="00421527" w:rsidRPr="00F060E7" w:rsidRDefault="00542EE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d</m:t>
                </m:r>
              </m:oMath>
            </m:oMathPara>
          </w:p>
        </w:tc>
        <w:tc>
          <w:tcPr>
            <w:tcW w:w="6923" w:type="dxa"/>
          </w:tcPr>
          <w:p w14:paraId="489E0103" w14:textId="6FD832C5" w:rsidR="00421527" w:rsidRPr="00F04270" w:rsidRDefault="00890F06" w:rsidP="00F04270">
            <w:pPr>
              <w:spacing w:afterLines="60" w:after="144" w:line="300" w:lineRule="auto"/>
              <w:ind w:firstLine="0"/>
              <w:rPr>
                <w:szCs w:val="24"/>
              </w:rPr>
            </w:pPr>
            <w:r>
              <w:rPr>
                <w:szCs w:val="24"/>
              </w:rPr>
              <w:t>d</w:t>
            </w:r>
            <w:r w:rsidR="00F04270" w:rsidRPr="00F04270">
              <w:rPr>
                <w:szCs w:val="24"/>
              </w:rPr>
              <w:t>ay</w:t>
            </w:r>
          </w:p>
        </w:tc>
      </w:tr>
      <w:tr w:rsidR="00421527" w:rsidRPr="00F04270" w14:paraId="2D648AC8" w14:textId="77777777" w:rsidTr="00561FBE">
        <w:tc>
          <w:tcPr>
            <w:tcW w:w="1717" w:type="dxa"/>
          </w:tcPr>
          <w:p w14:paraId="52DC5856" w14:textId="77777777" w:rsidR="00421527" w:rsidRPr="00F060E7" w:rsidRDefault="00421527" w:rsidP="00AE3273">
            <w:pPr>
              <w:spacing w:afterLines="60" w:after="144" w:line="300" w:lineRule="auto"/>
              <w:jc w:val="center"/>
              <w:rPr>
                <w:szCs w:val="24"/>
              </w:rPr>
            </w:pPr>
            <m:oMathPara>
              <m:oMath>
                <m:r>
                  <w:rPr>
                    <w:rFonts w:ascii="Cambria Math" w:hAnsi="Cambria Math"/>
                    <w:szCs w:val="24"/>
                  </w:rPr>
                  <m:t>T</m:t>
                </m:r>
              </m:oMath>
            </m:oMathPara>
          </w:p>
        </w:tc>
        <w:tc>
          <w:tcPr>
            <w:tcW w:w="6923" w:type="dxa"/>
          </w:tcPr>
          <w:p w14:paraId="6A35CF74" w14:textId="14608541" w:rsidR="00421527" w:rsidRPr="00F04270" w:rsidRDefault="00F04270" w:rsidP="00F04270">
            <w:pPr>
              <w:spacing w:afterLines="60" w:after="144" w:line="300" w:lineRule="auto"/>
              <w:ind w:firstLine="0"/>
              <w:rPr>
                <w:szCs w:val="24"/>
              </w:rPr>
            </w:pPr>
            <w:r w:rsidRPr="00F04270">
              <w:rPr>
                <w:szCs w:val="24"/>
              </w:rPr>
              <w:t>temperature (</w:t>
            </w:r>
            <w:r>
              <w:rPr>
                <w:szCs w:val="24"/>
              </w:rPr>
              <w:t>K</w:t>
            </w:r>
            <w:r w:rsidRPr="00F04270">
              <w:rPr>
                <w:szCs w:val="24"/>
              </w:rPr>
              <w:t>)</w:t>
            </w:r>
          </w:p>
        </w:tc>
      </w:tr>
      <w:tr w:rsidR="00C81E93" w:rsidRPr="00F04270" w14:paraId="3450B9BB" w14:textId="77777777" w:rsidTr="00561FBE">
        <w:tc>
          <w:tcPr>
            <w:tcW w:w="1717" w:type="dxa"/>
          </w:tcPr>
          <w:p w14:paraId="052CD4E1" w14:textId="77777777" w:rsidR="00C81E93" w:rsidRPr="00F060E7" w:rsidRDefault="003A0B43" w:rsidP="00AE3273">
            <w:pPr>
              <w:spacing w:afterLines="60" w:after="144" w:line="300" w:lineRule="auto"/>
              <w:jc w:val="center"/>
              <w:rPr>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T</m:t>
                    </m:r>
                  </m:e>
                  <m:sub>
                    <m:r>
                      <w:rPr>
                        <w:rFonts w:ascii="Cambria Math" w:eastAsiaTheme="minorEastAsia" w:hAnsi="Cambria Math"/>
                        <w:szCs w:val="24"/>
                      </w:rPr>
                      <m:t>PCM</m:t>
                    </m:r>
                  </m:sub>
                </m:sSub>
              </m:oMath>
            </m:oMathPara>
          </w:p>
        </w:tc>
        <w:tc>
          <w:tcPr>
            <w:tcW w:w="6923" w:type="dxa"/>
          </w:tcPr>
          <w:p w14:paraId="23EF7463" w14:textId="79302704" w:rsidR="00C81E93" w:rsidRPr="00F04270" w:rsidRDefault="00A40BBE" w:rsidP="00F04270">
            <w:pPr>
              <w:spacing w:afterLines="60" w:after="144" w:line="300" w:lineRule="auto"/>
              <w:ind w:firstLine="0"/>
              <w:rPr>
                <w:szCs w:val="24"/>
              </w:rPr>
            </w:pPr>
            <w:r>
              <w:rPr>
                <w:szCs w:val="24"/>
              </w:rPr>
              <w:t>PCM</w:t>
            </w:r>
            <w:r w:rsidR="00F04270" w:rsidRPr="00F04270">
              <w:rPr>
                <w:szCs w:val="24"/>
              </w:rPr>
              <w:t xml:space="preserve"> temperature (</w:t>
            </w:r>
            <w:r w:rsidR="00F04270">
              <w:rPr>
                <w:szCs w:val="24"/>
              </w:rPr>
              <w:t>K</w:t>
            </w:r>
            <w:r w:rsidR="00F04270" w:rsidRPr="00F04270">
              <w:rPr>
                <w:szCs w:val="24"/>
              </w:rPr>
              <w:t>)</w:t>
            </w:r>
          </w:p>
        </w:tc>
      </w:tr>
      <w:tr w:rsidR="00C81E93" w:rsidRPr="00F04270" w14:paraId="40474810" w14:textId="77777777" w:rsidTr="00561FBE">
        <w:tc>
          <w:tcPr>
            <w:tcW w:w="1717" w:type="dxa"/>
          </w:tcPr>
          <w:p w14:paraId="17F20484" w14:textId="77777777" w:rsidR="00C81E93"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h</m:t>
                    </m:r>
                  </m:e>
                  <m:sub>
                    <m:r>
                      <w:rPr>
                        <w:rFonts w:ascii="Cambria Math" w:eastAsiaTheme="minorEastAsia" w:hAnsi="Cambria Math"/>
                        <w:szCs w:val="24"/>
                      </w:rPr>
                      <m:t>sl</m:t>
                    </m:r>
                  </m:sub>
                </m:sSub>
              </m:oMath>
            </m:oMathPara>
          </w:p>
        </w:tc>
        <w:tc>
          <w:tcPr>
            <w:tcW w:w="6923" w:type="dxa"/>
          </w:tcPr>
          <w:p w14:paraId="3AA3FDAA" w14:textId="08480C77" w:rsidR="00C81E93" w:rsidRPr="00F04270" w:rsidRDefault="00A40BBE" w:rsidP="00F04270">
            <w:pPr>
              <w:spacing w:afterLines="60" w:after="144" w:line="300" w:lineRule="auto"/>
              <w:ind w:firstLine="0"/>
              <w:rPr>
                <w:szCs w:val="24"/>
              </w:rPr>
            </w:pPr>
            <w:r>
              <w:rPr>
                <w:szCs w:val="24"/>
              </w:rPr>
              <w:t xml:space="preserve">the </w:t>
            </w:r>
            <w:r w:rsidR="00F04270" w:rsidRPr="00F04270">
              <w:rPr>
                <w:szCs w:val="24"/>
              </w:rPr>
              <w:t>heat of fusion (k</w:t>
            </w:r>
            <w:r w:rsidR="00F04270">
              <w:rPr>
                <w:szCs w:val="24"/>
              </w:rPr>
              <w:t>J</w:t>
            </w:r>
            <w:r w:rsidR="00F04270" w:rsidRPr="00F04270">
              <w:rPr>
                <w:szCs w:val="24"/>
              </w:rPr>
              <w:t>/kg)</w:t>
            </w:r>
          </w:p>
        </w:tc>
      </w:tr>
      <w:tr w:rsidR="00C81E93" w:rsidRPr="00F04270" w14:paraId="559FE19C" w14:textId="77777777" w:rsidTr="00561FBE">
        <w:tc>
          <w:tcPr>
            <w:tcW w:w="1717" w:type="dxa"/>
          </w:tcPr>
          <w:p w14:paraId="09A45778" w14:textId="699837D3" w:rsidR="00C81E93" w:rsidRPr="00F060E7" w:rsidRDefault="00013EAA" w:rsidP="00AE3273">
            <w:pPr>
              <w:spacing w:afterLines="60" w:after="144" w:line="300" w:lineRule="auto"/>
              <w:jc w:val="center"/>
              <w:rPr>
                <w:rFonts w:eastAsia="Calibri" w:cs="Times New Roman"/>
                <w:szCs w:val="24"/>
              </w:rPr>
            </w:pPr>
            <m:oMathPara>
              <m:oMath>
                <m:r>
                  <w:rPr>
                    <w:rFonts w:ascii="Cambria Math" w:eastAsiaTheme="minorEastAsia" w:hAnsi="Cambria Math"/>
                    <w:szCs w:val="24"/>
                  </w:rPr>
                  <m:t>m</m:t>
                </m:r>
              </m:oMath>
            </m:oMathPara>
          </w:p>
        </w:tc>
        <w:tc>
          <w:tcPr>
            <w:tcW w:w="6923" w:type="dxa"/>
          </w:tcPr>
          <w:p w14:paraId="00BC5F47" w14:textId="60BD65E1" w:rsidR="00C81E93" w:rsidRPr="00F04270" w:rsidRDefault="00F04270" w:rsidP="00F04270">
            <w:pPr>
              <w:spacing w:afterLines="60" w:after="144" w:line="300" w:lineRule="auto"/>
              <w:ind w:firstLine="0"/>
              <w:rPr>
                <w:szCs w:val="24"/>
              </w:rPr>
            </w:pPr>
            <w:r w:rsidRPr="00F04270">
              <w:rPr>
                <w:szCs w:val="24"/>
              </w:rPr>
              <w:t>mass (kg)</w:t>
            </w:r>
          </w:p>
        </w:tc>
      </w:tr>
      <w:tr w:rsidR="00013EAA" w:rsidRPr="00F04270" w14:paraId="32A6521B" w14:textId="77777777" w:rsidTr="00561FBE">
        <w:tc>
          <w:tcPr>
            <w:tcW w:w="1717" w:type="dxa"/>
          </w:tcPr>
          <w:p w14:paraId="6FA1155E" w14:textId="1DA21C09" w:rsidR="00013EAA"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m</m:t>
                    </m:r>
                  </m:e>
                  <m:sub>
                    <m:r>
                      <w:rPr>
                        <w:rFonts w:ascii="Cambria Math" w:eastAsia="Calibri" w:hAnsi="Cambria Math" w:cs="Times New Roman"/>
                        <w:szCs w:val="24"/>
                      </w:rPr>
                      <m:t>PCM</m:t>
                    </m:r>
                  </m:sub>
                </m:sSub>
              </m:oMath>
            </m:oMathPara>
          </w:p>
        </w:tc>
        <w:tc>
          <w:tcPr>
            <w:tcW w:w="6923" w:type="dxa"/>
          </w:tcPr>
          <w:p w14:paraId="11BD9FC0" w14:textId="77C9C650" w:rsidR="00013EAA" w:rsidRPr="00F04270" w:rsidRDefault="00A40BBE" w:rsidP="00F04270">
            <w:pPr>
              <w:spacing w:afterLines="60" w:after="144" w:line="300" w:lineRule="auto"/>
              <w:ind w:firstLine="0"/>
              <w:rPr>
                <w:szCs w:val="24"/>
              </w:rPr>
            </w:pPr>
            <w:r>
              <w:rPr>
                <w:szCs w:val="24"/>
              </w:rPr>
              <w:t>PCM</w:t>
            </w:r>
            <w:r w:rsidR="00F04270" w:rsidRPr="00F04270">
              <w:rPr>
                <w:szCs w:val="24"/>
              </w:rPr>
              <w:t xml:space="preserve"> mass (kg)</w:t>
            </w:r>
          </w:p>
        </w:tc>
      </w:tr>
      <w:tr w:rsidR="00C81E93" w:rsidRPr="00F04270" w14:paraId="4C9FE708" w14:textId="77777777" w:rsidTr="00561FBE">
        <w:tc>
          <w:tcPr>
            <w:tcW w:w="1717" w:type="dxa"/>
          </w:tcPr>
          <w:p w14:paraId="719F0E10" w14:textId="77777777" w:rsidR="00C81E93" w:rsidRPr="00F060E7" w:rsidRDefault="00421527" w:rsidP="00AE3273">
            <w:pPr>
              <w:spacing w:afterLines="60" w:after="144" w:line="300" w:lineRule="auto"/>
              <w:jc w:val="center"/>
              <w:rPr>
                <w:szCs w:val="24"/>
              </w:rPr>
            </w:pPr>
            <m:oMathPara>
              <m:oMath>
                <m:r>
                  <w:rPr>
                    <w:rFonts w:ascii="Cambria Math" w:hAnsi="Cambria Math"/>
                    <w:szCs w:val="24"/>
                  </w:rPr>
                  <m:t>α</m:t>
                </m:r>
              </m:oMath>
            </m:oMathPara>
          </w:p>
        </w:tc>
        <w:tc>
          <w:tcPr>
            <w:tcW w:w="6923" w:type="dxa"/>
          </w:tcPr>
          <w:p w14:paraId="7DEB72CC" w14:textId="5E989EE8" w:rsidR="00C81E93" w:rsidRPr="00F04270" w:rsidRDefault="00F04270" w:rsidP="00F04270">
            <w:pPr>
              <w:spacing w:afterLines="60" w:after="144" w:line="300" w:lineRule="auto"/>
              <w:ind w:firstLine="0"/>
              <w:rPr>
                <w:szCs w:val="24"/>
              </w:rPr>
            </w:pPr>
            <w:r>
              <w:rPr>
                <w:szCs w:val="24"/>
              </w:rPr>
              <w:t xml:space="preserve">LHTES </w:t>
            </w:r>
            <w:r w:rsidRPr="00F04270">
              <w:rPr>
                <w:szCs w:val="24"/>
              </w:rPr>
              <w:t>energy saving ratio</w:t>
            </w:r>
          </w:p>
        </w:tc>
      </w:tr>
      <w:tr w:rsidR="00C81E93" w:rsidRPr="00F04270" w14:paraId="4DF91978" w14:textId="77777777" w:rsidTr="00561FBE">
        <w:tc>
          <w:tcPr>
            <w:tcW w:w="1717" w:type="dxa"/>
          </w:tcPr>
          <w:p w14:paraId="2D6EFF8A" w14:textId="77777777" w:rsidR="00C81E93" w:rsidRPr="00F060E7" w:rsidRDefault="003A0B43" w:rsidP="00AE3273">
            <w:pPr>
              <w:spacing w:afterLines="60" w:after="144" w:line="300" w:lineRule="auto"/>
              <w:jc w:val="center"/>
              <w:rPr>
                <w:szCs w:val="24"/>
              </w:rPr>
            </w:pPr>
            <m:oMathPara>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solar</m:t>
                    </m:r>
                  </m:sub>
                </m:sSub>
              </m:oMath>
            </m:oMathPara>
          </w:p>
        </w:tc>
        <w:tc>
          <w:tcPr>
            <w:tcW w:w="6923" w:type="dxa"/>
          </w:tcPr>
          <w:p w14:paraId="164E1E9D" w14:textId="6428E403" w:rsidR="00C81E93" w:rsidRPr="00F04270" w:rsidRDefault="00F04270" w:rsidP="00F04270">
            <w:pPr>
              <w:spacing w:afterLines="60" w:after="144" w:line="300" w:lineRule="auto"/>
              <w:ind w:firstLine="0"/>
              <w:rPr>
                <w:szCs w:val="24"/>
              </w:rPr>
            </w:pPr>
            <w:r w:rsidRPr="00F04270">
              <w:rPr>
                <w:szCs w:val="24"/>
              </w:rPr>
              <w:t>solar utilization ratio</w:t>
            </w:r>
          </w:p>
        </w:tc>
      </w:tr>
      <w:tr w:rsidR="00421527" w:rsidRPr="00F04270" w14:paraId="3764C319" w14:textId="77777777" w:rsidTr="00561FBE">
        <w:tc>
          <w:tcPr>
            <w:tcW w:w="1717" w:type="dxa"/>
          </w:tcPr>
          <w:p w14:paraId="6852DF6B" w14:textId="77777777" w:rsidR="00421527" w:rsidRPr="00F060E7" w:rsidRDefault="00421527"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spm</m:t>
                </m:r>
              </m:oMath>
            </m:oMathPara>
          </w:p>
        </w:tc>
        <w:tc>
          <w:tcPr>
            <w:tcW w:w="6923" w:type="dxa"/>
          </w:tcPr>
          <w:p w14:paraId="4E51E902" w14:textId="10FC3AAD" w:rsidR="00421527" w:rsidRPr="00F04270" w:rsidRDefault="00F04270" w:rsidP="00F04270">
            <w:pPr>
              <w:spacing w:afterLines="60" w:after="144" w:line="300" w:lineRule="auto"/>
              <w:ind w:firstLine="0"/>
              <w:rPr>
                <w:szCs w:val="24"/>
              </w:rPr>
            </w:pPr>
            <w:r w:rsidRPr="00F04270">
              <w:rPr>
                <w:szCs w:val="24"/>
              </w:rPr>
              <w:t xml:space="preserve">saving per </w:t>
            </w:r>
            <w:r w:rsidR="00A40BBE">
              <w:rPr>
                <w:szCs w:val="24"/>
              </w:rPr>
              <w:t>PCM</w:t>
            </w:r>
            <w:r w:rsidRPr="00F04270">
              <w:rPr>
                <w:szCs w:val="24"/>
              </w:rPr>
              <w:t xml:space="preserve"> mass</w:t>
            </w:r>
          </w:p>
        </w:tc>
      </w:tr>
      <w:tr w:rsidR="00421527" w:rsidRPr="00F04270" w14:paraId="4A021685" w14:textId="77777777" w:rsidTr="00561FBE">
        <w:tc>
          <w:tcPr>
            <w:tcW w:w="1717" w:type="dxa"/>
          </w:tcPr>
          <w:p w14:paraId="2F9D79F6" w14:textId="77777777" w:rsidR="00421527" w:rsidRPr="00F060E7" w:rsidRDefault="00421527"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spa</m:t>
                </m:r>
              </m:oMath>
            </m:oMathPara>
          </w:p>
        </w:tc>
        <w:tc>
          <w:tcPr>
            <w:tcW w:w="6923" w:type="dxa"/>
          </w:tcPr>
          <w:p w14:paraId="475CB114" w14:textId="5354EA93" w:rsidR="00421527" w:rsidRPr="00F04270" w:rsidRDefault="00F04270" w:rsidP="00F04270">
            <w:pPr>
              <w:spacing w:afterLines="60" w:after="144" w:line="300" w:lineRule="auto"/>
              <w:ind w:firstLine="0"/>
              <w:rPr>
                <w:szCs w:val="24"/>
              </w:rPr>
            </w:pPr>
            <w:r w:rsidRPr="00F04270">
              <w:rPr>
                <w:szCs w:val="24"/>
              </w:rPr>
              <w:t>saving per area</w:t>
            </w:r>
          </w:p>
        </w:tc>
      </w:tr>
      <w:tr w:rsidR="00C81E93" w:rsidRPr="00F04270" w14:paraId="743CE7F3" w14:textId="77777777" w:rsidTr="00561FBE">
        <w:tc>
          <w:tcPr>
            <w:tcW w:w="1717" w:type="dxa"/>
          </w:tcPr>
          <w:p w14:paraId="4D26C661" w14:textId="77777777" w:rsidR="00C81E93" w:rsidRPr="00F060E7" w:rsidRDefault="003A0B43" w:rsidP="00AE3273">
            <w:pPr>
              <w:spacing w:afterLines="60" w:after="144" w:line="300" w:lineRule="auto"/>
              <w:jc w:val="center"/>
              <w:rPr>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η</m:t>
                    </m:r>
                  </m:e>
                  <m:sub>
                    <m:r>
                      <w:rPr>
                        <w:rFonts w:ascii="Cambria Math" w:eastAsiaTheme="minorEastAsia" w:hAnsi="Cambria Math"/>
                        <w:szCs w:val="24"/>
                      </w:rPr>
                      <m:t>collector</m:t>
                    </m:r>
                  </m:sub>
                </m:sSub>
              </m:oMath>
            </m:oMathPara>
          </w:p>
        </w:tc>
        <w:tc>
          <w:tcPr>
            <w:tcW w:w="6923" w:type="dxa"/>
          </w:tcPr>
          <w:p w14:paraId="63955DD0" w14:textId="59F1638C" w:rsidR="00C81E93" w:rsidRPr="00F04270" w:rsidRDefault="00F04270" w:rsidP="00F04270">
            <w:pPr>
              <w:spacing w:afterLines="60" w:after="144" w:line="300" w:lineRule="auto"/>
              <w:ind w:firstLine="0"/>
              <w:rPr>
                <w:szCs w:val="24"/>
              </w:rPr>
            </w:pPr>
            <w:r w:rsidRPr="00F04270">
              <w:rPr>
                <w:szCs w:val="24"/>
              </w:rPr>
              <w:t>collector efficiency</w:t>
            </w:r>
          </w:p>
        </w:tc>
      </w:tr>
      <w:tr w:rsidR="009C1ABC" w:rsidRPr="00F04270" w14:paraId="7D529000" w14:textId="77777777" w:rsidTr="00561FBE">
        <w:tc>
          <w:tcPr>
            <w:tcW w:w="1717" w:type="dxa"/>
          </w:tcPr>
          <w:p w14:paraId="10BDB799" w14:textId="7CDF53EC" w:rsidR="009C1ABC" w:rsidRPr="00F060E7" w:rsidRDefault="009C1ABC"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c</m:t>
                </m:r>
              </m:oMath>
            </m:oMathPara>
          </w:p>
        </w:tc>
        <w:tc>
          <w:tcPr>
            <w:tcW w:w="6923" w:type="dxa"/>
          </w:tcPr>
          <w:p w14:paraId="5939111E" w14:textId="4158FC06" w:rsidR="009C1ABC" w:rsidRPr="00F04270" w:rsidRDefault="00F04270" w:rsidP="00F04270">
            <w:pPr>
              <w:spacing w:afterLines="60" w:after="144" w:line="300" w:lineRule="auto"/>
              <w:ind w:firstLine="0"/>
              <w:rPr>
                <w:szCs w:val="24"/>
              </w:rPr>
            </w:pPr>
            <w:r w:rsidRPr="00F04270">
              <w:rPr>
                <w:szCs w:val="24"/>
              </w:rPr>
              <w:t>specific heat (</w:t>
            </w:r>
            <w:r>
              <w:rPr>
                <w:szCs w:val="24"/>
              </w:rPr>
              <w:t>J</w:t>
            </w:r>
            <w:r w:rsidRPr="00F04270">
              <w:rPr>
                <w:szCs w:val="24"/>
              </w:rPr>
              <w:t xml:space="preserve">/kg </w:t>
            </w:r>
            <w:r>
              <w:rPr>
                <w:szCs w:val="24"/>
              </w:rPr>
              <w:t>K</w:t>
            </w:r>
            <w:r w:rsidRPr="00F04270">
              <w:rPr>
                <w:szCs w:val="24"/>
              </w:rPr>
              <w:t>)</w:t>
            </w:r>
          </w:p>
        </w:tc>
      </w:tr>
      <w:tr w:rsidR="00E05D23" w:rsidRPr="00F04270" w14:paraId="2F760A0B" w14:textId="77777777" w:rsidTr="00561FBE">
        <w:tc>
          <w:tcPr>
            <w:tcW w:w="1717" w:type="dxa"/>
          </w:tcPr>
          <w:p w14:paraId="59328B23" w14:textId="01B88D23" w:rsidR="00E05D23" w:rsidRPr="00F060E7" w:rsidRDefault="00E05D23" w:rsidP="00AE3273">
            <w:pPr>
              <w:spacing w:afterLines="60" w:after="144" w:line="300" w:lineRule="auto"/>
              <w:jc w:val="center"/>
              <w:rPr>
                <w:rFonts w:eastAsia="Calibri" w:cs="Arial"/>
                <w:szCs w:val="24"/>
              </w:rPr>
            </w:pPr>
            <m:oMathPara>
              <m:oMath>
                <m:r>
                  <w:rPr>
                    <w:rFonts w:ascii="Cambria Math" w:hAnsi="Cambria Math"/>
                    <w:szCs w:val="24"/>
                  </w:rPr>
                  <m:t>c</m:t>
                </m:r>
                <m:r>
                  <w:rPr>
                    <w:rFonts w:ascii="Cambria Math" w:hAnsi="Cambria Math"/>
                    <w:szCs w:val="24"/>
                    <w:vertAlign w:val="subscript"/>
                  </w:rPr>
                  <m:t>p</m:t>
                </m:r>
              </m:oMath>
            </m:oMathPara>
          </w:p>
        </w:tc>
        <w:tc>
          <w:tcPr>
            <w:tcW w:w="6923" w:type="dxa"/>
          </w:tcPr>
          <w:p w14:paraId="03109D7A" w14:textId="5E3FF5D4" w:rsidR="00E05D23" w:rsidRPr="00F04270" w:rsidRDefault="00E05D23" w:rsidP="00F04270">
            <w:pPr>
              <w:spacing w:afterLines="60" w:after="144" w:line="300" w:lineRule="auto"/>
              <w:ind w:firstLine="0"/>
              <w:rPr>
                <w:szCs w:val="24"/>
              </w:rPr>
            </w:pPr>
            <w:r>
              <w:rPr>
                <w:szCs w:val="24"/>
              </w:rPr>
              <w:t>Specific heat capacity (J/kg K)</w:t>
            </w:r>
          </w:p>
        </w:tc>
      </w:tr>
      <w:tr w:rsidR="009C1ABC" w:rsidRPr="00F04270" w14:paraId="72ECEF6E" w14:textId="77777777" w:rsidTr="00561FBE">
        <w:tc>
          <w:tcPr>
            <w:tcW w:w="1717" w:type="dxa"/>
          </w:tcPr>
          <w:p w14:paraId="58F74A84" w14:textId="2A70AECF" w:rsidR="009C1ABC" w:rsidRPr="00F060E7" w:rsidRDefault="009C1ABC"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E</m:t>
                </m:r>
              </m:oMath>
            </m:oMathPara>
          </w:p>
        </w:tc>
        <w:tc>
          <w:tcPr>
            <w:tcW w:w="6923" w:type="dxa"/>
          </w:tcPr>
          <w:p w14:paraId="21F29939" w14:textId="4B5053B0" w:rsidR="009C1ABC" w:rsidRPr="00F04270" w:rsidRDefault="00F04270" w:rsidP="00F04270">
            <w:pPr>
              <w:spacing w:afterLines="60" w:after="144" w:line="300" w:lineRule="auto"/>
              <w:ind w:firstLine="0"/>
              <w:rPr>
                <w:szCs w:val="24"/>
              </w:rPr>
            </w:pPr>
            <w:r w:rsidRPr="00F04270">
              <w:rPr>
                <w:szCs w:val="24"/>
              </w:rPr>
              <w:t>thermal element</w:t>
            </w:r>
          </w:p>
        </w:tc>
      </w:tr>
      <w:tr w:rsidR="009C1ABC" w:rsidRPr="00F04270" w14:paraId="7DB0BF6E" w14:textId="77777777" w:rsidTr="00561FBE">
        <w:tc>
          <w:tcPr>
            <w:tcW w:w="1717" w:type="dxa"/>
          </w:tcPr>
          <w:p w14:paraId="5E43E897" w14:textId="548C6639" w:rsidR="009C1ABC" w:rsidRPr="00F060E7" w:rsidRDefault="009C1ABC"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Ex</m:t>
                </m:r>
              </m:oMath>
            </m:oMathPara>
          </w:p>
        </w:tc>
        <w:tc>
          <w:tcPr>
            <w:tcW w:w="6923" w:type="dxa"/>
          </w:tcPr>
          <w:p w14:paraId="6E3EE3A9" w14:textId="3FA7E679" w:rsidR="009C1ABC" w:rsidRPr="00F04270" w:rsidRDefault="00F04270" w:rsidP="00F04270">
            <w:pPr>
              <w:spacing w:afterLines="60" w:after="144" w:line="300" w:lineRule="auto"/>
              <w:ind w:firstLine="0"/>
              <w:rPr>
                <w:szCs w:val="24"/>
              </w:rPr>
            </w:pPr>
            <w:r w:rsidRPr="00F04270">
              <w:rPr>
                <w:szCs w:val="24"/>
              </w:rPr>
              <w:t>exergy(k</w:t>
            </w:r>
            <w:r>
              <w:rPr>
                <w:szCs w:val="24"/>
              </w:rPr>
              <w:t>J</w:t>
            </w:r>
            <w:r w:rsidRPr="00F04270">
              <w:rPr>
                <w:szCs w:val="24"/>
              </w:rPr>
              <w:t>)</w:t>
            </w:r>
          </w:p>
        </w:tc>
      </w:tr>
      <w:tr w:rsidR="009C1ABC" w:rsidRPr="00F04270" w14:paraId="03B33EE0" w14:textId="77777777" w:rsidTr="00561FBE">
        <w:tc>
          <w:tcPr>
            <w:tcW w:w="1717" w:type="dxa"/>
          </w:tcPr>
          <w:p w14:paraId="3085B30F" w14:textId="117B8699" w:rsidR="009C1ABC" w:rsidRPr="00F060E7" w:rsidRDefault="009C1ABC"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w:lastRenderedPageBreak/>
                  <m:t>H</m:t>
                </m:r>
              </m:oMath>
            </m:oMathPara>
          </w:p>
        </w:tc>
        <w:tc>
          <w:tcPr>
            <w:tcW w:w="6923" w:type="dxa"/>
          </w:tcPr>
          <w:p w14:paraId="143300D2" w14:textId="72334CC1" w:rsidR="009C1ABC" w:rsidRPr="00F04270" w:rsidRDefault="00F04270" w:rsidP="00F04270">
            <w:pPr>
              <w:spacing w:afterLines="60" w:after="144" w:line="300" w:lineRule="auto"/>
              <w:ind w:firstLine="0"/>
              <w:rPr>
                <w:szCs w:val="24"/>
              </w:rPr>
            </w:pPr>
            <w:r w:rsidRPr="00F04270">
              <w:rPr>
                <w:szCs w:val="24"/>
              </w:rPr>
              <w:t xml:space="preserve">height of </w:t>
            </w:r>
            <w:r w:rsidR="00A40BBE">
              <w:rPr>
                <w:szCs w:val="24"/>
              </w:rPr>
              <w:t>PCM</w:t>
            </w:r>
            <w:r w:rsidRPr="00F04270">
              <w:rPr>
                <w:szCs w:val="24"/>
              </w:rPr>
              <w:t xml:space="preserve"> compartment (m)</w:t>
            </w:r>
          </w:p>
        </w:tc>
      </w:tr>
      <w:tr w:rsidR="009C1ABC" w:rsidRPr="00F04270" w14:paraId="4638328F" w14:textId="77777777" w:rsidTr="00561FBE">
        <w:tc>
          <w:tcPr>
            <w:tcW w:w="1717" w:type="dxa"/>
          </w:tcPr>
          <w:p w14:paraId="28FFC3B0" w14:textId="0BD204BC" w:rsidR="009C1ABC" w:rsidRPr="00F060E7" w:rsidRDefault="009C1ABC"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k</m:t>
                </m:r>
              </m:oMath>
            </m:oMathPara>
          </w:p>
        </w:tc>
        <w:tc>
          <w:tcPr>
            <w:tcW w:w="6923" w:type="dxa"/>
          </w:tcPr>
          <w:p w14:paraId="7702EC82" w14:textId="464F13DD" w:rsidR="009C1ABC" w:rsidRPr="00F04270" w:rsidRDefault="00F04270" w:rsidP="00F04270">
            <w:pPr>
              <w:spacing w:afterLines="60" w:after="144" w:line="300" w:lineRule="auto"/>
              <w:ind w:firstLine="0"/>
              <w:rPr>
                <w:szCs w:val="24"/>
              </w:rPr>
            </w:pPr>
            <w:r w:rsidRPr="00F04270">
              <w:rPr>
                <w:szCs w:val="24"/>
              </w:rPr>
              <w:t>thermal conductivity (</w:t>
            </w:r>
            <w:r>
              <w:rPr>
                <w:szCs w:val="24"/>
              </w:rPr>
              <w:t>W</w:t>
            </w:r>
            <w:r w:rsidRPr="00F04270">
              <w:rPr>
                <w:szCs w:val="24"/>
              </w:rPr>
              <w:t xml:space="preserve">/m </w:t>
            </w:r>
            <w:r>
              <w:rPr>
                <w:szCs w:val="24"/>
              </w:rPr>
              <w:t>K</w:t>
            </w:r>
            <w:r w:rsidRPr="00F04270">
              <w:rPr>
                <w:szCs w:val="24"/>
              </w:rPr>
              <w:t>)</w:t>
            </w:r>
          </w:p>
        </w:tc>
      </w:tr>
      <w:tr w:rsidR="009C1ABC" w:rsidRPr="00F04270" w14:paraId="2EF355AD" w14:textId="77777777" w:rsidTr="00561FBE">
        <w:tc>
          <w:tcPr>
            <w:tcW w:w="1717" w:type="dxa"/>
          </w:tcPr>
          <w:p w14:paraId="1FE03FA8" w14:textId="61B117AD" w:rsidR="009C1ABC"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k</m:t>
                    </m:r>
                  </m:e>
                  <m:sub>
                    <m:r>
                      <w:rPr>
                        <w:rFonts w:ascii="Cambria Math" w:eastAsia="Calibri" w:hAnsi="Cambria Math" w:cs="Times New Roman"/>
                        <w:szCs w:val="24"/>
                      </w:rPr>
                      <m:t>PCM</m:t>
                    </m:r>
                  </m:sub>
                </m:sSub>
              </m:oMath>
            </m:oMathPara>
          </w:p>
        </w:tc>
        <w:tc>
          <w:tcPr>
            <w:tcW w:w="6923" w:type="dxa"/>
          </w:tcPr>
          <w:p w14:paraId="78F6CBBF" w14:textId="2F7AA71D" w:rsidR="009C1ABC" w:rsidRPr="00F04270" w:rsidRDefault="00F04270" w:rsidP="00F04270">
            <w:pPr>
              <w:spacing w:afterLines="60" w:after="144" w:line="300" w:lineRule="auto"/>
              <w:ind w:firstLine="0"/>
              <w:rPr>
                <w:szCs w:val="24"/>
              </w:rPr>
            </w:pPr>
            <w:r w:rsidRPr="00F04270">
              <w:rPr>
                <w:szCs w:val="24"/>
              </w:rPr>
              <w:t xml:space="preserve">thermal conductivity of </w:t>
            </w:r>
            <w:r w:rsidR="00A40BBE">
              <w:rPr>
                <w:szCs w:val="24"/>
              </w:rPr>
              <w:t>the PCM</w:t>
            </w:r>
            <w:r w:rsidRPr="00F04270">
              <w:rPr>
                <w:szCs w:val="24"/>
              </w:rPr>
              <w:t xml:space="preserve"> (</w:t>
            </w:r>
            <w:r>
              <w:rPr>
                <w:szCs w:val="24"/>
              </w:rPr>
              <w:t>W</w:t>
            </w:r>
            <w:r w:rsidRPr="00F04270">
              <w:rPr>
                <w:szCs w:val="24"/>
              </w:rPr>
              <w:t xml:space="preserve">/m </w:t>
            </w:r>
            <w:r>
              <w:rPr>
                <w:szCs w:val="24"/>
              </w:rPr>
              <w:t>K</w:t>
            </w:r>
            <w:r w:rsidRPr="00F04270">
              <w:rPr>
                <w:szCs w:val="24"/>
              </w:rPr>
              <w:t>)</w:t>
            </w:r>
          </w:p>
        </w:tc>
      </w:tr>
      <w:tr w:rsidR="00013EAA" w:rsidRPr="00F04270" w14:paraId="7F491D8E" w14:textId="77777777" w:rsidTr="00561FBE">
        <w:tc>
          <w:tcPr>
            <w:tcW w:w="1717" w:type="dxa"/>
          </w:tcPr>
          <w:p w14:paraId="4EA328CD" w14:textId="1EC4432D" w:rsidR="00013EAA"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k</m:t>
                    </m:r>
                  </m:e>
                  <m:sub>
                    <m:r>
                      <w:rPr>
                        <w:rFonts w:ascii="Cambria Math" w:eastAsia="Calibri" w:hAnsi="Cambria Math" w:cs="Times New Roman"/>
                        <w:szCs w:val="24"/>
                      </w:rPr>
                      <m:t>s</m:t>
                    </m:r>
                  </m:sub>
                </m:sSub>
              </m:oMath>
            </m:oMathPara>
          </w:p>
        </w:tc>
        <w:tc>
          <w:tcPr>
            <w:tcW w:w="6923" w:type="dxa"/>
          </w:tcPr>
          <w:p w14:paraId="64612EB1" w14:textId="322011B5" w:rsidR="00013EAA" w:rsidRPr="00F04270" w:rsidRDefault="00F04270" w:rsidP="00F04270">
            <w:pPr>
              <w:spacing w:afterLines="60" w:after="144" w:line="300" w:lineRule="auto"/>
              <w:ind w:firstLine="0"/>
              <w:rPr>
                <w:szCs w:val="24"/>
              </w:rPr>
            </w:pPr>
            <w:r w:rsidRPr="00F04270">
              <w:rPr>
                <w:szCs w:val="24"/>
              </w:rPr>
              <w:t>thermal conductivity of metal in the metal foam (</w:t>
            </w:r>
            <w:r>
              <w:rPr>
                <w:szCs w:val="24"/>
              </w:rPr>
              <w:t>W</w:t>
            </w:r>
            <w:r w:rsidRPr="00F04270">
              <w:rPr>
                <w:szCs w:val="24"/>
              </w:rPr>
              <w:t xml:space="preserve">/m </w:t>
            </w:r>
            <w:r>
              <w:rPr>
                <w:szCs w:val="24"/>
              </w:rPr>
              <w:t>K</w:t>
            </w:r>
            <w:r w:rsidRPr="00F04270">
              <w:rPr>
                <w:szCs w:val="24"/>
              </w:rPr>
              <w:t>)</w:t>
            </w:r>
          </w:p>
        </w:tc>
      </w:tr>
      <w:tr w:rsidR="00013EAA" w:rsidRPr="00F04270" w14:paraId="3EB654B0" w14:textId="77777777" w:rsidTr="00561FBE">
        <w:tc>
          <w:tcPr>
            <w:tcW w:w="1717" w:type="dxa"/>
          </w:tcPr>
          <w:p w14:paraId="2D7C64EA" w14:textId="394C0FD8" w:rsidR="00013EAA" w:rsidRPr="00F060E7" w:rsidRDefault="00013EA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L</m:t>
                </m:r>
              </m:oMath>
            </m:oMathPara>
          </w:p>
        </w:tc>
        <w:tc>
          <w:tcPr>
            <w:tcW w:w="6923" w:type="dxa"/>
          </w:tcPr>
          <w:p w14:paraId="183830D7" w14:textId="0A272986" w:rsidR="00013EAA" w:rsidRPr="00F04270" w:rsidRDefault="00F04270" w:rsidP="00F04270">
            <w:pPr>
              <w:spacing w:afterLines="60" w:after="144" w:line="300" w:lineRule="auto"/>
              <w:ind w:firstLine="0"/>
              <w:rPr>
                <w:szCs w:val="24"/>
              </w:rPr>
            </w:pPr>
            <w:r w:rsidRPr="00F04270">
              <w:rPr>
                <w:szCs w:val="24"/>
              </w:rPr>
              <w:t>input (output) hp spacing (m)</w:t>
            </w:r>
          </w:p>
        </w:tc>
      </w:tr>
      <w:tr w:rsidR="00013EAA" w:rsidRPr="00F04270" w14:paraId="6E1E353E" w14:textId="77777777" w:rsidTr="00561FBE">
        <w:tc>
          <w:tcPr>
            <w:tcW w:w="1717" w:type="dxa"/>
          </w:tcPr>
          <w:p w14:paraId="3666F973" w14:textId="637AFFA6" w:rsidR="00013EAA" w:rsidRPr="00F060E7" w:rsidRDefault="00013EA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M</m:t>
                </m:r>
              </m:oMath>
            </m:oMathPara>
          </w:p>
        </w:tc>
        <w:tc>
          <w:tcPr>
            <w:tcW w:w="6923" w:type="dxa"/>
          </w:tcPr>
          <w:p w14:paraId="277C7EEE" w14:textId="0935D64F" w:rsidR="00013EAA" w:rsidRPr="00F04270" w:rsidRDefault="00F04270" w:rsidP="00F04270">
            <w:pPr>
              <w:spacing w:afterLines="60" w:after="144" w:line="300" w:lineRule="auto"/>
              <w:ind w:firstLine="0"/>
              <w:rPr>
                <w:szCs w:val="24"/>
              </w:rPr>
            </w:pPr>
            <w:r w:rsidRPr="00F04270">
              <w:rPr>
                <w:szCs w:val="24"/>
              </w:rPr>
              <w:t xml:space="preserve">related to the number of </w:t>
            </w:r>
            <w:r w:rsidR="00A40BBE">
              <w:rPr>
                <w:szCs w:val="24"/>
              </w:rPr>
              <w:t>the PCM</w:t>
            </w:r>
            <w:r w:rsidRPr="00F04270">
              <w:rPr>
                <w:szCs w:val="24"/>
              </w:rPr>
              <w:t xml:space="preserve"> thermal elements in the solid region</w:t>
            </w:r>
          </w:p>
        </w:tc>
      </w:tr>
      <w:tr w:rsidR="00013EAA" w:rsidRPr="00F04270" w14:paraId="426932B2" w14:textId="77777777" w:rsidTr="00561FBE">
        <w:tc>
          <w:tcPr>
            <w:tcW w:w="1717" w:type="dxa"/>
          </w:tcPr>
          <w:p w14:paraId="79D78B3E" w14:textId="761ABE6B" w:rsidR="00013EAA" w:rsidRPr="00F060E7" w:rsidRDefault="00013EA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N</m:t>
                </m:r>
              </m:oMath>
            </m:oMathPara>
          </w:p>
        </w:tc>
        <w:tc>
          <w:tcPr>
            <w:tcW w:w="6923" w:type="dxa"/>
          </w:tcPr>
          <w:p w14:paraId="5D05CBD3" w14:textId="5210ABBF" w:rsidR="00013EAA" w:rsidRPr="00F04270" w:rsidRDefault="00F04270" w:rsidP="00F04270">
            <w:pPr>
              <w:spacing w:afterLines="60" w:after="144" w:line="300" w:lineRule="auto"/>
              <w:ind w:firstLine="0"/>
              <w:rPr>
                <w:szCs w:val="24"/>
              </w:rPr>
            </w:pPr>
            <w:r w:rsidRPr="00F04270">
              <w:rPr>
                <w:szCs w:val="24"/>
              </w:rPr>
              <w:t xml:space="preserve">number of </w:t>
            </w:r>
            <w:r w:rsidR="00A40BBE">
              <w:rPr>
                <w:szCs w:val="24"/>
              </w:rPr>
              <w:t>PCM</w:t>
            </w:r>
            <w:r w:rsidRPr="00F04270">
              <w:rPr>
                <w:szCs w:val="24"/>
              </w:rPr>
              <w:t xml:space="preserve"> thermal elements in the liquid region</w:t>
            </w:r>
          </w:p>
        </w:tc>
      </w:tr>
      <w:tr w:rsidR="00013EAA" w:rsidRPr="00F04270" w14:paraId="42352D95" w14:textId="77777777" w:rsidTr="00561FBE">
        <w:tc>
          <w:tcPr>
            <w:tcW w:w="1717" w:type="dxa"/>
          </w:tcPr>
          <w:p w14:paraId="34986CB3" w14:textId="0DA3C45C" w:rsidR="00013EAA" w:rsidRPr="00F060E7" w:rsidRDefault="00013EA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q</m:t>
                </m:r>
              </m:oMath>
            </m:oMathPara>
          </w:p>
        </w:tc>
        <w:tc>
          <w:tcPr>
            <w:tcW w:w="6923" w:type="dxa"/>
          </w:tcPr>
          <w:p w14:paraId="568EE006" w14:textId="13BC1E1A" w:rsidR="00013EAA" w:rsidRPr="00F04270" w:rsidRDefault="00F04270" w:rsidP="00F04270">
            <w:pPr>
              <w:spacing w:afterLines="60" w:after="144" w:line="300" w:lineRule="auto"/>
              <w:ind w:firstLine="0"/>
              <w:rPr>
                <w:szCs w:val="24"/>
              </w:rPr>
            </w:pPr>
            <w:r w:rsidRPr="00F04270">
              <w:rPr>
                <w:szCs w:val="24"/>
              </w:rPr>
              <w:t>heat transfer rate (</w:t>
            </w:r>
            <w:r>
              <w:rPr>
                <w:szCs w:val="24"/>
              </w:rPr>
              <w:t>W</w:t>
            </w:r>
            <w:r w:rsidRPr="00F04270">
              <w:rPr>
                <w:szCs w:val="24"/>
              </w:rPr>
              <w:t>)</w:t>
            </w:r>
          </w:p>
        </w:tc>
      </w:tr>
      <w:tr w:rsidR="00013EAA" w:rsidRPr="00F04270" w14:paraId="23B8BD10" w14:textId="77777777" w:rsidTr="00561FBE">
        <w:tc>
          <w:tcPr>
            <w:tcW w:w="1717" w:type="dxa"/>
          </w:tcPr>
          <w:p w14:paraId="5B98F9E6" w14:textId="779D5C9F" w:rsidR="00013EAA" w:rsidRPr="00F060E7" w:rsidRDefault="00013EAA"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r</m:t>
                </m:r>
              </m:oMath>
            </m:oMathPara>
          </w:p>
        </w:tc>
        <w:tc>
          <w:tcPr>
            <w:tcW w:w="6923" w:type="dxa"/>
          </w:tcPr>
          <w:p w14:paraId="16B7C978" w14:textId="4E49685C" w:rsidR="00013EAA" w:rsidRPr="00F04270" w:rsidRDefault="00F04270" w:rsidP="00F04270">
            <w:pPr>
              <w:spacing w:afterLines="60" w:after="144" w:line="300" w:lineRule="auto"/>
              <w:ind w:firstLine="0"/>
              <w:rPr>
                <w:szCs w:val="24"/>
              </w:rPr>
            </w:pPr>
            <w:r w:rsidRPr="00F04270">
              <w:rPr>
                <w:szCs w:val="24"/>
              </w:rPr>
              <w:t>radius (m)</w:t>
            </w:r>
          </w:p>
        </w:tc>
      </w:tr>
      <w:tr w:rsidR="00013EAA" w:rsidRPr="00F04270" w14:paraId="3AD654DC" w14:textId="77777777" w:rsidTr="00561FBE">
        <w:tc>
          <w:tcPr>
            <w:tcW w:w="1717" w:type="dxa"/>
          </w:tcPr>
          <w:p w14:paraId="4CA12DB9" w14:textId="2C6FF353" w:rsidR="00013EAA" w:rsidRPr="00F060E7" w:rsidRDefault="005426F7"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S</m:t>
                </m:r>
              </m:oMath>
            </m:oMathPara>
          </w:p>
        </w:tc>
        <w:tc>
          <w:tcPr>
            <w:tcW w:w="6923" w:type="dxa"/>
          </w:tcPr>
          <w:p w14:paraId="5E63EF0B" w14:textId="7F57466A" w:rsidR="00013EAA" w:rsidRPr="00F04270" w:rsidRDefault="00F04270" w:rsidP="00F04270">
            <w:pPr>
              <w:spacing w:afterLines="60" w:after="144" w:line="300" w:lineRule="auto"/>
              <w:ind w:firstLine="0"/>
              <w:rPr>
                <w:szCs w:val="24"/>
              </w:rPr>
            </w:pPr>
            <w:r w:rsidRPr="00F04270">
              <w:rPr>
                <w:szCs w:val="24"/>
              </w:rPr>
              <w:t>entropy (k</w:t>
            </w:r>
            <w:r>
              <w:rPr>
                <w:szCs w:val="24"/>
              </w:rPr>
              <w:t>J</w:t>
            </w:r>
            <w:r w:rsidRPr="00F04270">
              <w:rPr>
                <w:szCs w:val="24"/>
              </w:rPr>
              <w:t xml:space="preserve">/kg </w:t>
            </w:r>
            <w:r>
              <w:rPr>
                <w:szCs w:val="24"/>
              </w:rPr>
              <w:t>K</w:t>
            </w:r>
            <w:r w:rsidRPr="00F04270">
              <w:rPr>
                <w:szCs w:val="24"/>
              </w:rPr>
              <w:t>)</w:t>
            </w:r>
          </w:p>
        </w:tc>
      </w:tr>
      <w:tr w:rsidR="005426F7" w:rsidRPr="00F04270" w14:paraId="798C9748" w14:textId="77777777" w:rsidTr="00561FBE">
        <w:tc>
          <w:tcPr>
            <w:tcW w:w="1717" w:type="dxa"/>
          </w:tcPr>
          <w:p w14:paraId="20DC2A2B" w14:textId="58F3B26D" w:rsidR="005426F7" w:rsidRPr="00F060E7" w:rsidRDefault="005426F7"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s</m:t>
                </m:r>
              </m:oMath>
            </m:oMathPara>
          </w:p>
        </w:tc>
        <w:tc>
          <w:tcPr>
            <w:tcW w:w="6923" w:type="dxa"/>
          </w:tcPr>
          <w:p w14:paraId="394A7C3A" w14:textId="30F507C6" w:rsidR="005426F7" w:rsidRPr="00F04270" w:rsidRDefault="00F04270" w:rsidP="00F04270">
            <w:pPr>
              <w:spacing w:afterLines="60" w:after="144" w:line="300" w:lineRule="auto"/>
              <w:ind w:firstLine="0"/>
              <w:rPr>
                <w:szCs w:val="24"/>
              </w:rPr>
            </w:pPr>
            <w:r w:rsidRPr="00F04270">
              <w:rPr>
                <w:szCs w:val="24"/>
              </w:rPr>
              <w:t>melting front location (m)</w:t>
            </w:r>
          </w:p>
        </w:tc>
      </w:tr>
      <w:tr w:rsidR="005426F7" w:rsidRPr="00F04270" w14:paraId="778664F7" w14:textId="77777777" w:rsidTr="00561FBE">
        <w:tc>
          <w:tcPr>
            <w:tcW w:w="1717" w:type="dxa"/>
          </w:tcPr>
          <w:p w14:paraId="29D25347" w14:textId="6C17BC50" w:rsidR="005426F7"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b</m:t>
                    </m:r>
                  </m:sub>
                </m:sSub>
              </m:oMath>
            </m:oMathPara>
          </w:p>
        </w:tc>
        <w:tc>
          <w:tcPr>
            <w:tcW w:w="6923" w:type="dxa"/>
          </w:tcPr>
          <w:p w14:paraId="04D19679" w14:textId="6FA6AE9A" w:rsidR="005426F7" w:rsidRPr="00F04270" w:rsidRDefault="00A40BBE" w:rsidP="00F04270">
            <w:pPr>
              <w:spacing w:afterLines="60" w:after="144" w:line="300" w:lineRule="auto"/>
              <w:ind w:firstLine="0"/>
              <w:rPr>
                <w:szCs w:val="24"/>
              </w:rPr>
            </w:pPr>
            <w:r>
              <w:rPr>
                <w:szCs w:val="24"/>
              </w:rPr>
              <w:t xml:space="preserve">the </w:t>
            </w:r>
            <w:r w:rsidR="00F04270" w:rsidRPr="00F04270">
              <w:rPr>
                <w:szCs w:val="24"/>
              </w:rPr>
              <w:t xml:space="preserve">temperature at the interface of </w:t>
            </w:r>
            <w:r>
              <w:rPr>
                <w:szCs w:val="24"/>
              </w:rPr>
              <w:t>PCM</w:t>
            </w:r>
            <w:r w:rsidR="00F04270" w:rsidRPr="00F04270">
              <w:rPr>
                <w:szCs w:val="24"/>
              </w:rPr>
              <w:t xml:space="preserve"> regions around input and output </w:t>
            </w:r>
            <w:r w:rsidR="00F04270">
              <w:rPr>
                <w:szCs w:val="24"/>
              </w:rPr>
              <w:t>heat pipe</w:t>
            </w:r>
            <w:r w:rsidR="00F04270" w:rsidRPr="00F04270">
              <w:rPr>
                <w:szCs w:val="24"/>
              </w:rPr>
              <w:t>s (</w:t>
            </w:r>
            <w:r w:rsidR="00F04270">
              <w:rPr>
                <w:szCs w:val="24"/>
              </w:rPr>
              <w:t>K</w:t>
            </w:r>
            <w:r w:rsidR="00F04270" w:rsidRPr="00F04270">
              <w:rPr>
                <w:szCs w:val="24"/>
              </w:rPr>
              <w:t>)</w:t>
            </w:r>
          </w:p>
        </w:tc>
      </w:tr>
      <w:tr w:rsidR="005426F7" w:rsidRPr="00F04270" w14:paraId="2824C5B6" w14:textId="77777777" w:rsidTr="00561FBE">
        <w:tc>
          <w:tcPr>
            <w:tcW w:w="1717" w:type="dxa"/>
          </w:tcPr>
          <w:p w14:paraId="1245D786" w14:textId="3FE9961B" w:rsidR="005426F7"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i,n</m:t>
                    </m:r>
                  </m:sub>
                </m:sSub>
              </m:oMath>
            </m:oMathPara>
          </w:p>
        </w:tc>
        <w:tc>
          <w:tcPr>
            <w:tcW w:w="6923" w:type="dxa"/>
          </w:tcPr>
          <w:p w14:paraId="1C69F690" w14:textId="7A721F70" w:rsidR="005426F7" w:rsidRPr="00F04270" w:rsidRDefault="00A40BBE" w:rsidP="00F04270">
            <w:pPr>
              <w:spacing w:afterLines="60" w:after="144" w:line="300" w:lineRule="auto"/>
              <w:ind w:firstLine="0"/>
              <w:rPr>
                <w:szCs w:val="24"/>
              </w:rPr>
            </w:pPr>
            <w:r>
              <w:rPr>
                <w:szCs w:val="24"/>
              </w:rPr>
              <w:t xml:space="preserve">the </w:t>
            </w:r>
            <w:r w:rsidR="00F04270" w:rsidRPr="00F04270">
              <w:rPr>
                <w:szCs w:val="24"/>
              </w:rPr>
              <w:t xml:space="preserve">temperature at the interface of </w:t>
            </w:r>
            <w:r>
              <w:rPr>
                <w:szCs w:val="24"/>
              </w:rPr>
              <w:t>PCM</w:t>
            </w:r>
            <w:r w:rsidR="00F04270" w:rsidRPr="00F04270">
              <w:rPr>
                <w:szCs w:val="24"/>
              </w:rPr>
              <w:t xml:space="preserve"> thermal element </w:t>
            </w:r>
            <w:r w:rsidR="00F04270">
              <w:rPr>
                <w:szCs w:val="24"/>
              </w:rPr>
              <w:t>E</w:t>
            </w:r>
            <w:r w:rsidR="00F04270" w:rsidRPr="00F04270">
              <w:rPr>
                <w:szCs w:val="24"/>
                <w:vertAlign w:val="subscript"/>
              </w:rPr>
              <w:t xml:space="preserve">n </w:t>
            </w:r>
            <w:r w:rsidR="00F04270" w:rsidRPr="00F04270">
              <w:rPr>
                <w:szCs w:val="24"/>
              </w:rPr>
              <w:t xml:space="preserve">and </w:t>
            </w:r>
            <w:r w:rsidR="00F04270">
              <w:rPr>
                <w:szCs w:val="24"/>
              </w:rPr>
              <w:t>E</w:t>
            </w:r>
            <w:r w:rsidR="00F04270" w:rsidRPr="00F04270">
              <w:rPr>
                <w:szCs w:val="24"/>
                <w:vertAlign w:val="subscript"/>
              </w:rPr>
              <w:t>n+1</w:t>
            </w:r>
            <w:r w:rsidR="00F04270" w:rsidRPr="00F04270">
              <w:rPr>
                <w:szCs w:val="24"/>
              </w:rPr>
              <w:t>(</w:t>
            </w:r>
            <w:r w:rsidR="00F04270">
              <w:rPr>
                <w:szCs w:val="24"/>
              </w:rPr>
              <w:t>K</w:t>
            </w:r>
            <w:r w:rsidR="00F04270" w:rsidRPr="00F04270">
              <w:rPr>
                <w:szCs w:val="24"/>
              </w:rPr>
              <w:t>)</w:t>
            </w:r>
          </w:p>
        </w:tc>
      </w:tr>
      <w:tr w:rsidR="006322EF" w:rsidRPr="00F04270" w14:paraId="279D6ED2" w14:textId="77777777" w:rsidTr="00561FBE">
        <w:tc>
          <w:tcPr>
            <w:tcW w:w="1717" w:type="dxa"/>
          </w:tcPr>
          <w:p w14:paraId="031A9210" w14:textId="4587B726" w:rsidR="006322EF"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m</m:t>
                    </m:r>
                  </m:sub>
                </m:sSub>
              </m:oMath>
            </m:oMathPara>
          </w:p>
        </w:tc>
        <w:tc>
          <w:tcPr>
            <w:tcW w:w="6923" w:type="dxa"/>
          </w:tcPr>
          <w:p w14:paraId="2D621A73" w14:textId="70B2125C" w:rsidR="006322EF" w:rsidRPr="00F04270" w:rsidRDefault="00A40BBE" w:rsidP="00F04270">
            <w:pPr>
              <w:spacing w:afterLines="60" w:after="144" w:line="300" w:lineRule="auto"/>
              <w:ind w:firstLine="0"/>
              <w:rPr>
                <w:szCs w:val="24"/>
              </w:rPr>
            </w:pPr>
            <w:r>
              <w:rPr>
                <w:szCs w:val="24"/>
              </w:rPr>
              <w:t>PCM</w:t>
            </w:r>
            <w:r w:rsidR="00F04270" w:rsidRPr="00F04270">
              <w:rPr>
                <w:szCs w:val="24"/>
              </w:rPr>
              <w:t xml:space="preserve"> melting temperature(</w:t>
            </w:r>
            <w:r w:rsidR="00F04270">
              <w:rPr>
                <w:szCs w:val="24"/>
              </w:rPr>
              <w:t>K</w:t>
            </w:r>
            <w:r w:rsidR="00F04270" w:rsidRPr="00F04270">
              <w:rPr>
                <w:szCs w:val="24"/>
              </w:rPr>
              <w:t>)</w:t>
            </w:r>
          </w:p>
        </w:tc>
      </w:tr>
      <w:tr w:rsidR="006322EF" w:rsidRPr="00F04270" w14:paraId="3A159D63" w14:textId="77777777" w:rsidTr="00561FBE">
        <w:tc>
          <w:tcPr>
            <w:tcW w:w="1717" w:type="dxa"/>
          </w:tcPr>
          <w:p w14:paraId="468F2EDD" w14:textId="4573DEB6" w:rsidR="006322EF"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n</m:t>
                    </m:r>
                  </m:sub>
                </m:sSub>
              </m:oMath>
            </m:oMathPara>
          </w:p>
        </w:tc>
        <w:tc>
          <w:tcPr>
            <w:tcW w:w="6923" w:type="dxa"/>
          </w:tcPr>
          <w:p w14:paraId="7E05A847" w14:textId="346D3F4A" w:rsidR="006322EF" w:rsidRPr="00F04270" w:rsidRDefault="00A40BBE" w:rsidP="00F04270">
            <w:pPr>
              <w:spacing w:afterLines="60" w:after="144" w:line="300" w:lineRule="auto"/>
              <w:ind w:firstLine="0"/>
              <w:rPr>
                <w:szCs w:val="24"/>
              </w:rPr>
            </w:pPr>
            <w:r>
              <w:rPr>
                <w:szCs w:val="24"/>
              </w:rPr>
              <w:t xml:space="preserve">the </w:t>
            </w:r>
            <w:r w:rsidR="00F04270" w:rsidRPr="00F04270">
              <w:rPr>
                <w:szCs w:val="24"/>
              </w:rPr>
              <w:t xml:space="preserve">temperature of the elements </w:t>
            </w:r>
            <w:r w:rsidR="00F04270">
              <w:rPr>
                <w:szCs w:val="24"/>
              </w:rPr>
              <w:t>E</w:t>
            </w:r>
            <w:r w:rsidR="00F04270" w:rsidRPr="00F04270">
              <w:rPr>
                <w:szCs w:val="24"/>
                <w:vertAlign w:val="subscript"/>
              </w:rPr>
              <w:t>n</w:t>
            </w:r>
            <w:r w:rsidR="00F04270" w:rsidRPr="00F04270">
              <w:rPr>
                <w:szCs w:val="24"/>
              </w:rPr>
              <w:t xml:space="preserve"> calculated in the middle of the element (</w:t>
            </w:r>
            <w:r w:rsidR="00F04270">
              <w:rPr>
                <w:szCs w:val="24"/>
              </w:rPr>
              <w:t>K</w:t>
            </w:r>
            <w:r w:rsidR="00F04270" w:rsidRPr="00F04270">
              <w:rPr>
                <w:szCs w:val="24"/>
              </w:rPr>
              <w:t>)</w:t>
            </w:r>
          </w:p>
        </w:tc>
      </w:tr>
      <w:tr w:rsidR="006322EF" w:rsidRPr="00F04270" w14:paraId="496A674A" w14:textId="77777777" w:rsidTr="00561FBE">
        <w:tc>
          <w:tcPr>
            <w:tcW w:w="1717" w:type="dxa"/>
          </w:tcPr>
          <w:p w14:paraId="6C64A44A" w14:textId="2C2D641F" w:rsidR="006322EF"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T</m:t>
                    </m:r>
                  </m:e>
                  <m:sub>
                    <m:r>
                      <w:rPr>
                        <w:rFonts w:ascii="Cambria Math" w:eastAsia="Calibri" w:hAnsi="Cambria Math" w:cs="Times New Roman"/>
                        <w:szCs w:val="24"/>
                      </w:rPr>
                      <m:t>w</m:t>
                    </m:r>
                  </m:sub>
                </m:sSub>
              </m:oMath>
            </m:oMathPara>
          </w:p>
        </w:tc>
        <w:tc>
          <w:tcPr>
            <w:tcW w:w="6923" w:type="dxa"/>
          </w:tcPr>
          <w:p w14:paraId="6BFFA503" w14:textId="7FB03637" w:rsidR="006322EF" w:rsidRPr="00F04270" w:rsidRDefault="00F04270" w:rsidP="00F04270">
            <w:pPr>
              <w:spacing w:afterLines="60" w:after="144" w:line="300" w:lineRule="auto"/>
              <w:ind w:firstLine="0"/>
              <w:rPr>
                <w:szCs w:val="24"/>
              </w:rPr>
            </w:pPr>
            <w:r w:rsidRPr="00F04270">
              <w:rPr>
                <w:szCs w:val="24"/>
              </w:rPr>
              <w:t>metal wall temperature (</w:t>
            </w:r>
            <w:r>
              <w:rPr>
                <w:szCs w:val="24"/>
              </w:rPr>
              <w:t>K</w:t>
            </w:r>
            <w:r w:rsidRPr="00F04270">
              <w:rPr>
                <w:szCs w:val="24"/>
              </w:rPr>
              <w:t>)</w:t>
            </w:r>
          </w:p>
        </w:tc>
      </w:tr>
      <w:tr w:rsidR="006322EF" w:rsidRPr="00F04270" w14:paraId="753F7BE6" w14:textId="77777777" w:rsidTr="00561FBE">
        <w:tc>
          <w:tcPr>
            <w:tcW w:w="1717" w:type="dxa"/>
          </w:tcPr>
          <w:p w14:paraId="55B81E6F" w14:textId="26C85671" w:rsidR="006322EF"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V</m:t>
                    </m:r>
                  </m:e>
                  <m:sub>
                    <m:r>
                      <w:rPr>
                        <w:rFonts w:ascii="Cambria Math" w:eastAsia="Calibri" w:hAnsi="Cambria Math" w:cs="Times New Roman"/>
                        <w:szCs w:val="24"/>
                      </w:rPr>
                      <m:t>f</m:t>
                    </m:r>
                  </m:sub>
                </m:sSub>
              </m:oMath>
            </m:oMathPara>
          </w:p>
        </w:tc>
        <w:tc>
          <w:tcPr>
            <w:tcW w:w="6923" w:type="dxa"/>
          </w:tcPr>
          <w:p w14:paraId="137471D4" w14:textId="1CD0BB1B" w:rsidR="006322EF" w:rsidRPr="00F04270" w:rsidRDefault="00F04270" w:rsidP="00F04270">
            <w:pPr>
              <w:spacing w:afterLines="60" w:after="144" w:line="300" w:lineRule="auto"/>
              <w:ind w:firstLine="0"/>
              <w:rPr>
                <w:szCs w:val="24"/>
              </w:rPr>
            </w:pPr>
            <w:r w:rsidRPr="00F04270">
              <w:rPr>
                <w:szCs w:val="24"/>
              </w:rPr>
              <w:t>melt volume fraction</w:t>
            </w:r>
          </w:p>
        </w:tc>
      </w:tr>
      <w:tr w:rsidR="006322EF" w:rsidRPr="00F04270" w14:paraId="31FAA27F" w14:textId="77777777" w:rsidTr="00561FBE">
        <w:tc>
          <w:tcPr>
            <w:tcW w:w="1717" w:type="dxa"/>
          </w:tcPr>
          <w:p w14:paraId="6CA41EC8" w14:textId="007F02C8" w:rsidR="006322EF" w:rsidRPr="00F060E7" w:rsidRDefault="003A0B43" w:rsidP="00AE3273">
            <w:pPr>
              <w:spacing w:afterLines="60" w:after="144" w:line="300" w:lineRule="auto"/>
              <w:jc w:val="center"/>
              <w:rPr>
                <w:rFonts w:eastAsia="Calibri" w:cs="Times New Roman"/>
                <w:szCs w:val="24"/>
              </w:rPr>
            </w:pPr>
            <m:oMathPara>
              <m:oMath>
                <m:sSub>
                  <m:sSubPr>
                    <m:ctrlPr>
                      <w:rPr>
                        <w:rFonts w:ascii="Cambria Math" w:eastAsia="Calibri" w:hAnsi="Cambria Math" w:cs="Times New Roman"/>
                        <w:i/>
                        <w:szCs w:val="24"/>
                      </w:rPr>
                    </m:ctrlPr>
                  </m:sSubPr>
                  <m:e>
                    <m:r>
                      <w:rPr>
                        <w:rFonts w:ascii="Cambria Math" w:eastAsia="Calibri" w:hAnsi="Cambria Math" w:cs="Times New Roman"/>
                        <w:szCs w:val="24"/>
                      </w:rPr>
                      <m:t>V</m:t>
                    </m:r>
                  </m:e>
                  <m:sub>
                    <m:r>
                      <w:rPr>
                        <w:rFonts w:ascii="Cambria Math" w:eastAsia="Calibri" w:hAnsi="Cambria Math" w:cs="Times New Roman"/>
                        <w:szCs w:val="24"/>
                      </w:rPr>
                      <m:t>l</m:t>
                    </m:r>
                  </m:sub>
                </m:sSub>
              </m:oMath>
            </m:oMathPara>
          </w:p>
        </w:tc>
        <w:tc>
          <w:tcPr>
            <w:tcW w:w="6923" w:type="dxa"/>
          </w:tcPr>
          <w:p w14:paraId="6F3DD3FE" w14:textId="764E1772" w:rsidR="006322EF" w:rsidRPr="00F04270" w:rsidRDefault="00F04270" w:rsidP="00F04270">
            <w:pPr>
              <w:spacing w:afterLines="60" w:after="144" w:line="300" w:lineRule="auto"/>
              <w:ind w:firstLine="0"/>
              <w:rPr>
                <w:szCs w:val="24"/>
              </w:rPr>
            </w:pPr>
            <w:r w:rsidRPr="00F04270">
              <w:rPr>
                <w:szCs w:val="24"/>
              </w:rPr>
              <w:t xml:space="preserve">melted </w:t>
            </w:r>
            <w:r w:rsidR="00A40BBE">
              <w:rPr>
                <w:szCs w:val="24"/>
              </w:rPr>
              <w:t>PCM</w:t>
            </w:r>
            <w:r w:rsidRPr="00F04270">
              <w:rPr>
                <w:szCs w:val="24"/>
              </w:rPr>
              <w:t xml:space="preserve"> volume (m</w:t>
            </w:r>
            <w:r w:rsidRPr="00F04270">
              <w:rPr>
                <w:szCs w:val="24"/>
                <w:vertAlign w:val="superscript"/>
              </w:rPr>
              <w:t>3</w:t>
            </w:r>
            <w:r w:rsidRPr="00F04270">
              <w:rPr>
                <w:szCs w:val="24"/>
              </w:rPr>
              <w:t>)</w:t>
            </w:r>
          </w:p>
        </w:tc>
      </w:tr>
      <w:tr w:rsidR="006322EF" w:rsidRPr="00F04270" w14:paraId="0D00ABFE" w14:textId="77777777" w:rsidTr="00561FBE">
        <w:tc>
          <w:tcPr>
            <w:tcW w:w="1717" w:type="dxa"/>
          </w:tcPr>
          <w:p w14:paraId="77A62C4D" w14:textId="5BD23827" w:rsidR="006322EF" w:rsidRPr="00F060E7" w:rsidRDefault="00912143"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δ</m:t>
                </m:r>
              </m:oMath>
            </m:oMathPara>
          </w:p>
        </w:tc>
        <w:tc>
          <w:tcPr>
            <w:tcW w:w="6923" w:type="dxa"/>
          </w:tcPr>
          <w:p w14:paraId="3CFE90AA" w14:textId="5580B5F1" w:rsidR="006322EF" w:rsidRPr="00F04270" w:rsidRDefault="00F04270" w:rsidP="00F04270">
            <w:pPr>
              <w:spacing w:afterLines="60" w:after="144" w:line="300" w:lineRule="auto"/>
              <w:ind w:firstLine="0"/>
              <w:rPr>
                <w:szCs w:val="24"/>
              </w:rPr>
            </w:pPr>
            <w:r w:rsidRPr="00F04270">
              <w:rPr>
                <w:szCs w:val="24"/>
              </w:rPr>
              <w:t>thermal element half-thickness (m)</w:t>
            </w:r>
          </w:p>
        </w:tc>
      </w:tr>
      <w:tr w:rsidR="00912143" w:rsidRPr="00F04270" w14:paraId="05C74463" w14:textId="77777777" w:rsidTr="00561FBE">
        <w:tc>
          <w:tcPr>
            <w:tcW w:w="1717" w:type="dxa"/>
          </w:tcPr>
          <w:p w14:paraId="736036EA" w14:textId="03FB9198" w:rsidR="00912143" w:rsidRPr="00F060E7" w:rsidRDefault="00912143"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ρ</m:t>
                </m:r>
              </m:oMath>
            </m:oMathPara>
          </w:p>
        </w:tc>
        <w:tc>
          <w:tcPr>
            <w:tcW w:w="6923" w:type="dxa"/>
          </w:tcPr>
          <w:p w14:paraId="4D27AA90" w14:textId="4F355A53" w:rsidR="00912143" w:rsidRPr="00F04270" w:rsidRDefault="00F04270" w:rsidP="00F04270">
            <w:pPr>
              <w:spacing w:afterLines="60" w:after="144" w:line="300" w:lineRule="auto"/>
              <w:ind w:firstLine="0"/>
              <w:rPr>
                <w:szCs w:val="24"/>
              </w:rPr>
            </w:pPr>
            <w:r w:rsidRPr="00F04270">
              <w:rPr>
                <w:szCs w:val="24"/>
              </w:rPr>
              <w:t>density (kg/m</w:t>
            </w:r>
            <w:r w:rsidRPr="00F04270">
              <w:rPr>
                <w:szCs w:val="24"/>
                <w:vertAlign w:val="superscript"/>
              </w:rPr>
              <w:t>3</w:t>
            </w:r>
            <w:r w:rsidRPr="00F04270">
              <w:rPr>
                <w:szCs w:val="24"/>
              </w:rPr>
              <w:t>)</w:t>
            </w:r>
          </w:p>
        </w:tc>
      </w:tr>
      <w:tr w:rsidR="00912143" w:rsidRPr="00F04270" w14:paraId="7713BC3F" w14:textId="77777777" w:rsidTr="00561FBE">
        <w:tc>
          <w:tcPr>
            <w:tcW w:w="1717" w:type="dxa"/>
          </w:tcPr>
          <w:p w14:paraId="557403E5" w14:textId="14C823CF" w:rsidR="00912143" w:rsidRPr="00F060E7" w:rsidRDefault="00912143"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ϵ</m:t>
                </m:r>
              </m:oMath>
            </m:oMathPara>
          </w:p>
        </w:tc>
        <w:tc>
          <w:tcPr>
            <w:tcW w:w="6923" w:type="dxa"/>
          </w:tcPr>
          <w:p w14:paraId="5EC64361" w14:textId="2BBB1DD6" w:rsidR="00912143" w:rsidRPr="00F04270" w:rsidRDefault="00F04270" w:rsidP="00F04270">
            <w:pPr>
              <w:spacing w:afterLines="60" w:after="144" w:line="300" w:lineRule="auto"/>
              <w:ind w:firstLine="0"/>
              <w:rPr>
                <w:szCs w:val="24"/>
              </w:rPr>
            </w:pPr>
            <w:r w:rsidRPr="00F04270">
              <w:rPr>
                <w:szCs w:val="24"/>
              </w:rPr>
              <w:t>Porosity</w:t>
            </w:r>
          </w:p>
        </w:tc>
      </w:tr>
      <w:tr w:rsidR="00B559E3" w:rsidRPr="00F04270" w14:paraId="50249538" w14:textId="77777777" w:rsidTr="00561FBE">
        <w:tc>
          <w:tcPr>
            <w:tcW w:w="1717" w:type="dxa"/>
          </w:tcPr>
          <w:p w14:paraId="67109B75" w14:textId="1B373064" w:rsidR="00B559E3" w:rsidRPr="00F060E7" w:rsidRDefault="00B559E3" w:rsidP="00AE3273">
            <w:pPr>
              <w:spacing w:afterLines="60" w:after="144" w:line="300" w:lineRule="auto"/>
              <w:jc w:val="center"/>
              <w:rPr>
                <w:rFonts w:eastAsia="Calibri" w:cs="Times New Roman"/>
                <w:szCs w:val="24"/>
              </w:rPr>
            </w:pPr>
            <m:oMathPara>
              <m:oMath>
                <m:r>
                  <w:rPr>
                    <w:rFonts w:ascii="Cambria Math" w:eastAsia="Calibri" w:hAnsi="Cambria Math" w:cs="Times New Roman"/>
                    <w:szCs w:val="24"/>
                  </w:rPr>
                  <m:t>ϕ</m:t>
                </m:r>
              </m:oMath>
            </m:oMathPara>
          </w:p>
        </w:tc>
        <w:tc>
          <w:tcPr>
            <w:tcW w:w="6923" w:type="dxa"/>
          </w:tcPr>
          <w:p w14:paraId="0328D29D" w14:textId="307F7855" w:rsidR="00B559E3" w:rsidRPr="00F04270" w:rsidRDefault="00F04270" w:rsidP="00F04270">
            <w:pPr>
              <w:spacing w:afterLines="60" w:after="144" w:line="300" w:lineRule="auto"/>
              <w:ind w:firstLine="0"/>
              <w:rPr>
                <w:szCs w:val="24"/>
              </w:rPr>
            </w:pPr>
            <w:r w:rsidRPr="00F04270">
              <w:rPr>
                <w:szCs w:val="24"/>
              </w:rPr>
              <w:t>generic variable</w:t>
            </w:r>
          </w:p>
        </w:tc>
      </w:tr>
    </w:tbl>
    <w:p w14:paraId="39AFCA16" w14:textId="77777777" w:rsidR="00854005" w:rsidRDefault="00854005" w:rsidP="00854005">
      <w:pPr>
        <w:pStyle w:val="Heading2"/>
        <w:tabs>
          <w:tab w:val="center" w:pos="4320"/>
        </w:tabs>
      </w:pPr>
      <w:r>
        <w:br w:type="page"/>
      </w:r>
    </w:p>
    <w:p w14:paraId="742C709F" w14:textId="37079A1B" w:rsidR="00A3167C" w:rsidRPr="0015600B" w:rsidRDefault="00EA706B" w:rsidP="00854005">
      <w:pPr>
        <w:pStyle w:val="Heading2"/>
        <w:tabs>
          <w:tab w:val="center" w:pos="4320"/>
        </w:tabs>
      </w:pPr>
      <w:bookmarkStart w:id="11" w:name="_Toc43877959"/>
      <w:bookmarkStart w:id="12" w:name="_Toc47467722"/>
      <w:r w:rsidRPr="0015600B">
        <w:lastRenderedPageBreak/>
        <w:t>ABSTRACT</w:t>
      </w:r>
      <w:bookmarkEnd w:id="11"/>
      <w:bookmarkEnd w:id="12"/>
      <w:r w:rsidR="00854005">
        <w:tab/>
      </w:r>
    </w:p>
    <w:p w14:paraId="7C8C31BD" w14:textId="0ACF86CD" w:rsidR="003D5483" w:rsidRPr="0015600B" w:rsidRDefault="00D36FCD" w:rsidP="003D5483">
      <w:r>
        <w:t>A</w:t>
      </w:r>
      <w:r w:rsidR="003D5483" w:rsidRPr="0015600B">
        <w:t>n energy performance study of a n</w:t>
      </w:r>
      <w:r w:rsidR="008F0CF3">
        <w:t>ew</w:t>
      </w:r>
      <w:r w:rsidR="003D5483" w:rsidRPr="0015600B">
        <w:t xml:space="preserve"> solar thermal-powered heating, cooling</w:t>
      </w:r>
      <w:r w:rsidR="00B140E4">
        <w:t>,</w:t>
      </w:r>
      <w:r w:rsidR="003D5483" w:rsidRPr="0015600B">
        <w:t xml:space="preserve"> and hot water system, integrated with a latent heat thermal energy storage (LHTES) and applied in cities in different climate zones (or regions) across the United States, is </w:t>
      </w:r>
      <w:r>
        <w:t>conduc</w:t>
      </w:r>
      <w:r w:rsidR="003D5483" w:rsidRPr="0015600B">
        <w:t xml:space="preserve">ted. </w:t>
      </w:r>
      <w:r w:rsidR="00132509" w:rsidRPr="0015600B">
        <w:t xml:space="preserve">A mathematical model was developed and simulated using MATLAB to determine </w:t>
      </w:r>
      <w:r w:rsidR="0056187C">
        <w:t xml:space="preserve">the </w:t>
      </w:r>
      <w:r w:rsidR="00132509" w:rsidRPr="0015600B">
        <w:t>energy demands with and without the LHTES</w:t>
      </w:r>
      <w:r w:rsidR="0056187C">
        <w:t>.</w:t>
      </w:r>
      <w:r w:rsidR="00132509" w:rsidRPr="0015600B">
        <w:t xml:space="preserve"> </w:t>
      </w:r>
      <w:r w:rsidR="003D5483" w:rsidRPr="0015600B">
        <w:t>Seven cities were selected in seven different U.S. climate zones. For each city, the daily building energy demand, daily global horizontal index (GHI), solar collector area</w:t>
      </w:r>
      <w:r w:rsidR="00B140E4">
        <w:t>,</w:t>
      </w:r>
      <w:r w:rsidR="003D5483" w:rsidRPr="0015600B">
        <w:t xml:space="preserve"> and thermal energy storage size were calculated. To evaluate the capabilities and benefits of the LHTES system, the annual building energy</w:t>
      </w:r>
      <w:r w:rsidR="006B4324">
        <w:t xml:space="preserve"> </w:t>
      </w:r>
      <w:r w:rsidR="0056187C">
        <w:t xml:space="preserve">demand </w:t>
      </w:r>
      <w:r w:rsidR="006B4324">
        <w:t>with and without solar collector and thermal energy storage</w:t>
      </w:r>
      <w:r w:rsidR="003D5483" w:rsidRPr="0015600B">
        <w:t>,</w:t>
      </w:r>
      <w:r w:rsidR="006B4324">
        <w:t xml:space="preserve"> energy cost</w:t>
      </w:r>
      <w:r w:rsidR="0056187C">
        <w:t xml:space="preserve"> saving</w:t>
      </w:r>
      <w:r w:rsidR="003B3E61">
        <w:t>s</w:t>
      </w:r>
      <w:r w:rsidR="006B4324">
        <w:t>,</w:t>
      </w:r>
      <w:r w:rsidR="003D5483" w:rsidRPr="0015600B">
        <w:t xml:space="preserve"> </w:t>
      </w:r>
      <w:r w:rsidR="0056187C">
        <w:t xml:space="preserve">annual </w:t>
      </w:r>
      <w:r w:rsidR="003D5483" w:rsidRPr="0015600B">
        <w:t xml:space="preserve">energy savings per unit PCM mass of thermal energy storage, </w:t>
      </w:r>
      <w:r w:rsidR="009C3160">
        <w:t>energy saving</w:t>
      </w:r>
      <w:r w:rsidR="00B140E4">
        <w:t>s</w:t>
      </w:r>
      <w:r w:rsidR="009C3160">
        <w:t xml:space="preserve"> per unit area of the collector </w:t>
      </w:r>
      <w:r w:rsidR="003D5483" w:rsidRPr="0015600B">
        <w:t>and solar energy utilization ratio w</w:t>
      </w:r>
      <w:r w:rsidR="00B140E4">
        <w:t>as</w:t>
      </w:r>
      <w:r w:rsidR="003D5483" w:rsidRPr="0015600B">
        <w:t xml:space="preserve"> calculated. </w:t>
      </w:r>
      <w:r w:rsidR="00561FBE">
        <w:t>R</w:t>
      </w:r>
      <w:r w:rsidR="003D5483" w:rsidRPr="0015600B">
        <w:t xml:space="preserve">esults show that the LHTES system is capable of reducing </w:t>
      </w:r>
      <w:r w:rsidR="00B140E4">
        <w:t>energy demand</w:t>
      </w:r>
      <w:r w:rsidR="0056187C">
        <w:t>s</w:t>
      </w:r>
      <w:r w:rsidR="00B140E4">
        <w:t xml:space="preserve"> for </w:t>
      </w:r>
      <w:r w:rsidR="003D5483" w:rsidRPr="0015600B">
        <w:t>residential buildings in all the seven climate zones; however, the system is more beneficial in warmer climate zones than in colder climate zones. In warmer climate zones, the equipment sizes are smaller, the annual energy savings per unit mass of thermal energy storage is larger, energy saving</w:t>
      </w:r>
      <w:r w:rsidR="00B140E4">
        <w:t>s</w:t>
      </w:r>
      <w:r w:rsidR="003D5483" w:rsidRPr="0015600B">
        <w:t xml:space="preserve"> per unit area, energy cost saving</w:t>
      </w:r>
      <w:r w:rsidR="00B140E4">
        <w:t>s</w:t>
      </w:r>
      <w:r w:rsidR="003D5483" w:rsidRPr="0015600B">
        <w:t xml:space="preserve">, and solar energy utilization ratio are higher than in colder climate zones indicating that LHTES system are more beneficial in warmer climate zones than in colder climate zones. </w:t>
      </w:r>
      <w:r w:rsidR="009C3160">
        <w:t>Nevertheless, f</w:t>
      </w:r>
      <w:r w:rsidR="003D5483" w:rsidRPr="0015600B">
        <w:t xml:space="preserve">urther research should be conducted to </w:t>
      </w:r>
      <w:r w:rsidR="009C3160">
        <w:t xml:space="preserve">carefully investigate the capital cost and affordability of the system to </w:t>
      </w:r>
      <w:r w:rsidR="003D5483" w:rsidRPr="0015600B">
        <w:t xml:space="preserve">initiate the </w:t>
      </w:r>
      <w:r w:rsidR="00B140E4">
        <w:t>deployment</w:t>
      </w:r>
      <w:r w:rsidR="003D5483" w:rsidRPr="0015600B">
        <w:t xml:space="preserve"> of the LHTES system in the HVAC industry.</w:t>
      </w:r>
    </w:p>
    <w:p w14:paraId="0BACE86F" w14:textId="77777777" w:rsidR="00F1329F" w:rsidRPr="0015600B" w:rsidRDefault="00F1329F" w:rsidP="00BC2CA0">
      <w:pPr>
        <w:spacing w:beforeLines="120" w:before="288" w:afterLines="120" w:after="288"/>
        <w:rPr>
          <w:szCs w:val="24"/>
        </w:rPr>
        <w:sectPr w:rsidR="00F1329F" w:rsidRPr="0015600B" w:rsidSect="003C5CF5">
          <w:headerReference w:type="default" r:id="rId15"/>
          <w:footerReference w:type="default" r:id="rId16"/>
          <w:pgSz w:w="12240" w:h="15840"/>
          <w:pgMar w:top="1440" w:right="1440" w:bottom="1440" w:left="2160" w:header="720" w:footer="720" w:gutter="0"/>
          <w:pgNumType w:fmt="lowerRoman" w:start="4"/>
          <w:cols w:space="720"/>
          <w:docGrid w:linePitch="326"/>
        </w:sectPr>
      </w:pPr>
    </w:p>
    <w:p w14:paraId="4B969F0C" w14:textId="32755B2B" w:rsidR="00B11453" w:rsidRPr="0015600B" w:rsidRDefault="00DB3DC6" w:rsidP="00C764BF">
      <w:pPr>
        <w:pStyle w:val="Heading1"/>
      </w:pPr>
      <w:bookmarkStart w:id="13" w:name="_Toc43877960"/>
      <w:bookmarkStart w:id="14" w:name="_Toc47467723"/>
      <w:r w:rsidRPr="0015600B">
        <w:lastRenderedPageBreak/>
        <w:t xml:space="preserve">THE </w:t>
      </w:r>
      <w:r w:rsidRPr="00723466">
        <w:t>BACKGROUND</w:t>
      </w:r>
      <w:r w:rsidRPr="0015600B">
        <w:t xml:space="preserve"> OF </w:t>
      </w:r>
      <w:r w:rsidR="00502DBA" w:rsidRPr="0015600B">
        <w:t xml:space="preserve">THE </w:t>
      </w:r>
      <w:bookmarkEnd w:id="13"/>
      <w:r w:rsidR="0055594E">
        <w:rPr>
          <w:caps w:val="0"/>
        </w:rPr>
        <w:t>PROJECT</w:t>
      </w:r>
      <w:bookmarkEnd w:id="14"/>
    </w:p>
    <w:p w14:paraId="5CE2F450" w14:textId="4F6C5583" w:rsidR="00A819DE" w:rsidRPr="0015600B" w:rsidRDefault="00A819DE" w:rsidP="00A819DE">
      <w:pPr>
        <w:spacing w:beforeLines="120" w:before="288" w:afterLines="120" w:after="288"/>
        <w:rPr>
          <w:szCs w:val="24"/>
        </w:rPr>
      </w:pPr>
      <w:bookmarkStart w:id="15" w:name="_Toc41053071"/>
      <w:bookmarkStart w:id="16" w:name="_Hlk35508353"/>
      <w:bookmarkStart w:id="17" w:name="_Hlk38006938"/>
      <w:bookmarkStart w:id="18" w:name="_Hlk41044706"/>
      <w:r w:rsidRPr="0015600B">
        <w:rPr>
          <w:szCs w:val="24"/>
        </w:rPr>
        <w:t xml:space="preserve">In this thesis, </w:t>
      </w:r>
      <w:r w:rsidR="00B31843">
        <w:rPr>
          <w:szCs w:val="24"/>
        </w:rPr>
        <w:t xml:space="preserve">the </w:t>
      </w:r>
      <w:r w:rsidRPr="0015600B">
        <w:rPr>
          <w:szCs w:val="24"/>
        </w:rPr>
        <w:t xml:space="preserve">energy performance </w:t>
      </w:r>
      <w:r w:rsidR="001458BD">
        <w:rPr>
          <w:szCs w:val="24"/>
        </w:rPr>
        <w:t xml:space="preserve">study </w:t>
      </w:r>
      <w:r w:rsidRPr="0015600B">
        <w:rPr>
          <w:szCs w:val="24"/>
        </w:rPr>
        <w:t xml:space="preserve">of a novel solar thermal-powered heating, cooling, and hot water system, integrated with latent heat thermal energy storage (LHTES) system is </w:t>
      </w:r>
      <w:r w:rsidR="004E1A99">
        <w:rPr>
          <w:szCs w:val="24"/>
        </w:rPr>
        <w:t>conducted</w:t>
      </w:r>
      <w:r w:rsidRPr="0015600B">
        <w:rPr>
          <w:szCs w:val="24"/>
        </w:rPr>
        <w:t xml:space="preserve">. The LHTES system serves thermal energy storage and supply heating, </w:t>
      </w:r>
      <w:r w:rsidR="004E1A99">
        <w:rPr>
          <w:szCs w:val="24"/>
        </w:rPr>
        <w:t xml:space="preserve">cooling, </w:t>
      </w:r>
      <w:r w:rsidRPr="0015600B">
        <w:rPr>
          <w:szCs w:val="24"/>
        </w:rPr>
        <w:t>and hot water loads in residential buildings. An electric or natural gas heater can be used as a backup for times when solar energy is not sufficient</w:t>
      </w:r>
      <w:r w:rsidR="0026446A">
        <w:rPr>
          <w:szCs w:val="24"/>
        </w:rPr>
        <w:t xml:space="preserve"> </w:t>
      </w:r>
      <w:r w:rsidRPr="0015600B">
        <w:rPr>
          <w:szCs w:val="24"/>
        </w:rPr>
        <w:t xml:space="preserve">or </w:t>
      </w:r>
      <w:r w:rsidR="0026446A">
        <w:rPr>
          <w:szCs w:val="24"/>
        </w:rPr>
        <w:t xml:space="preserve">not </w:t>
      </w:r>
      <w:r w:rsidRPr="0015600B">
        <w:rPr>
          <w:szCs w:val="24"/>
        </w:rPr>
        <w:t>available, providing a versatile heating source with minimum extra cost [1].  In this chapter, the layout of the heating</w:t>
      </w:r>
      <w:r w:rsidR="00B31843">
        <w:rPr>
          <w:szCs w:val="24"/>
        </w:rPr>
        <w:t>,</w:t>
      </w:r>
      <w:r w:rsidRPr="0015600B">
        <w:rPr>
          <w:szCs w:val="24"/>
        </w:rPr>
        <w:t xml:space="preserve"> </w:t>
      </w:r>
      <w:r w:rsidR="004449E1">
        <w:rPr>
          <w:szCs w:val="24"/>
        </w:rPr>
        <w:t xml:space="preserve">cooling, </w:t>
      </w:r>
      <w:r w:rsidRPr="0015600B">
        <w:rPr>
          <w:szCs w:val="24"/>
        </w:rPr>
        <w:t xml:space="preserve">and hot water system integrated with latent heat thermal energy storage </w:t>
      </w:r>
      <w:r w:rsidR="003B3E61">
        <w:rPr>
          <w:szCs w:val="24"/>
        </w:rPr>
        <w:t>is</w:t>
      </w:r>
      <w:r w:rsidRPr="0015600B">
        <w:rPr>
          <w:szCs w:val="24"/>
        </w:rPr>
        <w:t xml:space="preserve"> presented first; then</w:t>
      </w:r>
      <w:r w:rsidR="003B3E61">
        <w:rPr>
          <w:szCs w:val="24"/>
        </w:rPr>
        <w:t>,</w:t>
      </w:r>
      <w:r w:rsidRPr="0015600B">
        <w:rPr>
          <w:szCs w:val="24"/>
        </w:rPr>
        <w:t xml:space="preserve"> the components of latent heat thermal energy storage are discussed; and lastly, the research objectives and thesis overview/organization are summarized.</w:t>
      </w:r>
    </w:p>
    <w:p w14:paraId="09C38AF1" w14:textId="1E7B3B57" w:rsidR="00A819DE" w:rsidRPr="0015600B" w:rsidRDefault="00A819DE" w:rsidP="00D45693">
      <w:pPr>
        <w:pStyle w:val="Heading2"/>
        <w:numPr>
          <w:ilvl w:val="1"/>
          <w:numId w:val="15"/>
        </w:numPr>
      </w:pPr>
      <w:bookmarkStart w:id="19" w:name="_Toc42505295"/>
      <w:bookmarkStart w:id="20" w:name="_Toc43877961"/>
      <w:bookmarkStart w:id="21" w:name="_Toc47467724"/>
      <w:r w:rsidRPr="0015600B">
        <w:t xml:space="preserve">The </w:t>
      </w:r>
      <w:r w:rsidRPr="00D45693">
        <w:t>System</w:t>
      </w:r>
      <w:r w:rsidRPr="0015600B">
        <w:t xml:space="preserve"> Layout</w:t>
      </w:r>
      <w:bookmarkEnd w:id="19"/>
      <w:bookmarkEnd w:id="20"/>
      <w:bookmarkEnd w:id="21"/>
      <w:r w:rsidRPr="0015600B">
        <w:t xml:space="preserve"> </w:t>
      </w:r>
    </w:p>
    <w:p w14:paraId="2DB5E5EA" w14:textId="7CAD8476" w:rsidR="00A819DE" w:rsidRPr="0015600B" w:rsidRDefault="004449E1" w:rsidP="00A819DE">
      <w:pPr>
        <w:spacing w:beforeLines="120" w:before="288" w:afterLines="120" w:after="288"/>
        <w:rPr>
          <w:szCs w:val="24"/>
        </w:rPr>
      </w:pPr>
      <w:r>
        <w:rPr>
          <w:rFonts w:cs="Times New Roman"/>
          <w:bCs/>
          <w:szCs w:val="24"/>
        </w:rPr>
        <w:t>The</w:t>
      </w:r>
      <w:r w:rsidR="00A819DE" w:rsidRPr="0015600B">
        <w:rPr>
          <w:szCs w:val="24"/>
        </w:rPr>
        <w:t xml:space="preserve"> layout of the solar-thermal powered heating, </w:t>
      </w:r>
      <w:r>
        <w:rPr>
          <w:szCs w:val="24"/>
        </w:rPr>
        <w:t xml:space="preserve">cooling, </w:t>
      </w:r>
      <w:r w:rsidR="00A819DE" w:rsidRPr="0015600B">
        <w:rPr>
          <w:szCs w:val="24"/>
        </w:rPr>
        <w:t xml:space="preserve">and hot water system integrated with the latent </w:t>
      </w:r>
      <w:r w:rsidR="004E1A99">
        <w:rPr>
          <w:szCs w:val="24"/>
        </w:rPr>
        <w:t xml:space="preserve">heat </w:t>
      </w:r>
      <w:r w:rsidR="00A819DE" w:rsidRPr="0015600B">
        <w:rPr>
          <w:szCs w:val="24"/>
        </w:rPr>
        <w:t xml:space="preserve">thermal energy storage is shown in Figure 1.1. The system includes an evacuated glass tube solar collector, a home absorption air conditioning unit or heat pump unit, and a latent heat thermal energy storage (LHTES) unit. </w:t>
      </w:r>
      <w:r>
        <w:rPr>
          <w:szCs w:val="24"/>
        </w:rPr>
        <w:t xml:space="preserve">The LHTES unit is composed of three heat exchangers and </w:t>
      </w:r>
      <w:r w:rsidR="008F0CF3">
        <w:rPr>
          <w:szCs w:val="24"/>
        </w:rPr>
        <w:t xml:space="preserve">a </w:t>
      </w:r>
      <w:r>
        <w:rPr>
          <w:szCs w:val="24"/>
        </w:rPr>
        <w:t xml:space="preserve">PCM (phase change material) compartment connected to </w:t>
      </w:r>
      <w:r w:rsidR="008F0CF3">
        <w:rPr>
          <w:szCs w:val="24"/>
        </w:rPr>
        <w:t xml:space="preserve">a </w:t>
      </w:r>
      <w:r>
        <w:rPr>
          <w:szCs w:val="24"/>
        </w:rPr>
        <w:t xml:space="preserve">glass tube collector by heat pipes. </w:t>
      </w:r>
      <w:r w:rsidR="00A819DE" w:rsidRPr="0015600B">
        <w:rPr>
          <w:szCs w:val="24"/>
        </w:rPr>
        <w:t xml:space="preserve">The three heat exchangers serve to generate saturated vapor for absorption </w:t>
      </w:r>
      <w:r w:rsidR="00A819DE" w:rsidRPr="0015600B">
        <w:rPr>
          <w:szCs w:val="24"/>
        </w:rPr>
        <w:lastRenderedPageBreak/>
        <w:t>air conditioning, produce hot air for space heating (not needed if an absorption heat pump is employed), and supply hot water for domestic application</w:t>
      </w:r>
      <w:r w:rsidR="00961BF4">
        <w:rPr>
          <w:szCs w:val="24"/>
        </w:rPr>
        <w:t>s</w:t>
      </w:r>
      <w:r w:rsidR="00A819DE" w:rsidRPr="0015600B">
        <w:rPr>
          <w:szCs w:val="24"/>
        </w:rPr>
        <w:t xml:space="preserve">. </w:t>
      </w:r>
    </w:p>
    <w:p w14:paraId="6F749555" w14:textId="77777777" w:rsidR="00D173BC" w:rsidRDefault="00A819DE" w:rsidP="00D173BC">
      <w:pPr>
        <w:keepNext/>
        <w:spacing w:beforeLines="120" w:before="288" w:afterLines="120" w:after="288"/>
        <w:ind w:firstLine="0"/>
        <w:jc w:val="center"/>
      </w:pPr>
      <w:r w:rsidRPr="0015600B">
        <w:rPr>
          <w:noProof/>
          <w:szCs w:val="24"/>
        </w:rPr>
        <w:drawing>
          <wp:inline distT="0" distB="0" distL="0" distR="0" wp14:anchorId="56C17B34" wp14:editId="57A06CD4">
            <wp:extent cx="4380192" cy="2413000"/>
            <wp:effectExtent l="0" t="0" r="1905" b="6350"/>
            <wp:docPr id="8" name="Picture 8"/>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17"/>
                    <a:stretch>
                      <a:fillRect/>
                    </a:stretch>
                  </pic:blipFill>
                  <pic:spPr>
                    <a:xfrm>
                      <a:off x="0" y="0"/>
                      <a:ext cx="4385620" cy="2415990"/>
                    </a:xfrm>
                    <a:prstGeom prst="rect">
                      <a:avLst/>
                    </a:prstGeom>
                  </pic:spPr>
                </pic:pic>
              </a:graphicData>
            </a:graphic>
          </wp:inline>
        </w:drawing>
      </w:r>
    </w:p>
    <w:p w14:paraId="21332582" w14:textId="0AAFAAFA" w:rsidR="00A819DE" w:rsidRPr="00695017" w:rsidRDefault="00D173BC" w:rsidP="00037B41">
      <w:pPr>
        <w:pStyle w:val="Caption"/>
      </w:pPr>
      <w:bookmarkStart w:id="22" w:name="_Toc47467750"/>
      <w:r w:rsidRPr="00695017">
        <w:t xml:space="preserve">Figure </w:t>
      </w:r>
      <w:fldSimple w:instr=" STYLEREF 1 \s ">
        <w:r w:rsidR="00D979B8">
          <w:rPr>
            <w:noProof/>
          </w:rPr>
          <w:t>1</w:t>
        </w:r>
      </w:fldSimple>
      <w:r w:rsidR="00961B56" w:rsidRPr="00695017">
        <w:t>.</w:t>
      </w:r>
      <w:fldSimple w:instr=" SEQ Figure \* ARABIC \s 1 ">
        <w:r w:rsidR="00D979B8">
          <w:rPr>
            <w:noProof/>
          </w:rPr>
          <w:t>1</w:t>
        </w:r>
      </w:fldSimple>
      <w:bookmarkStart w:id="23" w:name="_Toc42505255"/>
      <w:bookmarkStart w:id="24" w:name="_Toc41579994"/>
      <w:bookmarkStart w:id="25" w:name="_Toc41601481"/>
      <w:r w:rsidRPr="00695017">
        <w:t>.</w:t>
      </w:r>
      <w:r w:rsidR="00A819DE" w:rsidRPr="00695017">
        <w:t xml:space="preserve"> The view of the combined solar heating, cooling, and hot water with latent thermal energy storage</w:t>
      </w:r>
      <w:bookmarkEnd w:id="23"/>
      <w:bookmarkEnd w:id="24"/>
      <w:bookmarkEnd w:id="25"/>
      <w:r w:rsidR="00577EAC" w:rsidRPr="00695017">
        <w:t xml:space="preserve"> (</w:t>
      </w:r>
      <w:r w:rsidR="0041368B">
        <w:t>a</w:t>
      </w:r>
      <w:r w:rsidR="00D61001" w:rsidRPr="00695017">
        <w:t>dop</w:t>
      </w:r>
      <w:r w:rsidR="00132509" w:rsidRPr="00695017">
        <w:t>ted from</w:t>
      </w:r>
      <w:r w:rsidR="009D7B75" w:rsidRPr="00D72B39">
        <w:t xml:space="preserve"> </w:t>
      </w:r>
      <w:r w:rsidR="009D7B75" w:rsidRPr="00695017">
        <w:fldChar w:fldCharType="begin" w:fldLock="1"/>
      </w:r>
      <w:r w:rsidR="00A27D36" w:rsidRPr="00026817">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9D7B75" w:rsidRPr="00695017">
        <w:fldChar w:fldCharType="separate"/>
      </w:r>
      <w:r w:rsidR="009D7B75" w:rsidRPr="00026817">
        <w:rPr>
          <w:noProof/>
        </w:rPr>
        <w:t>[1]</w:t>
      </w:r>
      <w:r w:rsidR="009D7B75" w:rsidRPr="00695017">
        <w:fldChar w:fldCharType="end"/>
      </w:r>
      <w:r w:rsidR="00577EAC" w:rsidRPr="00695017">
        <w:t>)</w:t>
      </w:r>
      <w:r w:rsidR="00D61001" w:rsidRPr="00695017">
        <w:t>.</w:t>
      </w:r>
      <w:bookmarkEnd w:id="22"/>
    </w:p>
    <w:p w14:paraId="42329F41" w14:textId="76C68BC5" w:rsidR="00A819DE" w:rsidRPr="0015600B" w:rsidRDefault="00961BF4" w:rsidP="00A819DE">
      <w:pPr>
        <w:spacing w:beforeLines="120" w:before="288" w:afterLines="120" w:after="288"/>
        <w:rPr>
          <w:szCs w:val="24"/>
        </w:rPr>
      </w:pPr>
      <w:r>
        <w:rPr>
          <w:szCs w:val="24"/>
        </w:rPr>
        <w:t>The s</w:t>
      </w:r>
      <w:r w:rsidR="00A819DE" w:rsidRPr="0015600B">
        <w:rPr>
          <w:szCs w:val="24"/>
        </w:rPr>
        <w:t>olar radiation is absorbed on the outer surface of the solar collector and vaporizes the liquid working fluid inside the pipes. The created saturated vapor leaves the collector pipes from the top</w:t>
      </w:r>
      <w:r w:rsidR="008F0CF3">
        <w:rPr>
          <w:szCs w:val="24"/>
        </w:rPr>
        <w:t>. It</w:t>
      </w:r>
      <w:r w:rsidR="00A819DE" w:rsidRPr="0015600B">
        <w:rPr>
          <w:szCs w:val="24"/>
        </w:rPr>
        <w:t xml:space="preserve"> is </w:t>
      </w:r>
      <w:r w:rsidR="008F0CF3">
        <w:rPr>
          <w:szCs w:val="24"/>
        </w:rPr>
        <w:t xml:space="preserve">then </w:t>
      </w:r>
      <w:r w:rsidR="00A819DE" w:rsidRPr="0015600B">
        <w:rPr>
          <w:szCs w:val="24"/>
        </w:rPr>
        <w:t xml:space="preserve">passively driven to the LHTES unit due to induced pressure difference between the relatively hot (collectors) and relatively cold (LHTES unit) sides. Inside the LHTES unit, the vapor </w:t>
      </w:r>
      <w:r w:rsidR="008F0CF3">
        <w:rPr>
          <w:szCs w:val="24"/>
        </w:rPr>
        <w:t>rises the input heat pipes</w:t>
      </w:r>
      <w:r w:rsidR="00A819DE" w:rsidRPr="0015600B">
        <w:rPr>
          <w:szCs w:val="24"/>
        </w:rPr>
        <w:t>, where it condenses due to heat transfer to the relatively colder PCM</w:t>
      </w:r>
      <w:r w:rsidR="001D2315">
        <w:rPr>
          <w:szCs w:val="24"/>
        </w:rPr>
        <w:t xml:space="preserve"> regions</w:t>
      </w:r>
      <w:r w:rsidR="00A819DE" w:rsidRPr="0015600B">
        <w:rPr>
          <w:szCs w:val="24"/>
        </w:rPr>
        <w:t>. The evacuated tube collectors, the condensation pipes inside the PCM, and connecting tubes create a heat pipe loop in which the collectors serve as the “evaporator” section, and the tubes penetrating the PCM act as the “condenser” section</w:t>
      </w:r>
      <w:r w:rsidR="001D2315">
        <w:rPr>
          <w:szCs w:val="24"/>
        </w:rPr>
        <w:t xml:space="preserve"> </w:t>
      </w:r>
      <w:r w:rsidR="00A819DE" w:rsidRPr="0015600B">
        <w:rPr>
          <w:szCs w:val="24"/>
        </w:rPr>
        <w:fldChar w:fldCharType="begin" w:fldLock="1"/>
      </w:r>
      <w:r w:rsidR="00A819DE" w:rsidRPr="0015600B">
        <w:rPr>
          <w:szCs w:val="24"/>
        </w:rPr>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A819DE" w:rsidRPr="0015600B">
        <w:rPr>
          <w:szCs w:val="24"/>
        </w:rPr>
        <w:fldChar w:fldCharType="separate"/>
      </w:r>
      <w:r w:rsidR="00A819DE" w:rsidRPr="0015600B">
        <w:rPr>
          <w:noProof/>
          <w:szCs w:val="24"/>
        </w:rPr>
        <w:t>[1]</w:t>
      </w:r>
      <w:r w:rsidR="00A819DE" w:rsidRPr="0015600B">
        <w:rPr>
          <w:szCs w:val="24"/>
        </w:rPr>
        <w:fldChar w:fldCharType="end"/>
      </w:r>
      <w:r w:rsidR="009C55E9">
        <w:rPr>
          <w:szCs w:val="24"/>
        </w:rPr>
        <w:t>.</w:t>
      </w:r>
    </w:p>
    <w:p w14:paraId="2B144ED7" w14:textId="212BDBF7" w:rsidR="00A819DE" w:rsidRPr="0015600B" w:rsidRDefault="00A819DE" w:rsidP="00D45693">
      <w:pPr>
        <w:pStyle w:val="Heading2"/>
        <w:numPr>
          <w:ilvl w:val="1"/>
          <w:numId w:val="15"/>
        </w:numPr>
        <w:rPr>
          <w:szCs w:val="24"/>
        </w:rPr>
      </w:pPr>
      <w:bookmarkStart w:id="26" w:name="_Toc42334994"/>
      <w:bookmarkStart w:id="27" w:name="_Toc42505296"/>
      <w:bookmarkStart w:id="28" w:name="_Toc43877962"/>
      <w:bookmarkStart w:id="29" w:name="_Toc47467725"/>
      <w:r w:rsidRPr="0015600B">
        <w:rPr>
          <w:szCs w:val="24"/>
        </w:rPr>
        <w:lastRenderedPageBreak/>
        <w:t>The Components of the LTHES System</w:t>
      </w:r>
      <w:bookmarkEnd w:id="26"/>
      <w:bookmarkEnd w:id="27"/>
      <w:bookmarkEnd w:id="28"/>
      <w:bookmarkEnd w:id="29"/>
    </w:p>
    <w:p w14:paraId="452159DC" w14:textId="5ED41A0A" w:rsidR="00A819DE" w:rsidRPr="0015600B" w:rsidRDefault="00A819DE" w:rsidP="00A819DE">
      <w:pPr>
        <w:rPr>
          <w:szCs w:val="24"/>
        </w:rPr>
      </w:pPr>
      <w:r w:rsidRPr="0015600B">
        <w:rPr>
          <w:szCs w:val="24"/>
        </w:rPr>
        <w:t>The proposed LTHES system is made up of evacuated tube solar collectors, latent heat thermal energy storage unit</w:t>
      </w:r>
      <w:r w:rsidR="002226B6">
        <w:rPr>
          <w:szCs w:val="24"/>
        </w:rPr>
        <w:t xml:space="preserve"> with three heat exchangers for </w:t>
      </w:r>
      <w:r w:rsidRPr="0015600B">
        <w:rPr>
          <w:szCs w:val="24"/>
        </w:rPr>
        <w:t>an absorption air conditioning unit or heat pump</w:t>
      </w:r>
      <w:r w:rsidR="006F6481">
        <w:rPr>
          <w:szCs w:val="24"/>
        </w:rPr>
        <w:t xml:space="preserve"> (not shown in this </w:t>
      </w:r>
      <w:r w:rsidR="00CF14D2">
        <w:rPr>
          <w:szCs w:val="24"/>
        </w:rPr>
        <w:t>thesis</w:t>
      </w:r>
      <w:r w:rsidR="006F6481">
        <w:rPr>
          <w:szCs w:val="24"/>
        </w:rPr>
        <w:t>)</w:t>
      </w:r>
      <w:r w:rsidRPr="0015600B">
        <w:rPr>
          <w:szCs w:val="24"/>
        </w:rPr>
        <w:t xml:space="preserve">, a solar-assisted water heater unit, </w:t>
      </w:r>
      <w:r w:rsidR="002226B6">
        <w:rPr>
          <w:szCs w:val="24"/>
        </w:rPr>
        <w:t xml:space="preserve">and </w:t>
      </w:r>
      <w:r w:rsidRPr="0015600B">
        <w:rPr>
          <w:szCs w:val="24"/>
        </w:rPr>
        <w:t>a space heating unit (not needed if the heat pump is used)</w:t>
      </w:r>
      <w:r w:rsidR="002226B6">
        <w:rPr>
          <w:szCs w:val="24"/>
        </w:rPr>
        <w:t xml:space="preserve">. </w:t>
      </w:r>
      <w:r w:rsidRPr="0015600B">
        <w:rPr>
          <w:szCs w:val="24"/>
        </w:rPr>
        <w:t xml:space="preserve">The comprehension of an individual unit in the system </w:t>
      </w:r>
      <w:r w:rsidR="00CF14D2">
        <w:rPr>
          <w:szCs w:val="24"/>
        </w:rPr>
        <w:t>can</w:t>
      </w:r>
      <w:r w:rsidRPr="0015600B">
        <w:rPr>
          <w:szCs w:val="24"/>
        </w:rPr>
        <w:t xml:space="preserve"> serve</w:t>
      </w:r>
      <w:r w:rsidR="001A798E">
        <w:rPr>
          <w:szCs w:val="24"/>
        </w:rPr>
        <w:t xml:space="preserve"> as</w:t>
      </w:r>
      <w:r w:rsidRPr="0015600B">
        <w:rPr>
          <w:szCs w:val="24"/>
        </w:rPr>
        <w:t xml:space="preserve"> a guide to selecting equipment for experimentation or motivate the interested researcher to seek more information. As such, the brief functionality of each unit is presented in this section. </w:t>
      </w:r>
    </w:p>
    <w:p w14:paraId="2B8118E7" w14:textId="2ED92578" w:rsidR="00A819DE" w:rsidRPr="0015600B" w:rsidRDefault="00A819DE" w:rsidP="00D45693">
      <w:pPr>
        <w:pStyle w:val="Heading3"/>
        <w:numPr>
          <w:ilvl w:val="2"/>
          <w:numId w:val="15"/>
        </w:numPr>
        <w:spacing w:beforeLines="120" w:before="288" w:afterLines="120" w:after="288"/>
        <w:rPr>
          <w:rFonts w:cs="Times New Roman"/>
          <w:bCs/>
        </w:rPr>
      </w:pPr>
      <w:bookmarkStart w:id="30" w:name="_Toc42334995"/>
      <w:bookmarkStart w:id="31" w:name="_Toc42505297"/>
      <w:bookmarkStart w:id="32" w:name="_Toc43877963"/>
      <w:r w:rsidRPr="0015600B">
        <w:rPr>
          <w:rFonts w:cs="Times New Roman"/>
          <w:bCs/>
        </w:rPr>
        <w:t>The evacuated tube solar collector</w:t>
      </w:r>
      <w:bookmarkEnd w:id="30"/>
      <w:bookmarkEnd w:id="31"/>
      <w:bookmarkEnd w:id="32"/>
    </w:p>
    <w:p w14:paraId="12A51071" w14:textId="09F7DDFC" w:rsidR="00A819DE" w:rsidRPr="0015600B" w:rsidRDefault="00A819DE" w:rsidP="00A819DE">
      <w:pPr>
        <w:rPr>
          <w:szCs w:val="24"/>
        </w:rPr>
      </w:pPr>
      <w:r w:rsidRPr="0015600B">
        <w:rPr>
          <w:szCs w:val="24"/>
        </w:rPr>
        <w:t xml:space="preserve">The evacuated tube solar collectors (ETCs) convert solar energy into thermal energy for domestic and commercial hot water heating, pool heating, space heating, air conditioning, etc. ETCs consist of evacuated tubes with two evacuated hollow glass tubes connected to heat transfer fin through which thermal energy is transferred by heat pipes to the manifold </w:t>
      </w:r>
      <w:r w:rsidRPr="0015600B">
        <w:rPr>
          <w:szCs w:val="24"/>
        </w:rPr>
        <w:fldChar w:fldCharType="begin" w:fldLock="1"/>
      </w:r>
      <w:r w:rsidRPr="0015600B">
        <w:rPr>
          <w:szCs w:val="24"/>
        </w:rPr>
        <w:instrText>ADDIN CSL_CITATION {"citationItems":[{"id":"ITEM-1","itemData":{"URL":"https://www.apricus.com/Evacuated-Tube-Solar-Collectors-pl3681275.html","accessed":{"date-parts":[["2020","6","3"]]},"id":"ITEM-1","issued":{"date-parts":[["0"]]},"title":"Evacuated Tube Solar Collectors | Apricus Eco-Energy","type":"webpage"},"uris":["http://www.mendeley.com/documents/?uuid=b5bb534f-880d-3e5e-8f1e-d81afb199e09"]}],"mendeley":{"formattedCitation":"[2]","plainTextFormattedCitation":"[2]","previouslyFormattedCitation":"[2]"},"properties":{"noteIndex":0},"schema":"https://github.com/citation-style-language/schema/raw/master/csl-citation.json"}</w:instrText>
      </w:r>
      <w:r w:rsidRPr="0015600B">
        <w:rPr>
          <w:szCs w:val="24"/>
        </w:rPr>
        <w:fldChar w:fldCharType="separate"/>
      </w:r>
      <w:r w:rsidRPr="0015600B">
        <w:rPr>
          <w:noProof/>
          <w:szCs w:val="24"/>
        </w:rPr>
        <w:t>[2]</w:t>
      </w:r>
      <w:r w:rsidRPr="0015600B">
        <w:rPr>
          <w:szCs w:val="24"/>
        </w:rPr>
        <w:fldChar w:fldCharType="end"/>
      </w:r>
      <w:r w:rsidRPr="0015600B">
        <w:rPr>
          <w:szCs w:val="24"/>
        </w:rPr>
        <w:t xml:space="preserve">. </w:t>
      </w:r>
    </w:p>
    <w:p w14:paraId="34338E45" w14:textId="77777777" w:rsidR="00785D59" w:rsidRDefault="00A819DE" w:rsidP="00785D59">
      <w:pPr>
        <w:keepNext/>
        <w:ind w:firstLine="0"/>
        <w:jc w:val="center"/>
      </w:pPr>
      <w:r w:rsidRPr="0015600B">
        <w:rPr>
          <w:noProof/>
          <w:szCs w:val="24"/>
        </w:rPr>
        <w:lastRenderedPageBreak/>
        <w:drawing>
          <wp:inline distT="0" distB="0" distL="0" distR="0" wp14:anchorId="407BF348" wp14:editId="6E30EB11">
            <wp:extent cx="3756660" cy="4077107"/>
            <wp:effectExtent l="0" t="0" r="0" b="635"/>
            <wp:docPr id="3" name="Picture 3" descr="ETC-DEMO_with_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C-DEMO_with_label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56660" cy="4077107"/>
                    </a:xfrm>
                    <a:prstGeom prst="rect">
                      <a:avLst/>
                    </a:prstGeom>
                    <a:noFill/>
                    <a:ln>
                      <a:noFill/>
                    </a:ln>
                  </pic:spPr>
                </pic:pic>
              </a:graphicData>
            </a:graphic>
          </wp:inline>
        </w:drawing>
      </w:r>
    </w:p>
    <w:p w14:paraId="4A8E5FE6" w14:textId="27DD582A" w:rsidR="00A819DE" w:rsidRPr="0015600B" w:rsidRDefault="00785D59" w:rsidP="00037B41">
      <w:pPr>
        <w:pStyle w:val="Caption"/>
      </w:pPr>
      <w:bookmarkStart w:id="33" w:name="_Toc47467751"/>
      <w:r>
        <w:t xml:space="preserve">Figure </w:t>
      </w:r>
      <w:fldSimple w:instr=" STYLEREF 1 \s ">
        <w:r w:rsidR="00D979B8">
          <w:rPr>
            <w:noProof/>
          </w:rPr>
          <w:t>1</w:t>
        </w:r>
      </w:fldSimple>
      <w:r w:rsidR="00961B56">
        <w:t>.</w:t>
      </w:r>
      <w:fldSimple w:instr=" SEQ Figure \* ARABIC \s 1 ">
        <w:r w:rsidR="00D979B8">
          <w:rPr>
            <w:noProof/>
          </w:rPr>
          <w:t>2</w:t>
        </w:r>
      </w:fldSimple>
      <w:r>
        <w:t>.</w:t>
      </w:r>
      <w:bookmarkStart w:id="34" w:name="_Toc42505256"/>
      <w:r w:rsidR="00A819DE" w:rsidRPr="0015600B">
        <w:t xml:space="preserve"> A schematic of an evacuated tube solar collector</w:t>
      </w:r>
      <w:bookmarkEnd w:id="34"/>
      <w:r w:rsidR="00577EAC">
        <w:t xml:space="preserve"> (</w:t>
      </w:r>
      <w:r w:rsidR="00D61001">
        <w:t>adop</w:t>
      </w:r>
      <w:r w:rsidR="009D7B75">
        <w:t xml:space="preserve">ted from </w:t>
      </w:r>
      <w:r w:rsidR="009D7B75" w:rsidRPr="0015600B">
        <w:t xml:space="preserve"> </w:t>
      </w:r>
      <w:r w:rsidR="009D7B75" w:rsidRPr="0015600B">
        <w:fldChar w:fldCharType="begin" w:fldLock="1"/>
      </w:r>
      <w:r w:rsidR="009D7B75" w:rsidRPr="0015600B">
        <w:instrText>ADDIN CSL_CITATION {"citationItems":[{"id":"ITEM-1","itemData":{"URL":"https://www.apricus.com/Evacuated-Tube-Solar-Collectors-pl3681275.html","accessed":{"date-parts":[["2020","6","3"]]},"id":"ITEM-1","issued":{"date-parts":[["0"]]},"title":"Evacuated Tube Solar Collectors | Apricus Eco-Energy","type":"webpage"},"uris":["http://www.mendeley.com/documents/?uuid=b5bb534f-880d-3e5e-8f1e-d81afb199e09"]}],"mendeley":{"formattedCitation":"[2]","plainTextFormattedCitation":"[2]","previouslyFormattedCitation":"[2]"},"properties":{"noteIndex":0},"schema":"https://github.com/citation-style-language/schema/raw/master/csl-citation.json"}</w:instrText>
      </w:r>
      <w:r w:rsidR="009D7B75" w:rsidRPr="0015600B">
        <w:fldChar w:fldCharType="separate"/>
      </w:r>
      <w:r w:rsidR="009D7B75" w:rsidRPr="0015600B">
        <w:rPr>
          <w:noProof/>
        </w:rPr>
        <w:t>[2]</w:t>
      </w:r>
      <w:r w:rsidR="009D7B75" w:rsidRPr="0015600B">
        <w:fldChar w:fldCharType="end"/>
      </w:r>
      <w:r w:rsidR="00577EAC">
        <w:t>)</w:t>
      </w:r>
      <w:r w:rsidR="00D61001">
        <w:t>.</w:t>
      </w:r>
      <w:bookmarkEnd w:id="33"/>
    </w:p>
    <w:p w14:paraId="0607B1D8" w14:textId="14395441" w:rsidR="00A819DE" w:rsidRPr="0015600B" w:rsidRDefault="00A819DE" w:rsidP="00914219">
      <w:r w:rsidRPr="0015600B">
        <w:t xml:space="preserve">Evacuated hollow glass tubes create excellent insulation, trapping the heat inside the tube, making evacuated glass tubes highly efficient </w:t>
      </w:r>
      <w:r w:rsidRPr="0015600B">
        <w:fldChar w:fldCharType="begin" w:fldLock="1"/>
      </w:r>
      <w:r w:rsidRPr="0015600B">
        <w:instrText>ADDIN CSL_CITATION {"citationItems":[{"id":"ITEM-1","itemData":{"URL":"https://solartribune.com/evacuated-tube-solar-hot-water/","accessed":{"date-parts":[["2020","6","3"]]},"id":"ITEM-1","issued":{"date-parts":[["0"]]},"title":"Evacuated Tube Collectors — Solar Tribune","type":"webpage"},"uris":["http://www.mendeley.com/documents/?uuid=53cf2a61-c081-3b0b-af83-0edd04370606"]}],"mendeley":{"formattedCitation":"[3]","plainTextFormattedCitation":"[3]","previouslyFormattedCitation":"[3]"},"properties":{"noteIndex":0},"schema":"https://github.com/citation-style-language/schema/raw/master/csl-citation.json"}</w:instrText>
      </w:r>
      <w:r w:rsidRPr="0015600B">
        <w:fldChar w:fldCharType="separate"/>
      </w:r>
      <w:r w:rsidRPr="0015600B">
        <w:rPr>
          <w:noProof/>
        </w:rPr>
        <w:t>[3]</w:t>
      </w:r>
      <w:r w:rsidRPr="0015600B">
        <w:fldChar w:fldCharType="end"/>
      </w:r>
      <w:r w:rsidRPr="0015600B">
        <w:t xml:space="preserve">. The solar selective coating absorbs solar energy and </w:t>
      </w:r>
      <w:r w:rsidR="007128C6">
        <w:t>convey</w:t>
      </w:r>
      <w:r w:rsidRPr="0015600B">
        <w:t>s it to the heat pipe</w:t>
      </w:r>
      <w:r w:rsidR="007128C6">
        <w:t>s</w:t>
      </w:r>
      <w:r w:rsidRPr="0015600B">
        <w:t xml:space="preserve"> </w:t>
      </w:r>
      <w:r w:rsidR="007128C6">
        <w:t>which</w:t>
      </w:r>
      <w:r w:rsidRPr="0015600B">
        <w:t xml:space="preserve"> </w:t>
      </w:r>
      <w:r w:rsidR="007128C6">
        <w:t>are</w:t>
      </w:r>
      <w:r w:rsidRPr="0015600B">
        <w:t xml:space="preserve"> located inside the inner tube</w:t>
      </w:r>
      <w:r w:rsidR="007128C6">
        <w:t>s</w:t>
      </w:r>
      <w:r w:rsidRPr="0015600B">
        <w:t>. The heat pipe contains a heat transfer fluid (typically water or ethylene glycol)</w:t>
      </w:r>
      <w:r w:rsidR="008F0CF3">
        <w:t>,</w:t>
      </w:r>
      <w:r w:rsidRPr="0015600B">
        <w:t xml:space="preserve"> which</w:t>
      </w:r>
      <w:r w:rsidR="007128C6">
        <w:t xml:space="preserve"> is the medium to</w:t>
      </w:r>
      <w:r w:rsidRPr="0015600B">
        <w:t xml:space="preserve"> transfer thermal energy to the manifold. </w:t>
      </w:r>
      <w:r w:rsidR="001A798E">
        <w:t xml:space="preserve">The boiling temperature of the liquid inside the heat pipes is coupled </w:t>
      </w:r>
      <w:r w:rsidR="007128C6">
        <w:t>with</w:t>
      </w:r>
      <w:r w:rsidR="001A798E">
        <w:t xml:space="preserve"> the internal pressure of the heat pipe</w:t>
      </w:r>
      <w:r w:rsidR="007128C6">
        <w:t>s</w:t>
      </w:r>
      <w:r w:rsidR="001A798E">
        <w:t>. Applying heat to the heat pipe</w:t>
      </w:r>
      <w:r w:rsidR="007128C6">
        <w:t>s</w:t>
      </w:r>
      <w:r w:rsidR="001A798E">
        <w:t xml:space="preserve"> leads to</w:t>
      </w:r>
      <w:r w:rsidRPr="0015600B">
        <w:t xml:space="preserve"> </w:t>
      </w:r>
      <w:r w:rsidR="0041368B">
        <w:t xml:space="preserve">the </w:t>
      </w:r>
      <w:r w:rsidR="001A798E">
        <w:t xml:space="preserve">vaporization of </w:t>
      </w:r>
      <w:r w:rsidRPr="0015600B">
        <w:t xml:space="preserve">the </w:t>
      </w:r>
      <w:r w:rsidR="00BA5599">
        <w:t xml:space="preserve">liquid </w:t>
      </w:r>
      <w:r w:rsidR="007128C6">
        <w:t>working fluid</w:t>
      </w:r>
      <w:r w:rsidRPr="0015600B">
        <w:t xml:space="preserve"> inside the </w:t>
      </w:r>
      <w:r w:rsidR="007128C6">
        <w:t xml:space="preserve">heat </w:t>
      </w:r>
      <w:r w:rsidRPr="0015600B">
        <w:t>pipe</w:t>
      </w:r>
      <w:r w:rsidR="007128C6">
        <w:t>s</w:t>
      </w:r>
      <w:r w:rsidR="001A798E">
        <w:t xml:space="preserve">. The vapor then </w:t>
      </w:r>
      <w:r w:rsidRPr="0015600B">
        <w:t>rapidly rises to the top of the heat pipe while carrying a large amount of energy to the manifold. As the heat is off-loaded to the manifold</w:t>
      </w:r>
      <w:r w:rsidR="007128C6">
        <w:t xml:space="preserve"> (and then to the LHTES </w:t>
      </w:r>
      <w:r w:rsidR="007128C6">
        <w:lastRenderedPageBreak/>
        <w:t>unit)</w:t>
      </w:r>
      <w:r w:rsidRPr="0015600B">
        <w:t>, the vapor condenses</w:t>
      </w:r>
      <w:r w:rsidR="008F0CF3">
        <w:t>,</w:t>
      </w:r>
      <w:r w:rsidRPr="0015600B">
        <w:t xml:space="preserve"> and liquid returns to the bottom of the heat pipe</w:t>
      </w:r>
      <w:r w:rsidR="008F0CF3">
        <w:t>,</w:t>
      </w:r>
      <w:r w:rsidRPr="0015600B">
        <w:t xml:space="preserve"> creating a loop. An aluminum fin, held in the tube by a spring clip, facilitates heat transfer, and mechanically supports the heat pipe in place </w:t>
      </w:r>
      <w:r w:rsidRPr="0015600B">
        <w:fldChar w:fldCharType="begin" w:fldLock="1"/>
      </w:r>
      <w:r w:rsidRPr="0015600B">
        <w:instrText>ADDIN CSL_CITATION {"citationItems":[{"id":"ITEM-1","itemData":{"DOI":"10.1016/j.solener.2015.12.040","ISSN":"0038092X","abstract":"This paper presents a novel method of integrating phase change materials (PCMs) within the evacuated solar tube collectors for solar water heaters (SWHs). In this method, the heat pipe is immersed inside the phase change material, where heat is effectively accumulated and stored for an extended period of time due to thermal insulation of evacuated tubes. The benefit of this method includes improved functionality by delayed release of heat, thus providing hot water during the hours of high demand or when solar intensity is insufficient. The proposed solar collector utilizes two distinct phase change materials (dual-PCM), namely Tritriacontane and Erythritol, with melting temperatures of 72 °C and 118 °C respectively. The operation of solar water heater with the proposed solar collector is investigated during both normal and on-demand operation. The feasibility of this technology is also tested via large scale commercial solar water heaters. Beyond the improved functionality for solar water heater systems, the results from this study show efficiency improvement of 26% for the normal operation and 66% for the stagnation mode, compared with standard solar water heaters that lack phase change materials.","author":[{"dropping-particle":"","family":"Papadimitratos","given":"Alexios","non-dropping-particle":"","parse-names":false,"suffix":""},{"dropping-particle":"","family":"Sobhansarbandi","given":"Sarvenaz","non-dropping-particle":"","parse-names":false,"suffix":""},{"dropping-particle":"","family":"Pozdin","given":"Vladimir","non-dropping-particle":"","parse-names":false,"suffix":""},{"dropping-particle":"","family":"Zakhidov","given":"Anvar","non-dropping-particle":"","parse-names":false,"suffix":""},{"dropping-particle":"","family":"Hassanipour","given":"Fatemeh","non-dropping-particle":"","parse-names":false,"suffix":""}],"container-title":"Solar Energy","id":"ITEM-1","issued":{"date-parts":[["2016"]]},"page":"10-19","publisher":"Elsevier Ltd","title":"Evacuated tube solar collectors integrated with phase change materials","type":"article-journal","volume":"129"},"uris":["http://www.mendeley.com/documents/?uuid=0ff1eb7c-6b6d-48e1-8b6a-fca13916d034"]}],"mendeley":{"formattedCitation":"[4]","plainTextFormattedCitation":"[4]","previouslyFormattedCitation":"[4]"},"properties":{"noteIndex":0},"schema":"https://github.com/citation-style-language/schema/raw/master/csl-citation.json"}</w:instrText>
      </w:r>
      <w:r w:rsidRPr="0015600B">
        <w:fldChar w:fldCharType="separate"/>
      </w:r>
      <w:r w:rsidRPr="0015600B">
        <w:rPr>
          <w:noProof/>
        </w:rPr>
        <w:t>[4]</w:t>
      </w:r>
      <w:r w:rsidRPr="0015600B">
        <w:fldChar w:fldCharType="end"/>
      </w:r>
      <w:r w:rsidRPr="0015600B">
        <w:t>.</w:t>
      </w:r>
    </w:p>
    <w:p w14:paraId="703E64B6" w14:textId="6CC7FF83" w:rsidR="00A819DE" w:rsidRPr="0015600B" w:rsidRDefault="00A819DE" w:rsidP="00D45693">
      <w:pPr>
        <w:pStyle w:val="Heading3"/>
        <w:numPr>
          <w:ilvl w:val="2"/>
          <w:numId w:val="15"/>
        </w:numPr>
        <w:spacing w:beforeLines="120" w:before="288" w:afterLines="120" w:after="288"/>
        <w:rPr>
          <w:rFonts w:cs="Times New Roman"/>
          <w:bCs/>
        </w:rPr>
      </w:pPr>
      <w:bookmarkStart w:id="35" w:name="_Toc42334996"/>
      <w:bookmarkStart w:id="36" w:name="_Toc42505298"/>
      <w:bookmarkStart w:id="37" w:name="_Toc43877964"/>
      <w:r w:rsidRPr="0015600B">
        <w:rPr>
          <w:rFonts w:cs="Times New Roman"/>
          <w:bCs/>
        </w:rPr>
        <w:t>The latent heat thermal energy storage unit</w:t>
      </w:r>
      <w:bookmarkEnd w:id="35"/>
      <w:bookmarkEnd w:id="36"/>
      <w:bookmarkEnd w:id="37"/>
    </w:p>
    <w:p w14:paraId="24AA91A1" w14:textId="438B2180" w:rsidR="00A819DE" w:rsidRDefault="00A819DE" w:rsidP="00A819DE">
      <w:pPr>
        <w:spacing w:beforeLines="120" w:before="288" w:afterLines="120" w:after="288"/>
        <w:rPr>
          <w:szCs w:val="24"/>
        </w:rPr>
      </w:pPr>
      <w:r w:rsidRPr="0015600B">
        <w:rPr>
          <w:szCs w:val="24"/>
        </w:rPr>
        <w:t xml:space="preserve">The </w:t>
      </w:r>
      <w:r w:rsidR="00BA5599">
        <w:rPr>
          <w:szCs w:val="24"/>
        </w:rPr>
        <w:t xml:space="preserve">latent heat </w:t>
      </w:r>
      <w:r w:rsidRPr="0015600B">
        <w:rPr>
          <w:szCs w:val="24"/>
        </w:rPr>
        <w:t xml:space="preserve">thermal energy storage unit is shown in Figure 1.3. Thermal energy storage is connected to </w:t>
      </w:r>
      <w:r w:rsidR="00B60771">
        <w:rPr>
          <w:szCs w:val="24"/>
        </w:rPr>
        <w:t>the</w:t>
      </w:r>
      <w:r w:rsidRPr="0015600B">
        <w:rPr>
          <w:szCs w:val="24"/>
        </w:rPr>
        <w:t xml:space="preserve"> solar collector </w:t>
      </w:r>
      <w:r w:rsidR="006B2C10">
        <w:rPr>
          <w:szCs w:val="24"/>
        </w:rPr>
        <w:t>by</w:t>
      </w:r>
      <w:r w:rsidRPr="0015600B">
        <w:rPr>
          <w:szCs w:val="24"/>
        </w:rPr>
        <w:t xml:space="preserve"> heat pipes</w:t>
      </w:r>
      <w:r w:rsidR="006B2C10">
        <w:rPr>
          <w:szCs w:val="24"/>
        </w:rPr>
        <w:t xml:space="preserve"> running from ETCs manifold to the bottom section of </w:t>
      </w:r>
      <w:r w:rsidR="00BA5599">
        <w:rPr>
          <w:szCs w:val="24"/>
        </w:rPr>
        <w:t xml:space="preserve">the </w:t>
      </w:r>
      <w:r w:rsidR="006B2C10">
        <w:rPr>
          <w:szCs w:val="24"/>
        </w:rPr>
        <w:t>LHTES unit</w:t>
      </w:r>
      <w:r w:rsidRPr="0015600B">
        <w:rPr>
          <w:szCs w:val="24"/>
        </w:rPr>
        <w:t xml:space="preserve">. The unit is comprised of input heat pipes, output heat pipes, PCM  chamber (space separating input and output heat pipes filled with choice PCM), and heat exchanger chamber (right above the PCM chamber). </w:t>
      </w:r>
    </w:p>
    <w:p w14:paraId="38766BD6" w14:textId="77777777" w:rsidR="00BA5599" w:rsidRDefault="00BA5599" w:rsidP="00BA5599">
      <w:pPr>
        <w:keepNext/>
        <w:spacing w:beforeLines="120" w:before="288" w:afterLines="120" w:after="288"/>
        <w:ind w:firstLine="0"/>
        <w:jc w:val="center"/>
      </w:pPr>
      <w:r w:rsidRPr="0015600B">
        <w:rPr>
          <w:noProof/>
          <w:szCs w:val="24"/>
        </w:rPr>
        <w:lastRenderedPageBreak/>
        <w:drawing>
          <wp:inline distT="0" distB="0" distL="0" distR="0" wp14:anchorId="3D97390F" wp14:editId="6D74C465">
            <wp:extent cx="3879723" cy="374142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9989" cy="3780251"/>
                    </a:xfrm>
                    <a:prstGeom prst="rect">
                      <a:avLst/>
                    </a:prstGeom>
                  </pic:spPr>
                </pic:pic>
              </a:graphicData>
            </a:graphic>
          </wp:inline>
        </w:drawing>
      </w:r>
    </w:p>
    <w:p w14:paraId="3213D320" w14:textId="3839CB3D" w:rsidR="00BA5599" w:rsidRPr="009924B9" w:rsidRDefault="00BA5599" w:rsidP="00BA5599">
      <w:pPr>
        <w:pStyle w:val="Caption"/>
      </w:pPr>
      <w:bookmarkStart w:id="38" w:name="_Toc47467752"/>
      <w:r w:rsidRPr="00B92E29">
        <w:t xml:space="preserve">Figure </w:t>
      </w:r>
      <w:fldSimple w:instr=" STYLEREF 1 \s ">
        <w:r w:rsidR="00D979B8">
          <w:rPr>
            <w:noProof/>
          </w:rPr>
          <w:t>1</w:t>
        </w:r>
      </w:fldSimple>
      <w:r w:rsidRPr="00B92E29">
        <w:t>.</w:t>
      </w:r>
      <w:fldSimple w:instr=" SEQ Figure \* ARABIC \s 1 ">
        <w:r w:rsidR="00D979B8">
          <w:rPr>
            <w:noProof/>
          </w:rPr>
          <w:t>3</w:t>
        </w:r>
      </w:fldSimple>
      <w:r w:rsidRPr="00B92E29">
        <w:t>.</w:t>
      </w:r>
      <w:r w:rsidRPr="009924B9">
        <w:t xml:space="preserve"> Schematic of the LHTES system showing the condenser section of the input heat pipe, output heat pipes, and related h</w:t>
      </w:r>
      <w:r w:rsidRPr="00D12DB3">
        <w:t>eat exchangers</w:t>
      </w:r>
      <w:r w:rsidRPr="00B92E29">
        <w:t xml:space="preserve"> (a</w:t>
      </w:r>
      <w:r w:rsidRPr="009924B9">
        <w:t>dopted f</w:t>
      </w:r>
      <w:r w:rsidRPr="00D12DB3">
        <w:t xml:space="preserve">rom </w:t>
      </w:r>
      <w:r w:rsidRPr="009924B9">
        <w:fldChar w:fldCharType="begin" w:fldLock="1"/>
      </w:r>
      <w:r w:rsidRPr="00026817">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Pr="009924B9">
        <w:fldChar w:fldCharType="separate"/>
      </w:r>
      <w:r w:rsidRPr="00026817">
        <w:rPr>
          <w:noProof/>
        </w:rPr>
        <w:t>[1]</w:t>
      </w:r>
      <w:r w:rsidRPr="009924B9">
        <w:fldChar w:fldCharType="end"/>
      </w:r>
      <w:r w:rsidRPr="00B92E29">
        <w:t>)</w:t>
      </w:r>
      <w:r w:rsidRPr="009924B9">
        <w:t>.</w:t>
      </w:r>
      <w:bookmarkEnd w:id="38"/>
    </w:p>
    <w:p w14:paraId="3EA19C8A" w14:textId="52ACBBAB" w:rsidR="00A819DE" w:rsidRPr="0015600B" w:rsidRDefault="00A819DE" w:rsidP="00A819DE">
      <w:pPr>
        <w:spacing w:beforeLines="120" w:before="288" w:afterLines="120" w:after="288"/>
        <w:rPr>
          <w:szCs w:val="24"/>
        </w:rPr>
      </w:pPr>
      <w:r w:rsidRPr="0015600B">
        <w:rPr>
          <w:szCs w:val="24"/>
        </w:rPr>
        <w:t xml:space="preserve">The PCM is a substance with a high heat of fusion which, when melted and solidified at a </w:t>
      </w:r>
      <w:r w:rsidR="008F0CF3">
        <w:rPr>
          <w:szCs w:val="24"/>
        </w:rPr>
        <w:t>specific</w:t>
      </w:r>
      <w:r w:rsidRPr="0015600B">
        <w:rPr>
          <w:szCs w:val="24"/>
        </w:rPr>
        <w:t xml:space="preserve"> temperature, can store and release a large amount of energy </w:t>
      </w:r>
      <w:r w:rsidRPr="0015600B">
        <w:rPr>
          <w:szCs w:val="24"/>
        </w:rPr>
        <w:fldChar w:fldCharType="begin" w:fldLock="1"/>
      </w:r>
      <w:r w:rsidRPr="0015600B">
        <w:rPr>
          <w:szCs w:val="24"/>
        </w:rPr>
        <w:instrText>ADDIN CSL_CITATION {"citationItems":[{"id":"ITEM-1","itemData":{"DOI":"10.1080/009083190881481","ISSN":"1556-7249","abstract":"The storage of thermal energy in the form of sensible and latent heat has become an important aspect of energy management with the emphasis on efficient use and conservation of the waste heat and solar energy in industry and buildings. Latent heat storage is one of the most efficient ways of storing thermal energy. Solar energy is a renewable energy source that can generate electricity, provide hot water, heat and cool a house, and provide lighting for buildings. Paraffin waxes are cheap and have moderate thermal energy storage density but low thermal conductivity and, hence, require a large surface area. Hydrated salts have a larger energy storage density and a higher thermal conductivity. In response to increasing electrical energy costs and the desire for better lad management, thermal storage technology has recently been developed. The storage of thermal energy in the form of sensible and latent heat has become an important aspect of energy management with the emphasis on the efficient use and conservation of the waste heat and solar energy in the industry and buildings. Thermal storage has been characterized as a kind of thermal battery.","author":[{"dropping-particle":"","family":"Demirbas","given":"M. Fatih","non-dropping-particle":"","parse-names":false,"suffix":""}],"container-title":"Energy Sources, Part B: Economics, Planning, and Policy","id":"ITEM-1","issue":"1","issued":{"date-parts":[["2006","1","1"]]},"page":"85-95","publisher":" Taylor &amp; Francis Group ","title":"Thermal Energy Storage and Phase Change Materials: An Overview","type":"article-journal","volume":"1"},"uris":["http://www.mendeley.com/documents/?uuid=fdd43022-acb2-3d01-b548-ff24fef54fd7"]}],"mendeley":{"formattedCitation":"[5]","plainTextFormattedCitation":"[5]","previouslyFormattedCitation":"[5]"},"properties":{"noteIndex":0},"schema":"https://github.com/citation-style-language/schema/raw/master/csl-citation.json"}</w:instrText>
      </w:r>
      <w:r w:rsidRPr="0015600B">
        <w:rPr>
          <w:szCs w:val="24"/>
        </w:rPr>
        <w:fldChar w:fldCharType="separate"/>
      </w:r>
      <w:r w:rsidRPr="0015600B">
        <w:rPr>
          <w:noProof/>
          <w:szCs w:val="24"/>
        </w:rPr>
        <w:t>[5]</w:t>
      </w:r>
      <w:r w:rsidRPr="0015600B">
        <w:rPr>
          <w:szCs w:val="24"/>
        </w:rPr>
        <w:fldChar w:fldCharType="end"/>
      </w:r>
      <w:r w:rsidRPr="0015600B">
        <w:rPr>
          <w:szCs w:val="24"/>
        </w:rPr>
        <w:t xml:space="preserve">.  </w:t>
      </w:r>
      <w:r w:rsidR="00F165CA">
        <w:rPr>
          <w:szCs w:val="24"/>
        </w:rPr>
        <w:t xml:space="preserve">The </w:t>
      </w:r>
      <w:r w:rsidRPr="0015600B">
        <w:rPr>
          <w:szCs w:val="24"/>
        </w:rPr>
        <w:t>Input and output heat pipes are made of stainless steel</w:t>
      </w:r>
      <w:r w:rsidR="00D72B39" w:rsidRPr="0015600B">
        <w:rPr>
          <w:color w:val="000000"/>
          <w:szCs w:val="24"/>
          <w:shd w:val="clear" w:color="auto" w:fill="FFFFFF"/>
        </w:rPr>
        <w:t xml:space="preserve"> </w:t>
      </w:r>
      <w:r w:rsidR="00D72B39" w:rsidRPr="0015600B">
        <w:rPr>
          <w:color w:val="000000"/>
          <w:szCs w:val="24"/>
          <w:shd w:val="clear" w:color="auto" w:fill="FFFFFF"/>
        </w:rPr>
        <w:fldChar w:fldCharType="begin" w:fldLock="1"/>
      </w:r>
      <w:r w:rsidR="00D72B39" w:rsidRPr="0015600B">
        <w:rPr>
          <w:color w:val="000000"/>
          <w:szCs w:val="24"/>
          <w:shd w:val="clear" w:color="auto" w:fill="FFFFFF"/>
        </w:rPr>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D72B39" w:rsidRPr="0015600B">
        <w:rPr>
          <w:color w:val="000000"/>
          <w:szCs w:val="24"/>
          <w:shd w:val="clear" w:color="auto" w:fill="FFFFFF"/>
        </w:rPr>
        <w:fldChar w:fldCharType="separate"/>
      </w:r>
      <w:r w:rsidR="00D72B39" w:rsidRPr="0015600B">
        <w:rPr>
          <w:noProof/>
          <w:color w:val="000000"/>
          <w:szCs w:val="24"/>
          <w:shd w:val="clear" w:color="auto" w:fill="FFFFFF"/>
        </w:rPr>
        <w:t>[1]</w:t>
      </w:r>
      <w:r w:rsidR="00D72B39" w:rsidRPr="0015600B">
        <w:rPr>
          <w:color w:val="000000"/>
          <w:szCs w:val="24"/>
          <w:shd w:val="clear" w:color="auto" w:fill="FFFFFF"/>
        </w:rPr>
        <w:fldChar w:fldCharType="end"/>
      </w:r>
      <w:r w:rsidR="00055D5B">
        <w:rPr>
          <w:color w:val="000000"/>
          <w:szCs w:val="24"/>
          <w:shd w:val="clear" w:color="auto" w:fill="FFFFFF"/>
        </w:rPr>
        <w:t>.</w:t>
      </w:r>
      <w:r w:rsidRPr="0015600B">
        <w:rPr>
          <w:szCs w:val="24"/>
        </w:rPr>
        <w:t xml:space="preserve"> </w:t>
      </w:r>
      <w:r w:rsidR="00055D5B">
        <w:rPr>
          <w:szCs w:val="24"/>
        </w:rPr>
        <w:t>T</w:t>
      </w:r>
      <w:r w:rsidRPr="0015600B">
        <w:rPr>
          <w:szCs w:val="24"/>
        </w:rPr>
        <w:t xml:space="preserve">he PCM is </w:t>
      </w:r>
      <w:r w:rsidR="00F165CA">
        <w:rPr>
          <w:szCs w:val="24"/>
        </w:rPr>
        <w:t>impregnated</w:t>
      </w:r>
      <w:r w:rsidRPr="0015600B">
        <w:rPr>
          <w:szCs w:val="24"/>
        </w:rPr>
        <w:t xml:space="preserve"> i</w:t>
      </w:r>
      <w:r w:rsidR="00F165CA">
        <w:rPr>
          <w:szCs w:val="24"/>
        </w:rPr>
        <w:t xml:space="preserve">n aluminum </w:t>
      </w:r>
      <w:r w:rsidRPr="0015600B">
        <w:rPr>
          <w:szCs w:val="24"/>
        </w:rPr>
        <w:t xml:space="preserve">metal </w:t>
      </w:r>
      <w:r w:rsidR="00951465">
        <w:rPr>
          <w:szCs w:val="24"/>
        </w:rPr>
        <w:t>foam</w:t>
      </w:r>
      <w:r w:rsidR="00951465" w:rsidRPr="0015600B">
        <w:rPr>
          <w:szCs w:val="24"/>
        </w:rPr>
        <w:t xml:space="preserve"> </w:t>
      </w:r>
      <w:r w:rsidRPr="0015600B">
        <w:rPr>
          <w:szCs w:val="24"/>
        </w:rPr>
        <w:t xml:space="preserve">to improve melting and solidification rates </w:t>
      </w:r>
      <w:r w:rsidRPr="0015600B">
        <w:rPr>
          <w:szCs w:val="24"/>
        </w:rPr>
        <w:fldChar w:fldCharType="begin" w:fldLock="1"/>
      </w:r>
      <w:r w:rsidR="004C3EF0">
        <w:rPr>
          <w:szCs w:val="24"/>
        </w:rPr>
        <w:instrText>ADDIN CSL_CITATION {"citationItems":[{"id":"ITEM-1","itemData":{"DOI":"10.1016/j.scriptamat.2006.07.050","ISSN":"13596462","abstract":"The effects of geometric parameters of open-cell aluminum foams on the performance of aluminum foam-phase change material (PCM) heat sinks were investigated. Paraffin was selected as the PCM. As the surface area density of foams increases, both the heating and cooling times of the copper block, which simulates a device under thermal load, increase. The effect of the surface area density is more pronounced on the cooling time. © 2006 Acta Materialia Inc.","author":[{"dropping-particle":"","family":"Hong","given":"Sung Tae","non-dropping-particle":"","parse-names":false,"suffix":""},{"dropping-particle":"","family":"Herling","given":"Darrell R.","non-dropping-particle":"","parse-names":false,"suffix":""}],"container-title":"Scripta Materialia","id":"ITEM-1","issue":"10","issued":{"date-parts":[["2006","11"]]},"page":"887-890","title":"Open-cell aluminum foams filled with phase change materials as compact heat sinks","type":"article-journal","volume":"55"},"uris":["http://www.mendeley.com/documents/?uuid=f37a2a2d-98f7-37b9-9a5b-82fa94590e97"]}],"mendeley":{"formattedCitation":"[6]","plainTextFormattedCitation":"[6]","previouslyFormattedCitation":"[6]"},"properties":{"noteIndex":0},"schema":"https://github.com/citation-style-language/schema/raw/master/csl-citation.json"}</w:instrText>
      </w:r>
      <w:r w:rsidRPr="0015600B">
        <w:rPr>
          <w:szCs w:val="24"/>
        </w:rPr>
        <w:fldChar w:fldCharType="separate"/>
      </w:r>
      <w:r w:rsidR="00E01352" w:rsidRPr="00E01352">
        <w:rPr>
          <w:noProof/>
          <w:szCs w:val="24"/>
        </w:rPr>
        <w:t>[6]</w:t>
      </w:r>
      <w:r w:rsidRPr="0015600B">
        <w:rPr>
          <w:szCs w:val="24"/>
        </w:rPr>
        <w:fldChar w:fldCharType="end"/>
      </w:r>
      <w:r w:rsidRPr="0015600B">
        <w:rPr>
          <w:szCs w:val="24"/>
        </w:rPr>
        <w:t xml:space="preserve">. Thermal energy flow starts the solar collector, </w:t>
      </w:r>
      <w:r w:rsidR="00F165CA">
        <w:rPr>
          <w:szCs w:val="24"/>
        </w:rPr>
        <w:t xml:space="preserve">by </w:t>
      </w:r>
      <w:r w:rsidRPr="0015600B">
        <w:rPr>
          <w:szCs w:val="24"/>
        </w:rPr>
        <w:t xml:space="preserve">which </w:t>
      </w:r>
      <w:r w:rsidR="00F165CA" w:rsidRPr="0015600B">
        <w:rPr>
          <w:szCs w:val="24"/>
        </w:rPr>
        <w:t xml:space="preserve">from thermal energy absorbed </w:t>
      </w:r>
      <w:r w:rsidRPr="0015600B">
        <w:rPr>
          <w:szCs w:val="24"/>
        </w:rPr>
        <w:t>vaporizes liquid working fluid into a saturated vapor</w:t>
      </w:r>
      <w:r w:rsidR="00F165CA">
        <w:rPr>
          <w:szCs w:val="24"/>
        </w:rPr>
        <w:t xml:space="preserve"> (</w:t>
      </w:r>
      <w:r w:rsidRPr="0015600B">
        <w:rPr>
          <w:szCs w:val="24"/>
        </w:rPr>
        <w:t>shown by the left-bottom red arrow</w:t>
      </w:r>
      <w:r w:rsidR="00F165CA">
        <w:rPr>
          <w:szCs w:val="24"/>
        </w:rPr>
        <w:t>) to the bottom of the LHTES unit</w:t>
      </w:r>
      <w:r w:rsidRPr="0015600B">
        <w:rPr>
          <w:szCs w:val="24"/>
        </w:rPr>
        <w:t xml:space="preserve">. The saturated vapor then accumulates into the condenser section of the input heat pipes. Saturated vapor creates a temperature difference between the condenser section of input heat pipes and the neighboring PCM thus heat is transferred through PCM to output heat </w:t>
      </w:r>
      <w:r w:rsidRPr="0015600B">
        <w:rPr>
          <w:szCs w:val="24"/>
        </w:rPr>
        <w:lastRenderedPageBreak/>
        <w:t>pipes. The thermal energy transferred through the PCM is eventually transported to the three heat exchangers via output heat pipes. A natural gas burner is used as an auxiliary energy supply when solar energy is not sufficient or not available.</w:t>
      </w:r>
    </w:p>
    <w:p w14:paraId="5AD69D5D" w14:textId="7AB8E2DE" w:rsidR="00A819DE" w:rsidRPr="0015600B" w:rsidRDefault="00A819DE" w:rsidP="00D45693">
      <w:pPr>
        <w:pStyle w:val="Heading3"/>
        <w:numPr>
          <w:ilvl w:val="2"/>
          <w:numId w:val="15"/>
        </w:numPr>
        <w:spacing w:beforeLines="120" w:before="288" w:afterLines="120" w:after="288"/>
        <w:rPr>
          <w:noProof/>
        </w:rPr>
      </w:pPr>
      <w:bookmarkStart w:id="39" w:name="_Toc43830138"/>
      <w:bookmarkStart w:id="40" w:name="_Toc43830139"/>
      <w:bookmarkStart w:id="41" w:name="_Toc43830140"/>
      <w:bookmarkStart w:id="42" w:name="_Toc43830141"/>
      <w:bookmarkStart w:id="43" w:name="_Toc43830142"/>
      <w:bookmarkStart w:id="44" w:name="_Toc42505300"/>
      <w:bookmarkStart w:id="45" w:name="_Toc43877965"/>
      <w:bookmarkStart w:id="46" w:name="_Toc41569519"/>
      <w:bookmarkStart w:id="47" w:name="_Toc42334998"/>
      <w:bookmarkEnd w:id="39"/>
      <w:bookmarkEnd w:id="40"/>
      <w:bookmarkEnd w:id="41"/>
      <w:bookmarkEnd w:id="42"/>
      <w:bookmarkEnd w:id="43"/>
      <w:r w:rsidRPr="0015600B">
        <w:rPr>
          <w:noProof/>
        </w:rPr>
        <w:t>Space heating</w:t>
      </w:r>
      <w:bookmarkEnd w:id="44"/>
      <w:bookmarkEnd w:id="45"/>
    </w:p>
    <w:p w14:paraId="765FE43B" w14:textId="5AC7ED16" w:rsidR="00A819DE" w:rsidRPr="0015600B" w:rsidRDefault="00A819DE" w:rsidP="00A819DE">
      <w:pPr>
        <w:rPr>
          <w:szCs w:val="24"/>
        </w:rPr>
      </w:pPr>
      <w:r w:rsidRPr="0015600B">
        <w:rPr>
          <w:szCs w:val="24"/>
        </w:rPr>
        <w:t>Space heating can be achieved in two ways</w:t>
      </w:r>
      <w:r w:rsidR="008F0CF3">
        <w:rPr>
          <w:szCs w:val="24"/>
        </w:rPr>
        <w:t>,</w:t>
      </w:r>
      <w:r w:rsidRPr="0015600B">
        <w:rPr>
          <w:szCs w:val="24"/>
        </w:rPr>
        <w:t xml:space="preserve"> i.e.</w:t>
      </w:r>
      <w:r w:rsidR="008F0CF3">
        <w:rPr>
          <w:szCs w:val="24"/>
        </w:rPr>
        <w:t>,</w:t>
      </w:r>
      <w:r w:rsidRPr="0015600B">
        <w:rPr>
          <w:szCs w:val="24"/>
        </w:rPr>
        <w:t xml:space="preserve"> by </w:t>
      </w:r>
      <w:r w:rsidR="00055D5B">
        <w:rPr>
          <w:szCs w:val="24"/>
        </w:rPr>
        <w:t>using the</w:t>
      </w:r>
      <w:r w:rsidRPr="0015600B">
        <w:rPr>
          <w:szCs w:val="24"/>
        </w:rPr>
        <w:t xml:space="preserve"> heat pump </w:t>
      </w:r>
      <w:r w:rsidR="00055D5B">
        <w:rPr>
          <w:szCs w:val="24"/>
        </w:rPr>
        <w:t>unit</w:t>
      </w:r>
      <w:r w:rsidRPr="0015600B">
        <w:rPr>
          <w:szCs w:val="24"/>
        </w:rPr>
        <w:t xml:space="preserve"> or </w:t>
      </w:r>
      <w:r w:rsidR="00055D5B">
        <w:rPr>
          <w:szCs w:val="24"/>
        </w:rPr>
        <w:t xml:space="preserve">by </w:t>
      </w:r>
      <w:r w:rsidR="00F379F6">
        <w:rPr>
          <w:szCs w:val="24"/>
        </w:rPr>
        <w:t>allowing</w:t>
      </w:r>
      <w:r w:rsidRPr="0015600B">
        <w:rPr>
          <w:szCs w:val="24"/>
        </w:rPr>
        <w:t xml:space="preserve"> air through the middle sections of heat exchangers of the LHTES unit (see Figure 1.3). The former (heat pump) method eliminates the air heat exchanger</w:t>
      </w:r>
      <w:r w:rsidR="008F0CF3">
        <w:rPr>
          <w:szCs w:val="24"/>
        </w:rPr>
        <w:t>,</w:t>
      </w:r>
      <w:r w:rsidRPr="0015600B">
        <w:rPr>
          <w:szCs w:val="24"/>
        </w:rPr>
        <w:t xml:space="preserve"> thus helps reduce the volume of the LHTES unit. To achieve space heating with the former method, </w:t>
      </w:r>
      <w:r w:rsidR="00B31843">
        <w:rPr>
          <w:szCs w:val="24"/>
        </w:rPr>
        <w:t xml:space="preserve">the </w:t>
      </w:r>
      <w:r w:rsidRPr="0015600B">
        <w:rPr>
          <w:szCs w:val="24"/>
        </w:rPr>
        <w:t>air handling unit can be used to re-condition and circulate air to the building</w:t>
      </w:r>
      <w:r w:rsidR="00055D5B">
        <w:rPr>
          <w:szCs w:val="24"/>
        </w:rPr>
        <w:t xml:space="preserve"> </w:t>
      </w:r>
      <w:r w:rsidR="00055D5B">
        <w:rPr>
          <w:szCs w:val="24"/>
        </w:rPr>
        <w:fldChar w:fldCharType="begin" w:fldLock="1"/>
      </w:r>
      <w:r w:rsidR="0037500D">
        <w:rPr>
          <w:szCs w:val="24"/>
        </w:rPr>
        <w:instrText>ADDIN CSL_CITATION {"citationItems":[{"id":"ITEM-1","itemData":{"author":[{"dropping-particle":"","family":"Rosenberg","given":"Michael","non-dropping-particle":"","parse-names":false,"suffix":""}],"id":"ITEM-1","issued":{"date-parts":[["0"]]},"title":"Analyzing Air Handling Unit Efficiency","type":"report"},"uris":["http://www.mendeley.com/documents/?uuid=76729cdd-e32c-33b7-a8d2-b26dc490bb98"]}],"mendeley":{"formattedCitation":"[7]","plainTextFormattedCitation":"[7]","previouslyFormattedCitation":"[7]"},"properties":{"noteIndex":0},"schema":"https://github.com/citation-style-language/schema/raw/master/csl-citation.json"}</w:instrText>
      </w:r>
      <w:r w:rsidR="00055D5B">
        <w:rPr>
          <w:szCs w:val="24"/>
        </w:rPr>
        <w:fldChar w:fldCharType="separate"/>
      </w:r>
      <w:r w:rsidR="00055D5B" w:rsidRPr="00055D5B">
        <w:rPr>
          <w:noProof/>
          <w:szCs w:val="24"/>
        </w:rPr>
        <w:t>[7]</w:t>
      </w:r>
      <w:r w:rsidR="00055D5B">
        <w:rPr>
          <w:szCs w:val="24"/>
        </w:rPr>
        <w:fldChar w:fldCharType="end"/>
      </w:r>
      <w:r w:rsidRPr="0015600B">
        <w:rPr>
          <w:szCs w:val="24"/>
        </w:rPr>
        <w:t xml:space="preserve">. The hot air produced can be distributed to different spaces/rooms in the house. </w:t>
      </w:r>
    </w:p>
    <w:p w14:paraId="57C39767" w14:textId="20F24835" w:rsidR="00A819DE" w:rsidRPr="0015600B" w:rsidRDefault="00A819DE" w:rsidP="00D45693">
      <w:pPr>
        <w:pStyle w:val="Heading3"/>
        <w:numPr>
          <w:ilvl w:val="2"/>
          <w:numId w:val="15"/>
        </w:numPr>
        <w:spacing w:beforeLines="120" w:before="288" w:afterLines="120" w:after="288"/>
        <w:rPr>
          <w:rFonts w:cs="Times New Roman"/>
          <w:bCs/>
        </w:rPr>
      </w:pPr>
      <w:bookmarkStart w:id="48" w:name="_Toc42505301"/>
      <w:bookmarkStart w:id="49" w:name="_Toc43877966"/>
      <w:r w:rsidRPr="0015600B">
        <w:rPr>
          <w:noProof/>
        </w:rPr>
        <w:t xml:space="preserve">Solar assisted </w:t>
      </w:r>
      <w:r w:rsidRPr="0015600B">
        <w:t xml:space="preserve">water </w:t>
      </w:r>
      <w:bookmarkEnd w:id="46"/>
      <w:r w:rsidRPr="0015600B">
        <w:t>heater unit</w:t>
      </w:r>
      <w:bookmarkEnd w:id="47"/>
      <w:bookmarkEnd w:id="48"/>
      <w:bookmarkEnd w:id="49"/>
    </w:p>
    <w:p w14:paraId="059440E2" w14:textId="3AE69457" w:rsidR="00A819DE" w:rsidRPr="0015600B" w:rsidRDefault="00A819DE" w:rsidP="00A819DE">
      <w:pPr>
        <w:spacing w:after="288"/>
        <w:rPr>
          <w:szCs w:val="24"/>
        </w:rPr>
      </w:pPr>
      <w:r w:rsidRPr="0015600B">
        <w:rPr>
          <w:szCs w:val="24"/>
        </w:rPr>
        <w:t>Hot water is prepared by passing domestic city</w:t>
      </w:r>
      <w:r w:rsidR="003758A4">
        <w:rPr>
          <w:szCs w:val="24"/>
        </w:rPr>
        <w:t xml:space="preserve"> (cold)</w:t>
      </w:r>
      <w:r w:rsidRPr="0015600B">
        <w:rPr>
          <w:szCs w:val="24"/>
        </w:rPr>
        <w:t xml:space="preserve"> water through the hot water heat exchanger inside the LHTES unit shown in Figure 1.2. </w:t>
      </w:r>
      <w:r w:rsidR="00F57260">
        <w:rPr>
          <w:szCs w:val="24"/>
        </w:rPr>
        <w:t>D</w:t>
      </w:r>
      <w:r w:rsidRPr="0015600B">
        <w:rPr>
          <w:szCs w:val="24"/>
        </w:rPr>
        <w:t xml:space="preserve">omestic city water </w:t>
      </w:r>
      <w:r w:rsidR="00F57260">
        <w:rPr>
          <w:szCs w:val="24"/>
        </w:rPr>
        <w:t xml:space="preserve">passes </w:t>
      </w:r>
      <w:r w:rsidRPr="0015600B">
        <w:rPr>
          <w:szCs w:val="24"/>
        </w:rPr>
        <w:t xml:space="preserve">through the thermal energy storage unit where water flows normal to the surface of output heat pipes </w:t>
      </w:r>
      <w:r w:rsidR="00F57260">
        <w:rPr>
          <w:szCs w:val="24"/>
        </w:rPr>
        <w:t>in the water heater heat exchanger</w:t>
      </w:r>
      <w:r w:rsidR="008F0CF3">
        <w:rPr>
          <w:szCs w:val="24"/>
        </w:rPr>
        <w:t>,</w:t>
      </w:r>
      <w:r w:rsidR="00F57260">
        <w:rPr>
          <w:szCs w:val="24"/>
        </w:rPr>
        <w:t xml:space="preserve"> </w:t>
      </w:r>
      <w:r w:rsidRPr="0015600B">
        <w:rPr>
          <w:szCs w:val="24"/>
        </w:rPr>
        <w:t xml:space="preserve">thus absorbs heat. Hot water then flows down </w:t>
      </w:r>
      <w:r w:rsidR="00F57260">
        <w:rPr>
          <w:szCs w:val="24"/>
        </w:rPr>
        <w:t>in</w:t>
      </w:r>
      <w:r w:rsidRPr="0015600B">
        <w:rPr>
          <w:szCs w:val="24"/>
        </w:rPr>
        <w:t xml:space="preserve">to the storage tank and can be used when needed. </w:t>
      </w:r>
      <w:r w:rsidRPr="0015600B">
        <w:rPr>
          <w:color w:val="2E2E2E"/>
          <w:szCs w:val="24"/>
        </w:rPr>
        <w:t xml:space="preserve">The water flow rate can be regulated to maintain the outlet temperature within the desired range above the minimum temperature </w:t>
      </w:r>
      <w:r w:rsidRPr="0015600B">
        <w:rPr>
          <w:color w:val="2E2E2E"/>
          <w:szCs w:val="24"/>
        </w:rPr>
        <w:fldChar w:fldCharType="begin" w:fldLock="1"/>
      </w:r>
      <w:r w:rsidR="0037500D">
        <w:rPr>
          <w:color w:val="2E2E2E"/>
          <w:szCs w:val="24"/>
        </w:rPr>
        <w:instrText>ADDIN CSL_CITATION {"citationItems":[{"id":"ITEM-1","itemData":{"DOI":"10.1016/j.rser.2011.06.008","ISSN":"13640321","abstract":"The effect of thermal conductivity of the absorber plate of a solar collector on the performance of a thermo-siphon solar water heater is found by using the alternative simulation system. The system is assumed to be supplied of hot water at 50 °C and 80 °C whereas both are used in domestic and industrial purposes, respectively. According to the Rand distribution profile 50, 125 and 250 l of hot water are consumed daily. The condition shows that the annual solar fraction of the planning functions and the collector's configuration factors are strongly dependent on the thermal conductivity for its lower values. The less dependence is observed beyond a thermal conductivity of 50 W/m °C for the solar improper fraction and above 100 W/m °C for the configuration factors. In addition, the number of air ducts and total mass flow rate are taken to show that higher collector efficiency is obtained under the suitable designing and operating parameters. Different heat transfer mechanisms, adding natural convection, vapor boiling, cell nucleus boiling and film wise condensation is observed in the thermo-siphon solar water heater with various solar radiations. From this study, it is found that the solar water heater with a siphon system achieves system characteristic efficiency of 18% higher than that of the conventional system by reducing heat loss for the thermo-siphon solar water heater. © 2011 Elsevier Ltd. All rights reserved.","author":[{"dropping-particle":"","family":"Hossain","given":"M. S.","non-dropping-particle":"","parse-names":false,"suffix":""},{"dropping-particle":"","family":"Saidur","given":"R.","non-dropping-particle":"","parse-names":false,"suffix":""},{"dropping-particle":"","family":"Fayaz","given":"H.","non-dropping-particle":"","parse-names":false,"suffix":""},{"dropping-particle":"","family":"Rahim","given":"N. A.","non-dropping-particle":"","parse-names":false,"suffix":""},{"dropping-particle":"","family":"Islam","given":"M. R.","non-dropping-particle":"","parse-names":false,"suffix":""},{"dropping-particle":"","family":"Ahamed","given":"J. U.","non-dropping-particle":"","parse-names":false,"suffix":""},{"dropping-particle":"","family":"Rahman","given":"M. M.","non-dropping-particle":"","parse-names":false,"suffix":""}],"container-title":"Renewable and Sustainable Energy Reviews","id":"ITEM-1","issue":"8","issued":{"date-parts":[["2011","10","1"]]},"page":"3801-3812","publisher":"Pergamon","title":"Review on solar water heater collector and thermal energy performance of circulating pipe","type":"article","volume":"15"},"uris":["http://www.mendeley.com/documents/?uuid=d7c81238-6d3a-384a-9972-a6e0a0ae177b"]}],"mendeley":{"formattedCitation":"[8]","plainTextFormattedCitation":"[8]","previouslyFormattedCitation":"[8]"},"properties":{"noteIndex":0},"schema":"https://github.com/citation-style-language/schema/raw/master/csl-citation.json"}</w:instrText>
      </w:r>
      <w:r w:rsidRPr="0015600B">
        <w:rPr>
          <w:color w:val="2E2E2E"/>
          <w:szCs w:val="24"/>
        </w:rPr>
        <w:fldChar w:fldCharType="separate"/>
      </w:r>
      <w:r w:rsidR="00055D5B" w:rsidRPr="00055D5B">
        <w:rPr>
          <w:noProof/>
          <w:color w:val="2E2E2E"/>
          <w:szCs w:val="24"/>
        </w:rPr>
        <w:t>[8]</w:t>
      </w:r>
      <w:r w:rsidRPr="0015600B">
        <w:rPr>
          <w:color w:val="2E2E2E"/>
          <w:szCs w:val="24"/>
        </w:rPr>
        <w:fldChar w:fldCharType="end"/>
      </w:r>
      <w:r w:rsidRPr="0015600B">
        <w:rPr>
          <w:color w:val="2E2E2E"/>
          <w:szCs w:val="24"/>
        </w:rPr>
        <w:t>.</w:t>
      </w:r>
    </w:p>
    <w:p w14:paraId="533E8F09" w14:textId="0708A1E6" w:rsidR="00785D59" w:rsidRDefault="00F57260" w:rsidP="00785D59">
      <w:pPr>
        <w:keepNext/>
        <w:spacing w:after="288"/>
        <w:ind w:firstLine="0"/>
        <w:jc w:val="center"/>
      </w:pPr>
      <w:r>
        <w:rPr>
          <w:noProof/>
        </w:rPr>
        <w:lastRenderedPageBreak/>
        <w:drawing>
          <wp:inline distT="0" distB="0" distL="0" distR="0" wp14:anchorId="7137973E" wp14:editId="3144A21B">
            <wp:extent cx="5486400" cy="3221990"/>
            <wp:effectExtent l="0" t="0" r="0" b="0"/>
            <wp:docPr id="621847105" name="Picture 62184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6400" cy="3221990"/>
                    </a:xfrm>
                    <a:prstGeom prst="rect">
                      <a:avLst/>
                    </a:prstGeom>
                  </pic:spPr>
                </pic:pic>
              </a:graphicData>
            </a:graphic>
          </wp:inline>
        </w:drawing>
      </w:r>
    </w:p>
    <w:p w14:paraId="7A39C0ED" w14:textId="5CDDFB96" w:rsidR="00A819DE" w:rsidRPr="0015600B" w:rsidRDefault="00785D59" w:rsidP="00037B41">
      <w:pPr>
        <w:pStyle w:val="Caption"/>
      </w:pPr>
      <w:bookmarkStart w:id="50" w:name="_Toc47467753"/>
      <w:r>
        <w:t xml:space="preserve">Figure </w:t>
      </w:r>
      <w:fldSimple w:instr=" STYLEREF 1 \s ">
        <w:r w:rsidR="00D979B8">
          <w:rPr>
            <w:noProof/>
          </w:rPr>
          <w:t>1</w:t>
        </w:r>
      </w:fldSimple>
      <w:r w:rsidR="00961B56">
        <w:t>.</w:t>
      </w:r>
      <w:fldSimple w:instr=" SEQ Figure \* ARABIC \s 1 ">
        <w:r w:rsidR="00D979B8">
          <w:rPr>
            <w:noProof/>
          </w:rPr>
          <w:t>4</w:t>
        </w:r>
      </w:fldSimple>
      <w:r>
        <w:t>.</w:t>
      </w:r>
      <w:bookmarkStart w:id="51" w:name="_Toc41601484"/>
      <w:bookmarkStart w:id="52" w:name="_Toc42505259"/>
      <w:r>
        <w:t xml:space="preserve"> </w:t>
      </w:r>
      <w:r w:rsidR="00A819DE" w:rsidRPr="0015600B">
        <w:t>Hot water preparation loop</w:t>
      </w:r>
      <w:bookmarkEnd w:id="51"/>
      <w:r w:rsidR="00A819DE" w:rsidRPr="0015600B">
        <w:t xml:space="preserve"> in latent heat thermal energy storage system</w:t>
      </w:r>
      <w:bookmarkEnd w:id="50"/>
      <w:bookmarkEnd w:id="52"/>
    </w:p>
    <w:p w14:paraId="14AB2E59" w14:textId="34B85FC7" w:rsidR="00A819DE" w:rsidRPr="0015600B" w:rsidRDefault="00A819DE" w:rsidP="00CA6C25">
      <w:pPr>
        <w:pStyle w:val="Heading2"/>
        <w:numPr>
          <w:ilvl w:val="1"/>
          <w:numId w:val="15"/>
        </w:numPr>
        <w:rPr>
          <w:szCs w:val="24"/>
        </w:rPr>
      </w:pPr>
      <w:bookmarkStart w:id="53" w:name="_Toc41075470"/>
      <w:bookmarkStart w:id="54" w:name="_Toc41569520"/>
      <w:bookmarkStart w:id="55" w:name="_Toc42334999"/>
      <w:bookmarkStart w:id="56" w:name="_Toc42505302"/>
      <w:bookmarkStart w:id="57" w:name="_Toc43877967"/>
      <w:bookmarkStart w:id="58" w:name="_Toc47467726"/>
      <w:r w:rsidRPr="0015600B">
        <w:rPr>
          <w:szCs w:val="24"/>
        </w:rPr>
        <w:t>Research O</w:t>
      </w:r>
      <w:bookmarkEnd w:id="53"/>
      <w:r w:rsidRPr="0015600B">
        <w:rPr>
          <w:szCs w:val="24"/>
        </w:rPr>
        <w:t>bjectives</w:t>
      </w:r>
      <w:bookmarkEnd w:id="54"/>
      <w:bookmarkEnd w:id="55"/>
      <w:bookmarkEnd w:id="56"/>
      <w:bookmarkEnd w:id="57"/>
      <w:bookmarkEnd w:id="58"/>
    </w:p>
    <w:p w14:paraId="061DD5B1" w14:textId="77777777" w:rsidR="00A819DE" w:rsidRPr="0015600B" w:rsidRDefault="00A819DE" w:rsidP="00A819DE">
      <w:pPr>
        <w:spacing w:beforeLines="120" w:before="288" w:afterLines="120" w:after="288"/>
        <w:rPr>
          <w:szCs w:val="24"/>
        </w:rPr>
      </w:pPr>
      <w:r w:rsidRPr="0015600B">
        <w:rPr>
          <w:szCs w:val="24"/>
        </w:rPr>
        <w:t>In the course of the thesis, the main objectives will help in setting the milestones and planning for the project. The objectives of this research are:</w:t>
      </w:r>
    </w:p>
    <w:p w14:paraId="419B941C" w14:textId="6F35747A" w:rsidR="00A819DE" w:rsidRPr="0015600B" w:rsidRDefault="00A819DE" w:rsidP="00A864AD">
      <w:pPr>
        <w:pStyle w:val="ListParagraph"/>
        <w:numPr>
          <w:ilvl w:val="0"/>
          <w:numId w:val="5"/>
        </w:numPr>
        <w:spacing w:beforeLines="120" w:before="288" w:afterLines="120" w:after="288"/>
        <w:ind w:left="360" w:right="0"/>
        <w:rPr>
          <w:rFonts w:ascii="Georgia Pro" w:hAnsi="Georgia Pro"/>
          <w:szCs w:val="24"/>
        </w:rPr>
      </w:pPr>
      <w:r w:rsidRPr="0015600B">
        <w:rPr>
          <w:rFonts w:ascii="Georgia Pro" w:hAnsi="Georgia Pro"/>
          <w:szCs w:val="24"/>
        </w:rPr>
        <w:t xml:space="preserve">To simulate </w:t>
      </w:r>
      <w:r w:rsidR="00DA7EE4">
        <w:rPr>
          <w:rFonts w:ascii="Georgia Pro" w:hAnsi="Georgia Pro"/>
          <w:szCs w:val="24"/>
        </w:rPr>
        <w:t xml:space="preserve">the </w:t>
      </w:r>
      <w:r w:rsidRPr="0015600B">
        <w:rPr>
          <w:rFonts w:ascii="Georgia Pro" w:hAnsi="Georgia Pro"/>
          <w:szCs w:val="24"/>
        </w:rPr>
        <w:t>heat transfer and building energy for solar thermal powered heating, cooling, and hot water system integrated with latent heat thermal energy storage on an annual basis (i.e.</w:t>
      </w:r>
      <w:r w:rsidR="008F0CF3">
        <w:rPr>
          <w:rFonts w:ascii="Georgia Pro" w:hAnsi="Georgia Pro"/>
          <w:szCs w:val="24"/>
        </w:rPr>
        <w:t>,</w:t>
      </w:r>
      <w:r w:rsidRPr="0015600B">
        <w:rPr>
          <w:rFonts w:ascii="Georgia Pro" w:hAnsi="Georgia Pro"/>
          <w:szCs w:val="24"/>
        </w:rPr>
        <w:t xml:space="preserve"> 365 days).</w:t>
      </w:r>
    </w:p>
    <w:p w14:paraId="088DC17B" w14:textId="47FA2065" w:rsidR="00A819DE" w:rsidRPr="0015600B" w:rsidRDefault="00A819DE" w:rsidP="00A864AD">
      <w:pPr>
        <w:pStyle w:val="ListParagraph"/>
        <w:numPr>
          <w:ilvl w:val="0"/>
          <w:numId w:val="5"/>
        </w:numPr>
        <w:spacing w:beforeLines="120" w:before="288" w:afterLines="120" w:after="288"/>
        <w:ind w:left="360" w:right="0"/>
        <w:rPr>
          <w:szCs w:val="24"/>
        </w:rPr>
      </w:pPr>
      <w:r w:rsidRPr="0015600B">
        <w:rPr>
          <w:rFonts w:ascii="Georgia Pro" w:hAnsi="Georgia Pro"/>
          <w:szCs w:val="24"/>
        </w:rPr>
        <w:t xml:space="preserve">To evaluate the feasibility and the benefits of the solar thermal powered heating, cooling, and hot water system integrated with </w:t>
      </w:r>
      <w:r w:rsidR="00DA7EE4">
        <w:rPr>
          <w:rFonts w:ascii="Georgia Pro" w:hAnsi="Georgia Pro"/>
          <w:szCs w:val="24"/>
        </w:rPr>
        <w:t>the</w:t>
      </w:r>
      <w:r w:rsidRPr="0015600B">
        <w:rPr>
          <w:rFonts w:ascii="Georgia Pro" w:hAnsi="Georgia Pro"/>
          <w:szCs w:val="24"/>
        </w:rPr>
        <w:t xml:space="preserve"> latent heat thermal energy storage (LHTES) by analyzing and evaluating energy performance in residential buildings</w:t>
      </w:r>
      <w:r w:rsidR="00981FFC">
        <w:rPr>
          <w:rFonts w:ascii="Georgia Pro" w:hAnsi="Georgia Pro"/>
          <w:szCs w:val="24"/>
        </w:rPr>
        <w:t xml:space="preserve"> </w:t>
      </w:r>
      <w:r w:rsidR="00DA7EE4">
        <w:rPr>
          <w:rFonts w:ascii="Georgia Pro" w:hAnsi="Georgia Pro"/>
          <w:szCs w:val="24"/>
        </w:rPr>
        <w:t>for</w:t>
      </w:r>
      <w:r w:rsidR="00981FFC">
        <w:rPr>
          <w:rFonts w:ascii="Georgia Pro" w:hAnsi="Georgia Pro"/>
          <w:szCs w:val="24"/>
        </w:rPr>
        <w:t xml:space="preserve"> </w:t>
      </w:r>
      <w:r w:rsidR="00DA7EE4">
        <w:rPr>
          <w:rFonts w:ascii="Georgia Pro" w:hAnsi="Georgia Pro"/>
          <w:szCs w:val="24"/>
        </w:rPr>
        <w:t>different</w:t>
      </w:r>
      <w:r w:rsidR="00981FFC">
        <w:rPr>
          <w:rFonts w:ascii="Georgia Pro" w:hAnsi="Georgia Pro"/>
          <w:szCs w:val="24"/>
        </w:rPr>
        <w:t xml:space="preserve"> climate conditions</w:t>
      </w:r>
      <w:r w:rsidRPr="0015600B">
        <w:rPr>
          <w:rFonts w:ascii="Georgia Pro" w:hAnsi="Georgia Pro"/>
          <w:szCs w:val="24"/>
        </w:rPr>
        <w:t>.</w:t>
      </w:r>
      <w:bookmarkStart w:id="59" w:name="_Toc41075471"/>
      <w:bookmarkStart w:id="60" w:name="_Toc41569521"/>
      <w:bookmarkStart w:id="61" w:name="_Toc42335000"/>
      <w:bookmarkStart w:id="62" w:name="_Toc42505303"/>
    </w:p>
    <w:p w14:paraId="41442DDA" w14:textId="1BFF6CB2" w:rsidR="00A819DE" w:rsidRPr="0015600B" w:rsidRDefault="00A819DE" w:rsidP="00CA6C25">
      <w:pPr>
        <w:pStyle w:val="Heading2"/>
        <w:numPr>
          <w:ilvl w:val="1"/>
          <w:numId w:val="15"/>
        </w:numPr>
      </w:pPr>
      <w:bookmarkStart w:id="63" w:name="_Toc43877968"/>
      <w:bookmarkStart w:id="64" w:name="_Toc47467727"/>
      <w:r w:rsidRPr="0015600B">
        <w:lastRenderedPageBreak/>
        <w:t>Thesis Overview</w:t>
      </w:r>
      <w:bookmarkEnd w:id="59"/>
      <w:bookmarkEnd w:id="60"/>
      <w:bookmarkEnd w:id="61"/>
      <w:r w:rsidRPr="0015600B">
        <w:t>/Organization</w:t>
      </w:r>
      <w:bookmarkEnd w:id="62"/>
      <w:bookmarkEnd w:id="63"/>
      <w:bookmarkEnd w:id="64"/>
    </w:p>
    <w:p w14:paraId="6F9FD770" w14:textId="7880FF78" w:rsidR="00A819DE" w:rsidRPr="0015600B" w:rsidRDefault="0056048A" w:rsidP="00A819DE">
      <w:pPr>
        <w:spacing w:beforeLines="120" w:before="288" w:afterLines="120" w:after="288"/>
        <w:rPr>
          <w:b/>
          <w:bCs/>
          <w:szCs w:val="24"/>
        </w:rPr>
      </w:pPr>
      <w:r>
        <w:rPr>
          <w:szCs w:val="24"/>
        </w:rPr>
        <w:t>T</w:t>
      </w:r>
      <w:r w:rsidR="00A819DE" w:rsidRPr="0015600B">
        <w:rPr>
          <w:szCs w:val="24"/>
        </w:rPr>
        <w:t>his thesis</w:t>
      </w:r>
      <w:r>
        <w:rPr>
          <w:szCs w:val="24"/>
        </w:rPr>
        <w:t xml:space="preserve"> aims to obtain the</w:t>
      </w:r>
      <w:r w:rsidR="00A819DE" w:rsidRPr="0015600B">
        <w:rPr>
          <w:szCs w:val="24"/>
        </w:rPr>
        <w:t xml:space="preserve"> different research objectives </w:t>
      </w:r>
      <w:r w:rsidR="00B31843">
        <w:rPr>
          <w:szCs w:val="24"/>
        </w:rPr>
        <w:t>by</w:t>
      </w:r>
      <w:r w:rsidR="00A819DE" w:rsidRPr="0015600B">
        <w:rPr>
          <w:szCs w:val="24"/>
        </w:rPr>
        <w:t xml:space="preserve"> formulating</w:t>
      </w:r>
      <w:r>
        <w:rPr>
          <w:szCs w:val="24"/>
        </w:rPr>
        <w:t xml:space="preserve"> a</w:t>
      </w:r>
      <w:r w:rsidR="00A819DE" w:rsidRPr="0015600B">
        <w:rPr>
          <w:szCs w:val="24"/>
        </w:rPr>
        <w:t xml:space="preserve"> mathematical model of a solar-powered LHTES system. The research objectives boil down to determining the capabilities of the LTHES by calculating energy captured by a solar collector, total building energy demand, and how much auxiliary heating required when solar energy is not enough or not available. </w:t>
      </w:r>
      <w:r w:rsidR="009465E6">
        <w:rPr>
          <w:szCs w:val="24"/>
        </w:rPr>
        <w:t>The following chapters are organized as below</w:t>
      </w:r>
      <w:r w:rsidR="00A819DE" w:rsidRPr="0015600B">
        <w:rPr>
          <w:szCs w:val="24"/>
        </w:rPr>
        <w:t>:</w:t>
      </w:r>
    </w:p>
    <w:p w14:paraId="242A70B6" w14:textId="2D65BC7C" w:rsidR="00FA53D1" w:rsidRPr="0015600B" w:rsidRDefault="00A819DE" w:rsidP="00FA53D1">
      <w:pPr>
        <w:spacing w:beforeLines="120" w:before="288" w:afterLines="120" w:after="288"/>
        <w:rPr>
          <w:szCs w:val="24"/>
        </w:rPr>
      </w:pPr>
      <w:r w:rsidRPr="0015600B">
        <w:rPr>
          <w:b/>
          <w:bCs/>
          <w:szCs w:val="24"/>
        </w:rPr>
        <w:t>Chapter 1</w:t>
      </w:r>
      <w:bookmarkStart w:id="65" w:name="_Hlk37690298"/>
      <w:r w:rsidRPr="0015600B">
        <w:rPr>
          <w:b/>
          <w:bCs/>
          <w:szCs w:val="24"/>
        </w:rPr>
        <w:t>.</w:t>
      </w:r>
      <w:r w:rsidRPr="0015600B">
        <w:rPr>
          <w:szCs w:val="24"/>
        </w:rPr>
        <w:t xml:space="preserve"> The background </w:t>
      </w:r>
      <w:bookmarkEnd w:id="65"/>
      <w:r w:rsidRPr="0015600B">
        <w:rPr>
          <w:szCs w:val="24"/>
        </w:rPr>
        <w:t xml:space="preserve">of the </w:t>
      </w:r>
      <w:r w:rsidR="00BD58D2">
        <w:rPr>
          <w:szCs w:val="24"/>
        </w:rPr>
        <w:t>project.</w:t>
      </w:r>
      <w:r w:rsidRPr="0015600B">
        <w:rPr>
          <w:szCs w:val="24"/>
        </w:rPr>
        <w:t xml:space="preserve"> </w:t>
      </w:r>
      <w:r w:rsidR="00FA53D1">
        <w:rPr>
          <w:szCs w:val="24"/>
        </w:rPr>
        <w:t xml:space="preserve">In this </w:t>
      </w:r>
      <w:r w:rsidR="00E57EAF">
        <w:t>chapter</w:t>
      </w:r>
      <w:r w:rsidR="00FA53D1">
        <w:t xml:space="preserve">, a </w:t>
      </w:r>
      <w:r w:rsidR="008F0CF3">
        <w:t>knowledge</w:t>
      </w:r>
      <w:r w:rsidR="00FA53D1">
        <w:t xml:space="preserve"> of</w:t>
      </w:r>
      <w:r w:rsidR="00E57EAF">
        <w:t xml:space="preserve"> the Heating, Ventilating, and Air-conditioning (HVAC) </w:t>
      </w:r>
      <w:r w:rsidR="00FA53D1">
        <w:t xml:space="preserve">and hot water </w:t>
      </w:r>
      <w:r w:rsidR="00E57EAF">
        <w:t>System</w:t>
      </w:r>
      <w:r w:rsidR="00FA53D1">
        <w:t xml:space="preserve"> integrated with LHTES system is presented.</w:t>
      </w:r>
      <w:r w:rsidR="00FA53D1" w:rsidRPr="0015600B" w:rsidDel="00FA53D1">
        <w:rPr>
          <w:szCs w:val="24"/>
        </w:rPr>
        <w:t xml:space="preserve"> </w:t>
      </w:r>
      <w:r w:rsidRPr="0015600B">
        <w:rPr>
          <w:szCs w:val="24"/>
        </w:rPr>
        <w:t xml:space="preserve"> </w:t>
      </w:r>
      <w:r w:rsidR="00FA53D1">
        <w:rPr>
          <w:szCs w:val="24"/>
        </w:rPr>
        <w:t xml:space="preserve">In the end, the </w:t>
      </w:r>
      <w:r w:rsidR="00E57EAF">
        <w:t>research objectives and thesis overview/organization</w:t>
      </w:r>
      <w:r w:rsidR="00FA53D1">
        <w:t xml:space="preserve"> </w:t>
      </w:r>
      <w:r w:rsidR="0041368B">
        <w:t xml:space="preserve">are </w:t>
      </w:r>
      <w:r w:rsidR="00FA53D1">
        <w:t>presented</w:t>
      </w:r>
      <w:r w:rsidR="00E57EAF">
        <w:t>.</w:t>
      </w:r>
    </w:p>
    <w:p w14:paraId="6EC920B6" w14:textId="70CD2AE8" w:rsidR="00A819DE" w:rsidRPr="0015600B" w:rsidRDefault="00A819DE" w:rsidP="00A819DE">
      <w:pPr>
        <w:spacing w:beforeLines="120" w:before="288" w:afterLines="120" w:after="288"/>
        <w:rPr>
          <w:szCs w:val="24"/>
        </w:rPr>
      </w:pPr>
      <w:r w:rsidRPr="0015600B">
        <w:rPr>
          <w:b/>
          <w:bCs/>
          <w:szCs w:val="24"/>
        </w:rPr>
        <w:t>Chapter 2</w:t>
      </w:r>
      <w:bookmarkStart w:id="66" w:name="_Hlk37690404"/>
      <w:r w:rsidRPr="0015600B">
        <w:rPr>
          <w:b/>
          <w:bCs/>
          <w:szCs w:val="24"/>
        </w:rPr>
        <w:t>.</w:t>
      </w:r>
      <w:r w:rsidRPr="0015600B">
        <w:rPr>
          <w:szCs w:val="24"/>
        </w:rPr>
        <w:t xml:space="preserve"> The literature </w:t>
      </w:r>
      <w:bookmarkEnd w:id="66"/>
      <w:r w:rsidRPr="0015600B">
        <w:rPr>
          <w:szCs w:val="24"/>
        </w:rPr>
        <w:t xml:space="preserve">reviews. In this chapter, the findings from the literature search and review are presented. It is purposed to </w:t>
      </w:r>
      <w:r w:rsidR="008F0CF3">
        <w:rPr>
          <w:szCs w:val="24"/>
        </w:rPr>
        <w:t>show</w:t>
      </w:r>
      <w:r w:rsidRPr="0015600B">
        <w:rPr>
          <w:szCs w:val="24"/>
        </w:rPr>
        <w:t xml:space="preserve"> the state of the art of the LHTES system and provide research gaps addressed in this thesis. </w:t>
      </w:r>
    </w:p>
    <w:p w14:paraId="34F8C7AD" w14:textId="6BDFD3E8" w:rsidR="00A819DE" w:rsidRPr="0015600B" w:rsidRDefault="00A819DE" w:rsidP="00A819DE">
      <w:pPr>
        <w:spacing w:beforeLines="120" w:before="288" w:afterLines="120" w:after="288"/>
        <w:rPr>
          <w:szCs w:val="24"/>
        </w:rPr>
      </w:pPr>
      <w:r w:rsidRPr="0015600B">
        <w:rPr>
          <w:b/>
          <w:bCs/>
          <w:szCs w:val="24"/>
        </w:rPr>
        <w:t xml:space="preserve">Chapter </w:t>
      </w:r>
      <w:bookmarkStart w:id="67" w:name="_Hlk37690453"/>
      <w:r w:rsidRPr="0015600B">
        <w:rPr>
          <w:b/>
          <w:bCs/>
          <w:szCs w:val="24"/>
        </w:rPr>
        <w:t>3.</w:t>
      </w:r>
      <w:r w:rsidRPr="0015600B">
        <w:rPr>
          <w:szCs w:val="24"/>
        </w:rPr>
        <w:t xml:space="preserve"> </w:t>
      </w:r>
      <w:r w:rsidR="001562EF">
        <w:rPr>
          <w:caps/>
        </w:rPr>
        <w:t>LHTES</w:t>
      </w:r>
      <w:r w:rsidR="001562EF">
        <w:t xml:space="preserve"> system mathematical</w:t>
      </w:r>
      <w:r w:rsidR="001562EF" w:rsidRPr="0015600B">
        <w:t xml:space="preserve"> </w:t>
      </w:r>
      <w:r w:rsidR="001562EF">
        <w:t>modeling and</w:t>
      </w:r>
      <w:r w:rsidR="001562EF" w:rsidRPr="0015600B">
        <w:t xml:space="preserve"> equipment sizing</w:t>
      </w:r>
      <w:r w:rsidRPr="0015600B">
        <w:rPr>
          <w:szCs w:val="24"/>
        </w:rPr>
        <w:t>.</w:t>
      </w:r>
      <w:bookmarkEnd w:id="67"/>
      <w:r w:rsidRPr="0015600B">
        <w:rPr>
          <w:szCs w:val="24"/>
        </w:rPr>
        <w:t xml:space="preserve"> </w:t>
      </w:r>
      <w:r w:rsidR="00BC2BA7" w:rsidRPr="0015600B">
        <w:rPr>
          <w:szCs w:val="24"/>
        </w:rPr>
        <w:t xml:space="preserve">In this chapter, </w:t>
      </w:r>
      <w:r w:rsidR="00FB580C">
        <w:rPr>
          <w:szCs w:val="24"/>
        </w:rPr>
        <w:t>the empl</w:t>
      </w:r>
      <w:r w:rsidR="0041368B">
        <w:rPr>
          <w:szCs w:val="24"/>
        </w:rPr>
        <w:t>o</w:t>
      </w:r>
      <w:r w:rsidR="00FB580C">
        <w:rPr>
          <w:szCs w:val="24"/>
        </w:rPr>
        <w:t>yed time-dependent</w:t>
      </w:r>
      <w:r w:rsidR="00BC2BA7" w:rsidRPr="0015600B">
        <w:rPr>
          <w:szCs w:val="24"/>
        </w:rPr>
        <w:t xml:space="preserve"> one-dimensional heat transfer model is presented</w:t>
      </w:r>
      <w:r w:rsidR="00294136">
        <w:rPr>
          <w:szCs w:val="24"/>
        </w:rPr>
        <w:t xml:space="preserve">. </w:t>
      </w:r>
      <w:r w:rsidR="00B1091F">
        <w:rPr>
          <w:szCs w:val="24"/>
        </w:rPr>
        <w:t>Besides</w:t>
      </w:r>
      <w:r w:rsidR="00294136">
        <w:rPr>
          <w:szCs w:val="24"/>
        </w:rPr>
        <w:t xml:space="preserve">, </w:t>
      </w:r>
      <w:r w:rsidRPr="0015600B">
        <w:rPr>
          <w:szCs w:val="24"/>
        </w:rPr>
        <w:t>the climate zones (in which candidate cities are selected) are explained</w:t>
      </w:r>
      <w:r w:rsidR="008F0CF3">
        <w:rPr>
          <w:szCs w:val="24"/>
        </w:rPr>
        <w:t>,</w:t>
      </w:r>
      <w:r w:rsidRPr="0015600B">
        <w:rPr>
          <w:szCs w:val="24"/>
        </w:rPr>
        <w:t xml:space="preserve"> and equipment sizes required in each candidate cities are presented. </w:t>
      </w:r>
    </w:p>
    <w:p w14:paraId="72007FB7" w14:textId="0FCF72C8" w:rsidR="00A819DE" w:rsidRPr="0015600B" w:rsidRDefault="00A819DE" w:rsidP="00A819DE">
      <w:pPr>
        <w:spacing w:beforeLines="120" w:before="288" w:afterLines="120" w:after="288"/>
        <w:rPr>
          <w:szCs w:val="24"/>
        </w:rPr>
      </w:pPr>
      <w:r w:rsidRPr="0015600B">
        <w:rPr>
          <w:b/>
          <w:bCs/>
          <w:szCs w:val="24"/>
        </w:rPr>
        <w:t xml:space="preserve">Chapter </w:t>
      </w:r>
      <w:r w:rsidR="00BC2BA7">
        <w:rPr>
          <w:b/>
          <w:bCs/>
          <w:szCs w:val="24"/>
        </w:rPr>
        <w:t>4</w:t>
      </w:r>
      <w:r w:rsidRPr="0015600B">
        <w:rPr>
          <w:b/>
          <w:bCs/>
          <w:szCs w:val="24"/>
        </w:rPr>
        <w:t>.</w:t>
      </w:r>
      <w:r w:rsidR="00BC2BA7">
        <w:rPr>
          <w:szCs w:val="24"/>
        </w:rPr>
        <w:t xml:space="preserve"> </w:t>
      </w:r>
      <w:r w:rsidR="00BC2BA7" w:rsidRPr="00BC2BA7">
        <w:t>LHTES system heat transfer and energy performance analysis.</w:t>
      </w:r>
      <w:r w:rsidRPr="0015600B">
        <w:rPr>
          <w:szCs w:val="24"/>
        </w:rPr>
        <w:t xml:space="preserve"> </w:t>
      </w:r>
      <w:r w:rsidR="00294136">
        <w:rPr>
          <w:szCs w:val="24"/>
        </w:rPr>
        <w:t>In t</w:t>
      </w:r>
      <w:r w:rsidRPr="0015600B">
        <w:rPr>
          <w:szCs w:val="24"/>
        </w:rPr>
        <w:t>his chapter</w:t>
      </w:r>
      <w:r w:rsidR="00294136">
        <w:rPr>
          <w:szCs w:val="24"/>
        </w:rPr>
        <w:t>,</w:t>
      </w:r>
      <w:r w:rsidR="00294136" w:rsidRPr="0015600B">
        <w:rPr>
          <w:szCs w:val="24"/>
        </w:rPr>
        <w:t xml:space="preserve"> the </w:t>
      </w:r>
      <w:r w:rsidR="00236DD4">
        <w:rPr>
          <w:szCs w:val="24"/>
        </w:rPr>
        <w:t xml:space="preserve">heat transfer, </w:t>
      </w:r>
      <w:r w:rsidR="00294136" w:rsidRPr="0015600B">
        <w:rPr>
          <w:szCs w:val="24"/>
        </w:rPr>
        <w:t>exergy</w:t>
      </w:r>
      <w:r w:rsidR="00236DD4">
        <w:rPr>
          <w:szCs w:val="24"/>
        </w:rPr>
        <w:t xml:space="preserve">, and </w:t>
      </w:r>
      <w:r w:rsidRPr="0015600B">
        <w:rPr>
          <w:szCs w:val="24"/>
        </w:rPr>
        <w:t xml:space="preserve">building energy simulation results are presented. </w:t>
      </w:r>
      <w:r w:rsidR="00B31843">
        <w:rPr>
          <w:szCs w:val="24"/>
        </w:rPr>
        <w:t>Also</w:t>
      </w:r>
      <w:r w:rsidRPr="0015600B">
        <w:rPr>
          <w:szCs w:val="24"/>
        </w:rPr>
        <w:t xml:space="preserve">, the </w:t>
      </w:r>
      <w:r w:rsidR="00B2508F">
        <w:rPr>
          <w:szCs w:val="24"/>
        </w:rPr>
        <w:t xml:space="preserve">annual building energy cost and </w:t>
      </w:r>
      <w:r w:rsidR="00236DD4">
        <w:rPr>
          <w:szCs w:val="24"/>
        </w:rPr>
        <w:t xml:space="preserve">the LHTES system </w:t>
      </w:r>
      <w:r w:rsidRPr="0015600B">
        <w:rPr>
          <w:szCs w:val="24"/>
        </w:rPr>
        <w:t xml:space="preserve">energy </w:t>
      </w:r>
      <w:r w:rsidRPr="0015600B">
        <w:rPr>
          <w:szCs w:val="24"/>
        </w:rPr>
        <w:lastRenderedPageBreak/>
        <w:t xml:space="preserve">performance </w:t>
      </w:r>
      <w:r w:rsidR="00B2508F">
        <w:rPr>
          <w:szCs w:val="24"/>
        </w:rPr>
        <w:t xml:space="preserve">evaluation </w:t>
      </w:r>
      <w:r w:rsidRPr="0015600B">
        <w:rPr>
          <w:szCs w:val="24"/>
        </w:rPr>
        <w:t xml:space="preserve">are analyzed to propose the benefit of the LHTES system in different climate zones. </w:t>
      </w:r>
    </w:p>
    <w:p w14:paraId="18307C0E" w14:textId="0B72A9CE" w:rsidR="00A819DE" w:rsidRPr="0015600B" w:rsidRDefault="00A819DE" w:rsidP="00A819DE">
      <w:pPr>
        <w:rPr>
          <w:szCs w:val="24"/>
        </w:rPr>
      </w:pPr>
      <w:r w:rsidRPr="0015600B">
        <w:rPr>
          <w:b/>
          <w:bCs/>
          <w:szCs w:val="24"/>
        </w:rPr>
        <w:t xml:space="preserve">Chapter </w:t>
      </w:r>
      <w:r w:rsidR="00BC2BA7">
        <w:rPr>
          <w:b/>
          <w:bCs/>
          <w:szCs w:val="24"/>
        </w:rPr>
        <w:t>5</w:t>
      </w:r>
      <w:r w:rsidRPr="0015600B">
        <w:rPr>
          <w:b/>
          <w:bCs/>
          <w:szCs w:val="24"/>
        </w:rPr>
        <w:t>.</w:t>
      </w:r>
      <w:r w:rsidRPr="0015600B">
        <w:rPr>
          <w:szCs w:val="24"/>
        </w:rPr>
        <w:t xml:space="preserve"> Closing remarks. This is the last chapter of this thesis. In this chapter, conclusions and future work are </w:t>
      </w:r>
      <w:r w:rsidR="001B7DC6">
        <w:rPr>
          <w:szCs w:val="24"/>
        </w:rPr>
        <w:t>provid</w:t>
      </w:r>
      <w:r w:rsidR="001B7DC6" w:rsidRPr="0015600B">
        <w:rPr>
          <w:szCs w:val="24"/>
        </w:rPr>
        <w:t>ed</w:t>
      </w:r>
      <w:r w:rsidRPr="0015600B">
        <w:rPr>
          <w:szCs w:val="24"/>
        </w:rPr>
        <w:t>.</w:t>
      </w:r>
    </w:p>
    <w:p w14:paraId="1713E035" w14:textId="77777777" w:rsidR="00A819DE" w:rsidRPr="0015600B" w:rsidRDefault="00A819DE" w:rsidP="00A819DE">
      <w:pPr>
        <w:spacing w:beforeLines="120" w:before="288" w:afterLines="120" w:after="288"/>
        <w:rPr>
          <w:szCs w:val="24"/>
        </w:rPr>
        <w:sectPr w:rsidR="00A819DE" w:rsidRPr="0015600B" w:rsidSect="00D91D6F">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2160" w:header="720" w:footer="720" w:gutter="0"/>
          <w:pgNumType w:start="1"/>
          <w:cols w:space="720"/>
          <w:docGrid w:linePitch="326"/>
        </w:sectPr>
      </w:pPr>
      <w:bookmarkStart w:id="68" w:name="a"/>
      <w:r w:rsidRPr="0015600B">
        <w:rPr>
          <w:szCs w:val="24"/>
        </w:rPr>
        <w:t xml:space="preserve"> </w:t>
      </w:r>
    </w:p>
    <w:p w14:paraId="708D10CA" w14:textId="5F42DAF8" w:rsidR="00A819DE" w:rsidRPr="0015600B" w:rsidRDefault="00A819DE" w:rsidP="00C764BF">
      <w:pPr>
        <w:pStyle w:val="Heading1"/>
      </w:pPr>
      <w:bookmarkStart w:id="69" w:name="_Toc42505304"/>
      <w:bookmarkStart w:id="70" w:name="_Toc43877969"/>
      <w:bookmarkStart w:id="71" w:name="_Toc47467728"/>
      <w:bookmarkEnd w:id="68"/>
      <w:r w:rsidRPr="0015600B">
        <w:lastRenderedPageBreak/>
        <w:t>LITERATURE REVIEWS</w:t>
      </w:r>
      <w:bookmarkEnd w:id="69"/>
      <w:bookmarkEnd w:id="70"/>
      <w:bookmarkEnd w:id="71"/>
    </w:p>
    <w:p w14:paraId="6ECA16C8" w14:textId="6F2F52BB" w:rsidR="00A819DE" w:rsidRPr="0015600B" w:rsidRDefault="00A819DE" w:rsidP="00A819DE">
      <w:pPr>
        <w:spacing w:beforeLines="120" w:before="288" w:afterLines="120" w:after="288"/>
        <w:rPr>
          <w:szCs w:val="24"/>
        </w:rPr>
      </w:pPr>
      <w:bookmarkStart w:id="72" w:name="b"/>
      <w:r w:rsidRPr="0015600B">
        <w:rPr>
          <w:szCs w:val="24"/>
        </w:rPr>
        <w:t>Buildings account for approximately 40% of the worldwide annual energy consumption. Fossil fuels (non-renewable energy) satisfy most of the energy demand</w:t>
      </w:r>
      <w:r w:rsidR="00A404E9">
        <w:rPr>
          <w:szCs w:val="24"/>
        </w:rPr>
        <w:t>s</w:t>
      </w:r>
      <w:r w:rsidR="008F0CF3">
        <w:rPr>
          <w:szCs w:val="24"/>
        </w:rPr>
        <w:t>;</w:t>
      </w:r>
      <w:r w:rsidR="00A404E9">
        <w:rPr>
          <w:szCs w:val="24"/>
        </w:rPr>
        <w:t xml:space="preserve"> thus</w:t>
      </w:r>
      <w:r w:rsidR="008F0CF3">
        <w:rPr>
          <w:szCs w:val="24"/>
        </w:rPr>
        <w:t>,</w:t>
      </w:r>
      <w:r w:rsidR="00A404E9">
        <w:rPr>
          <w:szCs w:val="24"/>
        </w:rPr>
        <w:t xml:space="preserve"> </w:t>
      </w:r>
      <w:r w:rsidRPr="0015600B">
        <w:rPr>
          <w:szCs w:val="24"/>
        </w:rPr>
        <w:t xml:space="preserve">they contribute </w:t>
      </w:r>
      <w:r w:rsidR="008F0CF3">
        <w:rPr>
          <w:szCs w:val="24"/>
        </w:rPr>
        <w:t>significan</w:t>
      </w:r>
      <w:r w:rsidRPr="0015600B">
        <w:rPr>
          <w:szCs w:val="24"/>
        </w:rPr>
        <w:t xml:space="preserve">tly to global warming. The measures to alleviate fossil fuels’ impact on global warming should include offsetting the building energy demand using renewable energies </w:t>
      </w:r>
      <w:r w:rsidRPr="0015600B">
        <w:rPr>
          <w:szCs w:val="24"/>
        </w:rPr>
        <w:fldChar w:fldCharType="begin" w:fldLock="1"/>
      </w:r>
      <w:r w:rsidR="0037500D">
        <w:rPr>
          <w:szCs w:val="24"/>
        </w:rPr>
        <w:instrText>ADDIN CSL_CITATION {"citationItems":[{"id":"ITEM-1","itemData":{"abstract":"online ordering: http://www.ntis.gov/help/ordermethods.aspx Cover Photos: (left to right) PIX 16416, PIX 17423, PIX 16560, PIX 17613, PIX 17436, PIX 17721 Printed on paper containing at least 50% wastepaper, including 10% post consumer waste. SUMMARY This paper introduces technical opportunities, means, and methods for incorporating renewable energy technologies into building designs and operations. This paper provides an overview of renewable energy resources and available technologies used successfully to offset building electrical and thermal energy loads. Methods for applying these technologies in buildings and the role of building energy efficiency in successful renewable energy projects are addressed. Tips on implementing effective renewable energy projects are also provided. RIASSUNTO Questa memoria considera le opportunità tecniche, i mezzi e i metodi per incorporare le tecnologie ad energia rinnovabile (RE) nei progetti e nel uso degli edifici. La memoria fornisce una panoramica delle risorse RE e delle tecnologie disponibile utilizzate con successo per ridurre i carichi elettrici e termici degli edifici. Vengono considerati anche metodi per applicare queste tecnologie negli edifici ed il ruolo dell'efficienza energetica nell'edificio per progetti RE riusciti. La memoria offre anche suggerimenti per implementare progetti RE ben riusciti.","author":[{"dropping-particle":"","family":"Hayter","given":"Sheila J","non-dropping-particle":"","parse-names":false,"suffix":""},{"dropping-particle":"","family":"Kandt","given":"Alicen","non-dropping-particle":"","parse-names":false,"suffix":""},{"dropping-particle":"","family":"Kandt","given":"Fashrae -Alicen","non-dropping-particle":"","parse-names":false,"suffix":""}],"id":"ITEM-1","issued":{"date-parts":[["2011"]]},"title":"Renewable Energy Applications for Existing Buildings Preprint Renewable Energy Applications for Existing Buildings Applicazioni dell'energia rinnovabile su edifici esistenti","type":"report"},"uris":["http://www.mendeley.com/documents/?uuid=f449079f-47a6-3600-81e3-4bc943f47b18"]}],"mendeley":{"formattedCitation":"[9]","plainTextFormattedCitation":"[9]","previouslyFormattedCitation":"[9]"},"properties":{"noteIndex":0},"schema":"https://github.com/citation-style-language/schema/raw/master/csl-citation.json"}</w:instrText>
      </w:r>
      <w:r w:rsidRPr="0015600B">
        <w:rPr>
          <w:szCs w:val="24"/>
        </w:rPr>
        <w:fldChar w:fldCharType="separate"/>
      </w:r>
      <w:r w:rsidR="00055D5B" w:rsidRPr="00055D5B">
        <w:rPr>
          <w:noProof/>
          <w:szCs w:val="24"/>
        </w:rPr>
        <w:t>[9]</w:t>
      </w:r>
      <w:r w:rsidRPr="0015600B">
        <w:rPr>
          <w:szCs w:val="24"/>
        </w:rPr>
        <w:fldChar w:fldCharType="end"/>
      </w:r>
      <w:r w:rsidRPr="0015600B">
        <w:rPr>
          <w:szCs w:val="24"/>
        </w:rPr>
        <w:t xml:space="preserve">. Among the renewable energies available, solar energy is deemed the best option because of its affordability, accessibility, and prevalence </w:t>
      </w:r>
      <w:r w:rsidRPr="0015600B">
        <w:rPr>
          <w:szCs w:val="24"/>
        </w:rPr>
        <w:fldChar w:fldCharType="begin" w:fldLock="1"/>
      </w:r>
      <w:r w:rsidR="0037500D">
        <w:rPr>
          <w:szCs w:val="24"/>
        </w:rPr>
        <w:instrText>ADDIN CSL_CITATION {"citationItems":[{"id":"ITEM-1","itemData":{"URL":"https://www.energy.gov/eere/solarpoweringamerica/solar-energy-united-states","accessed":{"date-parts":[["2020","5","31"]]},"id":"ITEM-1","issued":{"date-parts":[["0"]]},"title":"Solar Energy in the United States | Department of Energy","type":"webpage"},"uris":["http://www.mendeley.com/documents/?uuid=31feb946-c1d6-337d-96a5-f1b3338f93d9"]}],"mendeley":{"formattedCitation":"[10]","plainTextFormattedCitation":"[10]","previouslyFormattedCitation":"[10]"},"properties":{"noteIndex":0},"schema":"https://github.com/citation-style-language/schema/raw/master/csl-citation.json"}</w:instrText>
      </w:r>
      <w:r w:rsidRPr="0015600B">
        <w:rPr>
          <w:szCs w:val="24"/>
        </w:rPr>
        <w:fldChar w:fldCharType="separate"/>
      </w:r>
      <w:r w:rsidR="00055D5B" w:rsidRPr="00055D5B">
        <w:rPr>
          <w:noProof/>
          <w:szCs w:val="24"/>
        </w:rPr>
        <w:t>[10]</w:t>
      </w:r>
      <w:r w:rsidRPr="0015600B">
        <w:rPr>
          <w:szCs w:val="24"/>
        </w:rPr>
        <w:fldChar w:fldCharType="end"/>
      </w:r>
      <w:r w:rsidRPr="0015600B">
        <w:rPr>
          <w:szCs w:val="24"/>
        </w:rPr>
        <w:t>.</w:t>
      </w:r>
    </w:p>
    <w:p w14:paraId="59D8EB2B" w14:textId="14DA3DEE" w:rsidR="00A819DE" w:rsidRDefault="00A819DE" w:rsidP="00A819DE">
      <w:pPr>
        <w:spacing w:beforeLines="120" w:before="288" w:afterLines="120" w:after="288"/>
        <w:rPr>
          <w:szCs w:val="24"/>
        </w:rPr>
      </w:pPr>
      <w:bookmarkStart w:id="73" w:name="_Hlk43632804"/>
      <w:r w:rsidRPr="0015600B">
        <w:rPr>
          <w:szCs w:val="24"/>
        </w:rPr>
        <w:t>In the United States, the net renewable energy production accounts for about 17.7%</w:t>
      </w:r>
      <w:r w:rsidR="008F0CF3">
        <w:rPr>
          <w:szCs w:val="24"/>
        </w:rPr>
        <w:t>,</w:t>
      </w:r>
      <w:r w:rsidRPr="0015600B">
        <w:rPr>
          <w:szCs w:val="24"/>
        </w:rPr>
        <w:t xml:space="preserve"> out of which 2.0% is solar energy (see Figure 2.1). The rest of these renewable energies come from hydropower, wind, geothermal, and biomass. Thus, there is a need to harness the solar energy </w:t>
      </w:r>
      <w:r w:rsidRPr="0015600B">
        <w:rPr>
          <w:szCs w:val="24"/>
        </w:rPr>
        <w:fldChar w:fldCharType="begin" w:fldLock="1"/>
      </w:r>
      <w:r w:rsidR="0037500D">
        <w:rPr>
          <w:szCs w:val="24"/>
        </w:rPr>
        <w:instrText>ADDIN CSL_CITATION {"citationItems":[{"id":"ITEM-1","itemData":{"author":[{"dropping-particle":"","family":"Koebrich","given":"Sam","non-dropping-particle":"","parse-names":false,"suffix":""},{"dropping-particle":"","family":"Tian","given":"Tian","non-dropping-particle":"","parse-names":false,"suffix":""},{"dropping-particle":"","family":"Chen","given":"Emily","non-dropping-particle":"","parse-names":false,"suffix":""}],"id":"ITEM-1","issued":{"date-parts":[["0"]]},"title":"2017 Renewable Energy Data Book Including Data and Trends for Energy Storage and Electric Vehicles Acknowledgments","type":"report"},"uris":["http://www.mendeley.com/documents/?uuid=68e63964-52e2-3444-874f-e8255232055c"]}],"mendeley":{"formattedCitation":"[11]","plainTextFormattedCitation":"[11]","previouslyFormattedCitation":"[11]"},"properties":{"noteIndex":0},"schema":"https://github.com/citation-style-language/schema/raw/master/csl-citation.json"}</w:instrText>
      </w:r>
      <w:r w:rsidRPr="0015600B">
        <w:rPr>
          <w:szCs w:val="24"/>
        </w:rPr>
        <w:fldChar w:fldCharType="separate"/>
      </w:r>
      <w:r w:rsidR="00055D5B" w:rsidRPr="00055D5B">
        <w:rPr>
          <w:noProof/>
          <w:szCs w:val="24"/>
        </w:rPr>
        <w:t>[11]</w:t>
      </w:r>
      <w:r w:rsidRPr="0015600B">
        <w:rPr>
          <w:szCs w:val="24"/>
        </w:rPr>
        <w:fldChar w:fldCharType="end"/>
      </w:r>
      <w:r w:rsidRPr="0015600B">
        <w:rPr>
          <w:szCs w:val="24"/>
        </w:rPr>
        <w:t xml:space="preserve">. </w:t>
      </w:r>
    </w:p>
    <w:p w14:paraId="71010219" w14:textId="77777777" w:rsidR="00315E85" w:rsidRDefault="00D173BC" w:rsidP="00315E85">
      <w:pPr>
        <w:keepNext/>
        <w:spacing w:beforeLines="120" w:before="288" w:afterLines="120" w:after="288"/>
        <w:jc w:val="center"/>
      </w:pPr>
      <w:r w:rsidRPr="0015600B">
        <w:rPr>
          <w:noProof/>
          <w:szCs w:val="24"/>
        </w:rPr>
        <w:drawing>
          <wp:inline distT="0" distB="0" distL="0" distR="0" wp14:anchorId="7A6509C8" wp14:editId="11352429">
            <wp:extent cx="4616024" cy="1069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61997" cy="1080328"/>
                    </a:xfrm>
                    <a:prstGeom prst="rect">
                      <a:avLst/>
                    </a:prstGeom>
                  </pic:spPr>
                </pic:pic>
              </a:graphicData>
            </a:graphic>
          </wp:inline>
        </w:drawing>
      </w:r>
    </w:p>
    <w:p w14:paraId="60FFF34C" w14:textId="59C8043C" w:rsidR="00D173BC" w:rsidRPr="00834A1C" w:rsidRDefault="00315E85" w:rsidP="00037B41">
      <w:pPr>
        <w:pStyle w:val="Caption"/>
      </w:pPr>
      <w:bookmarkStart w:id="74" w:name="_Toc47467754"/>
      <w:r w:rsidRPr="00564FAB">
        <w:t xml:space="preserve">Figure </w:t>
      </w:r>
      <w:fldSimple w:instr=" STYLEREF 1 \s ">
        <w:r w:rsidR="00D979B8">
          <w:rPr>
            <w:noProof/>
          </w:rPr>
          <w:t>2</w:t>
        </w:r>
      </w:fldSimple>
      <w:r w:rsidR="00961B56" w:rsidRPr="00564FAB">
        <w:t>.</w:t>
      </w:r>
      <w:fldSimple w:instr=" SEQ Figure \* ARABIC \s 1 ">
        <w:r w:rsidR="00D979B8">
          <w:rPr>
            <w:noProof/>
          </w:rPr>
          <w:t>1</w:t>
        </w:r>
      </w:fldSimple>
      <w:r w:rsidRPr="00564FAB">
        <w:t xml:space="preserve">. </w:t>
      </w:r>
      <w:r w:rsidR="00D173BC" w:rsidRPr="00564FAB">
        <w:t xml:space="preserve">The U.S electricity nameplate capacity and generation. (The distributions of various categories of energy under renewable generations in the </w:t>
      </w:r>
      <w:r w:rsidR="00D173BC" w:rsidRPr="00C45B18">
        <w:t>U.S</w:t>
      </w:r>
      <w:r w:rsidR="00D173BC" w:rsidRPr="00834A1C">
        <w:t>)</w:t>
      </w:r>
      <w:r w:rsidR="00D61001" w:rsidRPr="00564FAB">
        <w:t xml:space="preserve"> (adopted from </w:t>
      </w:r>
      <w:r w:rsidR="009D7B75" w:rsidRPr="00C45B18">
        <w:fldChar w:fldCharType="begin" w:fldLock="1"/>
      </w:r>
      <w:r w:rsidR="0037500D">
        <w:instrText>ADDIN CSL_CITATION {"citationItems":[{"id":"ITEM-1","itemData":{"author":[{"dropping-particle":"","family":"Koebrich","given":"Sam","non-dropping-particle":"","parse-names":false,"suffix":""},{"dropping-particle":"","family":"Tian","given":"Tian","non-dropping-particle":"","parse-names":false,"suffix":""},{"dropping-particle":"","family":"Chen","given":"Emily","non-dropping-particle":"","parse-names":false,"suffix":""}],"id":"ITEM-1","issued":{"date-parts":[["0"]]},"title":"2017 Renewable Energy Data Book Including Data and Trends for Energy Storage and Electric Vehicles Acknowledgments","type":"report"},"uris":["http://www.mendeley.com/documents/?uuid=68e63964-52e2-3444-874f-e8255232055c"]}],"mendeley":{"formattedCitation":"[11]","plainTextFormattedCitation":"[11]","previouslyFormattedCitation":"[11]"},"properties":{"noteIndex":0},"schema":"https://github.com/citation-style-language/schema/raw/master/csl-citation.json"}</w:instrText>
      </w:r>
      <w:r w:rsidR="009D7B75" w:rsidRPr="00C45B18">
        <w:fldChar w:fldCharType="separate"/>
      </w:r>
      <w:r w:rsidR="00055D5B" w:rsidRPr="00055D5B">
        <w:rPr>
          <w:i w:val="0"/>
          <w:noProof/>
        </w:rPr>
        <w:t>[11]</w:t>
      </w:r>
      <w:r w:rsidR="009D7B75" w:rsidRPr="00C45B18">
        <w:fldChar w:fldCharType="end"/>
      </w:r>
      <w:r w:rsidR="00E17FEB" w:rsidRPr="00564FAB">
        <w:t>)</w:t>
      </w:r>
      <w:r w:rsidR="00D61001" w:rsidRPr="00C45B18">
        <w:t>.</w:t>
      </w:r>
      <w:bookmarkEnd w:id="74"/>
    </w:p>
    <w:p w14:paraId="56259229" w14:textId="0610F8E5" w:rsidR="00D173BC" w:rsidRDefault="00D173BC" w:rsidP="00D173BC">
      <w:pPr>
        <w:spacing w:after="288"/>
      </w:pPr>
      <w:r w:rsidRPr="0015600B">
        <w:rPr>
          <w:szCs w:val="24"/>
        </w:rPr>
        <w:t>In this chapter, the literature review intends to explore ways to harness solar energy in an economic</w:t>
      </w:r>
      <w:r w:rsidR="008F0CF3">
        <w:rPr>
          <w:szCs w:val="24"/>
        </w:rPr>
        <w:t>al</w:t>
      </w:r>
      <w:r w:rsidRPr="0015600B">
        <w:rPr>
          <w:szCs w:val="24"/>
        </w:rPr>
        <w:t xml:space="preserve"> way possible and present the gaps (novelty) addressed by this study.</w:t>
      </w:r>
    </w:p>
    <w:p w14:paraId="4B5A6E5F" w14:textId="5857BF27" w:rsidR="005C4048" w:rsidRPr="0015600B" w:rsidRDefault="005C4048" w:rsidP="00A819DE">
      <w:pPr>
        <w:spacing w:beforeLines="120" w:before="288" w:afterLines="120" w:after="288"/>
        <w:rPr>
          <w:szCs w:val="24"/>
        </w:rPr>
      </w:pPr>
    </w:p>
    <w:p w14:paraId="4B5F784E" w14:textId="4FD74162" w:rsidR="00A819DE" w:rsidRPr="0015600B" w:rsidRDefault="00CD084A" w:rsidP="00C764BF">
      <w:pPr>
        <w:pStyle w:val="Heading2"/>
        <w:numPr>
          <w:ilvl w:val="1"/>
          <w:numId w:val="15"/>
        </w:numPr>
        <w:spacing w:after="288"/>
        <w:rPr>
          <w:szCs w:val="24"/>
        </w:rPr>
      </w:pPr>
      <w:bookmarkStart w:id="75" w:name="_Toc41299173"/>
      <w:bookmarkStart w:id="76" w:name="_Toc41299290"/>
      <w:bookmarkStart w:id="77" w:name="_Toc42335003"/>
      <w:bookmarkStart w:id="78" w:name="_Toc42505305"/>
      <w:bookmarkStart w:id="79" w:name="_Toc43877970"/>
      <w:bookmarkStart w:id="80" w:name="_Toc47467729"/>
      <w:bookmarkEnd w:id="73"/>
      <w:r>
        <w:rPr>
          <w:szCs w:val="24"/>
        </w:rPr>
        <w:lastRenderedPageBreak/>
        <w:t>S</w:t>
      </w:r>
      <w:bookmarkEnd w:id="75"/>
      <w:bookmarkEnd w:id="76"/>
      <w:bookmarkEnd w:id="77"/>
      <w:bookmarkEnd w:id="78"/>
      <w:bookmarkEnd w:id="79"/>
      <w:r>
        <w:rPr>
          <w:szCs w:val="24"/>
        </w:rPr>
        <w:t>tate of Art</w:t>
      </w:r>
      <w:bookmarkEnd w:id="80"/>
    </w:p>
    <w:p w14:paraId="28972EB1" w14:textId="64984887" w:rsidR="00A819DE" w:rsidRPr="0015600B" w:rsidRDefault="00A819DE" w:rsidP="00A819DE">
      <w:pPr>
        <w:rPr>
          <w:color w:val="000000"/>
          <w:szCs w:val="24"/>
          <w:shd w:val="clear" w:color="auto" w:fill="FFFFFF"/>
        </w:rPr>
      </w:pPr>
      <w:bookmarkStart w:id="81" w:name="_Hlk42381519"/>
      <w:r w:rsidRPr="0015600B">
        <w:rPr>
          <w:szCs w:val="24"/>
        </w:rPr>
        <w:t xml:space="preserve">The proposed LTHES system is an integration of several mature technologies: solar collector, thermal energy storage, and absorption A/C. The extensive literature review has revealed the existence of </w:t>
      </w:r>
      <w:r w:rsidR="008F0CF3">
        <w:rPr>
          <w:szCs w:val="24"/>
        </w:rPr>
        <w:t>combin</w:t>
      </w:r>
      <w:r w:rsidRPr="0015600B">
        <w:rPr>
          <w:szCs w:val="24"/>
        </w:rPr>
        <w:t xml:space="preserve">ation of </w:t>
      </w:r>
      <w:r w:rsidR="007D1156">
        <w:rPr>
          <w:szCs w:val="24"/>
        </w:rPr>
        <w:t xml:space="preserve">the </w:t>
      </w:r>
      <w:r w:rsidR="003F0586">
        <w:rPr>
          <w:szCs w:val="24"/>
        </w:rPr>
        <w:t xml:space="preserve">latent heat </w:t>
      </w:r>
      <w:r w:rsidRPr="0015600B">
        <w:rPr>
          <w:szCs w:val="24"/>
        </w:rPr>
        <w:t>thermal energy storage with only space heating, space cooling, hot water system, heat pump, absorption air condition unit</w:t>
      </w:r>
      <w:r w:rsidR="008F0CF3">
        <w:rPr>
          <w:szCs w:val="24"/>
        </w:rPr>
        <w:t>,</w:t>
      </w:r>
      <w:r w:rsidRPr="0015600B">
        <w:rPr>
          <w:szCs w:val="24"/>
        </w:rPr>
        <w:t xml:space="preserve"> or the combination of two different units and no study has put all the three </w:t>
      </w:r>
      <w:r w:rsidR="007D1156">
        <w:rPr>
          <w:szCs w:val="24"/>
        </w:rPr>
        <w:t xml:space="preserve">or more </w:t>
      </w:r>
      <w:r w:rsidRPr="0015600B">
        <w:rPr>
          <w:szCs w:val="24"/>
        </w:rPr>
        <w:t>together</w:t>
      </w:r>
      <w:r w:rsidR="007D1156">
        <w:rPr>
          <w:szCs w:val="24"/>
        </w:rPr>
        <w:t>.</w:t>
      </w:r>
      <w:r w:rsidRPr="0015600B">
        <w:rPr>
          <w:szCs w:val="24"/>
        </w:rPr>
        <w:t xml:space="preserve"> Further, a</w:t>
      </w:r>
      <w:r w:rsidR="008F0CF3">
        <w:rPr>
          <w:szCs w:val="24"/>
        </w:rPr>
        <w:t xml:space="preserve"> current</w:t>
      </w:r>
      <w:r w:rsidRPr="0015600B">
        <w:rPr>
          <w:szCs w:val="24"/>
        </w:rPr>
        <w:t xml:space="preserve"> s</w:t>
      </w:r>
      <w:r w:rsidR="008F0CF3">
        <w:rPr>
          <w:szCs w:val="24"/>
        </w:rPr>
        <w:t>urve</w:t>
      </w:r>
      <w:r w:rsidRPr="0015600B">
        <w:rPr>
          <w:szCs w:val="24"/>
        </w:rPr>
        <w:t>y of an integrated system simulates the heat transfer and exergy of the system for a cold day and a hot day. Therefore, there is a need to include building heating</w:t>
      </w:r>
      <w:r w:rsidR="00B31843">
        <w:rPr>
          <w:szCs w:val="24"/>
        </w:rPr>
        <w:t>,</w:t>
      </w:r>
      <w:r w:rsidR="007D1156">
        <w:rPr>
          <w:szCs w:val="24"/>
        </w:rPr>
        <w:t xml:space="preserve"> cooling,</w:t>
      </w:r>
      <w:r w:rsidRPr="0015600B">
        <w:rPr>
          <w:szCs w:val="24"/>
        </w:rPr>
        <w:t xml:space="preserve"> and hot water loads using </w:t>
      </w:r>
      <w:r w:rsidR="00B31843">
        <w:rPr>
          <w:szCs w:val="24"/>
        </w:rPr>
        <w:t xml:space="preserve">the </w:t>
      </w:r>
      <w:r w:rsidRPr="0015600B">
        <w:rPr>
          <w:szCs w:val="24"/>
        </w:rPr>
        <w:t>heat transfer and exergy model and carry out a simulation for the entire year (i.e.</w:t>
      </w:r>
      <w:r w:rsidR="008F0CF3">
        <w:rPr>
          <w:szCs w:val="24"/>
        </w:rPr>
        <w:t>,</w:t>
      </w:r>
      <w:r w:rsidRPr="0015600B">
        <w:rPr>
          <w:szCs w:val="24"/>
        </w:rPr>
        <w:t xml:space="preserve"> 365 days). As a result, blending in the building load and simulating the LHTES performance for </w:t>
      </w:r>
      <w:r w:rsidR="00B31843">
        <w:rPr>
          <w:szCs w:val="24"/>
        </w:rPr>
        <w:t xml:space="preserve">the </w:t>
      </w:r>
      <w:r w:rsidR="008F0CF3">
        <w:rPr>
          <w:szCs w:val="24"/>
        </w:rPr>
        <w:t>whole of th</w:t>
      </w:r>
      <w:r w:rsidRPr="0015600B">
        <w:rPr>
          <w:szCs w:val="24"/>
        </w:rPr>
        <w:t xml:space="preserve">e year sets in the innovative approach and is the focal point of this study. </w:t>
      </w:r>
      <w:r w:rsidR="008F0CF3">
        <w:rPr>
          <w:szCs w:val="24"/>
        </w:rPr>
        <w:t>Each component of the system categorizes the literature review</w:t>
      </w:r>
      <w:r w:rsidRPr="0015600B">
        <w:rPr>
          <w:szCs w:val="24"/>
        </w:rPr>
        <w:t>.</w:t>
      </w:r>
    </w:p>
    <w:p w14:paraId="4AE6F46C" w14:textId="77777777" w:rsidR="00A819DE" w:rsidRPr="0015600B" w:rsidRDefault="00A819DE" w:rsidP="00A819DE">
      <w:pPr>
        <w:pStyle w:val="Heading3"/>
        <w:spacing w:after="288"/>
      </w:pPr>
      <w:bookmarkStart w:id="82" w:name="_Toc42335004"/>
      <w:bookmarkStart w:id="83" w:name="_Toc42505306"/>
      <w:bookmarkStart w:id="84" w:name="_Toc43877971"/>
      <w:r w:rsidRPr="0015600B">
        <w:t>2.1.1. Glass tube solar collector</w:t>
      </w:r>
      <w:bookmarkEnd w:id="82"/>
      <w:bookmarkEnd w:id="83"/>
      <w:bookmarkEnd w:id="84"/>
    </w:p>
    <w:p w14:paraId="193BAEF3" w14:textId="2A0D6189" w:rsidR="00A819DE" w:rsidRPr="00AD05D0" w:rsidRDefault="00A819DE" w:rsidP="00A819DE">
      <w:pPr>
        <w:spacing w:after="288"/>
        <w:ind w:firstLine="1080"/>
        <w:rPr>
          <w:color w:val="000000" w:themeColor="text1"/>
          <w:szCs w:val="24"/>
          <w:shd w:val="clear" w:color="auto" w:fill="FAFAFA"/>
        </w:rPr>
      </w:pPr>
      <w:r w:rsidRPr="00AD05D0">
        <w:rPr>
          <w:color w:val="000000" w:themeColor="text1"/>
          <w:szCs w:val="24"/>
        </w:rPr>
        <w:t xml:space="preserve">According to SEIA, </w:t>
      </w:r>
      <w:r w:rsidRPr="00AD05D0">
        <w:rPr>
          <w:color w:val="000000" w:themeColor="text1"/>
          <w:szCs w:val="24"/>
          <w:shd w:val="clear" w:color="auto" w:fill="FAFAFA"/>
        </w:rPr>
        <w:t xml:space="preserve">solar energy is the cleanest and </w:t>
      </w:r>
      <w:r w:rsidR="00B20B39">
        <w:rPr>
          <w:color w:val="000000" w:themeColor="text1"/>
          <w:szCs w:val="24"/>
          <w:shd w:val="clear" w:color="auto" w:fill="FAFAFA"/>
        </w:rPr>
        <w:t xml:space="preserve">the </w:t>
      </w:r>
      <w:r w:rsidRPr="00AD05D0">
        <w:rPr>
          <w:color w:val="000000" w:themeColor="text1"/>
          <w:szCs w:val="24"/>
          <w:shd w:val="clear" w:color="auto" w:fill="FAFAFA"/>
        </w:rPr>
        <w:t>most abundant renewable energy source available</w:t>
      </w:r>
      <w:r w:rsidR="008F0CF3">
        <w:rPr>
          <w:color w:val="000000" w:themeColor="text1"/>
          <w:szCs w:val="24"/>
          <w:shd w:val="clear" w:color="auto" w:fill="FAFAFA"/>
        </w:rPr>
        <w:t>;</w:t>
      </w:r>
      <w:r w:rsidRPr="00AD05D0">
        <w:rPr>
          <w:color w:val="000000" w:themeColor="text1"/>
          <w:szCs w:val="24"/>
          <w:shd w:val="clear" w:color="auto" w:fill="FAFAFA"/>
        </w:rPr>
        <w:t xml:space="preserve"> the U.S. has some of the </w:t>
      </w:r>
      <w:r w:rsidR="008F0CF3">
        <w:rPr>
          <w:color w:val="000000" w:themeColor="text1"/>
          <w:szCs w:val="24"/>
          <w:shd w:val="clear" w:color="auto" w:fill="FAFAFA"/>
        </w:rPr>
        <w:t>most abundan</w:t>
      </w:r>
      <w:r w:rsidRPr="00AD05D0">
        <w:rPr>
          <w:color w:val="000000" w:themeColor="text1"/>
          <w:szCs w:val="24"/>
          <w:shd w:val="clear" w:color="auto" w:fill="FAFAFA"/>
        </w:rPr>
        <w:t>t solar resources in the world. Solar technologies can harness this energy for a variety of uses</w:t>
      </w:r>
      <w:r w:rsidR="008F0CF3">
        <w:rPr>
          <w:color w:val="000000" w:themeColor="text1"/>
          <w:szCs w:val="24"/>
          <w:shd w:val="clear" w:color="auto" w:fill="FAFAFA"/>
        </w:rPr>
        <w:t>,</w:t>
      </w:r>
      <w:r w:rsidRPr="00AD05D0">
        <w:rPr>
          <w:color w:val="000000" w:themeColor="text1"/>
          <w:szCs w:val="24"/>
          <w:shd w:val="clear" w:color="auto" w:fill="FAFAFA"/>
        </w:rPr>
        <w:t xml:space="preserve"> including generating electricity, providing light or a comfortable interior environment, and heating water for domestic, commercial, or industrial use. There are </w:t>
      </w:r>
      <w:r w:rsidR="00F252B9">
        <w:rPr>
          <w:color w:val="000000" w:themeColor="text1"/>
          <w:szCs w:val="24"/>
          <w:shd w:val="clear" w:color="auto" w:fill="FAFAFA"/>
        </w:rPr>
        <w:t>two</w:t>
      </w:r>
      <w:r w:rsidR="00F252B9" w:rsidRPr="00AD05D0">
        <w:rPr>
          <w:color w:val="000000" w:themeColor="text1"/>
          <w:szCs w:val="24"/>
          <w:shd w:val="clear" w:color="auto" w:fill="FAFAFA"/>
        </w:rPr>
        <w:t xml:space="preserve"> </w:t>
      </w:r>
      <w:r w:rsidRPr="00AD05D0">
        <w:rPr>
          <w:color w:val="000000" w:themeColor="text1"/>
          <w:szCs w:val="24"/>
          <w:shd w:val="clear" w:color="auto" w:fill="FAFAFA"/>
        </w:rPr>
        <w:t>different ways to harness solar energy</w:t>
      </w:r>
      <w:r w:rsidR="00701D75">
        <w:rPr>
          <w:color w:val="000000" w:themeColor="text1"/>
          <w:szCs w:val="24"/>
          <w:shd w:val="clear" w:color="auto" w:fill="FAFAFA"/>
        </w:rPr>
        <w:t>, namely</w:t>
      </w:r>
      <w:r w:rsidRPr="00AD05D0">
        <w:rPr>
          <w:color w:val="000000" w:themeColor="text1"/>
          <w:szCs w:val="24"/>
          <w:shd w:val="clear" w:color="auto" w:fill="FAFAFA"/>
        </w:rPr>
        <w:t xml:space="preserve"> </w:t>
      </w:r>
      <w:r w:rsidRPr="00AD05D0">
        <w:rPr>
          <w:color w:val="000000" w:themeColor="text1"/>
          <w:szCs w:val="24"/>
          <w:bdr w:val="none" w:sz="0" w:space="0" w:color="auto" w:frame="1"/>
          <w:shd w:val="clear" w:color="auto" w:fill="FAFAFA"/>
        </w:rPr>
        <w:t>photovoltaics</w:t>
      </w:r>
      <w:r w:rsidRPr="00AD05D0">
        <w:rPr>
          <w:color w:val="000000" w:themeColor="text1"/>
          <w:szCs w:val="24"/>
          <w:shd w:val="clear" w:color="auto" w:fill="FAFAFA"/>
        </w:rPr>
        <w:t> </w:t>
      </w:r>
      <w:r w:rsidR="00F252B9">
        <w:rPr>
          <w:color w:val="000000" w:themeColor="text1"/>
          <w:szCs w:val="24"/>
          <w:shd w:val="clear" w:color="auto" w:fill="FAFAFA"/>
        </w:rPr>
        <w:t xml:space="preserve">and solar </w:t>
      </w:r>
      <w:r w:rsidR="00F252B9">
        <w:rPr>
          <w:color w:val="000000" w:themeColor="text1"/>
          <w:szCs w:val="24"/>
          <w:shd w:val="clear" w:color="auto" w:fill="FAFAFA"/>
        </w:rPr>
        <w:lastRenderedPageBreak/>
        <w:t>thermal systems. Solar thermal systems are categorized into relatively low</w:t>
      </w:r>
      <w:r w:rsidR="008F0CF3">
        <w:rPr>
          <w:color w:val="000000" w:themeColor="text1"/>
          <w:szCs w:val="24"/>
          <w:shd w:val="clear" w:color="auto" w:fill="FAFAFA"/>
        </w:rPr>
        <w:t>-</w:t>
      </w:r>
      <w:r w:rsidR="00F252B9">
        <w:rPr>
          <w:color w:val="000000" w:themeColor="text1"/>
          <w:szCs w:val="24"/>
          <w:shd w:val="clear" w:color="auto" w:fill="FAFAFA"/>
        </w:rPr>
        <w:t>temperat</w:t>
      </w:r>
      <w:r w:rsidR="0041368B">
        <w:rPr>
          <w:color w:val="000000" w:themeColor="text1"/>
          <w:szCs w:val="24"/>
          <w:shd w:val="clear" w:color="auto" w:fill="FAFAFA"/>
        </w:rPr>
        <w:t>u</w:t>
      </w:r>
      <w:r w:rsidR="00F252B9">
        <w:rPr>
          <w:color w:val="000000" w:themeColor="text1"/>
          <w:szCs w:val="24"/>
          <w:shd w:val="clear" w:color="auto" w:fill="FAFAFA"/>
        </w:rPr>
        <w:t xml:space="preserve">re non-concentrating systems </w:t>
      </w:r>
      <w:r w:rsidRPr="00AD05D0">
        <w:rPr>
          <w:rStyle w:val="Hyperlink"/>
          <w:color w:val="000000" w:themeColor="text1"/>
          <w:szCs w:val="24"/>
          <w:u w:val="none"/>
          <w:bdr w:val="none" w:sz="0" w:space="0" w:color="auto" w:frame="1"/>
          <w:shd w:val="clear" w:color="auto" w:fill="FAFAFA"/>
        </w:rPr>
        <w:t>(</w:t>
      </w:r>
      <w:r w:rsidR="00F252B9">
        <w:rPr>
          <w:rStyle w:val="Hyperlink"/>
          <w:color w:val="000000" w:themeColor="text1"/>
          <w:szCs w:val="24"/>
          <w:u w:val="none"/>
          <w:bdr w:val="none" w:sz="0" w:space="0" w:color="auto" w:frame="1"/>
          <w:shd w:val="clear" w:color="auto" w:fill="FAFAFA"/>
        </w:rPr>
        <w:t>e.g.</w:t>
      </w:r>
      <w:r w:rsidR="008F0CF3">
        <w:rPr>
          <w:rStyle w:val="Hyperlink"/>
          <w:color w:val="000000" w:themeColor="text1"/>
          <w:szCs w:val="24"/>
          <w:u w:val="none"/>
          <w:bdr w:val="none" w:sz="0" w:space="0" w:color="auto" w:frame="1"/>
          <w:shd w:val="clear" w:color="auto" w:fill="FAFAFA"/>
        </w:rPr>
        <w:t>,</w:t>
      </w:r>
      <w:r w:rsidR="005F3EA8">
        <w:rPr>
          <w:rStyle w:val="Hyperlink"/>
          <w:color w:val="000000" w:themeColor="text1"/>
          <w:szCs w:val="24"/>
          <w:u w:val="none"/>
          <w:bdr w:val="none" w:sz="0" w:space="0" w:color="auto" w:frame="1"/>
          <w:shd w:val="clear" w:color="auto" w:fill="FAFAFA"/>
        </w:rPr>
        <w:t xml:space="preserve"> </w:t>
      </w:r>
      <w:r w:rsidR="0041368B">
        <w:rPr>
          <w:rStyle w:val="Hyperlink"/>
          <w:color w:val="000000" w:themeColor="text1"/>
          <w:szCs w:val="24"/>
          <w:u w:val="none"/>
          <w:bdr w:val="none" w:sz="0" w:space="0" w:color="auto" w:frame="1"/>
          <w:shd w:val="clear" w:color="auto" w:fill="FAFAFA"/>
        </w:rPr>
        <w:t>solar</w:t>
      </w:r>
      <w:r w:rsidR="005F3EA8">
        <w:rPr>
          <w:rStyle w:val="Hyperlink"/>
          <w:color w:val="000000" w:themeColor="text1"/>
          <w:szCs w:val="24"/>
          <w:u w:val="none"/>
          <w:bdr w:val="none" w:sz="0" w:space="0" w:color="auto" w:frame="1"/>
          <w:shd w:val="clear" w:color="auto" w:fill="FAFAFA"/>
        </w:rPr>
        <w:t xml:space="preserve"> </w:t>
      </w:r>
      <w:r w:rsidR="0041368B">
        <w:rPr>
          <w:rStyle w:val="Hyperlink"/>
          <w:color w:val="000000" w:themeColor="text1"/>
          <w:szCs w:val="24"/>
          <w:u w:val="none"/>
          <w:bdr w:val="none" w:sz="0" w:space="0" w:color="auto" w:frame="1"/>
          <w:shd w:val="clear" w:color="auto" w:fill="FAFAFA"/>
        </w:rPr>
        <w:t>chimney,</w:t>
      </w:r>
      <w:r w:rsidR="00F252B9">
        <w:rPr>
          <w:rStyle w:val="Hyperlink"/>
          <w:color w:val="000000" w:themeColor="text1"/>
          <w:szCs w:val="24"/>
          <w:u w:val="none"/>
          <w:bdr w:val="none" w:sz="0" w:space="0" w:color="auto" w:frame="1"/>
          <w:shd w:val="clear" w:color="auto" w:fill="FAFAFA"/>
        </w:rPr>
        <w:t xml:space="preserve"> flat plate</w:t>
      </w:r>
      <w:r w:rsidR="007C6AB8">
        <w:rPr>
          <w:rStyle w:val="Hyperlink"/>
          <w:color w:val="000000" w:themeColor="text1"/>
          <w:szCs w:val="24"/>
          <w:u w:val="none"/>
          <w:bdr w:val="none" w:sz="0" w:space="0" w:color="auto" w:frame="1"/>
          <w:shd w:val="clear" w:color="auto" w:fill="FAFAFA"/>
        </w:rPr>
        <w:t xml:space="preserve">, </w:t>
      </w:r>
      <w:r w:rsidR="00F252B9">
        <w:rPr>
          <w:rStyle w:val="Hyperlink"/>
          <w:color w:val="000000" w:themeColor="text1"/>
          <w:szCs w:val="24"/>
          <w:u w:val="none"/>
          <w:bdr w:val="none" w:sz="0" w:space="0" w:color="auto" w:frame="1"/>
          <w:shd w:val="clear" w:color="auto" w:fill="FAFAFA"/>
        </w:rPr>
        <w:t>and</w:t>
      </w:r>
      <w:r w:rsidR="005F3EA8">
        <w:rPr>
          <w:rStyle w:val="Hyperlink"/>
          <w:color w:val="000000" w:themeColor="text1"/>
          <w:szCs w:val="24"/>
          <w:u w:val="none"/>
          <w:bdr w:val="none" w:sz="0" w:space="0" w:color="auto" w:frame="1"/>
          <w:shd w:val="clear" w:color="auto" w:fill="FAFAFA"/>
        </w:rPr>
        <w:t xml:space="preserve"> </w:t>
      </w:r>
      <w:r w:rsidRPr="00AD05D0">
        <w:rPr>
          <w:rStyle w:val="Hyperlink"/>
          <w:color w:val="000000" w:themeColor="text1"/>
          <w:szCs w:val="24"/>
          <w:u w:val="none"/>
          <w:bdr w:val="none" w:sz="0" w:space="0" w:color="auto" w:frame="1"/>
          <w:shd w:val="clear" w:color="auto" w:fill="FAFAFA"/>
        </w:rPr>
        <w:t>evacuated tube collector</w:t>
      </w:r>
      <w:r w:rsidR="00F252B9">
        <w:rPr>
          <w:rStyle w:val="Hyperlink"/>
          <w:color w:val="000000" w:themeColor="text1"/>
          <w:szCs w:val="24"/>
          <w:u w:val="none"/>
          <w:bdr w:val="none" w:sz="0" w:space="0" w:color="auto" w:frame="1"/>
          <w:shd w:val="clear" w:color="auto" w:fill="FAFAFA"/>
        </w:rPr>
        <w:t>s</w:t>
      </w:r>
      <w:r w:rsidRPr="00AD05D0">
        <w:rPr>
          <w:rStyle w:val="Hyperlink"/>
          <w:color w:val="000000" w:themeColor="text1"/>
          <w:szCs w:val="24"/>
          <w:u w:val="none"/>
          <w:bdr w:val="none" w:sz="0" w:space="0" w:color="auto" w:frame="1"/>
          <w:shd w:val="clear" w:color="auto" w:fill="FAFAFA"/>
        </w:rPr>
        <w:t>)</w:t>
      </w:r>
      <w:r w:rsidR="00B31843">
        <w:rPr>
          <w:rStyle w:val="Hyperlink"/>
          <w:color w:val="000000" w:themeColor="text1"/>
          <w:szCs w:val="24"/>
          <w:u w:val="none"/>
          <w:bdr w:val="none" w:sz="0" w:space="0" w:color="auto" w:frame="1"/>
          <w:shd w:val="clear" w:color="auto" w:fill="FAFAFA"/>
        </w:rPr>
        <w:t>,</w:t>
      </w:r>
      <w:r w:rsidRPr="00AD05D0">
        <w:rPr>
          <w:color w:val="000000" w:themeColor="text1"/>
          <w:szCs w:val="24"/>
          <w:shd w:val="clear" w:color="auto" w:fill="FAFAFA"/>
        </w:rPr>
        <w:t xml:space="preserve"> and </w:t>
      </w:r>
      <w:r w:rsidRPr="00AD05D0">
        <w:rPr>
          <w:color w:val="000000" w:themeColor="text1"/>
          <w:szCs w:val="24"/>
          <w:bdr w:val="none" w:sz="0" w:space="0" w:color="auto" w:frame="1"/>
          <w:shd w:val="clear" w:color="auto" w:fill="FAFAFA"/>
        </w:rPr>
        <w:t>concentrating solar power</w:t>
      </w:r>
      <w:r w:rsidRPr="00AD05D0">
        <w:rPr>
          <w:rStyle w:val="Hyperlink"/>
          <w:color w:val="000000" w:themeColor="text1"/>
          <w:szCs w:val="24"/>
          <w:u w:val="none"/>
          <w:bdr w:val="none" w:sz="0" w:space="0" w:color="auto" w:frame="1"/>
          <w:shd w:val="clear" w:color="auto" w:fill="FAFAFA"/>
        </w:rPr>
        <w:t xml:space="preserve"> </w:t>
      </w:r>
      <w:r w:rsidRPr="00AD05D0">
        <w:rPr>
          <w:rStyle w:val="Hyperlink"/>
          <w:color w:val="000000" w:themeColor="text1"/>
          <w:szCs w:val="24"/>
          <w:u w:val="none"/>
          <w:bdr w:val="none" w:sz="0" w:space="0" w:color="auto" w:frame="1"/>
          <w:shd w:val="clear" w:color="auto" w:fill="FAFAFA"/>
        </w:rPr>
        <w:fldChar w:fldCharType="begin" w:fldLock="1"/>
      </w:r>
      <w:r w:rsidR="0037500D">
        <w:rPr>
          <w:rStyle w:val="Hyperlink"/>
          <w:color w:val="000000" w:themeColor="text1"/>
          <w:szCs w:val="24"/>
          <w:u w:val="none"/>
          <w:bdr w:val="none" w:sz="0" w:space="0" w:color="auto" w:frame="1"/>
          <w:shd w:val="clear" w:color="auto" w:fill="FAFAFA"/>
        </w:rPr>
        <w:instrText>ADDIN CSL_CITATION {"citationItems":[{"id":"ITEM-1","itemData":{"URL":"https://www.seia.org/initiatives/about-solar-energy","accessed":{"date-parts":[["2020","5","30"]]},"id":"ITEM-1","issued":{"date-parts":[["0"]]},"title":"About Solar Energy | SEIA","type":"webpage"},"uris":["http://www.mendeley.com/documents/?uuid=9772a60a-1d0e-303c-91f3-1a72187e076a"]}],"mendeley":{"formattedCitation":"[12]","plainTextFormattedCitation":"[12]","previouslyFormattedCitation":"[12]"},"properties":{"noteIndex":0},"schema":"https://github.com/citation-style-language/schema/raw/master/csl-citation.json"}</w:instrText>
      </w:r>
      <w:r w:rsidRPr="00AD05D0">
        <w:rPr>
          <w:rStyle w:val="Hyperlink"/>
          <w:color w:val="000000" w:themeColor="text1"/>
          <w:szCs w:val="24"/>
          <w:u w:val="none"/>
          <w:bdr w:val="none" w:sz="0" w:space="0" w:color="auto" w:frame="1"/>
          <w:shd w:val="clear" w:color="auto" w:fill="FAFAFA"/>
        </w:rPr>
        <w:fldChar w:fldCharType="separate"/>
      </w:r>
      <w:r w:rsidR="00055D5B" w:rsidRPr="00055D5B">
        <w:rPr>
          <w:rStyle w:val="Hyperlink"/>
          <w:noProof/>
          <w:color w:val="000000" w:themeColor="text1"/>
          <w:szCs w:val="24"/>
          <w:u w:val="none"/>
          <w:bdr w:val="none" w:sz="0" w:space="0" w:color="auto" w:frame="1"/>
          <w:shd w:val="clear" w:color="auto" w:fill="FAFAFA"/>
        </w:rPr>
        <w:t>[12]</w:t>
      </w:r>
      <w:r w:rsidRPr="00AD05D0">
        <w:rPr>
          <w:rStyle w:val="Hyperlink"/>
          <w:color w:val="000000" w:themeColor="text1"/>
          <w:szCs w:val="24"/>
          <w:u w:val="none"/>
          <w:bdr w:val="none" w:sz="0" w:space="0" w:color="auto" w:frame="1"/>
          <w:shd w:val="clear" w:color="auto" w:fill="FAFAFA"/>
        </w:rPr>
        <w:fldChar w:fldCharType="end"/>
      </w:r>
      <w:r w:rsidRPr="00AD05D0">
        <w:rPr>
          <w:color w:val="000000" w:themeColor="text1"/>
          <w:szCs w:val="24"/>
          <w:shd w:val="clear" w:color="auto" w:fill="FAFAFA"/>
        </w:rPr>
        <w:t>. </w:t>
      </w:r>
    </w:p>
    <w:p w14:paraId="21B36058" w14:textId="2AB6AE7A" w:rsidR="00A819DE" w:rsidRPr="0015600B" w:rsidRDefault="00A819DE" w:rsidP="00A819DE">
      <w:pPr>
        <w:rPr>
          <w:szCs w:val="24"/>
        </w:rPr>
      </w:pPr>
      <w:r w:rsidRPr="0015600B">
        <w:rPr>
          <w:szCs w:val="24"/>
        </w:rPr>
        <w:t xml:space="preserve">Photovoltaic (PV) is a system that uses </w:t>
      </w:r>
      <w:r w:rsidR="00CA7752">
        <w:rPr>
          <w:szCs w:val="24"/>
        </w:rPr>
        <w:t xml:space="preserve">solar </w:t>
      </w:r>
      <w:r w:rsidRPr="0015600B">
        <w:rPr>
          <w:szCs w:val="24"/>
        </w:rPr>
        <w:t xml:space="preserve">cells </w:t>
      </w:r>
      <w:r w:rsidR="00CA7752">
        <w:rPr>
          <w:szCs w:val="24"/>
        </w:rPr>
        <w:t xml:space="preserve">to </w:t>
      </w:r>
      <w:r w:rsidRPr="0015600B">
        <w:rPr>
          <w:szCs w:val="24"/>
        </w:rPr>
        <w:t xml:space="preserve">convert </w:t>
      </w:r>
      <w:r w:rsidR="00CA7752">
        <w:rPr>
          <w:szCs w:val="24"/>
        </w:rPr>
        <w:t xml:space="preserve">solar </w:t>
      </w:r>
      <w:r w:rsidRPr="0015600B">
        <w:rPr>
          <w:szCs w:val="24"/>
        </w:rPr>
        <w:t xml:space="preserve">energy </w:t>
      </w:r>
      <w:r w:rsidR="008F0CF3">
        <w:rPr>
          <w:szCs w:val="24"/>
        </w:rPr>
        <w:t>in</w:t>
      </w:r>
      <w:r w:rsidRPr="0015600B">
        <w:rPr>
          <w:szCs w:val="24"/>
        </w:rPr>
        <w:t xml:space="preserve">to electricity. The PV cells used by the Photovoltaic (PV) system entail two layers of materials that are semi-conductors in nature made from silicon. When the cells receive direct sunlight from the sun, they create an electric field on the </w:t>
      </w:r>
      <w:r w:rsidR="008F0CF3">
        <w:rPr>
          <w:szCs w:val="24"/>
        </w:rPr>
        <w:t>segment</w:t>
      </w:r>
      <w:r w:rsidRPr="0015600B">
        <w:rPr>
          <w:szCs w:val="24"/>
        </w:rPr>
        <w:t>s</w:t>
      </w:r>
      <w:r w:rsidR="008F0CF3">
        <w:rPr>
          <w:szCs w:val="24"/>
        </w:rPr>
        <w:t>,</w:t>
      </w:r>
      <w:r w:rsidRPr="0015600B">
        <w:rPr>
          <w:szCs w:val="24"/>
        </w:rPr>
        <w:t xml:space="preserve"> which will </w:t>
      </w:r>
      <w:r w:rsidR="008F0CF3">
        <w:rPr>
          <w:szCs w:val="24"/>
        </w:rPr>
        <w:t>gener</w:t>
      </w:r>
      <w:r w:rsidRPr="0015600B">
        <w:rPr>
          <w:szCs w:val="24"/>
        </w:rPr>
        <w:t xml:space="preserve">ate a flow of electricity. </w:t>
      </w:r>
      <w:r w:rsidR="008F0CF3">
        <w:rPr>
          <w:szCs w:val="24"/>
        </w:rPr>
        <w:t>W</w:t>
      </w:r>
      <w:r w:rsidRPr="0015600B">
        <w:rPr>
          <w:szCs w:val="24"/>
        </w:rPr>
        <w:t xml:space="preserve">hen the intensity of the light from the sun </w:t>
      </w:r>
      <w:r w:rsidR="000015B0">
        <w:rPr>
          <w:szCs w:val="24"/>
        </w:rPr>
        <w:t>increases</w:t>
      </w:r>
      <w:r w:rsidRPr="0015600B">
        <w:rPr>
          <w:szCs w:val="24"/>
        </w:rPr>
        <w:t>, then the flow of electricity on the surface increases</w:t>
      </w:r>
      <w:r w:rsidR="000015B0" w:rsidRPr="0015600B">
        <w:rPr>
          <w:szCs w:val="24"/>
        </w:rPr>
        <w:t xml:space="preserve"> </w:t>
      </w:r>
      <w:r w:rsidR="000015B0" w:rsidRPr="0015600B">
        <w:rPr>
          <w:szCs w:val="24"/>
        </w:rPr>
        <w:fldChar w:fldCharType="begin" w:fldLock="1"/>
      </w:r>
      <w:r w:rsidR="0037500D">
        <w:rPr>
          <w:szCs w:val="24"/>
        </w:rPr>
        <w:instrText>ADDIN CSL_CITATION {"citationItems":[{"id":"ITEM-1","itemData":{"URL":"https://www.eia.gov/energyexplained/solar/photovoltaics-and-electricity.php","accessed":{"date-parts":[["2020","6","8"]]},"id":"ITEM-1","issued":{"date-parts":[["0"]]},"title":"Photovoltaics and electricity - U.S. Energy Information Administration (EIA)","type":"webpage"},"uris":["http://www.mendeley.com/documents/?uuid=34b19bfa-e884-3953-808c-90112051ac3b"]}],"mendeley":{"formattedCitation":"[13]","plainTextFormattedCitation":"[13]","previouslyFormattedCitation":"[13]"},"properties":{"noteIndex":0},"schema":"https://github.com/citation-style-language/schema/raw/master/csl-citation.json"}</w:instrText>
      </w:r>
      <w:r w:rsidR="000015B0" w:rsidRPr="0015600B">
        <w:rPr>
          <w:szCs w:val="24"/>
        </w:rPr>
        <w:fldChar w:fldCharType="separate"/>
      </w:r>
      <w:r w:rsidR="000015B0" w:rsidRPr="00055D5B">
        <w:rPr>
          <w:noProof/>
          <w:szCs w:val="24"/>
        </w:rPr>
        <w:t>[13]</w:t>
      </w:r>
      <w:r w:rsidR="000015B0" w:rsidRPr="0015600B">
        <w:rPr>
          <w:szCs w:val="24"/>
        </w:rPr>
        <w:fldChar w:fldCharType="end"/>
      </w:r>
      <w:r w:rsidRPr="0015600B">
        <w:rPr>
          <w:szCs w:val="24"/>
        </w:rPr>
        <w:t>.</w:t>
      </w:r>
    </w:p>
    <w:p w14:paraId="7983CF0E" w14:textId="3BDE196F" w:rsidR="00A819DE" w:rsidRPr="0015600B" w:rsidRDefault="00A819DE" w:rsidP="00A819DE">
      <w:pPr>
        <w:spacing w:after="288"/>
        <w:rPr>
          <w:szCs w:val="24"/>
        </w:rPr>
      </w:pPr>
      <w:r w:rsidRPr="0015600B">
        <w:rPr>
          <w:szCs w:val="24"/>
        </w:rPr>
        <w:t>The Photovoltaic (PV) system</w:t>
      </w:r>
      <w:r w:rsidR="000015B0">
        <w:rPr>
          <w:szCs w:val="24"/>
        </w:rPr>
        <w:t>s</w:t>
      </w:r>
      <w:r w:rsidRPr="0015600B">
        <w:rPr>
          <w:szCs w:val="24"/>
        </w:rPr>
        <w:t xml:space="preserve"> </w:t>
      </w:r>
      <w:r w:rsidR="00BE27BE">
        <w:rPr>
          <w:szCs w:val="24"/>
        </w:rPr>
        <w:t>require</w:t>
      </w:r>
      <w:r w:rsidRPr="0015600B">
        <w:rPr>
          <w:szCs w:val="24"/>
        </w:rPr>
        <w:t xml:space="preserve"> </w:t>
      </w:r>
      <w:r w:rsidRPr="0015600B">
        <w:rPr>
          <w:szCs w:val="24"/>
          <w:shd w:val="clear" w:color="auto" w:fill="FFFFFF"/>
        </w:rPr>
        <w:t xml:space="preserve">the need for special energy converters or maximum power point tracking (MPPT) converters that can provide maximum energy yield </w:t>
      </w:r>
      <w:r w:rsidRPr="0015600B">
        <w:rPr>
          <w:szCs w:val="24"/>
        </w:rPr>
        <w:fldChar w:fldCharType="begin" w:fldLock="1"/>
      </w:r>
      <w:r w:rsidR="0037500D">
        <w:rPr>
          <w:szCs w:val="24"/>
        </w:rPr>
        <w:instrText>ADDIN CSL_CITATION {"citationItems":[{"id":"ITEM-1","itemData":{"DOI":"10.1109/IECON.2013.6699374","ISBN":"9781479902248","abstract":"Maximal energy harvesting of photovoltaic panels is possible only if the load of photovoltaic cell is consuming current that corresponds to the maximal power point for condition combination on a certain moment. Correct and detailed mathematical modeling of photovoltaic panels is able to help to develop control techniques for maximum power point tracking converters. In order to overcome the disadvantages of Simscape solar cell block, a model of photovoltaic cell has been developed during the research on photovoltaic energy sources. Equations that are used for control of equivalent scheme of photovoltaic cell, comparison of the proposed model to the model represented in Matlab 2009 Simscape library and modeling description parameter estimation have been done. The comparison of models is represented in a steady state I-V curve characteristics that are compared to the experimental data obtained with a real photovoltaic panel. The proposed model showed results that are closer to the experimental data than the ones presented by Simscape library model. The performance of models in dynamic processes was not verified, but significant differences in behavior of the models have been ascertained. © 2013 IEEE.","author":[{"dropping-particle":"","family":"Suskis","given":"Pavels","non-dropping-particle":"","parse-names":false,"suffix":""},{"dropping-particle":"","family":"Galkin","given":"Ilya","non-dropping-particle":"","parse-names":false,"suffix":""}],"container-title":"IECON Proceedings (Industrial Electronics Conference)","id":"ITEM-1","issued":{"date-parts":[["2013"]]},"title":"Enhanced photovoltaic panel model for MATLAB-simulink environment considering solar cell junction capacitance","type":"paper-conference"},"uris":["http://www.mendeley.com/documents/?uuid=293a7d8f-3d76-49e3-bcb3-fe331a290796"]}],"mendeley":{"formattedCitation":"[14]","plainTextFormattedCitation":"[14]","previouslyFormattedCitation":"[14]"},"properties":{"noteIndex":0},"schema":"https://github.com/citation-style-language/schema/raw/master/csl-citation.json"}</w:instrText>
      </w:r>
      <w:r w:rsidRPr="0015600B">
        <w:rPr>
          <w:szCs w:val="24"/>
        </w:rPr>
        <w:fldChar w:fldCharType="separate"/>
      </w:r>
      <w:r w:rsidR="00055D5B" w:rsidRPr="00055D5B">
        <w:rPr>
          <w:noProof/>
          <w:szCs w:val="24"/>
        </w:rPr>
        <w:t>[14]</w:t>
      </w:r>
      <w:r w:rsidRPr="0015600B">
        <w:rPr>
          <w:szCs w:val="24"/>
        </w:rPr>
        <w:fldChar w:fldCharType="end"/>
      </w:r>
      <w:r w:rsidRPr="0015600B">
        <w:rPr>
          <w:szCs w:val="24"/>
        </w:rPr>
        <w:t xml:space="preserve">. Environmental and operational stresses, such as humidity, temperature, and high-voltage bias, and process limitations, such as solder bond integrity, affect PV modules, and the balance of the system (BOS) components, including power conditioning systems, in the same fashion giving rise to corrosion, electro corrosion, solder bond coarsening, etc. </w:t>
      </w:r>
      <w:r w:rsidRPr="0015600B">
        <w:rPr>
          <w:szCs w:val="24"/>
        </w:rPr>
        <w:fldChar w:fldCharType="begin" w:fldLock="1"/>
      </w:r>
      <w:r w:rsidR="0037500D">
        <w:rPr>
          <w:szCs w:val="24"/>
        </w:rPr>
        <w:instrText>ADDIN CSL_CITATION {"citationItems":[{"id":"ITEM-1","itemData":{"DOI":"10.1109/TIE.2008.924016","ISSN":"02780046","abstract":"Power processing systems will be a key factor of future photovoltaic (PV) applications. They will play a central role in transferring, to the load and/or to the grid, the electric power produced by the high-efficiency PV cells of the next generation. In order to come up the expectations related to the use of solar energy for producing electrical energy, such systems must ensure high efficiency, modularity, and, particularly, high reliability. The goal of this paper is to provide an overview of the open problems related to PV power processing systems and to focus the attention of researchers and industries on present and future challenges in this field. © 2008 IEEE.","author":[{"dropping-particle":"","family":"Petrone","given":"Giovanni","non-dropping-particle":"","parse-names":false,"suffix":""},{"dropping-particle":"","family":"Spagnuolo","given":"Giovanni","non-dropping-particle":"","parse-names":false,"suffix":""},{"dropping-particle":"","family":"Teodorescu","given":"Remus","non-dropping-particle":"","parse-names":false,"suffix":""},{"dropping-particle":"","family":"Veerachary","given":"Mummadi","non-dropping-particle":"","parse-names":false,"suffix":""},{"dropping-particle":"","family":"Vitelli","given":"Massimo","non-dropping-particle":"","parse-names":false,"suffix":""}],"container-title":"IEEE Transactions on Industrial Electronics","id":"ITEM-1","issued":{"date-parts":[["2008"]]},"title":"Reliability issues in photovoltaic power processing systems","type":"article-journal"},"uris":["http://www.mendeley.com/documents/?uuid=ac88ed2e-3f95-4761-b6c8-5677f464839c"]}],"mendeley":{"formattedCitation":"[15]","plainTextFormattedCitation":"[15]","previouslyFormattedCitation":"[15]"},"properties":{"noteIndex":0},"schema":"https://github.com/citation-style-language/schema/raw/master/csl-citation.json"}</w:instrText>
      </w:r>
      <w:r w:rsidRPr="0015600B">
        <w:rPr>
          <w:szCs w:val="24"/>
        </w:rPr>
        <w:fldChar w:fldCharType="separate"/>
      </w:r>
      <w:r w:rsidR="00055D5B" w:rsidRPr="00055D5B">
        <w:rPr>
          <w:noProof/>
          <w:szCs w:val="24"/>
        </w:rPr>
        <w:t>[15]</w:t>
      </w:r>
      <w:r w:rsidRPr="0015600B">
        <w:rPr>
          <w:szCs w:val="24"/>
        </w:rPr>
        <w:fldChar w:fldCharType="end"/>
      </w:r>
      <w:r w:rsidRPr="0015600B">
        <w:rPr>
          <w:szCs w:val="24"/>
        </w:rPr>
        <w:t xml:space="preserve">. PV systems are </w:t>
      </w:r>
      <w:r w:rsidR="00DE3CE7">
        <w:rPr>
          <w:szCs w:val="24"/>
        </w:rPr>
        <w:t xml:space="preserve">not favored because of their </w:t>
      </w:r>
      <w:r w:rsidRPr="0015600B">
        <w:rPr>
          <w:szCs w:val="24"/>
        </w:rPr>
        <w:t xml:space="preserve">high cost, low efficiency, and fast deterioration </w:t>
      </w:r>
      <w:r w:rsidRPr="0015600B">
        <w:rPr>
          <w:szCs w:val="24"/>
        </w:rPr>
        <w:fldChar w:fldCharType="begin" w:fldLock="1"/>
      </w:r>
      <w:r w:rsidR="0037500D">
        <w:rPr>
          <w:szCs w:val="24"/>
        </w:rPr>
        <w:instrText>ADDIN CSL_CITATION {"citationItems":[{"id":"ITEM-1","itemData":{"DOI":"10.1016/j.solener.2013.01.001","ISSN":"0038092X","abstract":"This paper presents an analysis of the thermal performance of a solar water heating system with heat pipe evacuated tube collector using data obtained from a field trial installation over a year in Dublin, Ireland. An automated sub-system was developed and incorporated to control the hot water draw-offs and electric immersion heater to mimic the operation of solar water heating systems in domestic dwellings. The maximum recorded collector outlet fluid temperature was 70.3°C while the water temperature at the bottom of the hot water tank was 59.5°C. The annual average daily energy collected was 20.4MJd-1, energy delivered by the solar coil was 16.8MJd-1, supply pipe loss was 3.6MJd-1, solar fraction was 33.8%, collector efficiency was 63.2% and system efficiency was 52.0%. Reducing the supply pipe losses which represented 17.7% of energy collected and 21.5% of energy delivered to the hot water tank, and developing a better pump control strategy for heavily overcast and intermittent cloud covered days could result in system improvement. © 2013 Elsevier Ltd.","author":[{"dropping-particle":"","family":"Ayompe","given":"L. M.","non-dropping-particle":"","parse-names":false,"suffix":""},{"dropping-particle":"","family":"Duffy","given":"A.","non-dropping-particle":"","parse-names":false,"suffix":""}],"container-title":"Solar Energy","id":"ITEM-1","issued":{"date-parts":[["2013"]]},"title":"Thermal performance analysis of a solar water heating system with heat pipe evacuated tube collector using data from a field trial","type":"article-journal"},"uris":["http://www.mendeley.com/documents/?uuid=69126907-fdc7-4af6-96bf-89f3d54c1098"]}],"mendeley":{"formattedCitation":"[16]","plainTextFormattedCitation":"[16]","previouslyFormattedCitation":"[16]"},"properties":{"noteIndex":0},"schema":"https://github.com/citation-style-language/schema/raw/master/csl-citation.json"}</w:instrText>
      </w:r>
      <w:r w:rsidRPr="0015600B">
        <w:rPr>
          <w:szCs w:val="24"/>
        </w:rPr>
        <w:fldChar w:fldCharType="separate"/>
      </w:r>
      <w:r w:rsidR="00055D5B" w:rsidRPr="00055D5B">
        <w:rPr>
          <w:noProof/>
          <w:szCs w:val="24"/>
        </w:rPr>
        <w:t>[16]</w:t>
      </w:r>
      <w:r w:rsidRPr="0015600B">
        <w:rPr>
          <w:szCs w:val="24"/>
        </w:rPr>
        <w:fldChar w:fldCharType="end"/>
      </w:r>
      <w:r w:rsidRPr="0015600B">
        <w:rPr>
          <w:szCs w:val="24"/>
        </w:rPr>
        <w:t>.</w:t>
      </w:r>
    </w:p>
    <w:p w14:paraId="50AB4A0A" w14:textId="60D2BD41" w:rsidR="00A819DE" w:rsidRPr="0015600B" w:rsidRDefault="00A819DE" w:rsidP="00A819DE">
      <w:pPr>
        <w:spacing w:after="288"/>
        <w:rPr>
          <w:szCs w:val="24"/>
        </w:rPr>
      </w:pPr>
      <w:r w:rsidRPr="0015600B">
        <w:rPr>
          <w:szCs w:val="24"/>
        </w:rPr>
        <w:t>An alternative way of harnessing solar energy is by using concentrating solar power (CSP). Concentrated solar power is a system that is used to generate solar power by utilizing lenses and mirrors to concentrate a stream of light into one area in the form of a receiver. Consequently, this leads to the generation of electricity as a result of the conver</w:t>
      </w:r>
      <w:r w:rsidR="00BE27BE">
        <w:rPr>
          <w:szCs w:val="24"/>
        </w:rPr>
        <w:t>sio</w:t>
      </w:r>
      <w:r w:rsidRPr="0015600B">
        <w:rPr>
          <w:szCs w:val="24"/>
        </w:rPr>
        <w:t xml:space="preserve">n of </w:t>
      </w:r>
      <w:r w:rsidR="00BE27BE">
        <w:rPr>
          <w:szCs w:val="24"/>
        </w:rPr>
        <w:t>solar energy</w:t>
      </w:r>
      <w:r w:rsidRPr="0015600B">
        <w:rPr>
          <w:szCs w:val="24"/>
        </w:rPr>
        <w:t xml:space="preserve"> </w:t>
      </w:r>
      <w:r w:rsidR="000015B0">
        <w:rPr>
          <w:szCs w:val="24"/>
        </w:rPr>
        <w:t>in</w:t>
      </w:r>
      <w:r w:rsidRPr="0015600B">
        <w:rPr>
          <w:szCs w:val="24"/>
        </w:rPr>
        <w:t xml:space="preserve">to </w:t>
      </w:r>
      <w:r w:rsidR="00BE27BE">
        <w:rPr>
          <w:szCs w:val="24"/>
        </w:rPr>
        <w:t>thermal energy</w:t>
      </w:r>
      <w:r w:rsidRPr="0015600B">
        <w:rPr>
          <w:szCs w:val="24"/>
        </w:rPr>
        <w:t xml:space="preserve">. </w:t>
      </w:r>
      <w:r w:rsidR="00BE27BE">
        <w:rPr>
          <w:szCs w:val="24"/>
        </w:rPr>
        <w:lastRenderedPageBreak/>
        <w:t>Nevertheless</w:t>
      </w:r>
      <w:r w:rsidRPr="0015600B">
        <w:rPr>
          <w:szCs w:val="24"/>
        </w:rPr>
        <w:t>, CSPs are not favored because they are limited to arid climates</w:t>
      </w:r>
      <w:r w:rsidRPr="0015600B">
        <w:rPr>
          <w:szCs w:val="24"/>
        </w:rPr>
        <w:fldChar w:fldCharType="begin" w:fldLock="1"/>
      </w:r>
      <w:r w:rsidR="0037500D">
        <w:rPr>
          <w:szCs w:val="24"/>
        </w:rPr>
        <w:instrText>ADDIN CSL_CITATION {"citationItems":[{"id":"ITEM-1","itemData":{"DOI":"10.1115/1.4024030","ISSN":"01996231","abstract":"Supercritical CO2 (s-CO2) operated in a closed-loop Brayton cycle offers the potential of higher cycle efficiency versus superheated or supercritical steam cycles at temperatures relevant for concentrating solar power (CSP) applications. Brayton-cycle systems using s-CO2 have a smaller weight and volume, lower thermal mass, and less complex power blocks versus Rankine cycles due to the higher density of the fluid and simpler cycle design. The simpler machinery and compact size of the s-CO2 process may also reduce the installation, maintenance, and operation cost of the system. In this work we explore s-CO2 Brayton cycle configurations that have attributes that are desirable from the perspective of a CSP application, such as the ability to accommodate dry cooling and achieve greater than 50% efficiency, as specified for the U.S. Department of Energy SunShot goal. Recompression cycles combined with intercooling and/or turbine reheat appear able to hit this efficiency target, even when combined with dry cooling. In addition, the intercooled cycles expand the temperature differential across the primary heat exchanger, which is favorable for CSP systems featuring sensible-heat thermal energy storage.Copyright © 2013 by ASME.","author":[{"dropping-particle":"","family":"Turchi","given":"Craig S.","non-dropping-particle":"","parse-names":false,"suffix":""},{"dropping-particle":"","family":"Ma","given":"Zhiwen","non-dropping-particle":"","parse-names":false,"suffix":""},{"dropping-particle":"","family":"Neises","given":"Ty W.","non-dropping-particle":"","parse-names":false,"suffix":""},{"dropping-particle":"","family":"Wagner","given":"Michael J.","non-dropping-particle":"","parse-names":false,"suffix":""}],"container-title":"Journal of Solar Energy Engineering, Transactions of the ASME","id":"ITEM-1","issued":{"date-parts":[["2013"]]},"title":"Thermodynamic study of advanced supercritical carbon dioxide power cycles for concentrating solar power systems","type":"article-journal"},"uris":["http://www.mendeley.com/documents/?uuid=1ed35fa3-ea94-4126-90c8-4b4c32dd5c68"]}],"mendeley":{"formattedCitation":"[17]","plainTextFormattedCitation":"[17]","previouslyFormattedCitation":"[17]"},"properties":{"noteIndex":0},"schema":"https://github.com/citation-style-language/schema/raw/master/csl-citation.json"}</w:instrText>
      </w:r>
      <w:r w:rsidRPr="0015600B">
        <w:rPr>
          <w:szCs w:val="24"/>
        </w:rPr>
        <w:fldChar w:fldCharType="separate"/>
      </w:r>
      <w:r w:rsidR="00055D5B" w:rsidRPr="00055D5B">
        <w:rPr>
          <w:noProof/>
          <w:szCs w:val="24"/>
        </w:rPr>
        <w:t>[17]</w:t>
      </w:r>
      <w:r w:rsidRPr="0015600B">
        <w:rPr>
          <w:szCs w:val="24"/>
        </w:rPr>
        <w:fldChar w:fldCharType="end"/>
      </w:r>
      <w:r w:rsidRPr="0015600B">
        <w:rPr>
          <w:szCs w:val="24"/>
        </w:rPr>
        <w:t>, utilize only a direct normal portion of solar radiation (i.e.</w:t>
      </w:r>
      <w:r w:rsidR="008F0CF3">
        <w:rPr>
          <w:szCs w:val="24"/>
        </w:rPr>
        <w:t>,</w:t>
      </w:r>
      <w:r w:rsidRPr="0015600B">
        <w:rPr>
          <w:szCs w:val="24"/>
        </w:rPr>
        <w:t xml:space="preserve"> diffuse radiation cannot be concentrated)</w:t>
      </w:r>
      <w:r w:rsidR="00B31843">
        <w:rPr>
          <w:szCs w:val="24"/>
        </w:rPr>
        <w:t>,</w:t>
      </w:r>
      <w:r w:rsidRPr="0015600B">
        <w:rPr>
          <w:szCs w:val="24"/>
        </w:rPr>
        <w:t xml:space="preserve"> operates at a low thermal cycle efficiency </w:t>
      </w:r>
      <w:r w:rsidRPr="0015600B">
        <w:rPr>
          <w:szCs w:val="24"/>
        </w:rPr>
        <w:fldChar w:fldCharType="begin" w:fldLock="1"/>
      </w:r>
      <w:r w:rsidR="0037500D">
        <w:rPr>
          <w:szCs w:val="24"/>
        </w:rPr>
        <w:instrText>ADDIN CSL_CITATION {"citationItems":[{"id":"ITEM-1","itemData":{"DOI":"10.2172/1338899","abstract":"Today’s power-tower concentrating solar power (CSP) technology exists in large part as a result of Department of Energy (DOE) and utility industry funding of demonstration systems in the 1980s and 1990s. Today’s most advanced towers are integrated with molten-salt thermal energy storage, delivering thermal energy at 565°C for integration with conventional steam-Rankine cycles. The supercritical carbon dioxide power cycle has been identified as a likely successor to the steam-Rankine power cycle due to its potential for high efficiency when operating at elevated temperatures of 700°C or greater. Over the course of the SunShot Initiative, DOE has supported a number of technology pathways that can operate efficiently at these temperatures and that hold promise to be reliable and cost effective. Three pathways—molten salt, particle, and gaseous—were selected for further investigation based on a two-day workshop held in August of 2016. The information contained in this roadmap identifies research and development challenges and lays out recommended research activities for each of the three pathways. DOE foresees that by successfully addressing the challenges identified in this roadmap, one or more technology pathways will be positioned for demonstration and subsequent commercialization within the next ten years. Based on current knowledge of the three power tower technologies, all three have the potential to achieve the SunShot goal of 6 cents/kilowatt-hour. Further development, modeling, and testing are now required to bring one or more of the technologies to a stage where integrated system tests and pilot demonstrations are feasible.","author":[{"dropping-particle":"","family":"Mehos","given":"Mark","non-dropping-particle":"","parse-names":false,"suffix":""},{"dropping-particle":"","family":"Turchi","given":"Craig","non-dropping-particle":"","parse-names":false,"suffix":""},{"dropping-particle":"","family":"Vidal","given":"Judith","non-dropping-particle":"","parse-names":false,"suffix":""},{"dropping-particle":"","family":"Wagner","given":"Michael","non-dropping-particle":"","parse-names":false,"suffix":""},{"dropping-particle":"","family":"Ma","given":"Zhiwen","non-dropping-particle":"","parse-names":false,"suffix":""},{"dropping-particle":"","family":"Ho","given":"Clifford","non-dropping-particle":"","parse-names":false,"suffix":""},{"dropping-particle":"","family":"Kolb","given":"William","non-dropping-particle":"","parse-names":false,"suffix":""},{"dropping-particle":"","family":"Andraka","given":"Charles","non-dropping-particle":"","parse-names":false,"suffix":""},{"dropping-particle":"","family":"Ma","given":"Zhiwen","non-dropping-particle":"","parse-names":false,"suffix":""},{"dropping-particle":"","family":"Kruizenga","given":"Alan","non-dropping-particle":"","parse-names":false,"suffix":""},{"dropping-particle":"","family":"NREL","given":"","non-dropping-particle":"","parse-names":false,"suffix":""}],"container-title":"Nrel/Tp-5500-67464","id":"ITEM-1","issued":{"date-parts":[["2017"]]},"title":"Concentrating Solar Power Gen3 Demonstration Roadmap","type":"article-journal"},"uris":["http://www.mendeley.com/documents/?uuid=b9b97bb2-906d-485e-8cb2-8266478a8001"]}],"mendeley":{"formattedCitation":"[18]","plainTextFormattedCitation":"[18]","previouslyFormattedCitation":"[18]"},"properties":{"noteIndex":0},"schema":"https://github.com/citation-style-language/schema/raw/master/csl-citation.json"}</w:instrText>
      </w:r>
      <w:r w:rsidRPr="0015600B">
        <w:rPr>
          <w:szCs w:val="24"/>
        </w:rPr>
        <w:fldChar w:fldCharType="separate"/>
      </w:r>
      <w:r w:rsidR="00055D5B" w:rsidRPr="00055D5B">
        <w:rPr>
          <w:noProof/>
          <w:szCs w:val="24"/>
        </w:rPr>
        <w:t>[18]</w:t>
      </w:r>
      <w:r w:rsidRPr="0015600B">
        <w:rPr>
          <w:szCs w:val="24"/>
        </w:rPr>
        <w:fldChar w:fldCharType="end"/>
      </w:r>
      <w:r w:rsidR="006B30E6">
        <w:rPr>
          <w:szCs w:val="24"/>
        </w:rPr>
        <w:t xml:space="preserve">, and expensive </w:t>
      </w:r>
      <w:r w:rsidR="006B30E6">
        <w:rPr>
          <w:szCs w:val="24"/>
        </w:rPr>
        <w:fldChar w:fldCharType="begin" w:fldLock="1"/>
      </w:r>
      <w:r w:rsidR="0037500D">
        <w:rPr>
          <w:szCs w:val="24"/>
        </w:rPr>
        <w:instrText>ADDIN CSL_CITATION {"citationItems":[{"id":"ITEM-1","itemData":{"URL":"https://analysis.newenergyupdate.com/csp-today/markets/csp-expensive-or-viable-investment","author":[{"dropping-particle":"","family":"Castillo","given":"Angela","non-dropping-particle":"","parse-names":false,"suffix":""}],"id":"ITEM-1","issued":{"date-parts":[["2015"]]},"title":"Is CSP an expensive or a viable investment? | New Energy Update","type":"webpage"},"uris":["http://www.mendeley.com/documents/?uuid=28612f3b-1767-33a1-962c-6c5bc7592cbd"]}],"mendeley":{"formattedCitation":"[19]","plainTextFormattedCitation":"[19]","previouslyFormattedCitation":"[19]"},"properties":{"noteIndex":0},"schema":"https://github.com/citation-style-language/schema/raw/master/csl-citation.json"}</w:instrText>
      </w:r>
      <w:r w:rsidR="006B30E6">
        <w:rPr>
          <w:szCs w:val="24"/>
        </w:rPr>
        <w:fldChar w:fldCharType="separate"/>
      </w:r>
      <w:r w:rsidR="00055D5B" w:rsidRPr="00055D5B">
        <w:rPr>
          <w:noProof/>
          <w:szCs w:val="24"/>
        </w:rPr>
        <w:t>[19]</w:t>
      </w:r>
      <w:r w:rsidR="006B30E6">
        <w:rPr>
          <w:szCs w:val="24"/>
        </w:rPr>
        <w:fldChar w:fldCharType="end"/>
      </w:r>
      <w:r w:rsidRPr="0015600B">
        <w:rPr>
          <w:szCs w:val="24"/>
        </w:rPr>
        <w:t>.</w:t>
      </w:r>
    </w:p>
    <w:p w14:paraId="56444882" w14:textId="4550E0E6" w:rsidR="00A819DE" w:rsidRPr="0015600B" w:rsidRDefault="00A819DE" w:rsidP="008A4412">
      <w:r w:rsidRPr="00A24D85">
        <w:t xml:space="preserve">Besides PV and CSP, </w:t>
      </w:r>
      <w:r w:rsidR="00973A1F">
        <w:t xml:space="preserve">other options to harness solar energy are </w:t>
      </w:r>
      <w:r w:rsidR="00DE3CE7" w:rsidRPr="00A24D85">
        <w:t>non</w:t>
      </w:r>
      <w:r w:rsidR="0041368B">
        <w:t>-</w:t>
      </w:r>
      <w:r w:rsidR="00DE3CE7" w:rsidRPr="00A24D85">
        <w:t>conc</w:t>
      </w:r>
      <w:r w:rsidR="00DE3CE7" w:rsidRPr="00DB1A2E">
        <w:t xml:space="preserve">entrating </w:t>
      </w:r>
      <w:r w:rsidR="00143B45" w:rsidRPr="0041368B">
        <w:t>s</w:t>
      </w:r>
      <w:r w:rsidR="00DE3CE7" w:rsidRPr="0041368B">
        <w:rPr>
          <w:color w:val="000000" w:themeColor="text1"/>
          <w:shd w:val="clear" w:color="auto" w:fill="FAFAFA"/>
        </w:rPr>
        <w:t>olar thermal systems</w:t>
      </w:r>
      <w:r w:rsidR="00DE3CE7" w:rsidRPr="0041368B">
        <w:t xml:space="preserve"> such as </w:t>
      </w:r>
      <w:r w:rsidR="00143B45" w:rsidRPr="007C6AB8">
        <w:t xml:space="preserve">solar </w:t>
      </w:r>
      <w:r w:rsidR="00143B45" w:rsidRPr="009924B9">
        <w:t>ch</w:t>
      </w:r>
      <w:r w:rsidR="00143B45" w:rsidRPr="00D12DB3">
        <w:t>i</w:t>
      </w:r>
      <w:r w:rsidR="00143B45" w:rsidRPr="00026817">
        <w:t>mneys</w:t>
      </w:r>
      <w:r w:rsidR="00A24D85">
        <w:t xml:space="preserve">, </w:t>
      </w:r>
      <w:r w:rsidR="00A24D85" w:rsidRPr="00777895">
        <w:t>flat plates</w:t>
      </w:r>
      <w:r w:rsidR="007C6AB8">
        <w:t>,</w:t>
      </w:r>
      <w:r w:rsidR="00A24D85">
        <w:t xml:space="preserve"> and </w:t>
      </w:r>
      <w:r w:rsidR="00A24D85" w:rsidRPr="00777895">
        <w:t>evacuated glass tube collectors</w:t>
      </w:r>
      <w:r w:rsidR="00693C9D" w:rsidRPr="00A24D85">
        <w:t>.</w:t>
      </w:r>
      <w:r w:rsidR="002C55BD" w:rsidRPr="00A24D85">
        <w:t xml:space="preserve"> </w:t>
      </w:r>
      <w:r w:rsidR="00DB1A2E">
        <w:t xml:space="preserve">(1) </w:t>
      </w:r>
      <w:r w:rsidR="004C3EF0" w:rsidRPr="00026817">
        <w:rPr>
          <w:color w:val="2E2E2E"/>
        </w:rPr>
        <w:t xml:space="preserve">A solar chimney is a solar power generating facility, which uses solar radiation to increase the internal energy of air flowing through the system, thereby converting solar energy into kinetic energy. The kinetic energy from the </w:t>
      </w:r>
      <w:r w:rsidR="008F0CF3">
        <w:rPr>
          <w:color w:val="2E2E2E"/>
        </w:rPr>
        <w:t>wind</w:t>
      </w:r>
      <w:r w:rsidR="004C3EF0" w:rsidRPr="00026817">
        <w:rPr>
          <w:color w:val="2E2E2E"/>
        </w:rPr>
        <w:t xml:space="preserve"> is then transformed in</w:t>
      </w:r>
      <w:r w:rsidR="007C6AB8">
        <w:rPr>
          <w:color w:val="2E2E2E"/>
        </w:rPr>
        <w:t>to</w:t>
      </w:r>
      <w:r w:rsidR="004C3EF0" w:rsidRPr="00026817">
        <w:rPr>
          <w:color w:val="2E2E2E"/>
        </w:rPr>
        <w:t xml:space="preserve"> electricity by </w:t>
      </w:r>
      <w:r w:rsidR="007C6AB8">
        <w:rPr>
          <w:color w:val="2E2E2E"/>
        </w:rPr>
        <w:t xml:space="preserve">the </w:t>
      </w:r>
      <w:r w:rsidR="004C3EF0" w:rsidRPr="00026817">
        <w:rPr>
          <w:color w:val="2E2E2E"/>
        </w:rPr>
        <w:t xml:space="preserve">use of a suitable turbine </w:t>
      </w:r>
      <w:r w:rsidR="004C3EF0" w:rsidRPr="00026817">
        <w:rPr>
          <w:color w:val="2E2E2E"/>
        </w:rPr>
        <w:fldChar w:fldCharType="begin" w:fldLock="1"/>
      </w:r>
      <w:r w:rsidR="0037500D">
        <w:rPr>
          <w:color w:val="2E2E2E"/>
        </w:rPr>
        <w:instrText>ADDIN CSL_CITATION {"citationItems":[{"id":"ITEM-1","itemData":{"DOI":"10.1016/j.solener.2003.09.012","ISSN":"0038092X","abstract":"An analysis for the solar chimneys has been developed, aimed particularly at a comprehensive analytical and numerical model, which describes the performance of solar chimneys. This model was developed to estimate power output of solar chimneys as well as to examine the effect of various ambient conditions and structural dimensions on the power output. Results from the mathematical model were compared with experimental results and the model was further used to predict the performance characteristics of large-scale commercial solar chimneys. The results show that the height of chimney, the factor of pressure drop at the turbine, the diameter and the optical properties of the collector are important parameters for the design of solar chimneys. © 2003 Elsevier Ltd. All rights reserved.","author":[{"dropping-particle":"","family":"dos","given":"M. A.","non-dropping-particle":"","parse-names":false,"suffix":""},{"dropping-particle":"","family":"Voß","given":"A.","non-dropping-particle":"","parse-names":false,"suffix":""},{"dropping-particle":"","family":"Weinrebe","given":"G.","non-dropping-particle":"","parse-names":false,"suffix":""}],"container-title":"Solar Energy","id":"ITEM-1","issue":"6","issued":{"date-parts":[["2003","12","1"]]},"page":"511-524","publisher":"Elsevier Ltd","title":"Thermal and technical analyses of solar chimneys","type":"article-journal","volume":"75"},"uris":["http://www.mendeley.com/documents/?uuid=fefa0d1f-22cc-31f4-936c-70b23e5414cf"]}],"mendeley":{"formattedCitation":"[20]","plainTextFormattedCitation":"[20]","previouslyFormattedCitation":"[20]"},"properties":{"noteIndex":0},"schema":"https://github.com/citation-style-language/schema/raw/master/csl-citation.json"}</w:instrText>
      </w:r>
      <w:r w:rsidR="004C3EF0" w:rsidRPr="00026817">
        <w:rPr>
          <w:color w:val="2E2E2E"/>
        </w:rPr>
        <w:fldChar w:fldCharType="separate"/>
      </w:r>
      <w:r w:rsidR="00055D5B" w:rsidRPr="00055D5B">
        <w:rPr>
          <w:noProof/>
          <w:color w:val="2E2E2E"/>
        </w:rPr>
        <w:t>[20]</w:t>
      </w:r>
      <w:r w:rsidR="004C3EF0" w:rsidRPr="00026817">
        <w:rPr>
          <w:color w:val="2E2E2E"/>
        </w:rPr>
        <w:fldChar w:fldCharType="end"/>
      </w:r>
      <w:r w:rsidR="004C3EF0" w:rsidRPr="00026817">
        <w:rPr>
          <w:color w:val="2E2E2E"/>
        </w:rPr>
        <w:t xml:space="preserve">. One of the main disadvantages of solar chimneys is their </w:t>
      </w:r>
      <w:r w:rsidR="007C6AB8">
        <w:rPr>
          <w:color w:val="2E2E2E"/>
        </w:rPr>
        <w:t xml:space="preserve"> </w:t>
      </w:r>
      <w:r w:rsidR="00DB1A2E">
        <w:rPr>
          <w:color w:val="2E2E2E"/>
        </w:rPr>
        <w:t xml:space="preserve">(2) </w:t>
      </w:r>
      <w:r w:rsidR="00A24D85">
        <w:rPr>
          <w:color w:val="2E2E2E"/>
        </w:rPr>
        <w:t xml:space="preserve">flat plates have </w:t>
      </w:r>
      <w:r w:rsidR="00A24D85">
        <w:t>the solar absorbing surface approximately equal to the overall collector area that intercepts the sun's rays.</w:t>
      </w:r>
      <w:r w:rsidR="00DB1A2E" w:rsidRPr="00DB1A2E">
        <w:rPr>
          <w:color w:val="2E2E2E"/>
        </w:rPr>
        <w:t xml:space="preserve"> </w:t>
      </w:r>
      <w:r w:rsidR="00DB1A2E">
        <w:rPr>
          <w:color w:val="2E2E2E"/>
        </w:rPr>
        <w:t>Both solar chimney and flat plate solar collectors posse</w:t>
      </w:r>
      <w:r w:rsidR="007C6AB8">
        <w:rPr>
          <w:color w:val="2E2E2E"/>
        </w:rPr>
        <w:t>s</w:t>
      </w:r>
      <w:r w:rsidR="00DB1A2E">
        <w:rPr>
          <w:color w:val="2E2E2E"/>
        </w:rPr>
        <w:t xml:space="preserve">s </w:t>
      </w:r>
      <w:r w:rsidR="00DB1A2E" w:rsidRPr="00777895">
        <w:rPr>
          <w:color w:val="2E2E2E"/>
        </w:rPr>
        <w:t>very low efficienc</w:t>
      </w:r>
      <w:r w:rsidR="00DB1A2E">
        <w:rPr>
          <w:color w:val="2E2E2E"/>
        </w:rPr>
        <w:t>ies</w:t>
      </w:r>
      <w:r w:rsidR="00DB1A2E" w:rsidRPr="00777895">
        <w:rPr>
          <w:color w:val="2E2E2E"/>
        </w:rPr>
        <w:t xml:space="preserve"> </w:t>
      </w:r>
      <w:r w:rsidR="00DB1A2E" w:rsidRPr="00777895">
        <w:rPr>
          <w:color w:val="2E2E2E"/>
        </w:rPr>
        <w:fldChar w:fldCharType="begin" w:fldLock="1"/>
      </w:r>
      <w:r w:rsidR="0037500D">
        <w:rPr>
          <w:color w:val="2E2E2E"/>
        </w:rPr>
        <w:instrText>ADDIN CSL_CITATION {"citationItems":[{"id":"ITEM-1","itemData":{"DOI":"10.1016/j.solener.2019.03.007","ISSN":"0038092X","abstract":"The increased world-demand for water and energy and rapidly growing investments in clean-energy sources have led to serious consideration for the use of renewable sources of energy to desalinate seawater or brackish water. There are several technologies used currently, and solar energy has been shown to be a viable source for these important applications. But among the various solar energy approaches (photovoltaics, solar thermal), innovation is still required to improve performance and achieve economic viability. Solar chimneys are devices that use solar energy to generate a hot airflow that can drive wind turbines and produce electric power. One of the main disadvantages of solar chimneys is their very low efficiency. The overall performance can be improved significantly by combining water desalination and power generation in one system. There are still only a few studies reporting the use of solar chimneys for desalination, but these results are promising. Most of the studies available in the literature focus on numerical simulations, evaluating several possibilities to increase the overall performance and the utilization efficiency of solar energy. No single hybrid chimney-desalination configuration has yet shown itself to be the obvious choice, and further studies are required. This paper discusses and reviews the main technologies used for solar desalination and evaluates the most relevant approaches for the use of solar chimneys for such water treatment.","author":[{"dropping-particle":"","family":"Maia","given":"Cristiana B.","non-dropping-particle":"","parse-names":false,"suffix":""},{"dropping-particle":"","family":"Silva","given":"Felipe V.M.","non-dropping-particle":"","parse-names":false,"suffix":""},{"dropping-particle":"","family":"Oliveira","given":"Vinícius L.C.","non-dropping-particle":"","parse-names":false,"suffix":""},{"dropping-particle":"","family":"Kazmerski","given":"Lawrence L.","non-dropping-particle":"","parse-names":false,"suffix":""}],"container-title":"Solar Energy","id":"ITEM-1","issued":{"date-parts":[["2019","5","1"]]},"page":"83-95","publisher":"Elsevier Ltd","title":"An overview of the use of solar chimneys for desalination","type":"article","volume":"183"},"uris":["http://www.mendeley.com/documents/?uuid=cecf05cb-1b57-34b6-8d94-a96b0e6e04be"]}],"mendeley":{"formattedCitation":"[21]","plainTextFormattedCitation":"[21]","previouslyFormattedCitation":"[21]"},"properties":{"noteIndex":0},"schema":"https://github.com/citation-style-language/schema/raw/master/csl-citation.json"}</w:instrText>
      </w:r>
      <w:r w:rsidR="00DB1A2E" w:rsidRPr="00777895">
        <w:rPr>
          <w:color w:val="2E2E2E"/>
        </w:rPr>
        <w:fldChar w:fldCharType="separate"/>
      </w:r>
      <w:r w:rsidR="00055D5B" w:rsidRPr="00055D5B">
        <w:rPr>
          <w:noProof/>
          <w:color w:val="2E2E2E"/>
        </w:rPr>
        <w:t>[21]</w:t>
      </w:r>
      <w:r w:rsidR="00DB1A2E" w:rsidRPr="00777895">
        <w:rPr>
          <w:color w:val="2E2E2E"/>
        </w:rPr>
        <w:fldChar w:fldCharType="end"/>
      </w:r>
      <w:r w:rsidR="00DB1A2E">
        <w:rPr>
          <w:color w:val="2E2E2E"/>
        </w:rPr>
        <w:t>-</w:t>
      </w:r>
      <w:r w:rsidR="00DB1A2E">
        <w:rPr>
          <w:color w:val="2E2E2E"/>
        </w:rPr>
        <w:fldChar w:fldCharType="begin" w:fldLock="1"/>
      </w:r>
      <w:r w:rsidR="0037500D">
        <w:rPr>
          <w:color w:val="2E2E2E"/>
        </w:rPr>
        <w:instrText>ADDIN CSL_CITATION {"citationItems":[{"id":"ITEM-1","itemData":{"URL":"https://www.simplesolar.ca/flat-plate-collectors-vs-evacuated-tube-collectors.html","accessed":{"date-parts":[["2020","6","30"]]},"id":"ITEM-1","issued":{"date-parts":[["0"]]},"title":"Flat plate collectors vs evacuated tube collectors - Simple Solar","type":"webpage"},"uris":["http://www.mendeley.com/documents/?uuid=9eb53da9-944c-3d5e-902a-3ae2d3339adc"]}],"mendeley":{"formattedCitation":"[22]","plainTextFormattedCitation":"[22]","previouslyFormattedCitation":"[22]"},"properties":{"noteIndex":0},"schema":"https://github.com/citation-style-language/schema/raw/master/csl-citation.json"}</w:instrText>
      </w:r>
      <w:r w:rsidR="00DB1A2E">
        <w:rPr>
          <w:color w:val="2E2E2E"/>
        </w:rPr>
        <w:fldChar w:fldCharType="separate"/>
      </w:r>
      <w:r w:rsidR="00055D5B" w:rsidRPr="00055D5B">
        <w:rPr>
          <w:noProof/>
          <w:color w:val="2E2E2E"/>
        </w:rPr>
        <w:t>[22]</w:t>
      </w:r>
      <w:r w:rsidR="00DB1A2E">
        <w:rPr>
          <w:color w:val="2E2E2E"/>
        </w:rPr>
        <w:fldChar w:fldCharType="end"/>
      </w:r>
      <w:r w:rsidR="00DB1A2E" w:rsidRPr="00777895">
        <w:rPr>
          <w:color w:val="2E2E2E"/>
        </w:rPr>
        <w:t>.</w:t>
      </w:r>
      <w:r w:rsidR="00DB1A2E">
        <w:rPr>
          <w:color w:val="2E2E2E"/>
        </w:rPr>
        <w:t xml:space="preserve"> (3)</w:t>
      </w:r>
      <w:r w:rsidR="00DB1A2E">
        <w:t xml:space="preserve"> </w:t>
      </w:r>
      <w:r w:rsidR="00D22DE6">
        <w:t xml:space="preserve">Evacuated </w:t>
      </w:r>
      <w:r w:rsidR="00143B45">
        <w:t>tube collectors</w:t>
      </w:r>
      <w:r w:rsidR="00D22DE6">
        <w:t xml:space="preserve"> (ETCs)</w:t>
      </w:r>
      <w:r w:rsidR="00143B45">
        <w:t xml:space="preserve"> are favored because</w:t>
      </w:r>
      <w:r w:rsidRPr="0015600B">
        <w:t xml:space="preserve"> they pos</w:t>
      </w:r>
      <w:r w:rsidR="005F3EA8">
        <w:t>s</w:t>
      </w:r>
      <w:r w:rsidRPr="0015600B">
        <w:t>e</w:t>
      </w:r>
      <w:r w:rsidR="005F3EA8">
        <w:t>ss</w:t>
      </w:r>
      <w:r w:rsidRPr="0015600B">
        <w:t xml:space="preserve"> </w:t>
      </w:r>
      <w:r w:rsidR="008F0CF3">
        <w:t>vac</w:t>
      </w:r>
      <w:r w:rsidRPr="0015600B">
        <w:t>ated space</w:t>
      </w:r>
      <w:r w:rsidR="008F0CF3">
        <w:t>,</w:t>
      </w:r>
      <w:r w:rsidRPr="0015600B">
        <w:t xml:space="preserve"> which reduces convection and conduction losses</w:t>
      </w:r>
      <w:r w:rsidR="008F0CF3">
        <w:t>,</w:t>
      </w:r>
      <w:r w:rsidRPr="0015600B">
        <w:t xml:space="preserve"> thus enhance thermal performance </w:t>
      </w:r>
      <w:r w:rsidRPr="0015600B">
        <w:fldChar w:fldCharType="begin" w:fldLock="1"/>
      </w:r>
      <w:r w:rsidR="0037500D">
        <w:instrText>ADDIN CSL_CITATION {"citationItems":[{"id":"ITEM-1","itemData":{"DOI":"10.1016/j.desal.2016.06.016","ISSN":"00119164","abstract":"In this paper, the performance of a novel HDH solar desalination system equipped with a combination of heat pipe (HP), evacuated tube collector (ETC) and air bubble column humidifier is experimentally investigated. This novel HDH system uses advantages of ETC-HP as a highly efficient thermal absorption and conductor device, and at the same time employs the advantages of an air bubble column humidifier, i.e. high interface area and effective mixing in order to heat the water and humidify the air, respectively. The effects of various parameters including incoming air flow rate into the humidifier, initial depth of water in the humidifier, and adding fluids such as oil and water in the space between the ETCs and heat pipes on the system performance were investigated. Results indicate that by adding oil in the space between the ETCs and heat pipes, daily fresh water productivity and daily efficiency increase significantly and reached 6.275 kg/day·m2 and 65%, respectively. In addition, the optimum initial water depth in the humidifier is the same as the length of the heat pipe's condenser section in the humidifier. Moreover, daily production slightly increases as the air flow rate increases. The estimated cost of fresh water produced through the HDH system designed is 0.028 /L.","author":[{"dropping-particle":"","family":"Behnam","given":"Pooria","non-dropping-particle":"","parse-names":false,"suffix":""},{"dropping-particle":"","family":"Shafii","given":"Mohammad Behshad","non-dropping-particle":"","parse-names":false,"suffix":""}],"container-title":"Desalination","id":"ITEM-1","issued":{"date-parts":[["2016"]]},"title":"Examination of a solar desalination system equipped with an air bubble column humidifier, evacuated tube collectors and thermosyphon heat pipes","type":"article-journal"},"uris":["http://www.mendeley.com/documents/?uuid=922950c2-d2f5-45cb-803e-65229d7318ec"]}],"mendeley":{"formattedCitation":"[23]","plainTextFormattedCitation":"[23]","previouslyFormattedCitation":"[23]"},"properties":{"noteIndex":0},"schema":"https://github.com/citation-style-language/schema/raw/master/csl-citation.json"}</w:instrText>
      </w:r>
      <w:r w:rsidRPr="0015600B">
        <w:fldChar w:fldCharType="separate"/>
      </w:r>
      <w:r w:rsidR="00055D5B" w:rsidRPr="00055D5B">
        <w:rPr>
          <w:noProof/>
        </w:rPr>
        <w:t>[23]</w:t>
      </w:r>
      <w:r w:rsidRPr="0015600B">
        <w:fldChar w:fldCharType="end"/>
      </w:r>
      <w:r w:rsidR="008F0CF3">
        <w:t xml:space="preserve">. </w:t>
      </w:r>
      <w:r w:rsidR="006A204A">
        <w:t xml:space="preserve">In addition, </w:t>
      </w:r>
      <w:r w:rsidR="004C2FF7">
        <w:t>ETCs</w:t>
      </w:r>
      <w:r w:rsidR="008F0CF3">
        <w:t xml:space="preserve"> systems</w:t>
      </w:r>
      <w:r w:rsidRPr="0015600B">
        <w:t xml:space="preserve"> have high efficiency at a low angle of incidence </w:t>
      </w:r>
      <w:r w:rsidRPr="0015600B">
        <w:fldChar w:fldCharType="begin" w:fldLock="1"/>
      </w:r>
      <w:r w:rsidR="0037500D">
        <w:instrText>ADDIN CSL_CITATION {"citationItems":[{"id":"ITEM-1","itemData":{"DOI":"10.1016/B978-0-08-100301-5.00004-7","ISBN":"9780081003022","abstract":"This chapter presents a review of nontracking solar thermal collectors. These collectors are suitable for low to medium temperature applications with a maximum of about 150°C. This range of temperatures is particularly suitable for solar heating and cooling applications. Usually these collectors collect both direct and diffuse solar radiation, so they are very effective collection devices. For this purpose there is no requirement to follow the sun trajectory during the day so they belong to the nontracking collectors. Some of the types presented may require seasonal tracking, ie, changing the tilt angle of a collector a few times per year. The frequency of tracking increases with the concentration ratio. Higher concentration ratio leads to higher collector operating temperature but also to higher tracking accuracy requirements. The types of collectors examined in this chapter are the flat plate collector, which is the most used collector type, and its variations, the diffuse reflector, reverse flat plate collector, compound parabolic collector, and evacuated tube collector.","author":[{"dropping-particle":"","family":"Kalogirou","given":"S. A.","non-dropping-particle":"","parse-names":false,"suffix":""}],"container-title":"Advances in Solar Heating and Cooling","id":"ITEM-1","issued":{"date-parts":[["2016"]]},"title":"Nontracking solar collection technologies for solar heating and cooling systems","type":"chapter"},"uris":["http://www.mendeley.com/documents/?uuid=01860bb9-498d-48d0-980a-42fa25003795"]}],"mendeley":{"formattedCitation":"[24]","plainTextFormattedCitation":"[24]","previouslyFormattedCitation":"[24]"},"properties":{"noteIndex":0},"schema":"https://github.com/citation-style-language/schema/raw/master/csl-citation.json"}</w:instrText>
      </w:r>
      <w:r w:rsidRPr="0015600B">
        <w:fldChar w:fldCharType="separate"/>
      </w:r>
      <w:r w:rsidR="00055D5B" w:rsidRPr="00055D5B">
        <w:rPr>
          <w:noProof/>
        </w:rPr>
        <w:t>[24]</w:t>
      </w:r>
      <w:r w:rsidRPr="0015600B">
        <w:fldChar w:fldCharType="end"/>
      </w:r>
      <w:r w:rsidR="0037500D">
        <w:t xml:space="preserve"> </w:t>
      </w:r>
      <w:r w:rsidR="00D22DE6">
        <w:t xml:space="preserve">and </w:t>
      </w:r>
      <w:r w:rsidR="0037500D">
        <w:t>are economical</w:t>
      </w:r>
      <w:r w:rsidR="00D22DE6">
        <w:t xml:space="preserve"> </w:t>
      </w:r>
      <w:r w:rsidR="0037500D">
        <w:fldChar w:fldCharType="begin" w:fldLock="1"/>
      </w:r>
      <w:r w:rsidR="00D6331E">
        <w:instrText>ADDIN CSL_CITATION {"citationItems":[{"id":"ITEM-1","itemData":{"DOI":"10.1016/j.rser.2005.02.003","ISSN":"13640321","abstract":"Summer air conditioning represents a growing market in buildings worldwide, with a particularly significant growth rate observed in European commercial and residential buildings. Heat-driven cooling technologies are available, which can be used in combination with solar thermal collectors to alleviate the burden caused by air conditioning on the electric utilities and the environment. Solar air conditioning has progressed considerably over the past years as a result of efforts toward environmental protection and new developments in components and systems, and significant experience has been gained from demonstration projects. The main obstacles for large scale application, beside the high first cost, are the lack of practical experience and acquaintance among architects, builders and planners with the design, control and operation of these systems. This paper describes the main results of the EU project SACE (Solar Air Conditioning in Europe), aimed to assess the state-of-the-art, future needs and overall prospects of solar cooling in Europe. A group of researchers from five countries has surveyed and analyzed over 50 solar-powered cooling projects in different climatic zones. The paper presents a short overview on the state-of-the-art and potential of solar-assisted cooling and air conditioning technologies. The results of the study, including a database of the surveyed projects, an evaluation of these projects on a uniform basis, an economic analysis tool, user guidelines and a multimedia tool-are presented. The potential energy savings and limitations of solar thermal air conditioning in comparison to conventional technologies are illustrated and discussed. © 2006 Elsevier Ltd. All rights reserved.","author":[{"dropping-particle":"","family":"Balaras","given":"Constantinos A.","non-dropping-particle":"","parse-names":false,"suffix":""},{"dropping-particle":"","family":"Grossman","given":"Gershon","non-dropping-particle":"","parse-names":false,"suffix":""},{"dropping-particle":"","family":"Henning","given":"Hans Martin","non-dropping-particle":"","parse-names":false,"suffix":""},{"dropping-particle":"","family":"Infante Ferreira","given":"Carlos A.","non-dropping-particle":"","parse-names":false,"suffix":""},{"dropping-particle":"","family":"Podesser","given":"Erich","non-dropping-particle":"","parse-names":false,"suffix":""},{"dropping-particle":"","family":"Wang","given":"Lei","non-dropping-particle":"","parse-names":false,"suffix":""},{"dropping-particle":"","family":"Wiemken","given":"Edo","non-dropping-particle":"","parse-names":false,"suffix":""}],"container-title":"Renewable and Sustainable Energy Reviews","id":"ITEM-1","issue":"2","issued":{"date-parts":[["2007"]]},"page":"299-314","title":"Solar air conditioning in Europe-an overview","type":"article-journal","volume":"11"},"uris":["http://www.mendeley.com/documents/?uuid=d12899b4-3680-464b-83b1-960c77506f92"]}],"mendeley":{"formattedCitation":"[25]","plainTextFormattedCitation":"[25]","previouslyFormattedCitation":"[25]"},"properties":{"noteIndex":0},"schema":"https://github.com/citation-style-language/schema/raw/master/csl-citation.json"}</w:instrText>
      </w:r>
      <w:r w:rsidR="0037500D">
        <w:fldChar w:fldCharType="separate"/>
      </w:r>
      <w:r w:rsidR="0037500D" w:rsidRPr="0037500D">
        <w:rPr>
          <w:noProof/>
        </w:rPr>
        <w:t>[25]</w:t>
      </w:r>
      <w:r w:rsidR="0037500D">
        <w:fldChar w:fldCharType="end"/>
      </w:r>
      <w:r w:rsidR="0037500D">
        <w:t>.</w:t>
      </w:r>
    </w:p>
    <w:p w14:paraId="149E8C21" w14:textId="77777777" w:rsidR="00A819DE" w:rsidRPr="0015600B" w:rsidRDefault="00A819DE" w:rsidP="00723466">
      <w:pPr>
        <w:pStyle w:val="Heading3"/>
      </w:pPr>
      <w:bookmarkStart w:id="85" w:name="_Toc42335005"/>
      <w:bookmarkStart w:id="86" w:name="_Toc42505307"/>
      <w:bookmarkStart w:id="87" w:name="_Toc43877972"/>
      <w:r w:rsidRPr="0015600B">
        <w:t xml:space="preserve">2.1.2. </w:t>
      </w:r>
      <w:r w:rsidRPr="00857153">
        <w:t>Latent</w:t>
      </w:r>
      <w:r w:rsidRPr="0015600B">
        <w:t xml:space="preserve"> thermal energy storage and the phase change material (PCM)</w:t>
      </w:r>
      <w:bookmarkEnd w:id="85"/>
      <w:bookmarkEnd w:id="86"/>
      <w:bookmarkEnd w:id="87"/>
    </w:p>
    <w:p w14:paraId="21728CDB" w14:textId="0ACE7CA1" w:rsidR="00A819DE" w:rsidRPr="0015600B" w:rsidRDefault="00A819DE" w:rsidP="00A819DE">
      <w:pPr>
        <w:rPr>
          <w:szCs w:val="24"/>
        </w:rPr>
      </w:pPr>
      <w:r w:rsidRPr="0015600B">
        <w:rPr>
          <w:szCs w:val="24"/>
        </w:rPr>
        <w:t xml:space="preserve">Thermal energy storage </w:t>
      </w:r>
      <w:r w:rsidR="00756B7C">
        <w:rPr>
          <w:szCs w:val="24"/>
        </w:rPr>
        <w:t>is</w:t>
      </w:r>
      <w:r w:rsidRPr="0015600B">
        <w:rPr>
          <w:szCs w:val="24"/>
        </w:rPr>
        <w:t xml:space="preserve"> classified as sensible heat storage (SHS), latent heat thermal energy storage (LHTES), and thermochemical energy storage (TCES). In TCES, </w:t>
      </w:r>
      <w:r w:rsidRPr="0015600B">
        <w:rPr>
          <w:color w:val="2C2A27"/>
          <w:szCs w:val="24"/>
        </w:rPr>
        <w:t xml:space="preserve">thermal energy is used to drive a reversible endothermic </w:t>
      </w:r>
      <w:r w:rsidRPr="0015600B">
        <w:rPr>
          <w:color w:val="2C2A27"/>
          <w:szCs w:val="24"/>
        </w:rPr>
        <w:lastRenderedPageBreak/>
        <w:t xml:space="preserve">chemical reaction, storing the energy as chemical potential. During periods of high solar insolation, an energy-consuming reaction stores the thermal energy in chemical bonds; when energy is needed, the reverse reaction recombines the chemical reactants and releases energy. </w:t>
      </w:r>
      <w:r w:rsidRPr="0015600B">
        <w:rPr>
          <w:szCs w:val="24"/>
        </w:rPr>
        <w:t>L</w:t>
      </w:r>
      <w:r w:rsidR="00D6331E">
        <w:rPr>
          <w:szCs w:val="24"/>
        </w:rPr>
        <w:t xml:space="preserve">atent heat thermal energy storage </w:t>
      </w:r>
      <w:r w:rsidRPr="0015600B">
        <w:rPr>
          <w:szCs w:val="24"/>
        </w:rPr>
        <w:t>involves phase transformation of the storage material from one state to another</w:t>
      </w:r>
      <w:r w:rsidR="008F0CF3">
        <w:rPr>
          <w:szCs w:val="24"/>
        </w:rPr>
        <w:t>,</w:t>
      </w:r>
      <w:r w:rsidRPr="0015600B">
        <w:rPr>
          <w:szCs w:val="24"/>
        </w:rPr>
        <w:t xml:space="preserve"> such as solid-liquid, solid-solid, or liquid-gas and vise-versa when heated to the transformation temperature. A liquid-gas transition requires a large volume of material conduit</w:t>
      </w:r>
      <w:r w:rsidR="008F0CF3">
        <w:rPr>
          <w:szCs w:val="24"/>
        </w:rPr>
        <w:t>,</w:t>
      </w:r>
      <w:r w:rsidRPr="0015600B">
        <w:rPr>
          <w:szCs w:val="24"/>
        </w:rPr>
        <w:t xml:space="preserve"> while a solid-solid transition involves low energy storage density per unit volume of material. Therefore, the solid-liquid transition as applied to latent heat storage applications is more efficient compared with the other transformations and hence, is the most widely used</w:t>
      </w:r>
      <w:r w:rsidR="00BE27BE">
        <w:rPr>
          <w:szCs w:val="24"/>
        </w:rPr>
        <w:t>.</w:t>
      </w:r>
      <w:r w:rsidR="00D6331E">
        <w:rPr>
          <w:szCs w:val="24"/>
        </w:rPr>
        <w:t xml:space="preserve"> </w:t>
      </w:r>
      <w:r w:rsidR="00BE27BE" w:rsidRPr="0015600B">
        <w:rPr>
          <w:color w:val="2C2A27"/>
          <w:szCs w:val="24"/>
        </w:rPr>
        <w:t xml:space="preserve">On the other hand, </w:t>
      </w:r>
      <w:r w:rsidR="00BE27BE" w:rsidRPr="0015600B">
        <w:rPr>
          <w:szCs w:val="24"/>
        </w:rPr>
        <w:t>SHS resembles latent heat thermal energy storage; however, it does not involve phase transformation</w:t>
      </w:r>
      <w:r w:rsidR="00BE27BE">
        <w:rPr>
          <w:szCs w:val="24"/>
        </w:rPr>
        <w:t xml:space="preserve"> </w:t>
      </w:r>
      <w:r w:rsidR="00BE27BE" w:rsidRPr="0015600B">
        <w:rPr>
          <w:color w:val="2C2A27"/>
          <w:szCs w:val="24"/>
        </w:rPr>
        <w:fldChar w:fldCharType="begin" w:fldLock="1"/>
      </w:r>
      <w:r w:rsidR="00BE27BE">
        <w:rPr>
          <w:color w:val="2C2A27"/>
          <w:szCs w:val="24"/>
        </w:rPr>
        <w:instrText>ADDIN CSL_CITATION {"citationItems":[{"id":"ITEM-1","itemData":{"URL":"https://www.aiche.org/resources/publications/cep/2017/july/solar-thermochemical-energy-storage","accessed":{"date-parts":[["2020","6","21"]]},"author":[{"dropping-particle":"","family":"Auyeung","given":"Nick","non-dropping-particle":"","parse-names":false,"suffix":""},{"dropping-particle":"","family":"Kreider","given":"Peter","non-dropping-particle":"","parse-names":false,"suffix":""}],"id":"ITEM-1","issued":{"date-parts":[["0"]]},"title":"Solar Thermochemical Energy Storage | AIChE","type":"webpage"},"uris":["http://www.mendeley.com/documents/?uuid=67ff78e9-499c-38cc-8fe9-d373947f871f"]}],"mendeley":{"formattedCitation":"[26]","plainTextFormattedCitation":"[26]","previouslyFormattedCitation":"[27]"},"properties":{"noteIndex":0},"schema":"https://github.com/citation-style-language/schema/raw/master/csl-citation.json"}</w:instrText>
      </w:r>
      <w:r w:rsidR="00BE27BE" w:rsidRPr="0015600B">
        <w:rPr>
          <w:color w:val="2C2A27"/>
          <w:szCs w:val="24"/>
        </w:rPr>
        <w:fldChar w:fldCharType="separate"/>
      </w:r>
      <w:r w:rsidR="00BE27BE" w:rsidRPr="00D6331E">
        <w:rPr>
          <w:noProof/>
          <w:color w:val="2C2A27"/>
          <w:szCs w:val="24"/>
        </w:rPr>
        <w:t>[26]</w:t>
      </w:r>
      <w:r w:rsidR="00BE27BE" w:rsidRPr="0015600B">
        <w:rPr>
          <w:color w:val="2C2A27"/>
          <w:szCs w:val="24"/>
        </w:rPr>
        <w:fldChar w:fldCharType="end"/>
      </w:r>
      <w:r w:rsidR="00FF424E">
        <w:rPr>
          <w:color w:val="2C2A27"/>
          <w:szCs w:val="24"/>
        </w:rPr>
        <w:t xml:space="preserve"> </w:t>
      </w:r>
      <w:r w:rsidR="00BE27BE">
        <w:rPr>
          <w:color w:val="2C2A27"/>
          <w:szCs w:val="24"/>
        </w:rPr>
        <w:t>-</w:t>
      </w:r>
      <w:r w:rsidR="00BE27BE" w:rsidRPr="00D6331E">
        <w:rPr>
          <w:szCs w:val="24"/>
        </w:rPr>
        <w:t xml:space="preserve"> </w:t>
      </w:r>
      <w:r w:rsidR="00BE27BE">
        <w:rPr>
          <w:szCs w:val="24"/>
        </w:rPr>
        <w:fldChar w:fldCharType="begin" w:fldLock="1"/>
      </w:r>
      <w:r w:rsidR="00BE27BE">
        <w:rPr>
          <w:szCs w:val="24"/>
        </w:rPr>
        <w:instrText>ADDIN CSL_CITATION {"citationItems":[{"id":"ITEM-1","itemData":{"abstract":"Heat-of-fusion storage materials for low temperature latent heat storage in the temperature range 0-120°C are reviewed. Organic and inorganic heat storage materials classified as paraffins, fatty acids, inorganic salt hydrates and eutectic compounds are considered. The melting and freezing behaviour of the various substances is investigated using the techniques of Thermal Analysis and Differential Scanning Calorimetry. The importance of thermal cycling tests for establishing the long-term stability of the storage materials is discussed. Finally, some data pertaining to the corrosion compatibility of heat-of-fusion substances with conventional materials of construction is presented.","author":[{"dropping-particle":"","family":"Abhat","given":"A","non-dropping-particle":"","parse-names":false,"suffix":""}],"container-title":"Solar Ene, T¢~","id":"ITEM-1","issue":"4","issued":{"date-parts":[["0"]]},"number-of-pages":"313-332","title":"LOW TEMPERATURE LATENT HEAT THERMAL ENERGY STORAGE: HEAT STORAGE MATERIALS","type":"report","volume":"10"},"uris":["http://www.mendeley.com/documents/?uuid=f7a27e39-e9aa-340f-a11e-9cda8a7b236f"]}],"mendeley":{"formattedCitation":"[27]","plainTextFormattedCitation":"[27]","previouslyFormattedCitation":"[26]"},"properties":{"noteIndex":0},"schema":"https://github.com/citation-style-language/schema/raw/master/csl-citation.json"}</w:instrText>
      </w:r>
      <w:r w:rsidR="00BE27BE">
        <w:rPr>
          <w:szCs w:val="24"/>
        </w:rPr>
        <w:fldChar w:fldCharType="separate"/>
      </w:r>
      <w:r w:rsidR="00BE27BE" w:rsidRPr="00D6331E">
        <w:rPr>
          <w:noProof/>
          <w:szCs w:val="24"/>
        </w:rPr>
        <w:t>[27]</w:t>
      </w:r>
      <w:r w:rsidR="00BE27BE">
        <w:rPr>
          <w:szCs w:val="24"/>
        </w:rPr>
        <w:fldChar w:fldCharType="end"/>
      </w:r>
      <w:r w:rsidR="00BE27BE" w:rsidRPr="0015600B">
        <w:rPr>
          <w:szCs w:val="24"/>
        </w:rPr>
        <w:t>.</w:t>
      </w:r>
    </w:p>
    <w:p w14:paraId="4292703F" w14:textId="158731F2" w:rsidR="00A819DE" w:rsidRPr="0015600B" w:rsidRDefault="00A819DE" w:rsidP="00A819DE">
      <w:pPr>
        <w:spacing w:after="288"/>
        <w:rPr>
          <w:szCs w:val="24"/>
        </w:rPr>
      </w:pPr>
      <w:r w:rsidRPr="0015600B">
        <w:rPr>
          <w:szCs w:val="24"/>
        </w:rPr>
        <w:t>Nasiru et al. report that sensible heat storage requires a larger vessel as compared with latent heat and thermo-chemical storages</w:t>
      </w:r>
      <w:r w:rsidR="00992BE3">
        <w:rPr>
          <w:szCs w:val="24"/>
        </w:rPr>
        <w:t xml:space="preserve"> </w:t>
      </w:r>
      <w:r w:rsidR="009D7B75" w:rsidRPr="0015600B">
        <w:rPr>
          <w:szCs w:val="24"/>
        </w:rPr>
        <w:fldChar w:fldCharType="begin" w:fldLock="1"/>
      </w:r>
      <w:r w:rsidR="00D6331E">
        <w:rPr>
          <w:szCs w:val="24"/>
        </w:rPr>
        <w:instrText>ADDIN CSL_CITATION {"citationItems":[{"id":"ITEM-1","itemData":{"URL":"https://reader.elsevier.com/reader/sd/pii/S1364032117301739?token=CF243D6D2DAB2C37652CF606507F2207AE2A389A251F0478828A93BA339A5562EC033835974086E76669220CC42D6865","accessed":{"date-parts":[["2020","5","31"]]},"id":"ITEM-1","issued":{"date-parts":[["0"]]},"title":"Heat transfer enhancement of phase change materials for thermal energy storage applications_ A critical review | Elsevier Enhanced Reader","type":"webpage"},"uris":["http://www.mendeley.com/documents/?uuid=ce3a063f-c6f5-3cda-adc4-9b21da4752fc"]}],"mendeley":{"formattedCitation":"[28]","plainTextFormattedCitation":"[28]","previouslyFormattedCitation":"[28]"},"properties":{"noteIndex":0},"schema":"https://github.com/citation-style-language/schema/raw/master/csl-citation.json"}</w:instrText>
      </w:r>
      <w:r w:rsidR="009D7B75" w:rsidRPr="0015600B">
        <w:rPr>
          <w:szCs w:val="24"/>
        </w:rPr>
        <w:fldChar w:fldCharType="separate"/>
      </w:r>
      <w:r w:rsidR="00D6331E" w:rsidRPr="00D6331E">
        <w:rPr>
          <w:noProof/>
          <w:szCs w:val="24"/>
        </w:rPr>
        <w:t>[28]</w:t>
      </w:r>
      <w:r w:rsidR="009D7B75" w:rsidRPr="0015600B">
        <w:rPr>
          <w:szCs w:val="24"/>
        </w:rPr>
        <w:fldChar w:fldCharType="end"/>
      </w:r>
      <w:r w:rsidRPr="0015600B">
        <w:rPr>
          <w:szCs w:val="24"/>
        </w:rPr>
        <w:t xml:space="preserve">. Thermochemical storage, on the other hand, is associated with high energy storage density but still at the pre-matured stage in terms of research and development. Among the three thermal energy storage methods, latent heat energy storage is the most promising and attractive due to its compactness and ability to store energy at the nearly constant temperature corresponding to the phase-transition temperature of the material. PCM thermal storage improves energy efficiencies by limiting the </w:t>
      </w:r>
      <w:r w:rsidRPr="0015600B">
        <w:rPr>
          <w:szCs w:val="24"/>
        </w:rPr>
        <w:lastRenderedPageBreak/>
        <w:t xml:space="preserve">discrepancy between the energy supply and the energy demand for solar thermal energy applications </w:t>
      </w:r>
      <w:r w:rsidRPr="0015600B">
        <w:rPr>
          <w:szCs w:val="24"/>
        </w:rPr>
        <w:fldChar w:fldCharType="begin" w:fldLock="1"/>
      </w:r>
      <w:r w:rsidR="00D6331E">
        <w:rPr>
          <w:szCs w:val="24"/>
        </w:rPr>
        <w:instrText>ADDIN CSL_CITATION {"citationItems":[{"id":"ITEM-1","itemData":{"DOI":"10.1016/j.rser.2012.11.079","ISSN":"13640321","abstract":"Thermal energy storage is needed to improve the efficiency of solar thermal energy applications (STEA) and to eliminate the mismatch between energy supply and energy demand. Among the thermal energy storages, the latent heat thermal energy storage (LHTES) has gained much attention because of its high-energy densities per unit mass/volume at nearly constant temperatures. This review presents previous studies on the numerical modeling of phase change materials (PCMs) through a commercial computational fluid dynamic (CFD) software and self-developed programming to study the heat transfer phenomena in PCMs. The CFD (Fluent) software is successively used to simulate the application of PCMs in different engineering applications, including electronic cooling technology, building thermal storage, and heating, ventilation, air conditioning (HVAC). Using CFD software to design LHTES is believed to be an effective way to save money and time and to deliver optimization tools for maximum efficiency of STEAs. © 2012 Elsevier Ltd.","author":[{"dropping-particle":"","family":"Al-Abidi","given":"Abduljalil A.","non-dropping-particle":"","parse-names":false,"suffix":""},{"dropping-particle":"","family":"Mat","given":"Sohif","non-dropping-particle":"Bin","parse-names":false,"suffix":""},{"dropping-particle":"","family":"Sopian","given":"K.","non-dropping-particle":"","parse-names":false,"suffix":""},{"dropping-particle":"","family":"Sulaiman","given":"M. Y.","non-dropping-particle":"","parse-names":false,"suffix":""},{"dropping-particle":"","family":"Mohammed","given":"Abdulrahman Th","non-dropping-particle":"","parse-names":false,"suffix":""}],"container-title":"Renewable and Sustainable Energy Reviews","id":"ITEM-1","issued":{"date-parts":[["2013"]]},"title":"CFD applications for latent heat thermal energy storage: A review","type":"article"},"uris":["http://www.mendeley.com/documents/?uuid=4901c47a-f38f-42bb-be0f-4520f4fae7e1"]}],"mendeley":{"formattedCitation":"[29]","plainTextFormattedCitation":"[29]","previouslyFormattedCitation":"[29]"},"properties":{"noteIndex":0},"schema":"https://github.com/citation-style-language/schema/raw/master/csl-citation.json"}</w:instrText>
      </w:r>
      <w:r w:rsidRPr="0015600B">
        <w:rPr>
          <w:szCs w:val="24"/>
        </w:rPr>
        <w:fldChar w:fldCharType="separate"/>
      </w:r>
      <w:r w:rsidR="00D6331E" w:rsidRPr="00D6331E">
        <w:rPr>
          <w:noProof/>
          <w:szCs w:val="24"/>
        </w:rPr>
        <w:t>[29]</w:t>
      </w:r>
      <w:r w:rsidRPr="0015600B">
        <w:rPr>
          <w:szCs w:val="24"/>
        </w:rPr>
        <w:fldChar w:fldCharType="end"/>
      </w:r>
      <w:r w:rsidRPr="0015600B">
        <w:rPr>
          <w:szCs w:val="24"/>
        </w:rPr>
        <w:t>.</w:t>
      </w:r>
    </w:p>
    <w:p w14:paraId="06E8EDB1" w14:textId="78142341" w:rsidR="00A819DE" w:rsidRPr="0015600B" w:rsidRDefault="00A819DE" w:rsidP="00A819DE">
      <w:pPr>
        <w:spacing w:after="288"/>
        <w:rPr>
          <w:szCs w:val="24"/>
        </w:rPr>
      </w:pPr>
      <w:r w:rsidRPr="0015600B">
        <w:rPr>
          <w:szCs w:val="24"/>
        </w:rPr>
        <w:t xml:space="preserve">Several other kinds of research were conducted on the </w:t>
      </w:r>
      <w:r w:rsidR="008F0CF3">
        <w:rPr>
          <w:szCs w:val="24"/>
        </w:rPr>
        <w:t>practical</w:t>
      </w:r>
      <w:r w:rsidRPr="0015600B">
        <w:rPr>
          <w:szCs w:val="24"/>
        </w:rPr>
        <w:t xml:space="preserve"> storage of solar energy using phase change materials (PCM). Beatrice Castellani et</w:t>
      </w:r>
      <w:r w:rsidR="008F0CF3">
        <w:rPr>
          <w:szCs w:val="24"/>
        </w:rPr>
        <w:t xml:space="preserve"> </w:t>
      </w:r>
      <w:r w:rsidRPr="0015600B">
        <w:rPr>
          <w:szCs w:val="24"/>
        </w:rPr>
        <w:t>al</w:t>
      </w:r>
      <w:r w:rsidR="008F0CF3">
        <w:rPr>
          <w:szCs w:val="24"/>
        </w:rPr>
        <w:t>.</w:t>
      </w:r>
      <w:r w:rsidRPr="0015600B">
        <w:rPr>
          <w:szCs w:val="24"/>
        </w:rPr>
        <w:t xml:space="preserve"> studied the application of clathrate hydrates as PCM in buildings. Clathrate hydrates are crystalline structures in which guest molecules are enclosed in the crystal lattice of water molecules. Castellani observed that clathrate hydrates have potential in terms of improving indoor thermal comfort and reducing energy consumption for cooling </w:t>
      </w:r>
      <w:r w:rsidRPr="0015600B">
        <w:rPr>
          <w:szCs w:val="24"/>
        </w:rPr>
        <w:fldChar w:fldCharType="begin" w:fldLock="1"/>
      </w:r>
      <w:r w:rsidR="00D6331E">
        <w:rPr>
          <w:szCs w:val="24"/>
        </w:rPr>
        <w:instrText>ADDIN CSL_CITATION {"citationItems":[{"id":"ITEM-1","itemData":{"DOI":"10.3390/su6106815","ISSN":"20711050","abstract":"Increasing energy costs are at the origin of the great progress in the field of phase change materials (PCMs). The present work aims at studying the application of clathrate hydrates as PCMs in buildings. Clathrate hydrates are crystalline structures in which guest molecules are enclosed in the crystal lattice of water molecules. Clathrate hydrates can form also at ambient pressure and present a high latent heat, and for this reason, they are good candidates for being used as PCMs. The parameter that makes a PCM suitable to be used in buildings is, first of all, a melting temperature at about 25 °C. The paper provides an overview of groups of clathrate hydrates, whose physical and chemical characteristics could meet the requirements needed for their application in buildings. Simulations with a dynamic building simulation tool are carried out to evaluate the performance of clathrate hydrates in enhancing thermal comfort through the moderation of summer temperature swings and, therefore, in reducing energy consumption. Simulations suggest that clathrate hydrates have a potential in terms of improvement of indoor thermal comfort and a reduction of energy consumption for cooling. Cooling effects of 0.5 °C and reduced overheating hours of up to 1.1% are predicted.","author":[{"dropping-particle":"","family":"Castellani","given":"Beatrice","non-dropping-particle":"","parse-names":false,"suffix":""},{"dropping-particle":"","family":"Morini","given":"Elena","non-dropping-particle":"","parse-names":false,"suffix":""},{"dropping-particle":"","family":"Filipponi","given":"Mirko","non-dropping-particle":"","parse-names":false,"suffix":""},{"dropping-particle":"","family":"Nicolini","given":"Andrea","non-dropping-particle":"","parse-names":false,"suffix":""},{"dropping-particle":"","family":"Palombo","given":"Massimo","non-dropping-particle":"","parse-names":false,"suffix":""},{"dropping-particle":"","family":"Cotana","given":"Franco","non-dropping-particle":"","parse-names":false,"suffix":""},{"dropping-particle":"","family":"Rossi","given":"Federico","non-dropping-particle":"","parse-names":false,"suffix":""}],"container-title":"Sustainability (Switzerland)","id":"ITEM-1","issued":{"date-parts":[["2014"]]},"title":"Clathrate hydrates for thermal energy storage in buildings: Overview of proper hydrate-forming compounds","type":"article"},"uris":["http://www.mendeley.com/documents/?uuid=d0344aaf-672d-4678-afd2-dca9db5212b5"]}],"mendeley":{"formattedCitation":"[30]","plainTextFormattedCitation":"[30]","previouslyFormattedCitation":"[30]"},"properties":{"noteIndex":0},"schema":"https://github.com/citation-style-language/schema/raw/master/csl-citation.json"}</w:instrText>
      </w:r>
      <w:r w:rsidRPr="0015600B">
        <w:rPr>
          <w:szCs w:val="24"/>
        </w:rPr>
        <w:fldChar w:fldCharType="separate"/>
      </w:r>
      <w:r w:rsidR="00D6331E" w:rsidRPr="00D6331E">
        <w:rPr>
          <w:noProof/>
          <w:szCs w:val="24"/>
        </w:rPr>
        <w:t>[30]</w:t>
      </w:r>
      <w:r w:rsidRPr="0015600B">
        <w:rPr>
          <w:szCs w:val="24"/>
        </w:rPr>
        <w:fldChar w:fldCharType="end"/>
      </w:r>
      <w:r w:rsidRPr="0015600B">
        <w:rPr>
          <w:szCs w:val="24"/>
        </w:rPr>
        <w:t>. Kaygusuz et. al investigated the thermal characteristics of paraffin or expanded perlite (paraffin/EP) composite for latent heat thermal energy storage. The form-stable paraffin/EP composite PCM was prepared as a novel energy storage material for LHTES applications. The paraffin as PCM was confined in the porous EP by the mass fraction of 55% without melted PCM seepage</w:t>
      </w:r>
      <w:r w:rsidR="008F0CF3">
        <w:rPr>
          <w:szCs w:val="24"/>
        </w:rPr>
        <w:t>,</w:t>
      </w:r>
      <w:r w:rsidRPr="0015600B">
        <w:rPr>
          <w:szCs w:val="24"/>
        </w:rPr>
        <w:t xml:space="preserve"> and the mixture was described as form-stable composite. The melting and freezing temperatures and latent heats of form-stable composite PCM were determined as 42.27°C and 40.79°C and 87.40 J/g and 90.25 J/g, respectively </w:t>
      </w:r>
      <w:r w:rsidRPr="0015600B">
        <w:rPr>
          <w:szCs w:val="24"/>
        </w:rPr>
        <w:fldChar w:fldCharType="begin" w:fldLock="1"/>
      </w:r>
      <w:r w:rsidR="00D6331E">
        <w:rPr>
          <w:szCs w:val="24"/>
        </w:rPr>
        <w:instrText>ADDIN CSL_CITATION {"citationItems":[{"id":"ITEM-1","itemData":{"DOI":"10.1080/15567030701752768","ISSN":"15567036","abstract":"This study focuses on the preparation and thermal properties of paraffin/expanded perlite composite as novel form-stable phase change material for latent heat thermal energy storage by vacuum impregnation method. The paraffin could be absorbed in pores of expanded perlite as much as 55 wt% without melted phase change material seepage from the composite and this mixture was described as form-stable composite phase change material. The melting and freezing temperatures and latent heats of form-stable composite phase change material were measured using differential scanning calorimetry analysis. The thermal cycling test indicated that the form-stable composite phase change material had good thermal reliability in terms of the changes in thermal properties after 5,000 thermal cycling. Thermal conductivity of the form-stable composite phase change material was increased by about 46% by adding 5 wt% expanded graphite. The results indicated that the prepared form-stable paraffin/expanded perlite/expanded graphite composite phase change material has a great potential for latent heat thermal energy storage systems solar passive heating purposes due to suitable phase change temperature, high latent heat capacity, good thermal reliability, and thermal conductivity.","author":[{"dropping-particle":"","family":"Karaipekli","given":"A.","non-dropping-particle":"","parse-names":false,"suffix":""},{"dropping-particle":"","family":"Sari","given":"A.","non-dropping-particle":"","parse-names":false,"suffix":""},{"dropping-particle":"","family":"Kaygusuz","given":"K.","non-dropping-particle":"","parse-names":false,"suffix":""}],"container-title":"Energy Sources, Part A: Recovery, Utilization and Environmental Effects","id":"ITEM-1","issue":"10","issued":{"date-parts":[["2009"]]},"page":"814-823","title":"Thermal characteristics of paraffin/expanded perlite composite for latent heat thermal energy storage","type":"article-journal","volume":"31"},"uris":["http://www.mendeley.com/documents/?uuid=b0370912-b715-4abf-9530-32944b563118"]}],"mendeley":{"formattedCitation":"[31]","plainTextFormattedCitation":"[31]","previouslyFormattedCitation":"[31]"},"properties":{"noteIndex":0},"schema":"https://github.com/citation-style-language/schema/raw/master/csl-citation.json"}</w:instrText>
      </w:r>
      <w:r w:rsidRPr="0015600B">
        <w:rPr>
          <w:szCs w:val="24"/>
        </w:rPr>
        <w:fldChar w:fldCharType="separate"/>
      </w:r>
      <w:r w:rsidR="00D6331E" w:rsidRPr="00D6331E">
        <w:rPr>
          <w:noProof/>
          <w:szCs w:val="24"/>
        </w:rPr>
        <w:t>[31]</w:t>
      </w:r>
      <w:r w:rsidRPr="0015600B">
        <w:rPr>
          <w:szCs w:val="24"/>
        </w:rPr>
        <w:fldChar w:fldCharType="end"/>
      </w:r>
      <w:r w:rsidRPr="0015600B">
        <w:rPr>
          <w:szCs w:val="24"/>
        </w:rPr>
        <w:t xml:space="preserve">. </w:t>
      </w:r>
    </w:p>
    <w:p w14:paraId="30F359BF" w14:textId="1DB117F1" w:rsidR="00A819DE" w:rsidRPr="0015600B" w:rsidRDefault="00A819DE" w:rsidP="00A819DE">
      <w:pPr>
        <w:spacing w:after="288"/>
        <w:rPr>
          <w:color w:val="000000"/>
          <w:szCs w:val="24"/>
          <w:shd w:val="clear" w:color="auto" w:fill="FFFFFF"/>
        </w:rPr>
      </w:pPr>
      <w:r w:rsidRPr="0015600B">
        <w:rPr>
          <w:szCs w:val="24"/>
        </w:rPr>
        <w:t xml:space="preserve">A handful of techniques for heat transfer enhancement were investigated to improve the thermal performance of the LHTES system. The enhancement techniques include the enhancement with fins to increase the heat transfer area between PCM and heat exchangers </w:t>
      </w:r>
      <w:r w:rsidRPr="0015600B">
        <w:rPr>
          <w:szCs w:val="24"/>
        </w:rPr>
        <w:fldChar w:fldCharType="begin" w:fldLock="1"/>
      </w:r>
      <w:r w:rsidR="00D6331E">
        <w:rPr>
          <w:szCs w:val="24"/>
        </w:rPr>
        <w:instrText>ADDIN CSL_CITATION {"citationItems":[{"id":"ITEM-1","itemData":{"DOI":"10.1016/j.solener.2009.04.007","ISSN":"0038092X","abstract":"An experimental energy storage system has been designed using a horizontal concentric tube heat exchanger incorporating a medium temperature phase change material (PCM) Erythritol, with a melting point of 117.7 °C. Three experimental configurations, a control system with no heat transfer enhancement and systems augmented with circular and longitudinal fins have been studied. The results presented compare the system heat transfer characteristics using isotherm plots and temperature-time curves. The system with longitudinal fins gave the best performance with increased thermal response during charging and reduced subcooling in the melt during discharging. The experimentally measured data for the control, circular finned and longitudinal finned systems have been shown to vindicate the assumption of axissymmetry (direction parallel to the heat transfer fluid flow) using temperature gradients in the axial, radial and angular directions in the double pipe PCM system. © 2009 Elsevier Ltd. All rights reserved.","author":[{"dropping-particle":"","family":"Agyenim","given":"Francis","non-dropping-particle":"","parse-names":false,"suffix":""},{"dropping-particle":"","family":"Eames","given":"Philip","non-dropping-particle":"","parse-names":false,"suffix":""},{"dropping-particle":"","family":"Smyth","given":"Mervyn","non-dropping-particle":"","parse-names":false,"suffix":""}],"container-title":"Solar Energy","id":"ITEM-1","issue":"9","issued":{"date-parts":[["2009"]]},"page":"1509-1520","publisher":"Elsevier Ltd","title":"A comparison of heat transfer enhancement in a medium temperature thermal energy storage heat exchanger using fins","type":"article-journal","volume":"83"},"uris":["http://www.mendeley.com/documents/?uuid=a94e721b-5668-4637-ad7e-fb32097ea902"]}],"mendeley":{"formattedCitation":"[32]","plainTextFormattedCitation":"[32]","previouslyFormattedCitation":"[32]"},"properties":{"noteIndex":0},"schema":"https://github.com/citation-style-language/schema/raw/master/csl-citation.json"}</w:instrText>
      </w:r>
      <w:r w:rsidRPr="0015600B">
        <w:rPr>
          <w:szCs w:val="24"/>
        </w:rPr>
        <w:fldChar w:fldCharType="separate"/>
      </w:r>
      <w:r w:rsidR="00D6331E" w:rsidRPr="00D6331E">
        <w:rPr>
          <w:noProof/>
          <w:szCs w:val="24"/>
        </w:rPr>
        <w:t>[32]</w:t>
      </w:r>
      <w:r w:rsidRPr="0015600B">
        <w:rPr>
          <w:szCs w:val="24"/>
        </w:rPr>
        <w:fldChar w:fldCharType="end"/>
      </w:r>
      <w:r w:rsidRPr="0015600B">
        <w:rPr>
          <w:szCs w:val="24"/>
        </w:rPr>
        <w:t xml:space="preserve">; </w:t>
      </w:r>
      <w:r w:rsidRPr="0015600B">
        <w:rPr>
          <w:color w:val="000000"/>
          <w:szCs w:val="24"/>
          <w:shd w:val="clear" w:color="auto" w:fill="FFFFFF"/>
        </w:rPr>
        <w:t xml:space="preserve">the application of metallic inserts in heat storage PCM-based units to improve thermal conductivity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{"citationItems":[{"id":"ITEM-1","itemData":{"DOI":"10.3390/ma13020415","ISSN":"19961944","abstract":"Phase change materials (PCMs) are applied in heat storage units, as they are able to accumulate the energy in the form of the latent heat of fusion. Thus, they can be used in recovering the excess of heat from various industrial processes. Their main weakness is their low thermal conductivity coefficient, which strongly limits their usage. In this paper, the benefits of the application of metallic inserts in heat storage PCM-based units were elaborated. Two kinds of Al-Si spatial elements (foams and honeycomb structures) were produced with the use of means of the investment casting method. Key factors influencing the technological process were established. The surface's roughness was measured in order to compare the obtained structures with their patterns in terms of the casting's accuracy. The compressive strength of the samples was tested, and their fatigue resistance was considered. The thermal performance of manufactured inserts in the PCM (paraffin)-based accumulator, supported by the calculation of heat fluxes, was analyzed and adjusted. Finally, further optimization was conducted in terms of the volume ratio of the metal insert to the PCM. Metallic inserts were found to significantly affect the performance of the entire energy storage system, as their use results in reduced charging time, a longer heat release time, increased maximum temperature, and a significant reduction in the temperature gradient in the heat storage unit.","author":[{"dropping-particle":"","family":"Dmitruk","given":"Anna","non-dropping-particle":"","parse-names":false,"suffix":""},{"dropping-particle":"","family":"Naplocha","given":"Krzysztof","non-dropping-particle":"","parse-names":false,"suffix":""},{"dropping-particle":"","family":"Grz</w:instrText>
      </w:r>
      <w:r w:rsidR="00D6331E">
        <w:rPr>
          <w:rFonts w:ascii="Cambria" w:hAnsi="Cambria" w:cs="Cambria"/>
          <w:color w:val="000000"/>
          <w:szCs w:val="24"/>
          <w:shd w:val="clear" w:color="auto" w:fill="FFFFFF"/>
        </w:rPr>
        <w:instrText>ȩ</w:instrText>
      </w:r>
      <w:r w:rsidR="00D6331E">
        <w:rPr>
          <w:color w:val="000000"/>
          <w:szCs w:val="24"/>
          <w:shd w:val="clear" w:color="auto" w:fill="FFFFFF"/>
        </w:rPr>
        <w:instrText>da","given":"Jakub","non-dropping-particle":"","parse-names":false,"suffix":""},{"dropping-particle":"","family":"Kaczmar","given":"Jacek W.","non-dropping-particle":"","parse-names":false,"suffix":""}],"container-title":"Materials","id":"ITEM-1","issue":"2","issued":{"date-parts":[["2020"]]},"title":"Aluminum inserts for enhancing heat transfer in PCM accumulator","type":"article-journal","volume":"13"},"uris":["http://www.mendeley.com/documents/?uuid=20cc3286-bf23-44f7-9a26-06e44233cea8"]}],"mendeley":{"formattedCitation":"[33]","plainTextFormattedCitation":"[33]","previouslyFormattedCitation":"[33]"},"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[33]</w:t>
      </w:r>
      <w:r w:rsidRPr="0015600B">
        <w:rPr>
          <w:color w:val="000000"/>
          <w:szCs w:val="24"/>
          <w:shd w:val="clear" w:color="auto" w:fill="FFFFFF"/>
        </w:rPr>
        <w:fldChar w:fldCharType="end"/>
      </w:r>
      <w:r w:rsidRPr="0015600B">
        <w:rPr>
          <w:color w:val="000000"/>
          <w:szCs w:val="24"/>
          <w:shd w:val="clear" w:color="auto" w:fill="FFFFFF"/>
        </w:rPr>
        <w:t xml:space="preserve">; extended surfaces and encapsulation of PCM to increase heat transfer surface area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{"citationItems":[{"id":"ITEM-1","itemData":{"DOI":"10.1016/j.matpr.2018.03.028","ISSN":"22147853","abstract":"For effective utilization of thermal energy storage (TES) system, selection of Phase change material (PCM) and heat transfer mechanism plays a significant role. PCMs employed in TES system undergo poor heat transfer rate due to low thermal conductivity. In order to capture larger amount of energy, it is inevitable to improve the heat transfer rate between heat transfer fluid (HTF) and PCM. The main focus of the paper is to review the previous works on heat transfer enhancement of PCMs and to develop efficient TES system. Some of the heat transfer enhancement methods namely extended surface, composite PCMs, multiple PCMs and encapsulation have been discussed. The different applications of phase change material in conserving the energy are also reviewed in this paper.","author":[{"dropping-particle":"","family":"Sivasamy","given":"P.","non-dropping-particle":"","parse-names":false,"suffix":""},{"dropping-particle":"","family":"Devaraju","given":"A.","non-dropping-particle":"","parse-names":false,"suffix":""},{"dropping-particle":"","family":"Harikrishnan","given":"S.","non-dropping-particle":"","parse-names":false,"suffix":""}],"container-title":"Materials Today: Proceedings","id":"ITEM-1","issue":"6","issued":{"date-parts":[["2018","1","1"]]},"page":"14423-14431","publisher":"Elsevier Ltd","title":"Review on Heat Transfer Enhancement of Phase Change Materials (PCMs)","type":"paper-conference","volume":"5"},"uris":["http://www.mendeley.com/documents/?uuid=f6343d8f-ad16-34e0-a09c-c5dd13ef1e69"]}],"mendeley":{"formattedCitation":"[34]","plainTextFormattedCitation":"[34]","previouslyFormattedCitation":"[34]"},"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[34]</w:t>
      </w:r>
      <w:r w:rsidRPr="0015600B">
        <w:rPr>
          <w:color w:val="000000"/>
          <w:szCs w:val="24"/>
          <w:shd w:val="clear" w:color="auto" w:fill="FFFFFF"/>
        </w:rPr>
        <w:fldChar w:fldCharType="end"/>
      </w:r>
      <w:r w:rsidRPr="0015600B">
        <w:rPr>
          <w:color w:val="000000"/>
          <w:szCs w:val="24"/>
          <w:shd w:val="clear" w:color="auto" w:fill="FFFFFF"/>
        </w:rPr>
        <w:t xml:space="preserve">; </w:t>
      </w:r>
      <w:r w:rsidRPr="0015600B">
        <w:rPr>
          <w:color w:val="000000"/>
          <w:szCs w:val="24"/>
          <w:shd w:val="clear" w:color="auto" w:fill="FFFFFF"/>
        </w:rPr>
        <w:lastRenderedPageBreak/>
        <w:t xml:space="preserve">Impregnation of porous metal foam to enhance the thermal conductivity of conventional PCMs in LHTES systems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{"citationItems":[{"id":"ITEM-1","itemData":{"DOI":"10.1016/j.mspro.2014.07.579","ISSN":"22118128","abstract":"Latent heat storage using phase change materials (PCMs) attract more and more attention in recent years. But most of the PCMs present low thermal conductivity, which decrease the heat transfer rate and leads to low energy utilization efficiency of the storage system. Metal foam with high thermal conductivity, porosity, surface-area to volume ratio and strong mixing capability is considered as one of the most promising heat transfer enhancement materials. In this paper, the kinds of metal foam used in PCMs and the efficient thermal conductivity and convection heat transfer of the composite PCMs are reviewed. The research methods used in the investigation of conductive, convective and phase change heat transfer process in composite PCMs are also reviewed.","author":[{"dropping-particle":"","family":"Chen","given":"Jianqing","non-dropping-particle":"","parse-names":false,"suffix":""},{"dropping-particle":"","family":"Yang","given":"Donghui","non-dropping-particle":"","parse-names":false,"suffix":""},{"dropping-particle":"","family":"Jiang","given":"Jinghua","non-dropping-particle":"","parse-names":false,"suffix":""},{"dropping-particle":"","family":"Ma","given":"Aibin","non-dropping-particle":"","parse-names":false,"suffix":""},{"dropping-particle":"","family":"Song","given":"Dan","non-dropping-particle":"","parse-names":false,"suffix":""}],"container-title":"Procedia Materials Science","id":"ITEM-1","issued":{"date-parts":[["2014"]]},"page":"389-394","publisher":"Elsevier B.V.","title":"Research Progress of Phase Change Materials (PCMs) Embedded with Metal Foam (a Review)","type":"article-journal","volume":"4"},"uris":["http://www.mendeley.com/documents/?uuid=339e499b-6b04-45f8-84de-fcff891561e1"]}],"mendeley":{"formattedCitation":"[35]","plainTextFormattedCitation":"[35]","previouslyFormattedCitation":"[35]"},"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[35]</w:t>
      </w:r>
      <w:r w:rsidRPr="0015600B">
        <w:rPr>
          <w:color w:val="000000"/>
          <w:szCs w:val="24"/>
          <w:shd w:val="clear" w:color="auto" w:fill="FFFFFF"/>
        </w:rPr>
        <w:fldChar w:fldCharType="end"/>
      </w:r>
      <w:r w:rsidRPr="0015600B">
        <w:rPr>
          <w:color w:val="000000"/>
          <w:szCs w:val="24"/>
          <w:shd w:val="clear" w:color="auto" w:fill="FFFFFF"/>
        </w:rPr>
        <w:t>; dispersion of nanoparticles/high conductivity materials such as aluminum powder</w:t>
      </w:r>
      <w:r w:rsidR="00C344E4">
        <w:rPr>
          <w:color w:val="000000"/>
          <w:szCs w:val="24"/>
          <w:shd w:val="clear" w:color="auto" w:fill="FFFFFF"/>
        </w:rPr>
        <w:t xml:space="preserve"> and carbon nanop</w:t>
      </w:r>
      <w:r w:rsidR="00EB2465">
        <w:rPr>
          <w:color w:val="000000"/>
          <w:szCs w:val="24"/>
          <w:shd w:val="clear" w:color="auto" w:fill="FFFFFF"/>
        </w:rPr>
        <w:t xml:space="preserve">articles </w:t>
      </w:r>
      <w:r w:rsidRPr="0015600B">
        <w:rPr>
          <w:color w:val="000000"/>
          <w:szCs w:val="24"/>
          <w:shd w:val="clear" w:color="auto" w:fill="FFFFFF"/>
        </w:rPr>
        <w:t xml:space="preserve">to paraffin wax to improve thermal conductivity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{"citationItems":[{"id":"ITEM-1","itemData":{"DOI":"10.1016/j.solener.2006.11.009","ISSN":"0038092X","abstract":"Latent heat storage systems especially those employing organic materials have been reported to exhibit a rather slow thermal response. This is mainly due to the relatively low thermal conductivity of organic latent heat materials. In this study, experiments were carried out to investigate a method of enhancing the thermal conductivity of paraffin wax by embedding aluminum powder in it. The size of the aluminum powder particles was 80 μm. The tested mass fractions in the PCM-aluminum composite material were 0.1, 0.3, 0.4, and 0.5 of aluminum. The used mass fraction in the experimental work was 0.5. The experiments were conducted by using a compact PCM solar collector. In this collector, the absorber-container unit performed the function of absorbing the solar energy and storing the phase change material (PCM). The solar energy was stored in the PCM and was discharged to cold water flowing in pipes located inside the PCM. Charging and discharging processes were carried out. The propagation of the melting and freezing fronts was studied during the charging and the discharging processes. The time wise temperatures of the PCM were recorded during the processes of charging and discharging. The solar intensity was recorded for the charging process. It was found that the charging time was reduced by approximately 60% by adding aluminum powder in the wax. In the discharging process, experiments were conducted for different water flow rates of 9-20.4 kg/h. It was found that the useful heat gained increased when adding aluminum powder in the wax as compared to the case of pure paraffin wax. The heat transfer characteristics were studied. © 2006 Elsevier Ltd. All rights reserved.","author":[{"dropping-particle":"","family":"Mettawee","given":"Eman Bellah S.","non-dropping-particle":"","parse-names":false,"suffix":""},{"dropping-particle":"","family":"Assassa","given":"Ghazy M.R.","non-dropping-particle":"","parse-names":false,"suffix":""}],"container-title":"Solar Energy","id":"ITEM-1","issue":"7","issued":{"date-parts":[["2007"]]},"page":"839-845","title":"Thermal conductivity enhancement in a latent heat storage system","type":"article-journal","volume":"81"},"uris":["http://www.mendeley.com/documents/?uuid=4dedfe5f-ed00-4d57-bc2a-ae4eff3da989"]}],"mendeley":{"formattedCitation":"[36]","plainTextFormattedCitation":"[36]","previouslyFormattedCitation":"[36]"},"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[36]</w:t>
      </w:r>
      <w:r w:rsidRPr="0015600B">
        <w:rPr>
          <w:color w:val="000000"/>
          <w:szCs w:val="24"/>
          <w:shd w:val="clear" w:color="auto" w:fill="FFFFFF"/>
        </w:rPr>
        <w:fldChar w:fldCharType="end"/>
      </w:r>
      <w:r w:rsidR="008A387C">
        <w:rPr>
          <w:color w:val="000000"/>
          <w:szCs w:val="24"/>
          <w:shd w:val="clear" w:color="auto" w:fill="FFFFFF"/>
        </w:rPr>
        <w:t>-</w:t>
      </w:r>
      <w:r w:rsidR="008A387C">
        <w:rPr>
          <w:color w:val="000000"/>
          <w:szCs w:val="24"/>
          <w:shd w:val="clear" w:color="auto" w:fill="FFFFFF"/>
        </w:rPr>
        <w:fldChar w:fldCharType="begin" w:fldLock="1"/>
      </w:r>
      <w:r w:rsidR="00D6331E">
        <w:rPr>
          <w:color w:val="000000"/>
          <w:szCs w:val="24"/>
          <w:shd w:val="clear" w:color="auto" w:fill="FFFFFF"/>
        </w:rPr>
        <w:instrText>ADDIN CSL_CITATION {"citationItems":[{"id":"ITEM-1","itemData":{"DOI":"https://doi.org/10.1115/1.4033007","abstract":"The inward melting and solidification of phase-change materials (PCM) within millimeter-scale cylindrical enclosures have been experimentally characterized in this work. The effects of cylinder size, thermal loading, and concentration of high-conductivity additives were investigated under constant temperature boundary conditions. Using a custom-built apparatus with fast response, freezing and melting have been measured for time periods as short as 15 s and 33 s, respectively. The enhancement of PCM thermal conductivity using exfoliated graphene nanoplatelets (xGnPs) has also been measured, showing a greater than 3× increase for a concentration of 6 wt.%. Reductions in the total melting and freezing times of up to 66% and 55%, respectively, have been achieved using xGnP concentrations of only 4.5 wt.%. It is shown that the phase-change dynamics of pure and enhanced PCM are well predicted using a simple conduction-only model, demonstrating the validity of approximating enhanced PCM with low additive loadings as homogenous materials with isotropic properties. While general consistency between the measurements and model is seen, the effect of additives on heat transfer rate during the initial stages of freezing and melting is lower than expected, particularly for the smaller cylinder sizes of 6 mm. These results suggest that the thermal resistance of the PCM is not the limiting factor dictating the speed of the solid–liquid interface during these initial stages.","author":[{"dropping-particle":"","family":"Md Mahamudur Rahman, Han Hu, Hamidreza Shabgard, Philipp Boettcher, Ying Sun","given":"Matthew McCarthy","non-dropping-particle":"","parse-names":false,"suffix":""}],"container-title":"ASME. J Heat Transfer","id":"ITEM-1","issue":"072301","issued":{"date-parts":[["2016"]]},"page":"13","title":"Experimental Characterization of Inward Freezing and Melting of Additive-Enhanced Phase-Change Materials Within Millimeter-Scale Cylindrical Enclosures","type":"article-journal"},"uris":["http://www.mendeley.com/documents/?uuid=5f9bc97e-33c0-428a-91fa-6a1b48a5ecec"]}],"mendeley":{"formattedCitation":"[37]","plainTextFormattedCitation":"[37]","previouslyFormattedCitation":"[37]"},"properties":{"noteIndex":0},"schema":"https://github.com/citation-style-language/schema/raw/master/csl-citation.json"}</w:instrText>
      </w:r>
      <w:r w:rsidR="008A387C">
        <w:rPr>
          <w:color w:val="000000"/>
          <w:szCs w:val="24"/>
          <w:shd w:val="clear" w:color="auto" w:fill="FFFFFF"/>
        </w:rPr>
        <w:fldChar w:fldCharType="separate"/>
      </w:r>
      <w:r w:rsidR="00D6331E" w:rsidRPr="00D6331E">
        <w:rPr>
          <w:noProof/>
          <w:color w:val="000000"/>
          <w:szCs w:val="24"/>
          <w:shd w:val="clear" w:color="auto" w:fill="FFFFFF"/>
        </w:rPr>
        <w:t>[37]</w:t>
      </w:r>
      <w:r w:rsidR="008A387C">
        <w:rPr>
          <w:color w:val="000000"/>
          <w:szCs w:val="24"/>
          <w:shd w:val="clear" w:color="auto" w:fill="FFFFFF"/>
        </w:rPr>
        <w:fldChar w:fldCharType="end"/>
      </w:r>
      <w:r w:rsidRPr="0015600B">
        <w:rPr>
          <w:color w:val="000000"/>
          <w:szCs w:val="24"/>
          <w:shd w:val="clear" w:color="auto" w:fill="FFFFFF"/>
        </w:rPr>
        <w:t>; dis</w:t>
      </w:r>
      <w:r w:rsidR="008F0CF3">
        <w:rPr>
          <w:color w:val="000000"/>
          <w:szCs w:val="24"/>
          <w:shd w:val="clear" w:color="auto" w:fill="FFFFFF"/>
        </w:rPr>
        <w:t>tribut</w:t>
      </w:r>
      <w:r w:rsidRPr="0015600B">
        <w:rPr>
          <w:color w:val="000000"/>
          <w:szCs w:val="24"/>
          <w:shd w:val="clear" w:color="auto" w:fill="FFFFFF"/>
        </w:rPr>
        <w:t xml:space="preserve">ion of low-density materials such as carbon fibers to improve the transient thermal response and thermal conductivity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{"citationItems":[{"id":"ITEM-1","itemData":{"DOI":"10.1016/S0017-9310(02)00179-5","ISSN":"00179310","abstract":"Brushes made of carbon fibers are used to improve the thermal conductivities of phase change materials packed around heat transfer tubes. The transient thermal responses measured in brush/n-octadecane composites essentially improve as the volume fraction of the fibers and the brush diameter increase. However, there is a critical diameter above which further improvement is not expected due to thermal resistance between the fibers and the tube surface. A two-dimensional heat transfer model describing anisotropic heat flow in the composite is numerically solved. The calculated transient temperature agree well with the experimental. A simple model is also developed to predict the heat exchange rate between the composite and the heat transfer fluid. The values of the correction factors are identified on the basis of the results for the anisotropic model. © 2002 Elsevier Science Ltd. All rights reserved.","author":[{"dropping-particle":"","family":"Fukai","given":"Jun","non-dropping-particle":"","parse-names":false,"suffix":""},{"dropping-particle":"","family":"Hamada","given":"Yuichi","non-dropping-particle":"","parse-names":false,"suffix":""},{"dropping-particle":"","family":"Morozumi","given":"Yoshio","non-dropping-particle":"","parse-names":false,"suffix":""},{"dropping-particle":"","family":"Miyatake","given":"Osamu","non-dropping-particle":"","parse-names":false,"suffix":""}],"container-title":"International Journal of Heat and Mass Transfer","id":"ITEM-1","issue":"24","issued":{"date-parts":[["2002"]]},"page":"4781-4792","title":"Effect of carbon-fiber brushes on conductive heat transfer in phase change materials","type":"article-journal","volume":"45"},"uris":["http://www.mendeley.com/documents/?uuid=67558185-bc73-43f1-8971-1fe6a1f24cbb"]}],"mendeley":{"formattedCitation":"[38]","plainTextFormattedCitation":"[38]","previouslyFormattedCitation":"[38]"},"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[38]</w:t>
      </w:r>
      <w:r w:rsidRPr="0015600B">
        <w:rPr>
          <w:color w:val="000000"/>
          <w:szCs w:val="24"/>
          <w:shd w:val="clear" w:color="auto" w:fill="FFFFFF"/>
        </w:rPr>
        <w:fldChar w:fldCharType="end"/>
      </w:r>
      <w:r w:rsidRPr="0015600B">
        <w:rPr>
          <w:color w:val="000000"/>
          <w:szCs w:val="24"/>
          <w:shd w:val="clear" w:color="auto" w:fill="FFFFFF"/>
        </w:rPr>
        <w:t xml:space="preserve">; and combining two different enhancement techniques viz. using multiple PCMs and addition of fins to increase the rate of melting PCM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{"citationItems":[{"id":"ITEM-1","itemData":{"DOI":"10.1016/j.solener.2007.11.001","ISSN":"0038092X","abstract":"Latent heat thermal storage units span a wide and varied range of applications in the domestic, industrial and space based activities. Numerical investigations on the performance enhancement of a solar dynamic latent heat thermal storage (LHTS) unit employing multiple phase change materials (PCM) and fins are made. The LHTS unit has been studied for the charging mode alone. Enthalpy based formulation of the energy equations governing the behaviour of the LHTS system has been made and compared with the response of a single PCM unit. The governing conjugate equations have been solved employing finite difference techniques. The results show an appreciable enhancement in the rate of melting of PCM and nearly uniform exit temperature of heat transfer fluid (HTF) in the multiple PCM LHTS unit. © 2007 Elsevier Ltd. All rights reserved.","author":[{"dropping-particle":"V.","family":"Seeniraj","given":"R.","non-dropping-particle":"","parse-names":false,"suffix":""},{"dropping-particle":"","family":"Lakshmi Narasimhan","given":"N.","non-dropping-particle":"","parse-names":false,"suffix":""}],"container-title":"Solar Energy","id":"ITEM-1","issue":"6","issued":{"date-parts":[["2008"]]},"page":"535-542","title":"Performance enhancement of a solar dynamic LHTS module having both fins and multiple PCMs","type":"article-journal","volume":"82"},"uris":["http://www.mendeley.com/documents/?uuid=8d173611-fa8c-41bd-9ea8-c46d69b89b1b"]}],"mendeley":{"formattedCitation":"[39]","plainTextFormattedCitation":"[39]","previouslyFormattedCitation":"[39]"},"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[39]</w:t>
      </w:r>
      <w:r w:rsidRPr="0015600B">
        <w:rPr>
          <w:color w:val="000000"/>
          <w:szCs w:val="24"/>
          <w:shd w:val="clear" w:color="auto" w:fill="FFFFFF"/>
        </w:rPr>
        <w:fldChar w:fldCharType="end"/>
      </w:r>
      <w:r w:rsidRPr="0015600B">
        <w:rPr>
          <w:color w:val="000000"/>
          <w:szCs w:val="24"/>
          <w:shd w:val="clear" w:color="auto" w:fill="FFFFFF"/>
        </w:rPr>
        <w:t xml:space="preserve"> and integration of heat pipes with </w:t>
      </w:r>
      <w:r w:rsidR="0018023C">
        <w:rPr>
          <w:color w:val="000000"/>
          <w:szCs w:val="24"/>
          <w:shd w:val="clear" w:color="auto" w:fill="FFFFFF"/>
        </w:rPr>
        <w:t xml:space="preserve">and without metal foams and </w:t>
      </w:r>
      <w:r w:rsidRPr="0015600B">
        <w:rPr>
          <w:color w:val="000000"/>
          <w:szCs w:val="24"/>
          <w:shd w:val="clear" w:color="auto" w:fill="FFFFFF"/>
        </w:rPr>
        <w:t xml:space="preserve">foils to improve heat transfer rate </w:t>
      </w:r>
      <w:r w:rsidR="008A387C">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{"citationItems":[{"id":"ITEM-1","itemData":{"DOI":"10.1016/j.ijheatmasstransfer.2015.05.020","ISSN":"00179310","abstract":"Heat pipes (HPs) and thermosyphons (TSs) are widely recognized as being excellent passive thermal transport devices that can have effective thermal conductivities orders of magnitude higher than similarly-dimensioned solid materials. The integration of heat pipes into heat exchangers (HXs) and heat sinks (HPHXs and HPHSs, respectively) have been shown to have strong potential for energy savings, especially in response to the significant reduction in the manufacturing costs of heat pipes in recent years. This review documents HPHXs applications, general design procedures, and analysis tools based on the thermal network approach. The thermal network approach is a robust engineering tool that is easy to implement and program, is user friendly, straightforward, computationally efficient, and serves as a baseline methodology to produce results of reasonable accuracy. Three practical case studies are presented in which the predicted results reveal potential advantages of heat pipe heat exchangers. Various HPHX and HPHS systems, including a potential thermal energy storage option using a phase change material, are presented along with the corresponding thermal networks. This review also discusses the opportunities and challenges related to current HPHX and HPHS applications.","author":[{"dropping-particle":"","family":"Shabgard","given":"Hamidreza","non-dropping-particle":"","parse-names":false,"suffix":""},{"dropping-particle":"","family":"Allen","given":"Michael J.","non-dropping-particle":"","parse-names":false,"suffix":""},{"dropping-particle":"","family":"Sharifi","given":"Nourouddin","non-dropping-particle":"","parse-names":false,"suffix":""},{"dropping-particle":"","family":"Benn","given":"Steven P.","non-dropping-particle":"","parse-names":false,"suffix":""},{"dropping-particle":"","family":"Faghri","given":"Amir","non-dropping-particle":"","parse-names":false,"suffix":""},{"dropping-particle":"","family":"Bergman","given":"Theodore L.","non-dropping-particle":"","parse-names":false,"suffix":""}],"container-title":"International Journal of Heat and Mass Transfer","id":"ITEM-1","issued":{"date-parts":[["2015","6","3"]]},"page":"138-158","publisher":"Elsevier Ltd","title":"Heat pipe heat exchangers and heat sinks: Opportunities, challenges, applications, analysis, and state of the art","type":"article","volume":"89"},"uris":["http://www.mendeley.com/documents/?uuid=b5b38163-8e20-3a84-a1a1-bc1c566f8458"]}],"mendeley":{"formattedCitation":"[40]","plainTextFormattedCitation":"[40]","previouslyFormattedCitation":"[40]"},"properties":{"noteIndex":0},"schema":"https://github.com/citation-style-language/schema/raw/master/csl-citation.json"}</w:instrText>
      </w:r>
      <w:r w:rsidR="008A387C">
        <w:rPr>
          <w:color w:val="000000"/>
          <w:szCs w:val="24"/>
          <w:shd w:val="clear" w:color="auto" w:fill="FFFFFF"/>
        </w:rPr>
        <w:fldChar w:fldCharType="separate"/>
      </w:r>
      <w:r w:rsidR="00D6331E" w:rsidRPr="00D6331E">
        <w:rPr>
          <w:noProof/>
          <w:color w:val="000000"/>
          <w:szCs w:val="24"/>
          <w:shd w:val="clear" w:color="auto" w:fill="FFFFFF"/>
        </w:rPr>
        <w:t>[40]</w:t>
      </w:r>
      <w:r w:rsidR="008A387C">
        <w:rPr>
          <w:color w:val="000000"/>
          <w:szCs w:val="24"/>
          <w:shd w:val="clear" w:color="auto" w:fill="FFFFFF"/>
        </w:rPr>
        <w:fldChar w:fldCharType="end"/>
      </w:r>
      <w:r w:rsidR="008F0CF3">
        <w:rPr>
          <w:color w:val="000000"/>
          <w:szCs w:val="24"/>
          <w:shd w:val="clear" w:color="auto" w:fill="FFFFFF"/>
        </w:rPr>
        <w:t xml:space="preserve"> </w:t>
      </w:r>
      <w:r w:rsidR="008A387C">
        <w:rPr>
          <w:color w:val="000000"/>
          <w:szCs w:val="24"/>
          <w:shd w:val="clear" w:color="auto" w:fill="FFFFFF"/>
        </w:rPr>
        <w:t>-</w:t>
      </w:r>
      <w:r w:rsidR="008F0CF3">
        <w:rPr>
          <w:color w:val="000000"/>
          <w:szCs w:val="24"/>
          <w:shd w:val="clear" w:color="auto" w:fill="FFFFFF"/>
        </w:rPr>
        <w:t xml:space="preserve"> </w:t>
      </w:r>
      <w:r w:rsidRPr="0015600B">
        <w:rPr>
          <w:color w:val="000000"/>
          <w:szCs w:val="24"/>
          <w:shd w:val="clear" w:color="auto" w:fill="FFFFFF"/>
        </w:rPr>
        <w:fldChar w:fldCharType="begin" w:fldLock="1"/>
      </w:r>
      <w:r w:rsidR="00D6331E">
        <w:rPr>
          <w:color w:val="000000"/>
          <w:szCs w:val="24"/>
          <w:shd w:val="clear" w:color="auto" w:fill="FFFFFF"/>
        </w:rPr>
        <w:instrText>ADDIN CSL_CITATION {"citationItems":[{"id":"ITEM-1","itemData":{"DOI":"10.1016/j.ijheatmasstransfer.2014.07.054","ISSN":"00179310","abstract":"Melting and solidification of a phase change material (PCM) is investigated, experimentally and computationally, using a novel heat pipe-metal foil approach. By embedding a PCM within a metal foil matrix, and delivering (or extracting) thermal energy to (or from) the matrix with a vertically-oriented heat pipe, overall thermal resistances between a working fluid and the PCM solid-liquid interface can be reduced. This leads to increased phase change rates relative to configurations involving only the heat pipe, or only a solid rod of the same physical dimensions as the heat pipe. For a small (approximately 1%) volume fraction of foil in the PCM-foil matrix, measured and predicted melting (solidification) rates associated with heat pipe-foil configurations are increased by approximately 300% (900%) relative to configurations involving the rod with no foil. Melting and solidification rates relative to configurations involving the heat pipe with no foil, are increased by approximately 200% and 600%. The influence of the heat pipe evaporator-to-condenser length ratio, as well as the overall temperature difference between the working fluid and the PCM fusion temperature, is also reported. © 2014 Elsevier Ltd. All rights reserved.","author":[{"dropping-particle":"","family":"Sharifi","given":"Nourouddin","non-dropping-particle":"","parse-names":false,"suffix":""},{"dropping-particle":"","family":"Bergman","given":"Theodore L.","non-dropping-particle":"","parse-names":false,"suffix":""},{"dropping-particle":"","family":"Allen","given":"Michael J.","non-dropping-particle":"","parse-names":false,"suffix":""},{"dropping-particle":"","family":"Faghri","given":"Amir","non-dropping-particle":"","parse-names":false,"suffix":""}],"container-title":"International Journal of Heat and Mass Transfer","id":"ITEM-1","issued":{"date-parts":[["2014"]]},"page":"930-941","publisher":"Elsevier Ltd","title":"Melting and solidification enhancement using a combined heat pipe, foil approach","type":"article-journal","volume":"78"},"uris":["http://www.mendeley.com/documents/?uuid=2d9a9ebd-b448-4785-a32e-bf3bdaa3b708"]}],"mendeley":{"formattedCitation":"[41]","plainTextFormattedCitation":"[41]","previouslyFormattedCitation":"[41]"},"properties":{"noteIndex":0},"schema":"https://github.com/citation-style-language/schema/raw/master/csl-citation.json"}</w:instrText>
      </w:r>
      <w:r w:rsidRPr="0015600B">
        <w:rPr>
          <w:color w:val="000000"/>
          <w:szCs w:val="24"/>
          <w:shd w:val="clear" w:color="auto" w:fill="FFFFFF"/>
        </w:rPr>
        <w:fldChar w:fldCharType="separate"/>
      </w:r>
      <w:r w:rsidR="00D6331E" w:rsidRPr="00D6331E">
        <w:rPr>
          <w:noProof/>
          <w:color w:val="000000"/>
          <w:szCs w:val="24"/>
          <w:shd w:val="clear" w:color="auto" w:fill="FFFFFF"/>
        </w:rPr>
        <w:t>[41]</w:t>
      </w:r>
      <w:r w:rsidRPr="0015600B">
        <w:rPr>
          <w:color w:val="000000"/>
          <w:szCs w:val="24"/>
          <w:shd w:val="clear" w:color="auto" w:fill="FFFFFF"/>
        </w:rPr>
        <w:fldChar w:fldCharType="end"/>
      </w:r>
      <w:r w:rsidRPr="0015600B">
        <w:rPr>
          <w:color w:val="000000"/>
          <w:szCs w:val="24"/>
          <w:shd w:val="clear" w:color="auto" w:fill="FFFFFF"/>
        </w:rPr>
        <w:t xml:space="preserve">. </w:t>
      </w:r>
    </w:p>
    <w:p w14:paraId="02C6C1F1" w14:textId="28413DB2" w:rsidR="00A819DE" w:rsidRPr="0015600B" w:rsidRDefault="00A819DE" w:rsidP="00A819DE">
      <w:pPr>
        <w:spacing w:after="288"/>
        <w:rPr>
          <w:color w:val="000000"/>
          <w:szCs w:val="24"/>
          <w:shd w:val="clear" w:color="auto" w:fill="FFFFFF"/>
        </w:rPr>
      </w:pPr>
      <w:r w:rsidRPr="0015600B">
        <w:rPr>
          <w:color w:val="000000"/>
          <w:szCs w:val="24"/>
          <w:shd w:val="clear" w:color="auto" w:fill="FFFFFF"/>
        </w:rPr>
        <w:t>In this research, magnesium nitrate hexahydrate</w:t>
      </w:r>
      <w:r w:rsidR="00564FAB">
        <w:rPr>
          <w:color w:val="000000"/>
          <w:szCs w:val="24"/>
          <w:shd w:val="clear" w:color="auto" w:fill="FFFFFF"/>
        </w:rPr>
        <w:t xml:space="preserve"> (used as PCM)</w:t>
      </w:r>
      <w:r w:rsidRPr="0015600B">
        <w:rPr>
          <w:color w:val="000000"/>
          <w:szCs w:val="24"/>
          <w:shd w:val="clear" w:color="auto" w:fill="FFFFFF"/>
        </w:rPr>
        <w:t xml:space="preserve"> </w:t>
      </w:r>
      <w:r w:rsidR="009D7B75">
        <w:rPr>
          <w:color w:val="000000"/>
          <w:szCs w:val="24"/>
          <w:shd w:val="clear" w:color="auto" w:fill="FFFFFF"/>
        </w:rPr>
        <w:t xml:space="preserve">is </w:t>
      </w:r>
      <w:r w:rsidRPr="0015600B">
        <w:rPr>
          <w:color w:val="000000"/>
          <w:szCs w:val="24"/>
          <w:shd w:val="clear" w:color="auto" w:fill="FFFFFF"/>
        </w:rPr>
        <w:t xml:space="preserve">embedded in an aluminum metal foam. </w:t>
      </w:r>
      <w:r w:rsidR="00FC6E46">
        <w:rPr>
          <w:color w:val="000000"/>
          <w:szCs w:val="24"/>
          <w:shd w:val="clear" w:color="auto" w:fill="FFFFFF"/>
        </w:rPr>
        <w:t>Even though</w:t>
      </w:r>
      <w:r w:rsidR="00FC6E46" w:rsidRPr="0015600B">
        <w:rPr>
          <w:color w:val="000000"/>
          <w:szCs w:val="24"/>
          <w:shd w:val="clear" w:color="auto" w:fill="FFFFFF"/>
        </w:rPr>
        <w:t xml:space="preserve"> </w:t>
      </w:r>
      <w:r w:rsidR="00FC6E46">
        <w:rPr>
          <w:color w:val="000000"/>
          <w:szCs w:val="24"/>
          <w:shd w:val="clear" w:color="auto" w:fill="FFFFFF"/>
        </w:rPr>
        <w:t xml:space="preserve">the </w:t>
      </w:r>
      <w:r w:rsidRPr="0015600B">
        <w:rPr>
          <w:color w:val="000000"/>
          <w:szCs w:val="24"/>
          <w:shd w:val="clear" w:color="auto" w:fill="FFFFFF"/>
        </w:rPr>
        <w:t>inclusion of metal foam suppresses the natural convection significantly</w:t>
      </w:r>
      <w:r w:rsidR="00FC6E46">
        <w:rPr>
          <w:color w:val="000000"/>
          <w:szCs w:val="24"/>
          <w:shd w:val="clear" w:color="auto" w:fill="FFFFFF"/>
        </w:rPr>
        <w:t>, the</w:t>
      </w:r>
      <w:r w:rsidR="00564FAB">
        <w:rPr>
          <w:color w:val="000000"/>
          <w:szCs w:val="24"/>
          <w:shd w:val="clear" w:color="auto" w:fill="FFFFFF"/>
        </w:rPr>
        <w:t xml:space="preserve"> </w:t>
      </w:r>
      <w:r w:rsidRPr="0015600B">
        <w:rPr>
          <w:color w:val="000000"/>
          <w:szCs w:val="24"/>
          <w:shd w:val="clear" w:color="auto" w:fill="FFFFFF"/>
        </w:rPr>
        <w:t>improve</w:t>
      </w:r>
      <w:r w:rsidR="00FC6E46">
        <w:rPr>
          <w:color w:val="000000"/>
          <w:szCs w:val="24"/>
          <w:shd w:val="clear" w:color="auto" w:fill="FFFFFF"/>
        </w:rPr>
        <w:t>d</w:t>
      </w:r>
      <w:r w:rsidRPr="0015600B">
        <w:rPr>
          <w:color w:val="000000"/>
          <w:szCs w:val="24"/>
          <w:shd w:val="clear" w:color="auto" w:fill="FFFFFF"/>
        </w:rPr>
        <w:t xml:space="preserve"> </w:t>
      </w:r>
      <w:r w:rsidR="00FC6E46">
        <w:rPr>
          <w:color w:val="000000"/>
          <w:szCs w:val="24"/>
          <w:shd w:val="clear" w:color="auto" w:fill="FFFFFF"/>
        </w:rPr>
        <w:t xml:space="preserve">effective </w:t>
      </w:r>
      <w:r w:rsidRPr="0015600B">
        <w:rPr>
          <w:color w:val="000000"/>
          <w:szCs w:val="24"/>
          <w:shd w:val="clear" w:color="auto" w:fill="FFFFFF"/>
        </w:rPr>
        <w:t xml:space="preserve">thermal conductivity </w:t>
      </w:r>
      <w:r w:rsidR="00FC6E46">
        <w:rPr>
          <w:color w:val="000000"/>
          <w:szCs w:val="24"/>
          <w:shd w:val="clear" w:color="auto" w:fill="FFFFFF"/>
        </w:rPr>
        <w:t>more than offsets the effect of weakened nat</w:t>
      </w:r>
      <w:r w:rsidR="007C6AB8">
        <w:rPr>
          <w:color w:val="000000"/>
          <w:szCs w:val="24"/>
          <w:shd w:val="clear" w:color="auto" w:fill="FFFFFF"/>
        </w:rPr>
        <w:t>u</w:t>
      </w:r>
      <w:r w:rsidR="00FC6E46">
        <w:rPr>
          <w:color w:val="000000"/>
          <w:szCs w:val="24"/>
          <w:shd w:val="clear" w:color="auto" w:fill="FFFFFF"/>
        </w:rPr>
        <w:t>ral convection. As such,</w:t>
      </w:r>
      <w:r w:rsidR="00F42DED">
        <w:rPr>
          <w:color w:val="000000"/>
          <w:szCs w:val="24"/>
          <w:shd w:val="clear" w:color="auto" w:fill="FFFFFF"/>
        </w:rPr>
        <w:t xml:space="preserve"> </w:t>
      </w:r>
      <w:r w:rsidR="007C6AB8">
        <w:rPr>
          <w:color w:val="000000"/>
          <w:szCs w:val="24"/>
          <w:shd w:val="clear" w:color="auto" w:fill="FFFFFF"/>
        </w:rPr>
        <w:t xml:space="preserve">the </w:t>
      </w:r>
      <w:r w:rsidR="00FC6E46">
        <w:rPr>
          <w:color w:val="000000"/>
          <w:szCs w:val="24"/>
          <w:shd w:val="clear" w:color="auto" w:fill="FFFFFF"/>
        </w:rPr>
        <w:t>addition of metal foams</w:t>
      </w:r>
      <w:r w:rsidRPr="0015600B">
        <w:rPr>
          <w:color w:val="000000"/>
          <w:szCs w:val="24"/>
          <w:shd w:val="clear" w:color="auto" w:fill="FFFFFF"/>
        </w:rPr>
        <w:t xml:space="preserve"> </w:t>
      </w:r>
      <w:r w:rsidR="00FC6E46">
        <w:rPr>
          <w:color w:val="000000"/>
          <w:szCs w:val="24"/>
          <w:shd w:val="clear" w:color="auto" w:fill="FFFFFF"/>
        </w:rPr>
        <w:t>s</w:t>
      </w:r>
      <w:r w:rsidR="008F0CF3">
        <w:rPr>
          <w:color w:val="000000"/>
          <w:szCs w:val="24"/>
          <w:shd w:val="clear" w:color="auto" w:fill="FFFFFF"/>
        </w:rPr>
        <w:t>ubstantial</w:t>
      </w:r>
      <w:r w:rsidR="00FC6E46">
        <w:rPr>
          <w:color w:val="000000"/>
          <w:szCs w:val="24"/>
          <w:shd w:val="clear" w:color="auto" w:fill="FFFFFF"/>
        </w:rPr>
        <w:t>ly</w:t>
      </w:r>
      <w:r w:rsidR="00F42DED">
        <w:rPr>
          <w:color w:val="000000"/>
          <w:szCs w:val="24"/>
          <w:shd w:val="clear" w:color="auto" w:fill="FFFFFF"/>
        </w:rPr>
        <w:t xml:space="preserve"> </w:t>
      </w:r>
      <w:r w:rsidRPr="0015600B">
        <w:rPr>
          <w:color w:val="000000"/>
          <w:szCs w:val="24"/>
          <w:shd w:val="clear" w:color="auto" w:fill="FFFFFF"/>
        </w:rPr>
        <w:t xml:space="preserve">enhances the heat transfer rate within the PCM </w:t>
      </w:r>
      <w:r w:rsidRPr="0015600B">
        <w:rPr>
          <w:color w:val="000000"/>
          <w:szCs w:val="24"/>
          <w:shd w:val="clear" w:color="auto" w:fill="FFFFFF"/>
        </w:rPr>
        <w:fldChar w:fldCharType="begin" w:fldLock="1"/>
      </w:r>
      <w:r w:rsidRPr="0015600B">
        <w:rPr>
          <w:color w:val="000000"/>
          <w:szCs w:val="24"/>
          <w:shd w:val="clear" w:color="auto" w:fill="FFFFFF"/>
        </w:rPr>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Pr="0015600B">
        <w:rPr>
          <w:color w:val="000000"/>
          <w:szCs w:val="24"/>
          <w:shd w:val="clear" w:color="auto" w:fill="FFFFFF"/>
        </w:rPr>
        <w:fldChar w:fldCharType="separate"/>
      </w:r>
      <w:r w:rsidRPr="0015600B">
        <w:rPr>
          <w:noProof/>
          <w:color w:val="000000"/>
          <w:szCs w:val="24"/>
          <w:shd w:val="clear" w:color="auto" w:fill="FFFFFF"/>
        </w:rPr>
        <w:t>[1]</w:t>
      </w:r>
      <w:r w:rsidRPr="0015600B">
        <w:rPr>
          <w:color w:val="000000"/>
          <w:szCs w:val="24"/>
          <w:shd w:val="clear" w:color="auto" w:fill="FFFFFF"/>
        </w:rPr>
        <w:fldChar w:fldCharType="end"/>
      </w:r>
      <w:r w:rsidRPr="0015600B">
        <w:rPr>
          <w:color w:val="000000"/>
          <w:szCs w:val="24"/>
          <w:shd w:val="clear" w:color="auto" w:fill="FFFFFF"/>
        </w:rPr>
        <w:t xml:space="preserve">. </w:t>
      </w:r>
    </w:p>
    <w:p w14:paraId="1E0AEDF4" w14:textId="77777777" w:rsidR="00A819DE" w:rsidRPr="0015600B" w:rsidRDefault="00A819DE" w:rsidP="00A819DE">
      <w:pPr>
        <w:pStyle w:val="Heading3"/>
        <w:spacing w:after="288"/>
      </w:pPr>
      <w:bookmarkStart w:id="88" w:name="_Toc42335006"/>
      <w:bookmarkStart w:id="89" w:name="_Toc42505308"/>
      <w:bookmarkStart w:id="90" w:name="_Toc43877973"/>
      <w:r w:rsidRPr="0015600B">
        <w:t>2.1.3. Absorption Refrigeration Cycle</w:t>
      </w:r>
      <w:bookmarkEnd w:id="88"/>
      <w:bookmarkEnd w:id="89"/>
      <w:bookmarkEnd w:id="90"/>
    </w:p>
    <w:p w14:paraId="24577459" w14:textId="1E2D783C" w:rsidR="00A819DE" w:rsidRPr="0015600B" w:rsidRDefault="00A819DE" w:rsidP="00A819DE">
      <w:pPr>
        <w:spacing w:after="288"/>
        <w:rPr>
          <w:szCs w:val="24"/>
        </w:rPr>
      </w:pPr>
      <w:r w:rsidRPr="0015600B">
        <w:rPr>
          <w:szCs w:val="24"/>
        </w:rPr>
        <w:t>Several types of research have been conducted on the solar thermal-driven absorption refrigeration cycle. Mittal et al</w:t>
      </w:r>
      <w:r w:rsidR="008F0CF3">
        <w:rPr>
          <w:szCs w:val="24"/>
        </w:rPr>
        <w:t>.</w:t>
      </w:r>
      <w:r w:rsidRPr="0015600B">
        <w:rPr>
          <w:szCs w:val="24"/>
        </w:rPr>
        <w:t xml:space="preserve"> </w:t>
      </w:r>
      <w:r w:rsidRPr="0015600B">
        <w:rPr>
          <w:szCs w:val="24"/>
        </w:rPr>
        <w:fldChar w:fldCharType="begin" w:fldLock="1"/>
      </w:r>
      <w:r w:rsidR="00D6331E">
        <w:rPr>
          <w:szCs w:val="24"/>
        </w:rPr>
        <w:instrText>ADDIN CSL_CITATION {"citationItems":[{"id":"ITEM-1","itemData":{"abstract":"An air-conditioning system utilizing solar energy would generally be more efficient, cost wise, if it was used to provide both heating and cooling require-ments in the building it serves. Various solar pow-ered heating systems have been tested extensively, but solar powered air conditioning systems have received very little attention. Solar powered absorp-tion cooling systems can serve both heating and cooling requirements in the building it serves. Many researchers have studied the solar absorption air conditioning system in order to make it economical-ly and technically viable. But still, much more research in this area is needed. This paper will help many researchers working in this area and provide them with fundamental knowledge on absorption systems, and a detailed review on the past efforts in the field of solar absorption cooling systems with the absorption pair of lithium-bromide and water. This knowledge will help them to start the parametric study in order to investigate the influence of key parameters on the overall system performance.","author":[{"dropping-particle":"","family":"Mittal","given":"","non-dropping-particle":"V","parse-names":false,"suffix":""},{"dropping-particle":"","family":"KS Kasana","given":"","non-dropping-particle":"","parse-names":false,"suffix":""},{"dropping-particle":"","family":"NS Thakur","given":"","non-dropping-particle":"","parse-names":false,"suffix":""}],"container-title":"Journal of Energy in Southern Africa @BULLET","id":"ITEM-1","issue":"4","issued":{"date-parts":[["2005"]]},"page":"59-66","title":"The study of solar absorption air-conditioning systems","type":"article-journal","volume":"16"},"uris":["http://www.mendeley.com/documents/?uuid=e5528758-21c7-4ce4-a3b7-6cac028b9e17"]}],"mendeley":{"formattedCitation":"[42]","plainTextFormattedCitation":"[42]","previouslyFormattedCitation":"[42]"},"properties":{"noteIndex":0},"schema":"https://github.com/citation-style-language/schema/raw/master/csl-citation.json"}</w:instrText>
      </w:r>
      <w:r w:rsidRPr="0015600B">
        <w:rPr>
          <w:szCs w:val="24"/>
        </w:rPr>
        <w:fldChar w:fldCharType="separate"/>
      </w:r>
      <w:r w:rsidR="00D6331E" w:rsidRPr="00D6331E">
        <w:rPr>
          <w:noProof/>
          <w:szCs w:val="24"/>
        </w:rPr>
        <w:t>[42]</w:t>
      </w:r>
      <w:r w:rsidRPr="0015600B">
        <w:rPr>
          <w:szCs w:val="24"/>
        </w:rPr>
        <w:fldChar w:fldCharType="end"/>
      </w:r>
      <w:r w:rsidRPr="0015600B">
        <w:rPr>
          <w:szCs w:val="24"/>
        </w:rPr>
        <w:t xml:space="preserve"> conducted a performance analysis of several working fluids</w:t>
      </w:r>
      <w:r w:rsidR="008F0CF3">
        <w:rPr>
          <w:szCs w:val="24"/>
        </w:rPr>
        <w:t>. They</w:t>
      </w:r>
      <w:r w:rsidRPr="0015600B">
        <w:rPr>
          <w:szCs w:val="24"/>
        </w:rPr>
        <w:t xml:space="preserve"> found out that among the major working fluids available, LiBr/H2O is better suited for solar absorption air-conditioning applications over ammonia</w:t>
      </w:r>
      <w:r w:rsidR="005E791B">
        <w:rPr>
          <w:szCs w:val="24"/>
        </w:rPr>
        <w:t>/</w:t>
      </w:r>
      <w:r w:rsidRPr="0015600B">
        <w:rPr>
          <w:szCs w:val="24"/>
        </w:rPr>
        <w:t xml:space="preserve">water because of the higher coefficient of </w:t>
      </w:r>
      <w:r w:rsidRPr="0015600B">
        <w:rPr>
          <w:szCs w:val="24"/>
        </w:rPr>
        <w:lastRenderedPageBreak/>
        <w:t>performance. Omar Ketfi et al</w:t>
      </w:r>
      <w:r w:rsidR="008F0CF3">
        <w:rPr>
          <w:szCs w:val="24"/>
        </w:rPr>
        <w:t>.</w:t>
      </w:r>
      <w:r w:rsidRPr="0015600B">
        <w:rPr>
          <w:szCs w:val="24"/>
        </w:rPr>
        <w:t xml:space="preserve"> investigated the performance of a single effect solar absorption cooling system utilizing LiBr/H2O as the working fluids. In his research, he observed that </w:t>
      </w:r>
      <w:r w:rsidR="008F0CF3">
        <w:rPr>
          <w:szCs w:val="24"/>
        </w:rPr>
        <w:t xml:space="preserve">the </w:t>
      </w:r>
      <w:r w:rsidRPr="0015600B">
        <w:rPr>
          <w:szCs w:val="24"/>
        </w:rPr>
        <w:t>COP of the cycle increases with increasing the generator and the evaporator temperatures</w:t>
      </w:r>
      <w:r w:rsidR="008F0CF3">
        <w:rPr>
          <w:szCs w:val="24"/>
        </w:rPr>
        <w:t>. At the same tim</w:t>
      </w:r>
      <w:r w:rsidRPr="0015600B">
        <w:rPr>
          <w:szCs w:val="24"/>
        </w:rPr>
        <w:t>e</w:t>
      </w:r>
      <w:r w:rsidR="008F0CF3">
        <w:rPr>
          <w:szCs w:val="24"/>
        </w:rPr>
        <w:t>,</w:t>
      </w:r>
      <w:r w:rsidRPr="0015600B">
        <w:rPr>
          <w:szCs w:val="24"/>
        </w:rPr>
        <w:t xml:space="preserve"> it decreases with the increase in the condenser and the absorber temperatures </w:t>
      </w:r>
      <w:r w:rsidRPr="0015600B">
        <w:rPr>
          <w:szCs w:val="24"/>
        </w:rPr>
        <w:fldChar w:fldCharType="begin" w:fldLock="1"/>
      </w:r>
      <w:r w:rsidR="00D6331E">
        <w:rPr>
          <w:szCs w:val="24"/>
        </w:rPr>
        <w:instrText>ADDIN CSL_CITATION {"citationItems":[{"id":"ITEM-1","itemData":{"DOI":"10.1016/j.egypro.2015.07.534","ISSN":"18766102","abstract":"Fossil fuels are on the verge of depletion, and the world energy consumption is in constant progression, resulting in very serious concerns about environmental issues. Mechanical refrigeration based on vapor compression principle uses high grade electrical energy, and refrigerant fluid with a global worming and ozone depletion potentials. Absorption machines using solar thermal energy are excellent alternatives to mechanical refrigeration. Absorption cooling systems are mature technologies that proved their abilities to provide clean cooling with the use of low grade solar and waste heat. In this paper we presented a modeling and simulation study of a 70 kW Yazaki absorption cooling machine working with water-lithium bromide mixture. The influence of different parameters (Heat exchanger efficiency, Generator, absorber and condenser temperatures) on the system performance is showed.","author":[{"dropping-particle":"","family":"Ketfi","given":"O.","non-dropping-particle":"","parse-names":false,"suffix":""},{"dropping-particle":"","family":"Merzouk","given":"M.","non-dropping-particle":"","parse-names":false,"suffix":""},{"dropping-particle":"","family":"Merzouk","given":"N. Kasbadji","non-dropping-particle":"","parse-names":false,"suffix":""},{"dropping-particle":"El","family":"Metenani","given":"S.","non-dropping-particle":"","parse-names":false,"suffix":""}],"container-title":"Energy Procedia","id":"ITEM-1","issued":{"date-parts":[["2015"]]},"title":"Performance of a Single Effect Solar Absorption Cooling System (Libr-H2O)","type":"paper-conference"},"uris":["http://www.mendeley.com/documents/?uuid=7c96952b-eb8d-485f-843d-cb1863141b16"]}],"mendeley":{"formattedCitation":"[43]","plainTextFormattedCitation":"[43]","previouslyFormattedCitation":"[43]"},"properties":{"noteIndex":0},"schema":"https://github.com/citation-style-language/schema/raw/master/csl-citation.json"}</w:instrText>
      </w:r>
      <w:r w:rsidRPr="0015600B">
        <w:rPr>
          <w:szCs w:val="24"/>
        </w:rPr>
        <w:fldChar w:fldCharType="separate"/>
      </w:r>
      <w:r w:rsidR="00D6331E" w:rsidRPr="00D6331E">
        <w:rPr>
          <w:noProof/>
          <w:szCs w:val="24"/>
        </w:rPr>
        <w:t>[43]</w:t>
      </w:r>
      <w:r w:rsidRPr="0015600B">
        <w:rPr>
          <w:szCs w:val="24"/>
        </w:rPr>
        <w:fldChar w:fldCharType="end"/>
      </w:r>
      <w:r w:rsidRPr="0015600B">
        <w:rPr>
          <w:szCs w:val="24"/>
        </w:rPr>
        <w:t xml:space="preserve">. </w:t>
      </w:r>
    </w:p>
    <w:p w14:paraId="4A17487B" w14:textId="08758034" w:rsidR="00A819DE" w:rsidRPr="0015600B" w:rsidRDefault="00A819DE" w:rsidP="00A819DE">
      <w:pPr>
        <w:spacing w:after="288"/>
        <w:rPr>
          <w:szCs w:val="24"/>
        </w:rPr>
      </w:pPr>
      <w:r w:rsidRPr="0015600B">
        <w:rPr>
          <w:szCs w:val="24"/>
        </w:rPr>
        <w:t>Alternatively, Oliver Marc et</w:t>
      </w:r>
      <w:r w:rsidR="008F0CF3">
        <w:rPr>
          <w:szCs w:val="24"/>
        </w:rPr>
        <w:t xml:space="preserve"> al.</w:t>
      </w:r>
      <w:r w:rsidRPr="0015600B">
        <w:rPr>
          <w:szCs w:val="24"/>
        </w:rPr>
        <w:t xml:space="preserve"> conducted a study on dynamic modeling and experimental validation elements of a 30 kW LiBr/H2O single-effect absorption chiller for solar application on which he concluded that the model predicts with </w:t>
      </w:r>
      <w:r w:rsidR="008F0CF3">
        <w:rPr>
          <w:szCs w:val="24"/>
        </w:rPr>
        <w:t>reasonable</w:t>
      </w:r>
      <w:r w:rsidRPr="0015600B">
        <w:rPr>
          <w:szCs w:val="24"/>
        </w:rPr>
        <w:t xml:space="preserve"> accuracy the outlet temperatures of the generator, the cooling loop (absorber and condenser) and the evaporator, whatever the inlet temperatures are</w:t>
      </w:r>
      <w:r w:rsidRPr="0015600B">
        <w:rPr>
          <w:szCs w:val="24"/>
        </w:rPr>
        <w:fldChar w:fldCharType="begin" w:fldLock="1"/>
      </w:r>
      <w:r w:rsidR="00D6331E">
        <w:rPr>
          <w:szCs w:val="24"/>
        </w:rPr>
        <w:instrText>ADDIN CSL_CITATION {"citationItems":[{"id":"ITEM-1","itemData":{"DOI":"10.1016/j.applthermaleng.2015.07.067","ISSN":"13594311","abstract":"This paper presents a dynamic modeling of a single-effect absorption chiller working with LiBr-H2O solution used in a solar cooling installation operating without any backup systems (hot or cold). In this case, the absorption machine is powered only by a solar collector field. Given the highly variable nature of solar radiation and the building loads, the range of the three source temperatures of the chiller can vary widely since there is no backup system. These fluctuating source temperatures mean that the chiller does not operate in steady state phase during the day. The dynamic modeling of the absorption chiller is therefore very important to predict its performance, taking into account both the transient and steady state phases. The numerical model presented in this paper is based on the mass and energy balances of each component, equations of state and equations of heat transfers. In the first part, this article presents the dynamic modeling of a LiBr/H2O absorption chiller. Then, experimental validation elements are proposed to validate pressures and temperatures of the chiller. Finally, a method is presented to optimize the thermal COP according to different levels of refrigerating capacities.","author":[{"dropping-particle":"","family":"Marc","given":"Olivier","non-dropping-particle":"","parse-names":false,"suffix":""},{"dropping-particle":"","family":"Sinama","given":"Frantz","non-dropping-particle":"","parse-names":false,"suffix":""},{"dropping-particle":"","family":"Praene","given":"Jean Philippe","non-dropping-particle":"","parse-names":false,"suffix":""},{"dropping-particle":"","family":"Lucas","given":"Franck","non-dropping-particle":"","parse-names":false,"suffix":""},{"dropping-particle":"","family":"Castaing-Lasvignottes","given":"Jean","non-dropping-particle":"","parse-names":false,"suffix":""}],"container-title":"Applied Thermal Engineering","id":"ITEM-1","issued":{"date-parts":[["2015"]]},"title":"Dynamic modeling and experimental validation elements of a 30 kW LiBr/H2O single effect absorption chiller for solar application","type":"article-journal"},"uris":["http://www.mendeley.com/documents/?uuid=790a4bab-3d78-47e8-be39-75aed71b53b4"]}],"mendeley":{"formattedCitation":"[44]","plainTextFormattedCitation":"[44]","previouslyFormattedCitation":"[44]"},"properties":{"noteIndex":0},"schema":"https://github.com/citation-style-language/schema/raw/master/csl-citation.json"}</w:instrText>
      </w:r>
      <w:r w:rsidRPr="0015600B">
        <w:rPr>
          <w:szCs w:val="24"/>
        </w:rPr>
        <w:fldChar w:fldCharType="separate"/>
      </w:r>
      <w:r w:rsidR="00D6331E" w:rsidRPr="00D6331E">
        <w:rPr>
          <w:noProof/>
          <w:szCs w:val="24"/>
        </w:rPr>
        <w:t>[44]</w:t>
      </w:r>
      <w:r w:rsidRPr="0015600B">
        <w:rPr>
          <w:szCs w:val="24"/>
        </w:rPr>
        <w:fldChar w:fldCharType="end"/>
      </w:r>
      <w:r w:rsidR="00FA53D1">
        <w:rPr>
          <w:szCs w:val="24"/>
        </w:rPr>
        <w:t>.</w:t>
      </w:r>
    </w:p>
    <w:p w14:paraId="7A4481D4" w14:textId="331AC669" w:rsidR="00A819DE" w:rsidRPr="0015600B" w:rsidRDefault="00A819DE" w:rsidP="00A819DE">
      <w:pPr>
        <w:spacing w:beforeLines="120" w:before="288" w:afterLines="120" w:after="288"/>
        <w:rPr>
          <w:szCs w:val="24"/>
        </w:rPr>
      </w:pPr>
      <w:r w:rsidRPr="0015600B">
        <w:rPr>
          <w:szCs w:val="24"/>
        </w:rPr>
        <w:t>In this thesis, LiBr/H</w:t>
      </w:r>
      <w:r w:rsidRPr="00026817">
        <w:rPr>
          <w:szCs w:val="24"/>
          <w:vertAlign w:val="subscript"/>
        </w:rPr>
        <w:t>2</w:t>
      </w:r>
      <w:r w:rsidRPr="0015600B">
        <w:rPr>
          <w:szCs w:val="24"/>
        </w:rPr>
        <w:t>O is used as a liquid working fluid for absorption heating, cooling, and air conditioning or a heat pump. LiBr/H</w:t>
      </w:r>
      <w:r w:rsidRPr="0015600B">
        <w:rPr>
          <w:szCs w:val="24"/>
          <w:vertAlign w:val="subscript"/>
        </w:rPr>
        <w:t>2</w:t>
      </w:r>
      <w:r w:rsidRPr="0015600B">
        <w:rPr>
          <w:szCs w:val="24"/>
        </w:rPr>
        <w:t>O has low specific heat (</w:t>
      </w:r>
      <w:r w:rsidR="00D00041" w:rsidRPr="00026817">
        <w:rPr>
          <w:i/>
          <w:iCs/>
          <w:szCs w:val="24"/>
        </w:rPr>
        <w:t>c</w:t>
      </w:r>
      <w:r w:rsidR="00D00041" w:rsidRPr="00026817">
        <w:rPr>
          <w:i/>
          <w:iCs/>
          <w:szCs w:val="24"/>
          <w:vertAlign w:val="subscript"/>
        </w:rPr>
        <w:t>p</w:t>
      </w:r>
      <w:r w:rsidRPr="0015600B">
        <w:rPr>
          <w:szCs w:val="24"/>
        </w:rPr>
        <w:t>)</w:t>
      </w:r>
      <w:r w:rsidR="008F0CF3">
        <w:rPr>
          <w:szCs w:val="24"/>
        </w:rPr>
        <w:t>,</w:t>
      </w:r>
      <w:r w:rsidRPr="0015600B">
        <w:rPr>
          <w:szCs w:val="24"/>
        </w:rPr>
        <w:t xml:space="preserve"> thus the high coefficient of performance. </w:t>
      </w:r>
    </w:p>
    <w:p w14:paraId="3135987A" w14:textId="77777777" w:rsidR="00A819DE" w:rsidRPr="0015600B" w:rsidRDefault="00A819DE" w:rsidP="00A819DE">
      <w:pPr>
        <w:pStyle w:val="Heading3"/>
        <w:spacing w:after="288"/>
      </w:pPr>
      <w:bookmarkStart w:id="91" w:name="_Toc42335007"/>
      <w:bookmarkStart w:id="92" w:name="_Toc42505309"/>
      <w:bookmarkStart w:id="93" w:name="_Toc43877974"/>
      <w:r w:rsidRPr="0015600B">
        <w:t>2.1.4. Integrated LHTES system in residential building</w:t>
      </w:r>
      <w:bookmarkEnd w:id="91"/>
      <w:bookmarkEnd w:id="92"/>
      <w:bookmarkEnd w:id="93"/>
    </w:p>
    <w:p w14:paraId="702760E6" w14:textId="250F3165" w:rsidR="00A819DE" w:rsidRPr="0015600B" w:rsidRDefault="00A819DE" w:rsidP="00A819DE">
      <w:pPr>
        <w:spacing w:beforeLines="120" w:before="288" w:afterLines="120" w:after="288"/>
        <w:rPr>
          <w:szCs w:val="24"/>
        </w:rPr>
      </w:pPr>
      <w:r w:rsidRPr="0015600B">
        <w:rPr>
          <w:szCs w:val="24"/>
        </w:rPr>
        <w:t>The recent concentrations of greenhouse gases in the atmosphere are vastly increasing due to increasing energy consumption in all sectors</w:t>
      </w:r>
      <w:r w:rsidR="008F0CF3">
        <w:rPr>
          <w:szCs w:val="24"/>
        </w:rPr>
        <w:t>,</w:t>
      </w:r>
      <w:r w:rsidRPr="0015600B">
        <w:rPr>
          <w:szCs w:val="24"/>
        </w:rPr>
        <w:t xml:space="preserve"> from transportation to buildings. Buildings have </w:t>
      </w:r>
      <w:r w:rsidR="008F0CF3">
        <w:rPr>
          <w:szCs w:val="24"/>
        </w:rPr>
        <w:t>a</w:t>
      </w:r>
      <w:r w:rsidRPr="0015600B">
        <w:rPr>
          <w:szCs w:val="24"/>
        </w:rPr>
        <w:t xml:space="preserve"> dominant contribution to global energy use</w:t>
      </w:r>
      <w:r w:rsidR="008F0CF3">
        <w:rPr>
          <w:szCs w:val="24"/>
        </w:rPr>
        <w:t>,</w:t>
      </w:r>
      <w:r w:rsidRPr="0015600B">
        <w:rPr>
          <w:szCs w:val="24"/>
        </w:rPr>
        <w:t xml:space="preserve"> accounting for about 40% of the total energy consumption</w:t>
      </w:r>
      <w:r w:rsidR="008F0CF3">
        <w:rPr>
          <w:szCs w:val="24"/>
        </w:rPr>
        <w:t>. They</w:t>
      </w:r>
      <w:r w:rsidRPr="0015600B">
        <w:rPr>
          <w:szCs w:val="24"/>
        </w:rPr>
        <w:t xml:space="preserve"> are responsible for over 30% of the CO</w:t>
      </w:r>
      <w:r w:rsidRPr="0015600B">
        <w:rPr>
          <w:szCs w:val="24"/>
          <w:vertAlign w:val="subscript"/>
        </w:rPr>
        <w:t>2</w:t>
      </w:r>
      <w:r w:rsidRPr="0015600B">
        <w:rPr>
          <w:szCs w:val="24"/>
        </w:rPr>
        <w:t xml:space="preserve"> emissions, and a large amount of this energy is exhausted to provide thermal comfort in buildings, </w:t>
      </w:r>
      <w:r w:rsidR="008F0CF3">
        <w:rPr>
          <w:szCs w:val="24"/>
        </w:rPr>
        <w:t>explicit</w:t>
      </w:r>
      <w:r w:rsidRPr="0015600B">
        <w:rPr>
          <w:szCs w:val="24"/>
        </w:rPr>
        <w:t>ly heating, cooling</w:t>
      </w:r>
      <w:r w:rsidR="008F0CF3">
        <w:rPr>
          <w:szCs w:val="24"/>
        </w:rPr>
        <w:t>,</w:t>
      </w:r>
      <w:r w:rsidRPr="0015600B">
        <w:rPr>
          <w:szCs w:val="24"/>
        </w:rPr>
        <w:t xml:space="preserve"> </w:t>
      </w:r>
      <w:r w:rsidRPr="0015600B">
        <w:rPr>
          <w:szCs w:val="24"/>
        </w:rPr>
        <w:lastRenderedPageBreak/>
        <w:t xml:space="preserve">and air conditioning system. These systems consume a large amount of energy; thus, they have </w:t>
      </w:r>
      <w:r w:rsidR="008F0CF3">
        <w:rPr>
          <w:szCs w:val="24"/>
        </w:rPr>
        <w:t>harmful</w:t>
      </w:r>
      <w:r w:rsidRPr="0015600B">
        <w:rPr>
          <w:szCs w:val="24"/>
        </w:rPr>
        <w:t xml:space="preserve"> effects on human health and the natural environment and cause significant problems at peak energy load time. Th</w:t>
      </w:r>
      <w:r w:rsidR="008F0CF3">
        <w:rPr>
          <w:szCs w:val="24"/>
        </w:rPr>
        <w:t>erefore</w:t>
      </w:r>
      <w:r w:rsidRPr="0015600B">
        <w:rPr>
          <w:szCs w:val="24"/>
        </w:rPr>
        <w:t xml:space="preserve">, alternative sustainable strategies such as thermal energy storage (TES) can replace or at least mitigate the increasing demand for these systems in buildings by preserving the available energy at a time of surplus to be extracted and used during the unavailability period </w:t>
      </w:r>
      <w:r w:rsidRPr="0015600B">
        <w:rPr>
          <w:szCs w:val="24"/>
        </w:rPr>
        <w:fldChar w:fldCharType="begin" w:fldLock="1"/>
      </w:r>
      <w:r w:rsidR="00D6331E">
        <w:rPr>
          <w:szCs w:val="24"/>
        </w:rPr>
        <w:instrText>ADDIN CSL_CITATION {"citationItems":[{"id":"ITEM-1","itemData":{"DOI":"10.4135/9781452218564.n638","abstract":"Draft proposal sent by Kelly Foley (Vote Solar) that is...","author":[{"dropping-particle":"","family":"Philander","given":"S. George","non-dropping-particle":"","parse-names":false,"suffix":""},{"dropping-particle":"","family":"Koslowsky","given":"Robert Karl","non-dropping-particle":"","parse-names":false,"suffix":""}],"container-title":"Encyclopedia of Global Warming &amp; Climate Change","id":"ITEM-1","issued":{"date-parts":[["2012"]]},"title":"Solar Energy Industries Association","type":"chapter"},"uris":["http://www.mendeley.com/documents/?uuid=e6e93dcc-9e15-482f-a652-b20fc4722fed"]}],"mendeley":{"formattedCitation":"[45]","plainTextFormattedCitation":"[45]","previouslyFormattedCitation":"[45]"},"properties":{"noteIndex":0},"schema":"https://github.com/citation-style-language/schema/raw/master/csl-citation.json"}</w:instrText>
      </w:r>
      <w:r w:rsidRPr="0015600B">
        <w:rPr>
          <w:szCs w:val="24"/>
        </w:rPr>
        <w:fldChar w:fldCharType="separate"/>
      </w:r>
      <w:r w:rsidR="00D6331E" w:rsidRPr="00D6331E">
        <w:rPr>
          <w:noProof/>
          <w:szCs w:val="24"/>
        </w:rPr>
        <w:t>[45]</w:t>
      </w:r>
      <w:r w:rsidRPr="0015600B">
        <w:rPr>
          <w:szCs w:val="24"/>
        </w:rPr>
        <w:fldChar w:fldCharType="end"/>
      </w:r>
      <w:r w:rsidRPr="0015600B">
        <w:rPr>
          <w:szCs w:val="24"/>
        </w:rPr>
        <w:t xml:space="preserve">. Thermal energy storage is essential technologies for decarbonization and constitutes a convenient way to store thermal energy in the building by utilizing PCMs </w:t>
      </w:r>
      <w:r w:rsidRPr="0015600B">
        <w:rPr>
          <w:szCs w:val="24"/>
        </w:rPr>
        <w:fldChar w:fldCharType="begin" w:fldLock="1"/>
      </w:r>
      <w:r w:rsidR="00D6331E">
        <w:rPr>
          <w:szCs w:val="24"/>
        </w:rPr>
        <w:instrText>ADDIN CSL_CITATION {"citationItems":[{"id":"ITEM-1","itemData":{"URL":"https://re-cognition-project.eu/2020/03/12/latent-heat-based-thermal-energy-storage-technology-for-building-scale-applications/","accessed":{"date-parts":[["2020","6","2"]]},"id":"ITEM-1","issued":{"date-parts":[["0"]]},"title":"Latent-Heat based Thermal Energy Storage technology for building scale applications - RE-COGNITION","type":"webpage"},"uris":["http://www.mendeley.com/documents/?uuid=475f1573-f06f-3a10-b0bb-e5e1605e8e07"]}],"mendeley":{"formattedCitation":"[46]","plainTextFormattedCitation":"[46]","previouslyFormattedCitation":"[46]"},"properties":{"noteIndex":0},"schema":"https://github.com/citation-style-language/schema/raw/master/csl-citation.json"}</w:instrText>
      </w:r>
      <w:r w:rsidRPr="0015600B">
        <w:rPr>
          <w:szCs w:val="24"/>
        </w:rPr>
        <w:fldChar w:fldCharType="separate"/>
      </w:r>
      <w:r w:rsidR="00D6331E" w:rsidRPr="00D6331E">
        <w:rPr>
          <w:noProof/>
          <w:szCs w:val="24"/>
        </w:rPr>
        <w:t>[46]</w:t>
      </w:r>
      <w:r w:rsidRPr="0015600B">
        <w:rPr>
          <w:szCs w:val="24"/>
        </w:rPr>
        <w:fldChar w:fldCharType="end"/>
      </w:r>
      <w:r w:rsidRPr="0015600B">
        <w:rPr>
          <w:szCs w:val="24"/>
        </w:rPr>
        <w:t xml:space="preserve">. Residential buildings have been identiﬁed as one of the few sectors that have the potential to see </w:t>
      </w:r>
      <w:r w:rsidR="008F0CF3">
        <w:rPr>
          <w:szCs w:val="24"/>
        </w:rPr>
        <w:t>considerabl</w:t>
      </w:r>
      <w:r w:rsidRPr="0015600B">
        <w:rPr>
          <w:szCs w:val="24"/>
        </w:rPr>
        <w:t xml:space="preserve">e energy savings through the utilization of renewable energy and green building concepts </w:t>
      </w:r>
      <w:r w:rsidRPr="0015600B">
        <w:rPr>
          <w:szCs w:val="24"/>
        </w:rPr>
        <w:fldChar w:fldCharType="begin" w:fldLock="1"/>
      </w:r>
      <w:r w:rsidR="00D6331E">
        <w:rPr>
          <w:szCs w:val="24"/>
        </w:rPr>
        <w:instrText>ADDIN CSL_CITATION {"citationItems":[{"id":"ITEM-1","itemData":{"DOI":"10.3390/buildings7030078","ISSN":"20755309","abstract":"Phase change materials (PCMs) offer great potential as a latent heat energy storage technique to provide energy efficient systems in new and existing residential buildings. Due to their unique characteristic of high storage densities and latent heat properties, PCMs provide opportunities for greater energy storage in many applications for residential buildings. These applications include, but are not limited to, solar water heating, space heating/cooling, and waste heat recovery. This study reviews PCM systems in residential building applications, with a focus on their major disadvantages and concludes with proposals for future development. Several disadvantages of PCM use in the given application have been identified and include; super cooling, low thermal conductivity, phase segregation, fire safety, and cost. The issues caused by super cooling and phase segregation lead to thermal cycling degradation, limiting the useful lifecycle of the material. These issues could limit their potential in building applications, which require systems of a long lifespan. Low thermal conductivities can slow down the rate at which heat is distributed or absorbed from the building, which affect the occupants comfort and as well as the efficiency of the system. Ideas based on the current research on ways to limit these disadvantages are included in the study. This study also identifies that further research is required on novel maintenance ways for the PCM systems after they have been installed.","author":[{"dropping-particle":"","family":"Bland","given":"Ashley","non-dropping-particle":"","parse-names":false,"suffix":""},{"dropping-particle":"","family":"Khzouz","given":"Martin","non-dropping-particle":"","parse-names":false,"suffix":""},{"dropping-particle":"","family":"Statheros","given":"Thomas","non-dropping-particle":"","parse-names":false,"suffix":""},{"dropping-particle":"","family":"Gkanas","given":"Evangelos I.","non-dropping-particle":"","parse-names":false,"suffix":""}],"container-title":"Buildings","id":"ITEM-1","issue":"3","issued":{"date-parts":[["2017"]]},"title":"PCMs for residential building applications: A short review focused on disadvantages and proposals for future development","type":"article-journal","volume":"7"},"uris":["http://www.mendeley.com/documents/?uuid=447b2b5b-fd1c-49f8-8bda-2b26beea3d5c"]}],"mendeley":{"formattedCitation":"[47]","plainTextFormattedCitation":"[47]","previouslyFormattedCitation":"[47]"},"properties":{"noteIndex":0},"schema":"https://github.com/citation-style-language/schema/raw/master/csl-citation.json"}</w:instrText>
      </w:r>
      <w:r w:rsidRPr="0015600B">
        <w:rPr>
          <w:szCs w:val="24"/>
        </w:rPr>
        <w:fldChar w:fldCharType="separate"/>
      </w:r>
      <w:r w:rsidR="00D6331E" w:rsidRPr="00D6331E">
        <w:rPr>
          <w:noProof/>
          <w:szCs w:val="24"/>
        </w:rPr>
        <w:t>[47]</w:t>
      </w:r>
      <w:r w:rsidRPr="0015600B">
        <w:rPr>
          <w:szCs w:val="24"/>
        </w:rPr>
        <w:fldChar w:fldCharType="end"/>
      </w:r>
      <w:r w:rsidRPr="0015600B">
        <w:rPr>
          <w:szCs w:val="24"/>
        </w:rPr>
        <w:t xml:space="preserve">. </w:t>
      </w:r>
    </w:p>
    <w:p w14:paraId="31BD5CEE" w14:textId="3515DF3F" w:rsidR="00A819DE" w:rsidRPr="0015600B" w:rsidRDefault="00A819DE" w:rsidP="00A819DE">
      <w:pPr>
        <w:spacing w:beforeLines="120" w:before="288" w:afterLines="120" w:after="288"/>
        <w:rPr>
          <w:szCs w:val="24"/>
        </w:rPr>
      </w:pPr>
      <w:r w:rsidRPr="0015600B">
        <w:rPr>
          <w:szCs w:val="24"/>
        </w:rPr>
        <w:t>Kosseck</w:t>
      </w:r>
      <w:r w:rsidR="004A7EB7">
        <w:rPr>
          <w:szCs w:val="24"/>
        </w:rPr>
        <w:t>a</w:t>
      </w:r>
      <w:r w:rsidRPr="0015600B">
        <w:rPr>
          <w:szCs w:val="24"/>
        </w:rPr>
        <w:t xml:space="preserve"> and Kosney conducted a study on </w:t>
      </w:r>
      <w:r w:rsidR="00B31843">
        <w:rPr>
          <w:szCs w:val="24"/>
        </w:rPr>
        <w:t xml:space="preserve">the </w:t>
      </w:r>
      <w:r w:rsidRPr="0015600B">
        <w:rPr>
          <w:szCs w:val="24"/>
        </w:rPr>
        <w:t>thermal balance of a wall with PCM enhanced therm</w:t>
      </w:r>
      <w:r w:rsidR="00B31843">
        <w:rPr>
          <w:szCs w:val="24"/>
        </w:rPr>
        <w:t>al</w:t>
      </w:r>
      <w:r w:rsidRPr="0015600B">
        <w:rPr>
          <w:szCs w:val="24"/>
        </w:rPr>
        <w:t xml:space="preserve"> insulation. </w:t>
      </w:r>
      <w:r w:rsidR="008F0CF3">
        <w:rPr>
          <w:szCs w:val="24"/>
        </w:rPr>
        <w:t>I</w:t>
      </w:r>
      <w:r w:rsidRPr="0015600B">
        <w:rPr>
          <w:szCs w:val="24"/>
        </w:rPr>
        <w:t xml:space="preserve">n their study, the performance of the PCM-enhanced insulation in different climate conditions was simulated on a lightweight wall assembly with PCM-enhanced insulation under different external thermal excitation. It was found that </w:t>
      </w:r>
      <w:r w:rsidRPr="0015600B">
        <w:t>the heat gains maxima, resulting in high cooling loads, are shifted in time by about two hours and reduced up to 22% for not very high external sol-air temperatures</w:t>
      </w:r>
      <w:r w:rsidRPr="0015600B">
        <w:rPr>
          <w:szCs w:val="24"/>
        </w:rPr>
        <w:fldChar w:fldCharType="begin" w:fldLock="1"/>
      </w:r>
      <w:r w:rsidR="00D6331E">
        <w:rPr>
          <w:szCs w:val="24"/>
        </w:rPr>
        <w:instrText>ADDIN CSL_CITATION {"citationItems":[{"id":"ITEM-1","itemData":{"abstract":"PCMs include improvements in occupant comfort, compati-bility with traditional wood and steel framing technologies, and potential for application in retrofit projects. ORNL research demonstrated that PCMs can be mixed with fiber insulations, incorporated into structural and sheath-ing materials, or packaged for localized application. Results from a series of small-scale laboratory measurements and field experiments indicate that a new generation of PCM-enhanced fiber insulations could have excellent potential for successful application in US buildings because of their ability to reduce energy consumption for space conditioning and reduce peak loads (Kosny 2008; Kosny et al. 2009). New PCM applications require a careful selection of materials, identification of PCM locations, bounding of thermal resistances, and specification of the amount of PCM to be used. This paper describes the results from small-scale dynamic testing, laboratory-scale testing, and full-size field testing of building elements using PCM-enhanced blown fiberglass insulation. The major goal of this work was experimental and numer-ical analysis of the energy performance of PCM-enhanced fiberglass insulation with relatively complex, multilayer configuration of two or more different materials, including blown glass fibers (Figure 1), very fine PCM powders, adhe-sives, and the occasional use of fire retardants. The amount of PCM in the insulation blend must be accurately determined before any further thermal analysis can be performed. This is not a trivial task (Kosny et al. 2009). During the installation process, specific amounts of PCM are added to the fibrous insulation in multilayer fashion. For the purpose of this proj-ect, a 20% blend of PCM and proprietary adhesive blend was used. This new material was jointly used with blown fiber-glass, as shown on Figure 1.","author":[{"dropping-particle":"","family":"Kossecka","given":"E","non-dropping-particle":"","parse-names":false,"suffix":""},{"dropping-particle":"","family":"J","given":"Kosney","non-dropping-particle":"","parse-names":false,"suffix":""}],"id":"ITEM-1","issue":"2","issued":{"date-parts":[["0"]]},"page":"265-271","title":"Thermal Balance of a One-Dimensional Sample of Pcm-Enhanced Thermal Insulation","type":"article-journal"},"uris":["http://www.mendeley.com/documents/?uuid=7d29c674-6f99-4bc0-9fb2-8fb6c0e8f0ef"]}],"mendeley":{"formattedCitation":"[48]","plainTextFormattedCitation":"[48]","previouslyFormattedCitation":"[48]"},"properties":{"noteIndex":0},"schema":"https://github.com/citation-style-language/schema/raw/master/csl-citation.json"}</w:instrText>
      </w:r>
      <w:r w:rsidRPr="0015600B">
        <w:rPr>
          <w:szCs w:val="24"/>
        </w:rPr>
        <w:fldChar w:fldCharType="separate"/>
      </w:r>
      <w:r w:rsidR="00D6331E" w:rsidRPr="00D6331E">
        <w:rPr>
          <w:noProof/>
          <w:szCs w:val="24"/>
        </w:rPr>
        <w:t>[48]</w:t>
      </w:r>
      <w:r w:rsidRPr="0015600B">
        <w:rPr>
          <w:szCs w:val="24"/>
        </w:rPr>
        <w:fldChar w:fldCharType="end"/>
      </w:r>
      <w:r w:rsidR="00FA53D1">
        <w:rPr>
          <w:szCs w:val="24"/>
        </w:rPr>
        <w:t>.</w:t>
      </w:r>
    </w:p>
    <w:p w14:paraId="2A0138A7" w14:textId="2C923B41" w:rsidR="00A819DE" w:rsidRPr="0015600B" w:rsidRDefault="00A819DE" w:rsidP="00A819DE">
      <w:pPr>
        <w:spacing w:beforeLines="120" w:before="288" w:afterLines="120" w:after="288"/>
        <w:rPr>
          <w:szCs w:val="24"/>
        </w:rPr>
      </w:pPr>
      <w:r w:rsidRPr="0015600B">
        <w:rPr>
          <w:szCs w:val="24"/>
        </w:rPr>
        <w:t>Hawes et</w:t>
      </w:r>
      <w:r w:rsidR="008F0CF3">
        <w:rPr>
          <w:szCs w:val="24"/>
        </w:rPr>
        <w:t xml:space="preserve"> al.</w:t>
      </w:r>
      <w:r w:rsidRPr="0015600B">
        <w:rPr>
          <w:szCs w:val="24"/>
        </w:rPr>
        <w:t xml:space="preserve"> investigated impregnating the PCM into building materials such as wallboard and concrete block </w:t>
      </w:r>
      <w:r w:rsidRPr="0015600B">
        <w:rPr>
          <w:szCs w:val="24"/>
        </w:rPr>
        <w:fldChar w:fldCharType="begin" w:fldLock="1"/>
      </w:r>
      <w:r w:rsidR="00D6331E">
        <w:rPr>
          <w:szCs w:val="24"/>
        </w:rPr>
        <w:instrText>ADDIN CSL_CITATION {"citationItems":[{"id":"ITEM-1","itemData":{"DOI":"10.1016/0378-7788(93)90040-2","ISSN":"03787788","abstract":"Thermal storage is an important aspect of energy conservation which is greatly assisted by the incorporation of latent heat storage in building products. This can be achieved by the use of various phase change materials (PCMs) which absorb and release heat much more effectively than conventional building materials. Different types of PCMs and their characteristics are described. The performances of gypsum wallboard and concrete block which have been impregnated with PCMs are examined. Manufacturing techniques are considered and applications of PCM wallboard and PCM concrete block are discussed. © 1993.","author":[{"dropping-particle":"","family":"Hawes","given":"D. W.","non-dropping-particle":"","parse-names":false,"suffix":""},{"dropping-particle":"","family":"Feldman","given":"D.","non-dropping-particle":"","parse-names":false,"suffix":""},{"dropping-particle":"","family":"Banu","given":"D.","non-dropping-particle":"","parse-names":false,"suffix":""}],"container-title":"Energy and Buildings","id":"ITEM-1","issue":"1","issued":{"date-parts":[["1993"]]},"page":"77-86","title":"Latent heat storage in building materials","type":"article-journal","volume":"20"},"uris":["http://www.mendeley.com/documents/?uuid=01511546-b781-4b77-a632-6c3707944747"]}],"mendeley":{"formattedCitation":"[49]","plainTextFormattedCitation":"[49]","previouslyFormattedCitation":"[49]"},"properties":{"noteIndex":0},"schema":"https://github.com/citation-style-language/schema/raw/master/csl-citation.json"}</w:instrText>
      </w:r>
      <w:r w:rsidRPr="0015600B">
        <w:rPr>
          <w:szCs w:val="24"/>
        </w:rPr>
        <w:fldChar w:fldCharType="separate"/>
      </w:r>
      <w:r w:rsidR="00D6331E" w:rsidRPr="00D6331E">
        <w:rPr>
          <w:noProof/>
          <w:szCs w:val="24"/>
        </w:rPr>
        <w:t>[49]</w:t>
      </w:r>
      <w:r w:rsidRPr="0015600B">
        <w:rPr>
          <w:szCs w:val="24"/>
        </w:rPr>
        <w:fldChar w:fldCharType="end"/>
      </w:r>
      <w:r w:rsidRPr="0015600B">
        <w:rPr>
          <w:szCs w:val="24"/>
        </w:rPr>
        <w:t>. This combination offers a wide range of benefits</w:t>
      </w:r>
      <w:r w:rsidR="008F0CF3">
        <w:rPr>
          <w:szCs w:val="24"/>
        </w:rPr>
        <w:t>,</w:t>
      </w:r>
      <w:r w:rsidRPr="0015600B">
        <w:rPr>
          <w:szCs w:val="24"/>
        </w:rPr>
        <w:t xml:space="preserve"> including saving energy in building, easy experimentation and application and manufacturing cost-effective.</w:t>
      </w:r>
      <w:r w:rsidR="00FA53D1">
        <w:rPr>
          <w:szCs w:val="24"/>
        </w:rPr>
        <w:t xml:space="preserve"> </w:t>
      </w:r>
      <w:r w:rsidRPr="0015600B">
        <w:rPr>
          <w:szCs w:val="24"/>
        </w:rPr>
        <w:t>Castellon et</w:t>
      </w:r>
      <w:r w:rsidR="008F0CF3">
        <w:rPr>
          <w:szCs w:val="24"/>
        </w:rPr>
        <w:t xml:space="preserve"> </w:t>
      </w:r>
      <w:r w:rsidRPr="0015600B">
        <w:rPr>
          <w:szCs w:val="24"/>
        </w:rPr>
        <w:t>al</w:t>
      </w:r>
      <w:r w:rsidR="008F0CF3">
        <w:rPr>
          <w:szCs w:val="24"/>
        </w:rPr>
        <w:t>.</w:t>
      </w:r>
      <w:r w:rsidRPr="0015600B">
        <w:rPr>
          <w:szCs w:val="24"/>
        </w:rPr>
        <w:t xml:space="preserve"> conducted an </w:t>
      </w:r>
      <w:r w:rsidRPr="0015600B">
        <w:rPr>
          <w:szCs w:val="24"/>
        </w:rPr>
        <w:lastRenderedPageBreak/>
        <w:t xml:space="preserve">experimental study of PCM inclusion in </w:t>
      </w:r>
      <w:r w:rsidR="00B31843">
        <w:rPr>
          <w:szCs w:val="24"/>
        </w:rPr>
        <w:t xml:space="preserve">the </w:t>
      </w:r>
      <w:r w:rsidRPr="0015600B">
        <w:rPr>
          <w:szCs w:val="24"/>
        </w:rPr>
        <w:t>different building envelope</w:t>
      </w:r>
      <w:r w:rsidR="00B31843">
        <w:rPr>
          <w:szCs w:val="24"/>
        </w:rPr>
        <w:t>s</w:t>
      </w:r>
      <w:r w:rsidRPr="0015600B">
        <w:rPr>
          <w:szCs w:val="24"/>
        </w:rPr>
        <w:t xml:space="preserve">. </w:t>
      </w:r>
      <w:r w:rsidR="008F0CF3">
        <w:rPr>
          <w:szCs w:val="24"/>
        </w:rPr>
        <w:t>I</w:t>
      </w:r>
      <w:r w:rsidRPr="0015600B">
        <w:rPr>
          <w:szCs w:val="24"/>
        </w:rPr>
        <w:t>t was observed that impregnating building envelope</w:t>
      </w:r>
      <w:r w:rsidR="00B31843">
        <w:rPr>
          <w:szCs w:val="24"/>
        </w:rPr>
        <w:t>s</w:t>
      </w:r>
      <w:r w:rsidRPr="0015600B">
        <w:rPr>
          <w:szCs w:val="24"/>
        </w:rPr>
        <w:t xml:space="preserve"> with PCM could achieve an improved thermal comfort without </w:t>
      </w:r>
      <w:r w:rsidR="00B31843">
        <w:rPr>
          <w:szCs w:val="24"/>
        </w:rPr>
        <w:t xml:space="preserve">a </w:t>
      </w:r>
      <w:r w:rsidRPr="0015600B">
        <w:rPr>
          <w:szCs w:val="24"/>
        </w:rPr>
        <w:t>substantial increase in the weight of construction material. For instance, the indoor temperature fluctuation was reduced, the peak temperature was shifted</w:t>
      </w:r>
      <w:r w:rsidR="008F0CF3">
        <w:rPr>
          <w:szCs w:val="24"/>
        </w:rPr>
        <w:t>,</w:t>
      </w:r>
      <w:r w:rsidRPr="0015600B">
        <w:rPr>
          <w:szCs w:val="24"/>
        </w:rPr>
        <w:t xml:space="preserve"> and </w:t>
      </w:r>
      <w:r w:rsidR="00B31843">
        <w:rPr>
          <w:szCs w:val="24"/>
        </w:rPr>
        <w:t xml:space="preserve">the </w:t>
      </w:r>
      <w:r w:rsidRPr="0015600B">
        <w:rPr>
          <w:szCs w:val="24"/>
        </w:rPr>
        <w:t xml:space="preserve">energy consumption of the HVAC system was reduced </w:t>
      </w:r>
      <w:r w:rsidRPr="0015600B">
        <w:rPr>
          <w:szCs w:val="24"/>
        </w:rPr>
        <w:fldChar w:fldCharType="begin" w:fldLock="1"/>
      </w:r>
      <w:r w:rsidR="00D6331E">
        <w:rPr>
          <w:szCs w:val="24"/>
        </w:rPr>
        <w:instrText>ADDIN CSL_CITATION {"citationItems":[{"id":"ITEM-1","itemData":{"DOI":"10.1115/1.3197843","abstract":"The main objective of this paper is to demonstrate experimentally that it is possible to improve the thermal comfort and reduce the energy consumption of a building without substantial increase in the weight of the construction materials with the inclusion of phase change materials (PCM). PCM are a suitable and promising technology for this application. This paper presents an experimental setup to test PCM with various typical insulation and construction materials in real conditions in Puigverd de Lleida (Lleida, Spain). Nine small house-sized cubicles were constructed: two with concrete, five with conventional brick, and two with alveolar brick. PCM was added in one cubicle of each typology. For each type of construction specific experiments were done. In all cubicles, free-floating temperature experiments were performed to determine the benefits of using PCM. A Trombe wall was added in both concrete cubicles and its influence was investigated. All brick cubicles were equipped with domestic heat pumps as Heating, Ventilation, and Air Conditioning (HVAC) system; therefore, the energy consumption was registered, providing real information about the energy savings. Results were very good for the concrete cubicles, since temperature oscillation were reduced by up to 4°C through the use of PCM and also peak temperatures in the PCM cubicle were shifted in later hours. In the brick cubicles, the energy consumption of the HVAC system in summer was reduced by using PCM for set points higher than 20°C</w:instrText>
      </w:r>
      <w:r w:rsidR="00D6331E">
        <w:rPr>
          <w:rFonts w:ascii="Times New Roman" w:hAnsi="Times New Roman" w:cs="Times New Roman"/>
          <w:szCs w:val="24"/>
        </w:rPr>
        <w:instrText>⁠</w:instrText>
      </w:r>
      <w:r w:rsidR="00D6331E">
        <w:rPr>
          <w:szCs w:val="24"/>
        </w:rPr>
        <w:instrText>. During winter an insulation effect of the PCM is observed, keeping the temperatures of the cubicles warmer, especially during the cold hours of the day.","author":[{"dropping-particle":"","family":"Castellon","given":"C","non-dropping-particle":"","parse-names":false,"suffix":""},{"dropping-particle":"","family":"Castell","given":"A","non-dropping-particle":"","parse-names":false,"suffix":""},{"dropping-particle":"","family":"Medrano","given":"M","non-dropping-particle":"","parse-names":false,"suffix":""},{"dropping-particle":"","family":"Martorell","given":"L","non-dropping-particle":"","parse-names":false,"suffix":""}],"container-title":"Journal of Solar Energy Engineering, Transactions of the ASME","id":"ITEM-1","issue":"041006","issued":{"date-parts":[["2009"]]},"page":"6","title":"Experimental Study of PCM Inclusion in Different Building Envelopes","type":"article-journal"},"uris":["http://www.mendeley.com/documents/?uuid=808f4d49-c50f-42ad-9224-8b499b531ca4"]}],"mendeley":{"formattedCitation":"[50]","plainTextFormattedCitation":"[50]","previouslyFormattedCitation":"[50]"},"properties":{"noteIndex":0},"schema":"https://github.com/citation-style-language/schema/raw/master/csl-citation.json"}</w:instrText>
      </w:r>
      <w:r w:rsidRPr="0015600B">
        <w:rPr>
          <w:szCs w:val="24"/>
        </w:rPr>
        <w:fldChar w:fldCharType="separate"/>
      </w:r>
      <w:r w:rsidR="00D6331E" w:rsidRPr="00D6331E">
        <w:rPr>
          <w:noProof/>
          <w:szCs w:val="24"/>
        </w:rPr>
        <w:t>[50]</w:t>
      </w:r>
      <w:r w:rsidRPr="0015600B">
        <w:rPr>
          <w:szCs w:val="24"/>
        </w:rPr>
        <w:fldChar w:fldCharType="end"/>
      </w:r>
      <w:r w:rsidRPr="0015600B">
        <w:rPr>
          <w:szCs w:val="24"/>
        </w:rPr>
        <w:t>.</w:t>
      </w:r>
    </w:p>
    <w:p w14:paraId="0BE72062" w14:textId="4C903068" w:rsidR="00A819DE" w:rsidRPr="0015600B" w:rsidRDefault="00A819DE" w:rsidP="00A819DE">
      <w:pPr>
        <w:spacing w:beforeLines="120" w:before="288" w:afterLines="120" w:after="288"/>
        <w:rPr>
          <w:szCs w:val="24"/>
        </w:rPr>
      </w:pPr>
      <w:r w:rsidRPr="0015600B">
        <w:rPr>
          <w:szCs w:val="24"/>
        </w:rPr>
        <w:t>In another research, Nattaporn Chaiyat studied the concept of using phase change material for improving the cooling efficiency of an air conditioning unit in Thailand. Nattaporn compared the efficiency and energy performance of the air conditioner with and without PCM. The modified system</w:t>
      </w:r>
      <w:r w:rsidR="008F0CF3">
        <w:rPr>
          <w:szCs w:val="24"/>
        </w:rPr>
        <w:t>,</w:t>
      </w:r>
      <w:r w:rsidRPr="0015600B">
        <w:rPr>
          <w:szCs w:val="24"/>
        </w:rPr>
        <w:t xml:space="preserve"> i.e.</w:t>
      </w:r>
      <w:r w:rsidR="008F0CF3">
        <w:rPr>
          <w:szCs w:val="24"/>
        </w:rPr>
        <w:t>,</w:t>
      </w:r>
      <w:r w:rsidRPr="0015600B">
        <w:rPr>
          <w:szCs w:val="24"/>
        </w:rPr>
        <w:t xml:space="preserve"> </w:t>
      </w:r>
      <w:r w:rsidR="008F0CF3">
        <w:rPr>
          <w:szCs w:val="24"/>
        </w:rPr>
        <w:t xml:space="preserve">the </w:t>
      </w:r>
      <w:r w:rsidRPr="0015600B">
        <w:rPr>
          <w:szCs w:val="24"/>
        </w:rPr>
        <w:t>system with PCM</w:t>
      </w:r>
      <w:r w:rsidR="008F0CF3">
        <w:rPr>
          <w:szCs w:val="24"/>
        </w:rPr>
        <w:t>,</w:t>
      </w:r>
      <w:r w:rsidRPr="0015600B">
        <w:rPr>
          <w:szCs w:val="24"/>
        </w:rPr>
        <w:t xml:space="preserve"> was found to reduce about 9% of electricity use per day </w:t>
      </w:r>
      <w:r w:rsidRPr="0015600B">
        <w:rPr>
          <w:szCs w:val="24"/>
        </w:rPr>
        <w:fldChar w:fldCharType="begin" w:fldLock="1"/>
      </w:r>
      <w:r w:rsidR="00D6331E">
        <w:rPr>
          <w:szCs w:val="24"/>
        </w:rPr>
        <w:instrText>ADDIN CSL_CITATION {"citationItems":[{"id":"ITEM-1","itemData":{"DOI":"10.1016/j.enconman.2015.01.068","ISSN":"01968904","abstract":"In this study, a concept of using phase change material (PCM) for improving cooling efficiency of an air-conditioner had been presented under Thailand climate. Rubitherm20 (RT-20) was selected to evaluate the thermal performance by reducing the air temperature entering the evaporating coil. The model of PCM celluloid balls had been performed with the air-conditioner. For the experiment, 2 TR of R-134a air-conditioner was chosen to test a pack bed of PCM balls with thickness 40 cm. The pressure drops of the air flowing through the bed were considered with and without a set of by-pass tubes along the height of the storage bed. The mathematical model of the air-conditioner with the PCM storage was developed and verified with the testing results. From the study results, it could be seen that pressure drops of the bed with and without bypass tubes were nearly the same results. Thus, PCM ball pack bed using RT-20 without bypass tubes was used to improve the cooling efficiency of the air-conditioner. The experimental result of the modified unit was compared and verified with the mathematical model, which agreed quite well with the simulation result. Finally, the model was used to analyze the economic result, which found that the electrical consumption of the modified air-conditioner could be decreased around 3.09 kW h/d. The saving cost from the PCM bed could be 9.10% of 170.03 USD/y and the payback period was around 4.15 y.","author":[{"dropping-particle":"","family":"Chaiyat","given":"Nattaporn","non-dropping-particle":"","parse-names":false,"suffix":""}],"container-title":"Energy Conversion and Management","id":"ITEM-1","issued":{"date-parts":[["2015","4","1"]]},"page":"150-158","publisher":"Elsevier Ltd","title":"Energy and economic analysis of a building air-conditioner with a phase change material (PCM)","type":"article-journal","volume":"94"},"uris":["http://www.mendeley.com/documents/?uuid=586092b7-4d81-3d42-9dca-815f4348839c"]}],"mendeley":{"formattedCitation":"[51]","plainTextFormattedCitation":"[51]","previouslyFormattedCitation":"[51]"},"properties":{"noteIndex":0},"schema":"https://github.com/citation-style-language/schema/raw/master/csl-citation.json"}</w:instrText>
      </w:r>
      <w:r w:rsidRPr="0015600B">
        <w:rPr>
          <w:szCs w:val="24"/>
        </w:rPr>
        <w:fldChar w:fldCharType="separate"/>
      </w:r>
      <w:r w:rsidR="00D6331E" w:rsidRPr="00D6331E">
        <w:rPr>
          <w:noProof/>
          <w:szCs w:val="24"/>
        </w:rPr>
        <w:t>[51]</w:t>
      </w:r>
      <w:r w:rsidRPr="0015600B">
        <w:rPr>
          <w:szCs w:val="24"/>
        </w:rPr>
        <w:fldChar w:fldCharType="end"/>
      </w:r>
      <w:r w:rsidRPr="0015600B">
        <w:rPr>
          <w:szCs w:val="24"/>
        </w:rPr>
        <w:t xml:space="preserve">. </w:t>
      </w:r>
    </w:p>
    <w:p w14:paraId="3CD20E8B" w14:textId="5B639C3E" w:rsidR="00A819DE" w:rsidRPr="0015600B" w:rsidRDefault="00A819DE" w:rsidP="00A819DE">
      <w:pPr>
        <w:spacing w:beforeLines="120" w:before="288" w:afterLines="120" w:after="288"/>
        <w:rPr>
          <w:szCs w:val="24"/>
        </w:rPr>
      </w:pPr>
      <w:r w:rsidRPr="0015600B">
        <w:rPr>
          <w:szCs w:val="24"/>
        </w:rPr>
        <w:t xml:space="preserve">In other researches, Mehmet conducted an experimental investigation to validate a solar-aided latent heat thermal energy storage for space heating by the heat pump to determine monthly space heating loads, stored energy, and total solar insolation on solar collector surface and compare it with the simulation results </w:t>
      </w:r>
      <w:r w:rsidRPr="0015600B">
        <w:rPr>
          <w:szCs w:val="24"/>
        </w:rPr>
        <w:fldChar w:fldCharType="begin" w:fldLock="1"/>
      </w:r>
      <w:r w:rsidR="00D6331E">
        <w:rPr>
          <w:szCs w:val="24"/>
        </w:rPr>
        <w:instrText>ADDIN CSL_CITATION {"citationItems":[{"id":"ITEM-1","itemData":{"DOI":"10.1016/S0038-092X(00)00015-3","ISSN":"0038092X","abstract":"In this study, the cylindrical phase change storage tank linked to a solar powered heat pump system is investigated experimentally and theoretically. A simulation model defining the transient behaviour of the phase change unit was used. In the tank, the phase change material (PCM) is inside cylindrical tubes and the heat transfer fluid (HTF) flows parallel to it. The heat transfer problem of the model (treated as two-dimensional) was solved numerically by an enthalpy-based finite differences method and validated against experimental data. The experiments were performed from November to May in the heating seasons of 1992-1993 and 1993-1994 to measure both the mean temperature of water within the tank and the inlet and outlet water temperature of the tank. The experimentally obtained inlet water temperatures are also taken as inlet water temperature of the simulated model. Thus, theoretical temperature and stored heat energy distribution within the tank have been determined. Solar radiation and space heating loads for the heating seasons mentioned above are also presented. © 2000 Elsevier Science Ltd. All rights reserved.","author":[{"dropping-particle":"","family":"Esen","given":"Mehmet","non-dropping-particle":"","parse-names":false,"suffix":""}],"container-title":"Solar Energy","id":"ITEM-1","issue":"1","issued":{"date-parts":[["2000","1","1"]]},"page":"15-25","publisher":"Elsevier Ltd","title":"Thermal performance of a solar-aided latent heat store used for space heating by heat pump","type":"article-journal","volume":"69"},"uris":["http://www.mendeley.com/documents/?uuid=86d2cf54-7e53-3585-8108-971752acaa42"]}],"mendeley":{"formattedCitation":"[52]","plainTextFormattedCitation":"[52]","previouslyFormattedCitation":"[52]"},"properties":{"noteIndex":0},"schema":"https://github.com/citation-style-language/schema/raw/master/csl-citation.json"}</w:instrText>
      </w:r>
      <w:r w:rsidRPr="0015600B">
        <w:rPr>
          <w:szCs w:val="24"/>
        </w:rPr>
        <w:fldChar w:fldCharType="separate"/>
      </w:r>
      <w:r w:rsidR="00D6331E" w:rsidRPr="00D6331E">
        <w:rPr>
          <w:noProof/>
          <w:szCs w:val="24"/>
        </w:rPr>
        <w:t>[52]</w:t>
      </w:r>
      <w:r w:rsidRPr="0015600B">
        <w:rPr>
          <w:szCs w:val="24"/>
        </w:rPr>
        <w:fldChar w:fldCharType="end"/>
      </w:r>
      <w:r w:rsidRPr="0015600B">
        <w:rPr>
          <w:szCs w:val="24"/>
        </w:rPr>
        <w:t>. The simulation and experimental results agreed in terms of PCM by volume in solid-phase transitioning to the liquid phase. Once more, Du et</w:t>
      </w:r>
      <w:r w:rsidR="008F0CF3">
        <w:rPr>
          <w:szCs w:val="24"/>
        </w:rPr>
        <w:t xml:space="preserve"> al.</w:t>
      </w:r>
      <w:r w:rsidRPr="0015600B">
        <w:rPr>
          <w:szCs w:val="24"/>
        </w:rPr>
        <w:t xml:space="preserve"> conducted experimental studies on an air-cooled two-stage solar absorption air conditioning by investigating the feasibility and performance of the prototype </w:t>
      </w:r>
      <w:r w:rsidRPr="0015600B">
        <w:rPr>
          <w:szCs w:val="24"/>
        </w:rPr>
        <w:fldChar w:fldCharType="begin" w:fldLock="1"/>
      </w:r>
      <w:r w:rsidR="00D6331E">
        <w:rPr>
          <w:szCs w:val="24"/>
        </w:rPr>
        <w:instrText>ADDIN CSL_CITATION {"citationItems":[{"id":"ITEM-1","itemData":{"DOI":"10.1016/j.energy.2012.07.041","ISSN":"03605442","abstract":"An air-cooled two-stage NH3-H2O absorption refrigeration system is proposed for potential application of residential small scale cooling system driven by solar heated hot water. It can reduce the initial fabrication and maintenance costs of both the solar collection system and the absorption chiller. An experimental prototype for 2 kW cooling capacity has been built to investigate the feasibility and performance of the proposed system. The experimental results indicate that the prototype operates smoothly and steadily. When the prototype is driven by 85 °C hot water with an evaporating temperature of 8 °C and ambient air temperature of 29 °C, its thermal COP and electric efficacy (ε) reach 0.21 and 5.1, respectively. COP stabilizes within the range of 0.18-0.25, and ε varies between 3.6 and 5.1 under air-conditioning conditions in summer, which are the right applications of air-cooled two-stage absorption systems. The study reveals the technical feasibility of the air-cooled two-stage NH3-H2O absorption system. It provides a way to develop low-cost small bulk solar absorption air-conditioning systems for residential applications. © 2012 Elsevier Ltd.","author":[{"dropping-particle":"","family":"Du","given":"S.","non-dropping-particle":"","parse-names":false,"suffix":""},{"dropping-particle":"","family":"Wang","given":"R. Z.","non-dropping-particle":"","parse-names":false,"suffix":""},{"dropping-particle":"","family":"Lin","given":"P.","non-dropping-particle":"","parse-names":false,"suffix":""},{"dropping-particle":"","family":"Xu","given":"Z. Z.","non-dropping-particle":"","parse-names":false,"suffix":""},{"dropping-particle":"","family":"Pan","given":"Q. W.","non-dropping-particle":"","parse-names":false,"suffix":""},{"dropping-particle":"","family":"Xu","given":"S. C.","non-dropping-particle":"","parse-names":false,"suffix":""}],"container-title":"Energy","id":"ITEM-1","issue":"1","issued":{"date-parts":[["2012"]]},"page":"581-587","title":"Experimental studies on an air-cooled two-stage NH3-H2O solar absorption air-conditioning prototype","type":"article-journal","volume":"45"},"uris":["http://www.mendeley.com/documents/?uuid=7f459155-0091-483d-89fe-f197c3108bfe"]}],"mendeley":{"formattedCitation":"[53]","plainTextFormattedCitation":"[53]","previouslyFormattedCitation":"[53]"},"properties":{"noteIndex":0},"schema":"https://github.com/citation-style-language/schema/raw/master/csl-citation.json"}</w:instrText>
      </w:r>
      <w:r w:rsidRPr="0015600B">
        <w:rPr>
          <w:szCs w:val="24"/>
        </w:rPr>
        <w:fldChar w:fldCharType="separate"/>
      </w:r>
      <w:r w:rsidR="00D6331E" w:rsidRPr="00D6331E">
        <w:rPr>
          <w:noProof/>
          <w:szCs w:val="24"/>
        </w:rPr>
        <w:t>[53]</w:t>
      </w:r>
      <w:r w:rsidRPr="0015600B">
        <w:rPr>
          <w:szCs w:val="24"/>
        </w:rPr>
        <w:fldChar w:fldCharType="end"/>
      </w:r>
      <w:r w:rsidRPr="0015600B">
        <w:rPr>
          <w:szCs w:val="24"/>
        </w:rPr>
        <w:t>. The study revealed a stable COP and an acceptable range of electric efficacy when the prototype is driven by hot water from 76</w:t>
      </w:r>
      <w:r w:rsidR="00BD5341" w:rsidRPr="0015600B">
        <w:rPr>
          <w:szCs w:val="24"/>
        </w:rPr>
        <w:t>°</w:t>
      </w:r>
      <w:r w:rsidR="009A10DE">
        <w:rPr>
          <w:szCs w:val="24"/>
        </w:rPr>
        <w:t>C</w:t>
      </w:r>
      <w:r w:rsidRPr="0015600B">
        <w:rPr>
          <w:szCs w:val="24"/>
        </w:rPr>
        <w:t xml:space="preserve"> to 88°C for air-conditioning. </w:t>
      </w:r>
    </w:p>
    <w:p w14:paraId="6184B426" w14:textId="4CD28211" w:rsidR="00A819DE" w:rsidRPr="0015600B" w:rsidRDefault="00A819DE" w:rsidP="00A819DE">
      <w:pPr>
        <w:spacing w:beforeLines="120" w:before="288" w:afterLines="120" w:after="288"/>
        <w:rPr>
          <w:szCs w:val="24"/>
        </w:rPr>
      </w:pPr>
      <w:r w:rsidRPr="0015600B">
        <w:rPr>
          <w:szCs w:val="24"/>
        </w:rPr>
        <w:lastRenderedPageBreak/>
        <w:t xml:space="preserve">Recently, Shabgard et al. </w:t>
      </w:r>
      <w:r w:rsidRPr="0015600B">
        <w:rPr>
          <w:szCs w:val="24"/>
        </w:rPr>
        <w:fldChar w:fldCharType="begin" w:fldLock="1"/>
      </w:r>
      <w:r w:rsidRPr="0015600B">
        <w:rPr>
          <w:szCs w:val="24"/>
        </w:rPr>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Pr="0015600B">
        <w:rPr>
          <w:szCs w:val="24"/>
        </w:rPr>
        <w:fldChar w:fldCharType="separate"/>
      </w:r>
      <w:r w:rsidRPr="0015600B">
        <w:rPr>
          <w:noProof/>
          <w:szCs w:val="24"/>
        </w:rPr>
        <w:t>[1]</w:t>
      </w:r>
      <w:r w:rsidRPr="0015600B">
        <w:rPr>
          <w:szCs w:val="24"/>
        </w:rPr>
        <w:fldChar w:fldCharType="end"/>
      </w:r>
      <w:r w:rsidRPr="0015600B">
        <w:rPr>
          <w:szCs w:val="24"/>
        </w:rPr>
        <w:t xml:space="preserve"> developed a heat transfer and exergy model of an integrated heating, cooling and hot water system with latent heat thermal energy storage to quantify the exergy efficiency of the system and analyze the thermal performance of a latent heat thermal energy storage system integrated with heat pipes. Magnesium nitrate hexahydrate was selected as phase change material (PCM). LHTES energy performance was analyzed for a residential building in Phoenix, AZ (characterized by hot-dry climate). One dimensional heat transfer model was developed, and the simulation was conducted for a typical cold (January 1</w:t>
      </w:r>
      <w:r w:rsidRPr="0015600B">
        <w:rPr>
          <w:szCs w:val="24"/>
          <w:vertAlign w:val="superscript"/>
        </w:rPr>
        <w:t>st</w:t>
      </w:r>
      <w:r w:rsidRPr="0015600B">
        <w:rPr>
          <w:szCs w:val="24"/>
        </w:rPr>
        <w:t>) and a typical hot day (July 2</w:t>
      </w:r>
      <w:r w:rsidRPr="0015600B">
        <w:rPr>
          <w:szCs w:val="24"/>
          <w:vertAlign w:val="superscript"/>
        </w:rPr>
        <w:t>nd</w:t>
      </w:r>
      <w:r w:rsidRPr="0015600B">
        <w:rPr>
          <w:szCs w:val="24"/>
        </w:rPr>
        <w:t>). The results showed that a latent heat thermal energy storage system with a capacity of 29kWh coupled with a 10m</w:t>
      </w:r>
      <w:r w:rsidRPr="0015600B">
        <w:rPr>
          <w:szCs w:val="24"/>
          <w:vertAlign w:val="superscript"/>
        </w:rPr>
        <w:t>2</w:t>
      </w:r>
      <w:r w:rsidRPr="0015600B">
        <w:rPr>
          <w:szCs w:val="24"/>
        </w:rPr>
        <w:t xml:space="preserve"> evacuated tube collector solar collector can decrease the annual building energy by about 87%. The exergy efficiency was found to be 74% (80</w:t>
      </w:r>
      <w:r w:rsidR="00735771">
        <w:rPr>
          <w:szCs w:val="24"/>
        </w:rPr>
        <w:t>%</w:t>
      </w:r>
      <w:r w:rsidRPr="0015600B">
        <w:rPr>
          <w:szCs w:val="24"/>
        </w:rPr>
        <w:t xml:space="preserve">) for a cold (hot) day. </w:t>
      </w:r>
    </w:p>
    <w:p w14:paraId="3B0004D9" w14:textId="3C4E5FFC" w:rsidR="00A819DE" w:rsidRPr="0015600B" w:rsidRDefault="00A819DE" w:rsidP="00C764BF">
      <w:pPr>
        <w:pStyle w:val="Heading2"/>
        <w:numPr>
          <w:ilvl w:val="1"/>
          <w:numId w:val="15"/>
        </w:numPr>
        <w:spacing w:after="288"/>
        <w:rPr>
          <w:szCs w:val="24"/>
        </w:rPr>
      </w:pPr>
      <w:bookmarkStart w:id="94" w:name="_Toc42335008"/>
      <w:bookmarkStart w:id="95" w:name="_Toc42505310"/>
      <w:bookmarkStart w:id="96" w:name="_Toc43877975"/>
      <w:bookmarkStart w:id="97" w:name="_Toc47467730"/>
      <w:bookmarkEnd w:id="72"/>
      <w:r w:rsidRPr="0015600B">
        <w:rPr>
          <w:szCs w:val="24"/>
        </w:rPr>
        <w:t>Identifying the Gaps</w:t>
      </w:r>
      <w:bookmarkEnd w:id="94"/>
      <w:bookmarkEnd w:id="95"/>
      <w:bookmarkEnd w:id="96"/>
      <w:bookmarkEnd w:id="97"/>
    </w:p>
    <w:p w14:paraId="0AC6DA05" w14:textId="1C8657DE" w:rsidR="00A819DE" w:rsidRPr="0015600B" w:rsidRDefault="00E05D23" w:rsidP="007F27F3">
      <w:pPr>
        <w:spacing w:beforeLines="120" w:before="288" w:afterLines="120" w:after="288"/>
        <w:rPr>
          <w:szCs w:val="24"/>
        </w:rPr>
      </w:pPr>
      <w:r>
        <w:rPr>
          <w:szCs w:val="24"/>
        </w:rPr>
        <w:t>The p</w:t>
      </w:r>
      <w:r w:rsidR="007F27F3">
        <w:rPr>
          <w:szCs w:val="24"/>
        </w:rPr>
        <w:t xml:space="preserve">erformance of solar HVAC and hot water systems strongly depends on solar insolation, climate conditions, and time-dependent </w:t>
      </w:r>
      <w:r>
        <w:rPr>
          <w:szCs w:val="24"/>
        </w:rPr>
        <w:t xml:space="preserve">energy </w:t>
      </w:r>
      <w:r w:rsidR="007F27F3">
        <w:rPr>
          <w:szCs w:val="24"/>
        </w:rPr>
        <w:t xml:space="preserve">demand. As such, models that predict the system performance in various climate conditions throughout the entire year are critical for </w:t>
      </w:r>
      <w:r w:rsidR="007C6AB8">
        <w:rPr>
          <w:szCs w:val="24"/>
        </w:rPr>
        <w:t xml:space="preserve">the </w:t>
      </w:r>
      <w:r w:rsidR="007F27F3">
        <w:rPr>
          <w:szCs w:val="24"/>
        </w:rPr>
        <w:t xml:space="preserve">development of solar HVAC and hot water systems. </w:t>
      </w:r>
      <w:r w:rsidR="00A819DE" w:rsidRPr="0015600B">
        <w:rPr>
          <w:szCs w:val="24"/>
        </w:rPr>
        <w:t>There is</w:t>
      </w:r>
      <w:r w:rsidR="008F0CF3">
        <w:rPr>
          <w:szCs w:val="24"/>
        </w:rPr>
        <w:t>,</w:t>
      </w:r>
      <w:r w:rsidR="00A819DE" w:rsidRPr="0015600B">
        <w:rPr>
          <w:szCs w:val="24"/>
        </w:rPr>
        <w:t xml:space="preserve"> therefore</w:t>
      </w:r>
      <w:r w:rsidR="008F0CF3">
        <w:rPr>
          <w:szCs w:val="24"/>
        </w:rPr>
        <w:t>,</w:t>
      </w:r>
      <w:r w:rsidR="00A819DE" w:rsidRPr="0015600B">
        <w:rPr>
          <w:szCs w:val="24"/>
        </w:rPr>
        <w:t xml:space="preserve"> the need to upgrade the heat transfer and exergy model and carry out the simulation for the entire year (</w:t>
      </w:r>
      <w:r w:rsidR="00397B8B">
        <w:rPr>
          <w:szCs w:val="24"/>
        </w:rPr>
        <w:t>i.e.</w:t>
      </w:r>
      <w:r w:rsidR="008F0CF3">
        <w:rPr>
          <w:szCs w:val="24"/>
        </w:rPr>
        <w:t>,</w:t>
      </w:r>
      <w:r w:rsidR="00397B8B">
        <w:rPr>
          <w:szCs w:val="24"/>
        </w:rPr>
        <w:t xml:space="preserve"> </w:t>
      </w:r>
      <w:r w:rsidR="00A819DE" w:rsidRPr="0015600B">
        <w:rPr>
          <w:szCs w:val="24"/>
        </w:rPr>
        <w:t xml:space="preserve">365 days). </w:t>
      </w:r>
      <w:r w:rsidR="00B31843">
        <w:rPr>
          <w:szCs w:val="24"/>
        </w:rPr>
        <w:t>Also</w:t>
      </w:r>
      <w:r w:rsidR="00A819DE" w:rsidRPr="0015600B">
        <w:rPr>
          <w:szCs w:val="24"/>
        </w:rPr>
        <w:t xml:space="preserve">, there is a need to blend in the calculations of auxiliary energy demand into the model and evaluate building energy performance evaluation. Until now, the integrated </w:t>
      </w:r>
      <w:r w:rsidR="00A819DE" w:rsidRPr="0015600B">
        <w:rPr>
          <w:szCs w:val="24"/>
        </w:rPr>
        <w:lastRenderedPageBreak/>
        <w:t>system of this kind has never been applied to different US climate zones other than the hot</w:t>
      </w:r>
      <w:r w:rsidR="008F0CF3">
        <w:rPr>
          <w:szCs w:val="24"/>
        </w:rPr>
        <w:t>,</w:t>
      </w:r>
      <w:r w:rsidR="00A819DE" w:rsidRPr="0015600B">
        <w:rPr>
          <w:szCs w:val="24"/>
        </w:rPr>
        <w:t xml:space="preserve"> dry climate</w:t>
      </w:r>
      <w:r w:rsidR="00B06C1E">
        <w:rPr>
          <w:szCs w:val="24"/>
        </w:rPr>
        <w:t xml:space="preserve"> zone</w:t>
      </w:r>
      <w:r w:rsidR="00A819DE" w:rsidRPr="0015600B">
        <w:rPr>
          <w:szCs w:val="24"/>
        </w:rPr>
        <w:t xml:space="preserve"> of Arizona Phoenix thus there is a need to simulate and evaluate energy performance and benefits of employing LHTES system to residential buildings in different climate zones across the United States. </w:t>
      </w:r>
    </w:p>
    <w:p w14:paraId="07AF9D7E" w14:textId="112FC5D4" w:rsidR="00F96939" w:rsidRPr="0015600B" w:rsidRDefault="00A819DE" w:rsidP="00F40314">
      <w:pPr>
        <w:spacing w:after="288"/>
        <w:rPr>
          <w:b/>
          <w:bCs/>
          <w:szCs w:val="24"/>
        </w:rPr>
      </w:pPr>
      <w:r w:rsidRPr="0015600B">
        <w:rPr>
          <w:szCs w:val="24"/>
        </w:rPr>
        <w:t xml:space="preserve">In this research, </w:t>
      </w:r>
      <w:r w:rsidR="00526E0B" w:rsidRPr="0015600B">
        <w:rPr>
          <w:szCs w:val="24"/>
        </w:rPr>
        <w:t>the energy</w:t>
      </w:r>
      <w:r w:rsidR="00303EFE">
        <w:rPr>
          <w:szCs w:val="24"/>
        </w:rPr>
        <w:t xml:space="preserve"> </w:t>
      </w:r>
      <w:r w:rsidR="00526E0B" w:rsidRPr="0015600B">
        <w:rPr>
          <w:szCs w:val="24"/>
        </w:rPr>
        <w:t>saving</w:t>
      </w:r>
      <w:r w:rsidR="00303EFE">
        <w:rPr>
          <w:szCs w:val="24"/>
        </w:rPr>
        <w:t>s</w:t>
      </w:r>
      <w:r w:rsidR="00526E0B" w:rsidRPr="0015600B">
        <w:rPr>
          <w:szCs w:val="24"/>
        </w:rPr>
        <w:t xml:space="preserve"> using the LHTES system </w:t>
      </w:r>
      <w:r w:rsidR="0075725E">
        <w:rPr>
          <w:szCs w:val="24"/>
        </w:rPr>
        <w:t>is studie</w:t>
      </w:r>
      <w:r w:rsidR="00B31843">
        <w:rPr>
          <w:szCs w:val="24"/>
        </w:rPr>
        <w:t>d</w:t>
      </w:r>
      <w:r w:rsidR="0075725E">
        <w:rPr>
          <w:szCs w:val="24"/>
        </w:rPr>
        <w:t xml:space="preserve"> using </w:t>
      </w:r>
      <w:r w:rsidRPr="0015600B">
        <w:rPr>
          <w:szCs w:val="24"/>
        </w:rPr>
        <w:t>the simulation of a mathematical model for heating, cooling, and hot water over the entire year</w:t>
      </w:r>
      <w:r w:rsidR="0075725E">
        <w:rPr>
          <w:szCs w:val="24"/>
        </w:rPr>
        <w:t>.</w:t>
      </w:r>
      <w:r w:rsidRPr="0015600B">
        <w:rPr>
          <w:szCs w:val="24"/>
        </w:rPr>
        <w:t xml:space="preserve"> Also, the proposed </w:t>
      </w:r>
      <w:r w:rsidR="008F0CF3">
        <w:rPr>
          <w:szCs w:val="24"/>
        </w:rPr>
        <w:t>method</w:t>
      </w:r>
      <w:r w:rsidRPr="0015600B">
        <w:rPr>
          <w:szCs w:val="24"/>
        </w:rPr>
        <w:t xml:space="preserve"> is assumed to perform differently in different climate zone because different climate zones receive a different amount of s</w:t>
      </w:r>
      <w:r w:rsidR="00B06C1E">
        <w:rPr>
          <w:szCs w:val="24"/>
        </w:rPr>
        <w:t>olar energy</w:t>
      </w:r>
      <w:r w:rsidRPr="0015600B">
        <w:rPr>
          <w:szCs w:val="24"/>
        </w:rPr>
        <w:t>, and building energy demand differs by different building material, weather conditions</w:t>
      </w:r>
      <w:r w:rsidR="00B31843">
        <w:rPr>
          <w:szCs w:val="24"/>
        </w:rPr>
        <w:t>,</w:t>
      </w:r>
      <w:r w:rsidRPr="0015600B">
        <w:rPr>
          <w:szCs w:val="24"/>
        </w:rPr>
        <w:t xml:space="preserve"> and occupant behavior </w:t>
      </w:r>
      <w:r w:rsidRPr="0015600B">
        <w:rPr>
          <w:szCs w:val="24"/>
        </w:rPr>
        <w:fldChar w:fldCharType="begin" w:fldLock="1"/>
      </w:r>
      <w:r w:rsidR="00D6331E">
        <w:rPr>
          <w:szCs w:val="24"/>
        </w:rPr>
        <w:instrText>ADDIN CSL_CITATION {"citationItems":[{"id":"ITEM-1","itemData":{"DOI":"10.1016/j.buildenv.2012.07.009","ISSN":"03601323","abstract":"Energy consumption in buildings is influenced by several factors related to the building properties and the building controls, some of them highly connected to the behaviour of their occupants.In this paper, a definition of items referring to occupant behaviour related to the building control systems is proposed, based on studies presented in literature and a general process leading to the effects on energy consumptions is identified.Existing studies on the topic of window opening behaviour are highlighted and a theoretical framework to deal with occupants' interactions with building controls, aimed at improving or maintaining the preferred indoor environmental conditions, is elaborated. This approach is used to look into the drivers for the actions taken by the occupants (windows opening and closing) and to investigate the existing models in literature of these actions for both residential and office buildings. The analysis of the literature highlights how a shared approach on identifying the driving forces for occupants' window opening and closing behaviour has not yet been reached. However, the reporting of variables found not to be drivers may reveal contradictions in the obtained results and may be a significant tool to help direct future research. © 2012 Elsevier Ltd.","author":[{"dropping-particle":"","family":"Fabi","given":"Valentina","non-dropping-particle":"","parse-names":false,"suffix":""},{"dropping-particle":"","family":"Andersen","given":"Rune Vinther","non-dropping-particle":"","parse-names":false,"suffix":""},{"dropping-particle":"","family":"Corgnati","given":"Stefano","non-dropping-particle":"","parse-names":false,"suffix":""},{"dropping-particle":"","family":"Olesen","given":"Bjarne W.","non-dropping-particle":"","parse-names":false,"suffix":""}],"container-title":"Building and Environment","id":"ITEM-1","issued":{"date-parts":[["2012","12","1"]]},"page":"188-198","publisher":"Pergamon","title":"Occupants' window opening behaviour: A literature review of factors influencing occupant behaviour and models","type":"article-journal","volume":"58"},"uris":["http://www.mendeley.com/documents/?uuid=41f4b655-c094-3a6c-a579-b7c089d52f11"]}],"mendeley":{"formattedCitation":"[54]","plainTextFormattedCitation":"[54]","previouslyFormattedCitation":"[54]"},"properties":{"noteIndex":0},"schema":"https://github.com/citation-style-language/schema/raw/master/csl-citation.json"}</w:instrText>
      </w:r>
      <w:r w:rsidRPr="0015600B">
        <w:rPr>
          <w:szCs w:val="24"/>
        </w:rPr>
        <w:fldChar w:fldCharType="separate"/>
      </w:r>
      <w:r w:rsidR="00D6331E" w:rsidRPr="00D6331E">
        <w:rPr>
          <w:noProof/>
          <w:szCs w:val="24"/>
        </w:rPr>
        <w:t>[54]</w:t>
      </w:r>
      <w:r w:rsidRPr="0015600B">
        <w:rPr>
          <w:szCs w:val="24"/>
        </w:rPr>
        <w:fldChar w:fldCharType="end"/>
      </w:r>
      <w:r w:rsidRPr="0015600B">
        <w:rPr>
          <w:szCs w:val="24"/>
        </w:rPr>
        <w:t>-</w:t>
      </w:r>
      <w:r w:rsidRPr="0015600B">
        <w:rPr>
          <w:szCs w:val="24"/>
        </w:rPr>
        <w:fldChar w:fldCharType="begin" w:fldLock="1"/>
      </w:r>
      <w:r w:rsidR="00D6331E">
        <w:rPr>
          <w:szCs w:val="24"/>
        </w:rPr>
        <w:instrText>ADDIN CSL_CITATION {"citationItems":[{"id":"ITEM-1","itemData":{"DOI":"10.1016/j.enbuild.2011.02.002","ISSN":"03787788","abstract":"Efforts have been devoted to the identification of the impacts of occupant behavior on building energy consumption. Various factors influence building energy consumption at the same time, leading to the lack of precision when identifying the individual effects of occupant behavior. This paper reports the development of a new methodology for examining the influences of occupant behavior on building energy consumption; the method is based on a basic data mining technique (cluster analysis). To deal with data inconsistencies, min-max normalization is performed as a data preprocessing step before clustering. Grey relational grades, a measure of relevancy between two factors, are used as weighted coefficients of different attributes in cluster analysis. To demonstrate the applicability of the proposed method, the method was applied to a set of residential buildings' measurement data. The results show that the method facilitates the evaluation of building energy-saving potential by improving the behavior of building occupants, and provides multifaceted insights into building energy end-use patterns associated with the occupant behavior. The results obtained could help prioritize efforts at modification of occupant behavior in order to reduce building energy consumption, and help improve modeling of occupant behavior in numerical simulation. © 2011 Elsevier B.V.","author":[{"dropping-particle":"","family":"Yu","given":"Zhun","non-dropping-particle":"","parse-names":false,"suffix":""},{"dropping-particle":"","family":"Fung","given":"Benjamin C.M.","non-dropping-particle":"","parse-names":false,"suffix":""},{"dropping-particle":"","family":"Haghighat","given":"Fariborz","non-dropping-particle":"","parse-names":false,"suffix":""},{"dropping-particle":"","family":"Yoshino","given":"Hiroshi","non-dropping-particle":"","parse-names":false,"suffix":""},{"dropping-particle":"","family":"Morofsky","given":"Edward","non-dropping-particle":"","parse-names":false,"suffix":""}],"container-title":"Energy and Buildings","id":"ITEM-1","issue":"6","issued":{"date-parts":[["2011","6","1"]]},"page":"1409-1417","publisher":"Elsevier","title":"A systematic procedure to study the influence of occupant behavior on building energy consumption","type":"article-journal","volume":"43"},"uris":["http://www.mendeley.com/documents/?uuid=0150d7dd-7f77-31c2-ae19-6c2fe4dfcd69"]}],"mendeley":{"formattedCitation":"[55]","plainTextFormattedCitation":"[55]","previouslyFormattedCitation":"[55]"},"properties":{"noteIndex":0},"schema":"https://github.com/citation-style-language/schema/raw/master/csl-citation.json"}</w:instrText>
      </w:r>
      <w:r w:rsidRPr="0015600B">
        <w:rPr>
          <w:szCs w:val="24"/>
        </w:rPr>
        <w:fldChar w:fldCharType="separate"/>
      </w:r>
      <w:r w:rsidR="00D6331E" w:rsidRPr="00D6331E">
        <w:rPr>
          <w:noProof/>
          <w:szCs w:val="24"/>
        </w:rPr>
        <w:t>[55]</w:t>
      </w:r>
      <w:r w:rsidRPr="0015600B">
        <w:rPr>
          <w:szCs w:val="24"/>
        </w:rPr>
        <w:fldChar w:fldCharType="end"/>
      </w:r>
      <w:r w:rsidRPr="0015600B">
        <w:rPr>
          <w:szCs w:val="24"/>
        </w:rPr>
        <w:t>. As such, an assessment of the energy performance of the system in different climate zones across the United States is needed. Further, the study of evaluation of the system performance in different climate zones could provide a knowledge base for the deployment of the solar-thermal driven cooling, heating and hot water systems integrated with latent heat thermal energy storage.</w:t>
      </w:r>
      <w:bookmarkEnd w:id="81"/>
    </w:p>
    <w:p w14:paraId="11E65565" w14:textId="77777777" w:rsidR="003A2208" w:rsidRPr="0015600B" w:rsidRDefault="003A2208" w:rsidP="00D45693">
      <w:pPr>
        <w:pStyle w:val="Heading1"/>
        <w:spacing w:beforeLines="120" w:before="288" w:afterLines="120" w:after="288"/>
        <w:rPr>
          <w:szCs w:val="24"/>
        </w:rPr>
        <w:sectPr w:rsidR="003A2208" w:rsidRPr="0015600B" w:rsidSect="00F963C8">
          <w:headerReference w:type="default" r:id="rId28"/>
          <w:footerReference w:type="default" r:id="rId29"/>
          <w:pgSz w:w="12240" w:h="15840"/>
          <w:pgMar w:top="1440" w:right="1440" w:bottom="1440" w:left="2160" w:header="720" w:footer="720" w:gutter="0"/>
          <w:cols w:space="720"/>
          <w:docGrid w:linePitch="326"/>
        </w:sectPr>
      </w:pPr>
    </w:p>
    <w:p w14:paraId="3672B63A" w14:textId="2D7D5C58" w:rsidR="00DB3DC6" w:rsidRPr="0015600B" w:rsidRDefault="00715C2B" w:rsidP="00C764BF">
      <w:pPr>
        <w:pStyle w:val="Heading1"/>
      </w:pPr>
      <w:bookmarkStart w:id="98" w:name="_Toc43877976"/>
      <w:bookmarkStart w:id="99" w:name="_Hlk44296734"/>
      <w:bookmarkStart w:id="100" w:name="_Toc47467731"/>
      <w:bookmarkEnd w:id="15"/>
      <w:bookmarkEnd w:id="16"/>
      <w:r>
        <w:rPr>
          <w:caps w:val="0"/>
        </w:rPr>
        <w:lastRenderedPageBreak/>
        <w:t>LHTES SYSTEM MATHEMATICAL</w:t>
      </w:r>
      <w:r w:rsidR="00A322FE" w:rsidRPr="0015600B">
        <w:rPr>
          <w:caps w:val="0"/>
        </w:rPr>
        <w:t xml:space="preserve"> </w:t>
      </w:r>
      <w:r w:rsidR="00562485">
        <w:t xml:space="preserve">MODELING </w:t>
      </w:r>
      <w:r w:rsidR="00A322FE">
        <w:t>AND</w:t>
      </w:r>
      <w:r w:rsidR="00DB3DC6" w:rsidRPr="0015600B">
        <w:t xml:space="preserve"> EQUIPMENT SIZING</w:t>
      </w:r>
      <w:bookmarkEnd w:id="98"/>
      <w:bookmarkEnd w:id="100"/>
    </w:p>
    <w:bookmarkEnd w:id="99"/>
    <w:p w14:paraId="32F5800E" w14:textId="21104093" w:rsidR="00A322FE" w:rsidRPr="0015600B" w:rsidRDefault="007C4A45" w:rsidP="00E17FEB">
      <w:pPr>
        <w:spacing w:after="288"/>
      </w:pPr>
      <w:r w:rsidRPr="0015600B">
        <w:t xml:space="preserve">A mathematical model </w:t>
      </w:r>
      <w:r w:rsidR="00DB7479">
        <w:t>(b</w:t>
      </w:r>
      <w:r w:rsidRPr="0015600B">
        <w:t xml:space="preserve">ased on the concept of </w:t>
      </w:r>
      <w:r w:rsidR="001949AC">
        <w:t xml:space="preserve">the </w:t>
      </w:r>
      <w:r w:rsidRPr="0015600B">
        <w:t>thermal element network for parametric studies</w:t>
      </w:r>
      <w:r w:rsidR="00DB7479">
        <w:t>) is presented in this chapter.</w:t>
      </w:r>
      <w:r w:rsidR="00715C2B">
        <w:t xml:space="preserve"> </w:t>
      </w:r>
      <w:r w:rsidR="007948C2">
        <w:t>The following assumptions are made in the development of the model</w:t>
      </w:r>
      <w:r w:rsidRPr="0015600B">
        <w:t xml:space="preserve">: constant thermophysical properties, </w:t>
      </w:r>
      <w:r w:rsidR="009778DE">
        <w:t xml:space="preserve">conduction-controlled melting and solidification in the PCM-metal foam, </w:t>
      </w:r>
      <w:r w:rsidRPr="0015600B">
        <w:t xml:space="preserve">negligible thermal resistance associated with pool boiling and condensation and evaporation inside the HPs, </w:t>
      </w:r>
      <w:r>
        <w:t xml:space="preserve">the </w:t>
      </w:r>
      <w:r w:rsidRPr="0015600B">
        <w:t>negligible pressure drop across the HPs, negligible heat loss, well-insulated separating plates between the heat exchangers, and negligible contact thermal resistances.</w:t>
      </w:r>
      <w:r>
        <w:t xml:space="preserve"> </w:t>
      </w:r>
      <w:r w:rsidR="00B2654F">
        <w:t>Thus, h</w:t>
      </w:r>
      <w:r w:rsidRPr="0015600B">
        <w:t xml:space="preserve">eat transfer is the only mechanism for </w:t>
      </w:r>
      <w:r w:rsidR="00B2654F">
        <w:t>exer</w:t>
      </w:r>
      <w:r w:rsidRPr="0015600B">
        <w:t xml:space="preserve">gy transfer across the boundaries in </w:t>
      </w:r>
      <w:r>
        <w:t>t</w:t>
      </w:r>
      <w:r w:rsidRPr="0015600B">
        <w:t>his model.</w:t>
      </w:r>
      <w:r w:rsidR="00E17FEB">
        <w:t xml:space="preserve"> </w:t>
      </w:r>
      <w:r w:rsidR="00A322FE" w:rsidRPr="0015600B">
        <w:t xml:space="preserve">A simplified system-level mathematical model is adopted from </w:t>
      </w:r>
      <w:r w:rsidR="00A322FE" w:rsidRPr="0015600B">
        <w:fldChar w:fldCharType="begin" w:fldLock="1"/>
      </w:r>
      <w:r w:rsidR="00A322FE" w:rsidRPr="0015600B">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A322FE" w:rsidRPr="0015600B">
        <w:fldChar w:fldCharType="separate"/>
      </w:r>
      <w:r w:rsidR="00A322FE" w:rsidRPr="0015600B">
        <w:rPr>
          <w:noProof/>
        </w:rPr>
        <w:t>[1]</w:t>
      </w:r>
      <w:r w:rsidR="00A322FE" w:rsidRPr="0015600B">
        <w:fldChar w:fldCharType="end"/>
      </w:r>
      <w:r w:rsidR="003C4CF0">
        <w:t xml:space="preserve"> and presented first</w:t>
      </w:r>
      <w:r w:rsidR="00A322FE" w:rsidRPr="0015600B">
        <w:t xml:space="preserve">. </w:t>
      </w:r>
      <w:r w:rsidR="003C4CF0">
        <w:t>Then</w:t>
      </w:r>
      <w:r w:rsidR="007D4485">
        <w:t xml:space="preserve">, </w:t>
      </w:r>
      <w:r w:rsidR="003C4CF0">
        <w:t xml:space="preserve">the cities on which this study is conducted and the </w:t>
      </w:r>
      <w:r w:rsidR="007D4485">
        <w:t xml:space="preserve">concise approach to sizing the equipment (solar collector area and thermal energy storage) </w:t>
      </w:r>
      <w:r w:rsidR="003C4CF0">
        <w:t xml:space="preserve">required for each city </w:t>
      </w:r>
      <w:r w:rsidR="003379E5">
        <w:t>are</w:t>
      </w:r>
      <w:r w:rsidR="00A322FE" w:rsidRPr="0015600B">
        <w:t xml:space="preserve"> presented. </w:t>
      </w:r>
    </w:p>
    <w:p w14:paraId="0F3E563B" w14:textId="7FFCD672" w:rsidR="00A322FE" w:rsidRPr="0015600B" w:rsidRDefault="00715C2B" w:rsidP="00723466">
      <w:pPr>
        <w:pStyle w:val="Heading2"/>
        <w:numPr>
          <w:ilvl w:val="1"/>
          <w:numId w:val="16"/>
        </w:numPr>
      </w:pPr>
      <w:bookmarkStart w:id="101" w:name="_Toc43877977"/>
      <w:bookmarkStart w:id="102" w:name="_Toc47467732"/>
      <w:r>
        <w:t xml:space="preserve">Mathematical </w:t>
      </w:r>
      <w:r w:rsidR="00A322FE" w:rsidRPr="0015600B">
        <w:t xml:space="preserve">Heat Transfer </w:t>
      </w:r>
      <w:r w:rsidR="00CB57E4">
        <w:t xml:space="preserve">and Exergy </w:t>
      </w:r>
      <w:r w:rsidR="00A322FE" w:rsidRPr="0015600B">
        <w:t>Modeling</w:t>
      </w:r>
      <w:bookmarkEnd w:id="101"/>
      <w:bookmarkEnd w:id="102"/>
    </w:p>
    <w:p w14:paraId="4EE991FB" w14:textId="53227EA4" w:rsidR="00A322FE" w:rsidRPr="0015600B" w:rsidRDefault="00A322FE" w:rsidP="00A322FE">
      <w:pPr>
        <w:spacing w:after="288"/>
      </w:pPr>
      <w:r w:rsidRPr="0015600B">
        <w:t>A cross</w:t>
      </w:r>
      <w:r w:rsidR="00B31843">
        <w:t>-</w:t>
      </w:r>
      <w:r w:rsidRPr="0015600B">
        <w:t>section view of the LHTES unit (cross</w:t>
      </w:r>
      <w:r w:rsidR="00B31843">
        <w:t>-</w:t>
      </w:r>
      <w:r w:rsidRPr="0015600B">
        <w:t xml:space="preserve">section A-A in Figure 1.3) is shown in Figure </w:t>
      </w:r>
      <w:r w:rsidR="002850A3">
        <w:t>3</w:t>
      </w:r>
      <w:r w:rsidRPr="0015600B">
        <w:t xml:space="preserve">.1. The unit cell is decomposed into </w:t>
      </w:r>
      <w:r w:rsidR="00B31843">
        <w:t xml:space="preserve">a </w:t>
      </w:r>
      <w:r w:rsidRPr="0015600B">
        <w:t xml:space="preserve">1D cell (shown in Figure </w:t>
      </w:r>
      <w:r w:rsidR="002850A3">
        <w:t>3</w:t>
      </w:r>
      <w:r w:rsidRPr="0015600B">
        <w:t>.1). 1D cell is comprise</w:t>
      </w:r>
      <w:r>
        <w:t>d</w:t>
      </w:r>
      <w:r w:rsidRPr="0015600B">
        <w:t xml:space="preserve"> of the two pipes (condenser section of the input heat pipes</w:t>
      </w:r>
      <w:r>
        <w:t xml:space="preserve"> (</w:t>
      </w:r>
      <w:r w:rsidRPr="0015600B">
        <w:t>HP</w:t>
      </w:r>
      <w:r>
        <w:t>)</w:t>
      </w:r>
      <w:r w:rsidRPr="0015600B">
        <w:t xml:space="preserve"> and the evaporator section of the output HP). Each surrounded by the annular PCM region. The outer radius of the annular PCM region in the 1D cell is </w:t>
      </w:r>
      <w:r w:rsidRPr="0015600B">
        <w:lastRenderedPageBreak/>
        <w:t>determined from the equality of the PCM mass between the 2D unit cell shown in Figure 4.1b and the converted 1D cell in shown Figure 4.1c, r</w:t>
      </w:r>
      <w:r w:rsidRPr="0015600B">
        <w:rPr>
          <w:vertAlign w:val="subscript"/>
        </w:rPr>
        <w:t>o</w:t>
      </w:r>
      <w:r w:rsidRPr="0015600B">
        <w:t>=L/2π. It is assumed that the outer surfaces of the annular PCM regions in the 1D cell are at the same uniform temperature </w:t>
      </w:r>
      <w:r w:rsidRPr="0015600B">
        <w:rPr>
          <w:i/>
          <w:iCs/>
        </w:rPr>
        <w:t>T</w:t>
      </w:r>
      <w:r w:rsidRPr="0015600B">
        <w:rPr>
          <w:i/>
          <w:iCs/>
          <w:vertAlign w:val="subscript"/>
        </w:rPr>
        <w:t>b</w:t>
      </w:r>
      <w:r w:rsidR="00356D4B">
        <w:t xml:space="preserve"> </w:t>
      </w:r>
      <w:r w:rsidRPr="0015600B">
        <w:t>(Figure 4.1c). The shared surface temperature </w:t>
      </w:r>
      <w:r w:rsidRPr="0015600B">
        <w:rPr>
          <w:i/>
          <w:iCs/>
        </w:rPr>
        <w:t>T</w:t>
      </w:r>
      <w:r w:rsidRPr="0015600B">
        <w:rPr>
          <w:i/>
          <w:iCs/>
          <w:vertAlign w:val="subscript"/>
        </w:rPr>
        <w:t>b</w:t>
      </w:r>
      <w:r w:rsidR="00A408A8">
        <w:t xml:space="preserve"> </w:t>
      </w:r>
      <w:r w:rsidRPr="0015600B">
        <w:t xml:space="preserve">varies with time as the input and output heat transfer rates change. </w:t>
      </w:r>
    </w:p>
    <w:p w14:paraId="719222BF" w14:textId="77777777" w:rsidR="00A322FE" w:rsidRDefault="00A322FE" w:rsidP="00A322FE">
      <w:pPr>
        <w:keepNext/>
        <w:spacing w:after="288"/>
        <w:ind w:firstLine="0"/>
      </w:pPr>
      <w:r w:rsidRPr="0015600B">
        <w:rPr>
          <w:noProof/>
        </w:rPr>
        <w:drawing>
          <wp:inline distT="0" distB="0" distL="0" distR="0" wp14:anchorId="2ACB75B8" wp14:editId="5A6FF087">
            <wp:extent cx="5486400" cy="23583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86400" cy="2358390"/>
                    </a:xfrm>
                    <a:prstGeom prst="rect">
                      <a:avLst/>
                    </a:prstGeom>
                  </pic:spPr>
                </pic:pic>
              </a:graphicData>
            </a:graphic>
          </wp:inline>
        </w:drawing>
      </w:r>
    </w:p>
    <w:p w14:paraId="0E4BEE0E" w14:textId="1F84F0E2" w:rsidR="00A322FE" w:rsidRPr="00D61001" w:rsidRDefault="00A322FE" w:rsidP="00037B41">
      <w:pPr>
        <w:pStyle w:val="Caption"/>
      </w:pPr>
      <w:bookmarkStart w:id="103" w:name="_Toc47467755"/>
      <w:r w:rsidRPr="00D61001">
        <w:t xml:space="preserve">Figure </w:t>
      </w:r>
      <w:fldSimple w:instr=" STYLEREF 1 \s ">
        <w:r w:rsidR="00D979B8">
          <w:rPr>
            <w:noProof/>
          </w:rPr>
          <w:t>3</w:t>
        </w:r>
      </w:fldSimple>
      <w:r w:rsidR="00961B56" w:rsidRPr="00D61001">
        <w:t>.</w:t>
      </w:r>
      <w:fldSimple w:instr=" SEQ Figure \* ARABIC \s 1 ">
        <w:r w:rsidR="00D979B8">
          <w:rPr>
            <w:noProof/>
          </w:rPr>
          <w:t>1</w:t>
        </w:r>
      </w:fldSimple>
      <w:r w:rsidRPr="00D61001">
        <w:t xml:space="preserve">. (a) </w:t>
      </w:r>
      <w:r w:rsidR="002E0952" w:rsidRPr="00D61001">
        <w:t>A c</w:t>
      </w:r>
      <w:r w:rsidRPr="00A67B65">
        <w:t>ross-sectional view of the LHTES system (along the line A-A in Figure 1.3 embedded with the condenser sections of the output heat pipe and evaporator sections of the heat pipe, (b</w:t>
      </w:r>
      <w:r w:rsidRPr="00CD084A">
        <w:t>) unit cell including one full input heat pipe and an equivalent full output heat pipe, and (c) 1D cell equivalent to the unit cell shown in the middle</w:t>
      </w:r>
      <w:r w:rsidR="00D61001" w:rsidRPr="00D61001">
        <w:t xml:space="preserve"> (a</w:t>
      </w:r>
      <w:r w:rsidR="00D61001" w:rsidRPr="00A67B65">
        <w:t>do</w:t>
      </w:r>
      <w:r w:rsidR="00D61001" w:rsidRPr="00E57EAF">
        <w:t>p</w:t>
      </w:r>
      <w:r w:rsidR="00D61001" w:rsidRPr="00FA53D1">
        <w:t xml:space="preserve">ted </w:t>
      </w:r>
      <w:r w:rsidR="00D61001" w:rsidRPr="00CD084A">
        <w:t>fro</w:t>
      </w:r>
      <w:r w:rsidR="00D61001" w:rsidRPr="00E81ED0">
        <w:t xml:space="preserve">m </w:t>
      </w:r>
      <w:r w:rsidR="00E05D23" w:rsidRPr="00BA1A7C">
        <w:t xml:space="preserve"> </w:t>
      </w:r>
      <w:r w:rsidR="00E05D23" w:rsidRPr="00D61001">
        <w:fldChar w:fldCharType="begin" w:fldLock="1"/>
      </w:r>
      <w:r w:rsidR="00A27D36" w:rsidRPr="00026817">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E05D23" w:rsidRPr="00D61001">
        <w:fldChar w:fldCharType="separate"/>
      </w:r>
      <w:r w:rsidR="00E05D23" w:rsidRPr="00026817">
        <w:rPr>
          <w:noProof/>
        </w:rPr>
        <w:t>[1]</w:t>
      </w:r>
      <w:r w:rsidR="00E05D23" w:rsidRPr="00D61001">
        <w:fldChar w:fldCharType="end"/>
      </w:r>
      <w:r w:rsidR="00D61001" w:rsidRPr="00D61001">
        <w:t>)</w:t>
      </w:r>
      <w:r w:rsidR="00D61001">
        <w:t>.</w:t>
      </w:r>
      <w:bookmarkEnd w:id="103"/>
    </w:p>
    <w:p w14:paraId="11F83B86" w14:textId="519E6468" w:rsidR="00A322FE" w:rsidRDefault="00A322FE" w:rsidP="00A322FE">
      <w:pPr>
        <w:spacing w:after="288"/>
      </w:pPr>
      <w:r w:rsidRPr="0015600B">
        <w:t xml:space="preserve">The thermal network representative of the system shown in Figure </w:t>
      </w:r>
      <w:r w:rsidR="007F2B27">
        <w:t>3</w:t>
      </w:r>
      <w:r>
        <w:t>.1</w:t>
      </w:r>
      <w:r w:rsidRPr="0015600B">
        <w:t xml:space="preserve"> is illustrated in Figure </w:t>
      </w:r>
      <w:r w:rsidR="007F2B27">
        <w:t>3</w:t>
      </w:r>
      <w:r w:rsidRPr="0015600B">
        <w:t>.2</w:t>
      </w:r>
      <w:r w:rsidR="008F0CF3">
        <w:t>,</w:t>
      </w:r>
      <w:r w:rsidRPr="0015600B">
        <w:t xml:space="preserve"> and </w:t>
      </w:r>
      <w:r w:rsidR="00B31843">
        <w:t xml:space="preserve">the </w:t>
      </w:r>
      <w:r w:rsidRPr="0015600B">
        <w:t xml:space="preserve">description of each element is provided in Table </w:t>
      </w:r>
      <w:r w:rsidR="007F2B27">
        <w:t>3</w:t>
      </w:r>
      <w:r w:rsidRPr="0015600B">
        <w:t xml:space="preserve">.1. All the thermal elements in this work are annular and are characterized by a thermal resistance and a thermal capacitance. The thermal capacitance feature of the element’s accounts for the time-variations in thermal energy content. In Figure </w:t>
      </w:r>
      <w:r w:rsidR="009A3B72">
        <w:t>3</w:t>
      </w:r>
      <w:r w:rsidRPr="0015600B">
        <w:t>.2a, </w:t>
      </w:r>
      <w:r w:rsidRPr="0015600B">
        <w:rPr>
          <w:i/>
          <w:iCs/>
        </w:rPr>
        <w:t>T</w:t>
      </w:r>
      <w:r w:rsidRPr="0015600B">
        <w:rPr>
          <w:vertAlign w:val="subscript"/>
        </w:rPr>
        <w:t>sat,1</w:t>
      </w:r>
      <w:r w:rsidR="008F0CF3">
        <w:rPr>
          <w:vertAlign w:val="subscript"/>
        </w:rPr>
        <w:t>,</w:t>
      </w:r>
      <w:r w:rsidR="00B31843">
        <w:rPr>
          <w:vertAlign w:val="subscript"/>
        </w:rPr>
        <w:t xml:space="preserve"> </w:t>
      </w:r>
      <w:r w:rsidRPr="0015600B">
        <w:t>and </w:t>
      </w:r>
      <w:r w:rsidRPr="0015600B">
        <w:rPr>
          <w:i/>
          <w:iCs/>
        </w:rPr>
        <w:t>T</w:t>
      </w:r>
      <w:r w:rsidRPr="0015600B">
        <w:rPr>
          <w:vertAlign w:val="subscript"/>
        </w:rPr>
        <w:t>sat,2</w:t>
      </w:r>
      <w:r w:rsidRPr="0015600B">
        <w:t xml:space="preserve"> are the saturated vapor temperatures within the input and output HPs, respectively. </w:t>
      </w:r>
    </w:p>
    <w:p w14:paraId="7B102C23" w14:textId="0AF56C2B" w:rsidR="00A322FE" w:rsidRDefault="002850A3" w:rsidP="00A322FE">
      <w:pPr>
        <w:keepNext/>
        <w:spacing w:after="288"/>
        <w:ind w:firstLine="0"/>
        <w:jc w:val="center"/>
      </w:pPr>
      <w:r>
        <w:rPr>
          <w:noProof/>
        </w:rPr>
        <w:lastRenderedPageBreak/>
        <w:drawing>
          <wp:inline distT="0" distB="0" distL="0" distR="0" wp14:anchorId="6A1DE59C" wp14:editId="36274611">
            <wp:extent cx="3467100" cy="6370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67100" cy="6370320"/>
                    </a:xfrm>
                    <a:prstGeom prst="rect">
                      <a:avLst/>
                    </a:prstGeom>
                    <a:noFill/>
                    <a:ln>
                      <a:noFill/>
                    </a:ln>
                  </pic:spPr>
                </pic:pic>
              </a:graphicData>
            </a:graphic>
          </wp:inline>
        </w:drawing>
      </w:r>
    </w:p>
    <w:p w14:paraId="367A3E37" w14:textId="1E3D4ED0" w:rsidR="00A322FE" w:rsidRPr="0015600B" w:rsidRDefault="00A322FE" w:rsidP="00037B41">
      <w:pPr>
        <w:pStyle w:val="Caption"/>
      </w:pPr>
      <w:bookmarkStart w:id="104" w:name="_Toc47467756"/>
      <w:r>
        <w:t xml:space="preserve">Figure </w:t>
      </w:r>
      <w:fldSimple w:instr=" STYLEREF 1 \s ">
        <w:r w:rsidR="00D979B8">
          <w:rPr>
            <w:noProof/>
          </w:rPr>
          <w:t>3</w:t>
        </w:r>
      </w:fldSimple>
      <w:r w:rsidR="00961B56">
        <w:t>.</w:t>
      </w:r>
      <w:fldSimple w:instr=" SEQ Figure \* ARABIC \s 1 ">
        <w:r w:rsidR="00D979B8">
          <w:rPr>
            <w:noProof/>
          </w:rPr>
          <w:t>2</w:t>
        </w:r>
      </w:fldSimple>
      <w:r>
        <w:t>.</w:t>
      </w:r>
      <w:r w:rsidRPr="0015600B">
        <w:t xml:space="preserve"> (a) Thermal resistance network for heat transfer analysis of the LHTES system and related heat exchangers, (b) definition of the element temperatures and interfacial temperatures between neighboring elements, (c) illustration of the temperature variations across elements</w:t>
      </w:r>
      <w:r w:rsidR="00E05D23" w:rsidRPr="00E05D23">
        <w:rPr>
          <w:szCs w:val="24"/>
        </w:rPr>
        <w:t xml:space="preserve"> </w:t>
      </w:r>
      <w:r w:rsidR="00D61001" w:rsidRPr="00777895">
        <w:t xml:space="preserve">(adopted from  </w:t>
      </w:r>
      <w:r w:rsidR="00D61001" w:rsidRPr="00777895">
        <w:fldChar w:fldCharType="begin" w:fldLock="1"/>
      </w:r>
      <w:r w:rsidR="00D61001" w:rsidRPr="00777895">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D61001" w:rsidRPr="00777895">
        <w:fldChar w:fldCharType="separate"/>
      </w:r>
      <w:r w:rsidR="00D61001" w:rsidRPr="00777895">
        <w:rPr>
          <w:noProof/>
        </w:rPr>
        <w:t>[1]</w:t>
      </w:r>
      <w:r w:rsidR="00D61001" w:rsidRPr="00777895">
        <w:fldChar w:fldCharType="end"/>
      </w:r>
      <w:r w:rsidR="00D61001" w:rsidRPr="00777895">
        <w:t>)</w:t>
      </w:r>
      <w:r w:rsidR="00D61001">
        <w:t>.</w:t>
      </w:r>
      <w:bookmarkEnd w:id="104"/>
    </w:p>
    <w:p w14:paraId="6DC83F6F" w14:textId="77777777" w:rsidR="00AD5231" w:rsidRDefault="00AD5231">
      <w:pPr>
        <w:pStyle w:val="Caption"/>
      </w:pPr>
    </w:p>
    <w:p w14:paraId="59BE6172" w14:textId="7F1FAC15" w:rsidR="00A322FE" w:rsidRDefault="001D15D4">
      <w:pPr>
        <w:pStyle w:val="Caption"/>
      </w:pPr>
      <w:bookmarkStart w:id="105" w:name="_Toc47467743"/>
      <w:r>
        <w:lastRenderedPageBreak/>
        <w:t>T</w:t>
      </w:r>
      <w:r w:rsidR="00A322FE">
        <w:t xml:space="preserve">able </w:t>
      </w:r>
      <w:fldSimple w:instr=" STYLEREF 1 \s ">
        <w:r w:rsidR="00D979B8">
          <w:rPr>
            <w:noProof/>
          </w:rPr>
          <w:t>3</w:t>
        </w:r>
      </w:fldSimple>
      <w:r w:rsidR="00A322FE">
        <w:t>.</w:t>
      </w:r>
      <w:fldSimple w:instr=" SEQ Table \* ARABIC \s 1 ">
        <w:r w:rsidR="00D979B8">
          <w:rPr>
            <w:noProof/>
          </w:rPr>
          <w:t>1</w:t>
        </w:r>
      </w:fldSimple>
      <w:r w:rsidR="00A322FE">
        <w:t xml:space="preserve">. </w:t>
      </w:r>
      <w:r w:rsidR="00A322FE" w:rsidRPr="0015600B">
        <w:t>Description of the thermal elements appearing in Figure 4.2</w:t>
      </w:r>
      <w:r w:rsidR="00D25297">
        <w:t xml:space="preserve"> </w:t>
      </w:r>
      <w:r w:rsidR="00A322FE" w:rsidRPr="0015600B">
        <w:t>(a)</w:t>
      </w:r>
      <w:r w:rsidR="007C6AB8">
        <w:t xml:space="preserve"> </w:t>
      </w:r>
      <w:r w:rsidR="00D61001" w:rsidRPr="00777895">
        <w:t xml:space="preserve">(adopted from  </w:t>
      </w:r>
      <w:r w:rsidR="00D61001" w:rsidRPr="00777895">
        <w:fldChar w:fldCharType="begin" w:fldLock="1"/>
      </w:r>
      <w:r w:rsidR="00D61001" w:rsidRPr="00777895">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D61001" w:rsidRPr="00777895">
        <w:fldChar w:fldCharType="separate"/>
      </w:r>
      <w:r w:rsidR="00D61001" w:rsidRPr="00777895">
        <w:rPr>
          <w:noProof/>
        </w:rPr>
        <w:t>[1]</w:t>
      </w:r>
      <w:r w:rsidR="00D61001" w:rsidRPr="00777895">
        <w:fldChar w:fldCharType="end"/>
      </w:r>
      <w:r w:rsidR="00D61001" w:rsidRPr="00777895">
        <w:t>)</w:t>
      </w:r>
      <w:r w:rsidR="00D61001">
        <w:t>.</w:t>
      </w:r>
      <w:bookmarkEnd w:id="105"/>
    </w:p>
    <w:tbl>
      <w:tblPr>
        <w:tblW w:w="8497" w:type="dxa"/>
        <w:tblBorders>
          <w:top w:val="single" w:sz="6" w:space="0" w:color="EBEBEB"/>
          <w:bottom w:val="single" w:sz="6" w:space="0" w:color="EBEBEB"/>
        </w:tblBorders>
        <w:tblCellMar>
          <w:left w:w="0" w:type="dxa"/>
          <w:right w:w="0" w:type="dxa"/>
        </w:tblCellMar>
        <w:tblLook w:val="04A0" w:firstRow="1" w:lastRow="0" w:firstColumn="1" w:lastColumn="0" w:noHBand="0" w:noVBand="1"/>
      </w:tblPr>
      <w:tblGrid>
        <w:gridCol w:w="1440"/>
        <w:gridCol w:w="7057"/>
      </w:tblGrid>
      <w:tr w:rsidR="00A322FE" w:rsidRPr="0015600B" w14:paraId="3EB76BD1" w14:textId="77777777" w:rsidTr="003E2D43">
        <w:trPr>
          <w:trHeight w:val="226"/>
          <w:tblHeader/>
        </w:trPr>
        <w:tc>
          <w:tcPr>
            <w:tcW w:w="1440" w:type="dxa"/>
            <w:tcBorders>
              <w:top w:val="single" w:sz="4" w:space="0" w:color="auto"/>
              <w:bottom w:val="single" w:sz="4" w:space="0" w:color="auto"/>
              <w:right w:val="nil"/>
            </w:tcBorders>
            <w:tcMar>
              <w:top w:w="75" w:type="dxa"/>
              <w:left w:w="75" w:type="dxa"/>
              <w:bottom w:w="75" w:type="dxa"/>
              <w:right w:w="75" w:type="dxa"/>
            </w:tcMar>
            <w:vAlign w:val="center"/>
            <w:hideMark/>
          </w:tcPr>
          <w:p w14:paraId="77AD2D00" w14:textId="77777777" w:rsidR="00A322FE" w:rsidRPr="0015600B" w:rsidRDefault="00A322FE" w:rsidP="003E2D43">
            <w:pPr>
              <w:spacing w:line="240" w:lineRule="auto"/>
              <w:ind w:firstLine="0"/>
              <w:jc w:val="left"/>
              <w:rPr>
                <w:b/>
                <w:bCs/>
                <w:sz w:val="22"/>
                <w:szCs w:val="20"/>
              </w:rPr>
            </w:pPr>
            <w:r w:rsidRPr="0015600B">
              <w:rPr>
                <w:b/>
                <w:bCs/>
                <w:sz w:val="22"/>
                <w:szCs w:val="20"/>
              </w:rPr>
              <w:t>Resistance</w:t>
            </w:r>
          </w:p>
        </w:tc>
        <w:tc>
          <w:tcPr>
            <w:tcW w:w="7057" w:type="dxa"/>
            <w:tcBorders>
              <w:top w:val="single" w:sz="4" w:space="0" w:color="auto"/>
              <w:bottom w:val="single" w:sz="4" w:space="0" w:color="auto"/>
              <w:right w:val="nil"/>
            </w:tcBorders>
            <w:tcMar>
              <w:top w:w="75" w:type="dxa"/>
              <w:left w:w="75" w:type="dxa"/>
              <w:bottom w:w="75" w:type="dxa"/>
              <w:right w:w="75" w:type="dxa"/>
            </w:tcMar>
            <w:vAlign w:val="bottom"/>
            <w:hideMark/>
          </w:tcPr>
          <w:p w14:paraId="49A449FE" w14:textId="77777777" w:rsidR="00A322FE" w:rsidRPr="0015600B" w:rsidRDefault="00A322FE" w:rsidP="003E2D43">
            <w:pPr>
              <w:spacing w:line="240" w:lineRule="auto"/>
              <w:ind w:firstLine="0"/>
              <w:jc w:val="left"/>
              <w:rPr>
                <w:b/>
                <w:bCs/>
                <w:sz w:val="22"/>
                <w:szCs w:val="20"/>
              </w:rPr>
            </w:pPr>
            <w:r w:rsidRPr="0015600B">
              <w:rPr>
                <w:b/>
                <w:bCs/>
                <w:sz w:val="22"/>
                <w:szCs w:val="20"/>
              </w:rPr>
              <w:t>Definition</w:t>
            </w:r>
          </w:p>
        </w:tc>
      </w:tr>
      <w:tr w:rsidR="00A322FE" w:rsidRPr="0015600B" w14:paraId="3E5A463F" w14:textId="77777777" w:rsidTr="003E2D43">
        <w:trPr>
          <w:trHeight w:val="222"/>
        </w:trPr>
        <w:tc>
          <w:tcPr>
            <w:tcW w:w="1440" w:type="dxa"/>
            <w:tcBorders>
              <w:top w:val="single" w:sz="4" w:space="0" w:color="auto"/>
              <w:bottom w:val="nil"/>
              <w:right w:val="nil"/>
            </w:tcBorders>
            <w:tcMar>
              <w:top w:w="75" w:type="dxa"/>
              <w:left w:w="75" w:type="dxa"/>
              <w:bottom w:w="75" w:type="dxa"/>
              <w:right w:w="75" w:type="dxa"/>
            </w:tcMar>
            <w:vAlign w:val="center"/>
            <w:hideMark/>
          </w:tcPr>
          <w:p w14:paraId="1DB002E6"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i/>
                <w:iCs/>
                <w:sz w:val="22"/>
                <w:szCs w:val="20"/>
                <w:vertAlign w:val="subscript"/>
              </w:rPr>
              <w:t>w,</w:t>
            </w:r>
            <w:r w:rsidRPr="0015600B">
              <w:rPr>
                <w:sz w:val="22"/>
                <w:szCs w:val="20"/>
                <w:vertAlign w:val="subscript"/>
              </w:rPr>
              <w:t>1</w:t>
            </w:r>
          </w:p>
        </w:tc>
        <w:tc>
          <w:tcPr>
            <w:tcW w:w="7057" w:type="dxa"/>
            <w:tcBorders>
              <w:top w:val="single" w:sz="4" w:space="0" w:color="auto"/>
              <w:bottom w:val="nil"/>
              <w:right w:val="nil"/>
            </w:tcBorders>
            <w:tcMar>
              <w:top w:w="75" w:type="dxa"/>
              <w:left w:w="75" w:type="dxa"/>
              <w:bottom w:w="75" w:type="dxa"/>
              <w:right w:w="75" w:type="dxa"/>
            </w:tcMar>
            <w:vAlign w:val="center"/>
            <w:hideMark/>
          </w:tcPr>
          <w:p w14:paraId="046C0075" w14:textId="77777777" w:rsidR="00A322FE" w:rsidRPr="0015600B" w:rsidRDefault="00A322FE" w:rsidP="003E2D43">
            <w:pPr>
              <w:spacing w:line="240" w:lineRule="auto"/>
              <w:ind w:firstLine="0"/>
              <w:jc w:val="left"/>
              <w:rPr>
                <w:sz w:val="22"/>
                <w:szCs w:val="20"/>
              </w:rPr>
            </w:pPr>
            <w:r w:rsidRPr="0015600B">
              <w:rPr>
                <w:sz w:val="22"/>
                <w:szCs w:val="20"/>
              </w:rPr>
              <w:t>Radial wall resistance and capacitance of condenser section of input HP</w:t>
            </w:r>
          </w:p>
        </w:tc>
      </w:tr>
      <w:tr w:rsidR="00A322FE" w:rsidRPr="0015600B" w14:paraId="04846B49" w14:textId="77777777" w:rsidTr="003E2D43">
        <w:trPr>
          <w:trHeight w:val="226"/>
        </w:trPr>
        <w:tc>
          <w:tcPr>
            <w:tcW w:w="1440" w:type="dxa"/>
            <w:tcBorders>
              <w:bottom w:val="nil"/>
              <w:right w:val="nil"/>
            </w:tcBorders>
            <w:tcMar>
              <w:top w:w="75" w:type="dxa"/>
              <w:left w:w="75" w:type="dxa"/>
              <w:bottom w:w="75" w:type="dxa"/>
              <w:right w:w="75" w:type="dxa"/>
            </w:tcMar>
            <w:vAlign w:val="center"/>
            <w:hideMark/>
          </w:tcPr>
          <w:p w14:paraId="2845AC24"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i/>
                <w:iCs/>
                <w:sz w:val="22"/>
                <w:szCs w:val="20"/>
                <w:vertAlign w:val="subscript"/>
              </w:rPr>
              <w:t>w,</w:t>
            </w:r>
            <w:r w:rsidRPr="0015600B">
              <w:rPr>
                <w:sz w:val="22"/>
                <w:szCs w:val="20"/>
                <w:vertAlign w:val="subscript"/>
              </w:rPr>
              <w:t>2</w:t>
            </w:r>
          </w:p>
        </w:tc>
        <w:tc>
          <w:tcPr>
            <w:tcW w:w="7057" w:type="dxa"/>
            <w:tcBorders>
              <w:bottom w:val="nil"/>
              <w:right w:val="nil"/>
            </w:tcBorders>
            <w:tcMar>
              <w:top w:w="75" w:type="dxa"/>
              <w:left w:w="75" w:type="dxa"/>
              <w:bottom w:w="75" w:type="dxa"/>
              <w:right w:w="75" w:type="dxa"/>
            </w:tcMar>
            <w:vAlign w:val="center"/>
            <w:hideMark/>
          </w:tcPr>
          <w:p w14:paraId="13E99EF9" w14:textId="77777777" w:rsidR="00A322FE" w:rsidRPr="0015600B" w:rsidRDefault="00A322FE" w:rsidP="003E2D43">
            <w:pPr>
              <w:spacing w:line="240" w:lineRule="auto"/>
              <w:ind w:firstLine="0"/>
              <w:jc w:val="left"/>
              <w:rPr>
                <w:sz w:val="22"/>
                <w:szCs w:val="20"/>
              </w:rPr>
            </w:pPr>
            <w:r w:rsidRPr="0015600B">
              <w:rPr>
                <w:sz w:val="22"/>
                <w:szCs w:val="20"/>
              </w:rPr>
              <w:t>Radial wall resistance and capacitance of evaporator section of output HPs</w:t>
            </w:r>
          </w:p>
        </w:tc>
      </w:tr>
      <w:tr w:rsidR="00A322FE" w:rsidRPr="0015600B" w14:paraId="1EE0A8EC" w14:textId="77777777" w:rsidTr="003E2D43">
        <w:trPr>
          <w:trHeight w:val="449"/>
        </w:trPr>
        <w:tc>
          <w:tcPr>
            <w:tcW w:w="1440" w:type="dxa"/>
            <w:tcBorders>
              <w:bottom w:val="nil"/>
              <w:right w:val="nil"/>
            </w:tcBorders>
            <w:tcMar>
              <w:top w:w="75" w:type="dxa"/>
              <w:left w:w="75" w:type="dxa"/>
              <w:bottom w:w="75" w:type="dxa"/>
              <w:right w:w="75" w:type="dxa"/>
            </w:tcMar>
            <w:vAlign w:val="center"/>
            <w:hideMark/>
          </w:tcPr>
          <w:p w14:paraId="6714852B"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i/>
                <w:iCs/>
                <w:sz w:val="22"/>
                <w:szCs w:val="20"/>
                <w:vertAlign w:val="subscript"/>
              </w:rPr>
              <w:t>w,</w:t>
            </w:r>
            <w:r w:rsidRPr="0015600B">
              <w:rPr>
                <w:sz w:val="22"/>
                <w:szCs w:val="20"/>
                <w:vertAlign w:val="subscript"/>
              </w:rPr>
              <w:t>3</w:t>
            </w:r>
          </w:p>
        </w:tc>
        <w:tc>
          <w:tcPr>
            <w:tcW w:w="7057" w:type="dxa"/>
            <w:tcBorders>
              <w:bottom w:val="nil"/>
              <w:right w:val="nil"/>
            </w:tcBorders>
            <w:tcMar>
              <w:top w:w="75" w:type="dxa"/>
              <w:left w:w="75" w:type="dxa"/>
              <w:bottom w:w="75" w:type="dxa"/>
              <w:right w:w="75" w:type="dxa"/>
            </w:tcMar>
            <w:vAlign w:val="center"/>
            <w:hideMark/>
          </w:tcPr>
          <w:p w14:paraId="19459E90" w14:textId="77777777" w:rsidR="00A322FE" w:rsidRPr="0015600B" w:rsidRDefault="00A322FE" w:rsidP="003E2D43">
            <w:pPr>
              <w:spacing w:line="240" w:lineRule="auto"/>
              <w:ind w:firstLine="0"/>
              <w:jc w:val="left"/>
              <w:rPr>
                <w:sz w:val="22"/>
                <w:szCs w:val="20"/>
              </w:rPr>
            </w:pPr>
            <w:r w:rsidRPr="0015600B">
              <w:rPr>
                <w:sz w:val="22"/>
                <w:szCs w:val="20"/>
              </w:rPr>
              <w:t>Radial wall resistance and capacitance of condenser section of output HP in water HX section</w:t>
            </w:r>
          </w:p>
        </w:tc>
      </w:tr>
      <w:tr w:rsidR="00A322FE" w:rsidRPr="0015600B" w14:paraId="5774135D" w14:textId="77777777" w:rsidTr="003E2D43">
        <w:trPr>
          <w:trHeight w:val="453"/>
        </w:trPr>
        <w:tc>
          <w:tcPr>
            <w:tcW w:w="1440" w:type="dxa"/>
            <w:tcBorders>
              <w:bottom w:val="nil"/>
              <w:right w:val="nil"/>
            </w:tcBorders>
            <w:tcMar>
              <w:top w:w="75" w:type="dxa"/>
              <w:left w:w="75" w:type="dxa"/>
              <w:bottom w:w="75" w:type="dxa"/>
              <w:right w:w="75" w:type="dxa"/>
            </w:tcMar>
            <w:vAlign w:val="center"/>
            <w:hideMark/>
          </w:tcPr>
          <w:p w14:paraId="2BBD1876"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i/>
                <w:iCs/>
                <w:sz w:val="22"/>
                <w:szCs w:val="20"/>
                <w:vertAlign w:val="subscript"/>
              </w:rPr>
              <w:t>w,</w:t>
            </w:r>
            <w:r w:rsidRPr="0015600B">
              <w:rPr>
                <w:sz w:val="22"/>
                <w:szCs w:val="20"/>
                <w:vertAlign w:val="subscript"/>
              </w:rPr>
              <w:t>4</w:t>
            </w:r>
          </w:p>
        </w:tc>
        <w:tc>
          <w:tcPr>
            <w:tcW w:w="7057" w:type="dxa"/>
            <w:tcBorders>
              <w:bottom w:val="nil"/>
              <w:right w:val="nil"/>
            </w:tcBorders>
            <w:tcMar>
              <w:top w:w="75" w:type="dxa"/>
              <w:left w:w="75" w:type="dxa"/>
              <w:bottom w:w="75" w:type="dxa"/>
              <w:right w:w="75" w:type="dxa"/>
            </w:tcMar>
            <w:vAlign w:val="center"/>
            <w:hideMark/>
          </w:tcPr>
          <w:p w14:paraId="10603F96" w14:textId="77777777" w:rsidR="00A322FE" w:rsidRPr="0015600B" w:rsidRDefault="00A322FE" w:rsidP="003E2D43">
            <w:pPr>
              <w:spacing w:line="240" w:lineRule="auto"/>
              <w:ind w:firstLine="0"/>
              <w:jc w:val="left"/>
              <w:rPr>
                <w:sz w:val="22"/>
                <w:szCs w:val="20"/>
              </w:rPr>
            </w:pPr>
            <w:r w:rsidRPr="0015600B">
              <w:rPr>
                <w:sz w:val="22"/>
                <w:szCs w:val="20"/>
              </w:rPr>
              <w:t>Radial wall resistance and capacitance of condenser section of output HPs in air HX section</w:t>
            </w:r>
          </w:p>
        </w:tc>
      </w:tr>
      <w:tr w:rsidR="00A322FE" w:rsidRPr="0015600B" w14:paraId="3EA556EF" w14:textId="77777777" w:rsidTr="003E2D43">
        <w:trPr>
          <w:trHeight w:val="449"/>
        </w:trPr>
        <w:tc>
          <w:tcPr>
            <w:tcW w:w="1440" w:type="dxa"/>
            <w:tcBorders>
              <w:bottom w:val="nil"/>
              <w:right w:val="nil"/>
            </w:tcBorders>
            <w:tcMar>
              <w:top w:w="75" w:type="dxa"/>
              <w:left w:w="75" w:type="dxa"/>
              <w:bottom w:w="75" w:type="dxa"/>
              <w:right w:w="75" w:type="dxa"/>
            </w:tcMar>
            <w:vAlign w:val="center"/>
            <w:hideMark/>
          </w:tcPr>
          <w:p w14:paraId="1B17C7A1"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i/>
                <w:iCs/>
                <w:sz w:val="22"/>
                <w:szCs w:val="20"/>
                <w:vertAlign w:val="subscript"/>
              </w:rPr>
              <w:t>w,</w:t>
            </w:r>
            <w:r w:rsidRPr="0015600B">
              <w:rPr>
                <w:sz w:val="22"/>
                <w:szCs w:val="20"/>
                <w:vertAlign w:val="subscript"/>
              </w:rPr>
              <w:t>5</w:t>
            </w:r>
          </w:p>
        </w:tc>
        <w:tc>
          <w:tcPr>
            <w:tcW w:w="7057" w:type="dxa"/>
            <w:tcBorders>
              <w:bottom w:val="nil"/>
              <w:right w:val="nil"/>
            </w:tcBorders>
            <w:tcMar>
              <w:top w:w="75" w:type="dxa"/>
              <w:left w:w="75" w:type="dxa"/>
              <w:bottom w:w="75" w:type="dxa"/>
              <w:right w:w="75" w:type="dxa"/>
            </w:tcMar>
            <w:vAlign w:val="center"/>
            <w:hideMark/>
          </w:tcPr>
          <w:p w14:paraId="7A523417" w14:textId="77777777" w:rsidR="00A322FE" w:rsidRPr="0015600B" w:rsidRDefault="00A322FE" w:rsidP="003E2D43">
            <w:pPr>
              <w:spacing w:line="240" w:lineRule="auto"/>
              <w:ind w:firstLine="0"/>
              <w:jc w:val="left"/>
              <w:rPr>
                <w:sz w:val="22"/>
                <w:szCs w:val="20"/>
              </w:rPr>
            </w:pPr>
            <w:r w:rsidRPr="0015600B">
              <w:rPr>
                <w:sz w:val="22"/>
                <w:szCs w:val="20"/>
              </w:rPr>
              <w:t>Radial wall resistance and capacitance of condenser section of output HPs in vapor-regenerator section</w:t>
            </w:r>
          </w:p>
        </w:tc>
      </w:tr>
      <w:tr w:rsidR="00A322FE" w:rsidRPr="0015600B" w14:paraId="57623568" w14:textId="77777777" w:rsidTr="003E2D43">
        <w:trPr>
          <w:trHeight w:val="453"/>
        </w:trPr>
        <w:tc>
          <w:tcPr>
            <w:tcW w:w="1440" w:type="dxa"/>
            <w:tcBorders>
              <w:bottom w:val="nil"/>
              <w:right w:val="nil"/>
            </w:tcBorders>
            <w:tcMar>
              <w:top w:w="75" w:type="dxa"/>
              <w:left w:w="75" w:type="dxa"/>
              <w:bottom w:w="75" w:type="dxa"/>
              <w:right w:w="75" w:type="dxa"/>
            </w:tcMar>
            <w:vAlign w:val="center"/>
            <w:hideMark/>
          </w:tcPr>
          <w:p w14:paraId="6804DCF9"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sz w:val="22"/>
                <w:szCs w:val="20"/>
                <w:vertAlign w:val="subscript"/>
              </w:rPr>
              <w:t>PCM,1−</w:t>
            </w:r>
            <w:r w:rsidRPr="0015600B">
              <w:rPr>
                <w:i/>
                <w:iCs/>
                <w:sz w:val="22"/>
                <w:szCs w:val="20"/>
                <w:vertAlign w:val="subscript"/>
              </w:rPr>
              <w:t>N</w:t>
            </w:r>
          </w:p>
        </w:tc>
        <w:tc>
          <w:tcPr>
            <w:tcW w:w="7057" w:type="dxa"/>
            <w:tcBorders>
              <w:bottom w:val="nil"/>
              <w:right w:val="nil"/>
            </w:tcBorders>
            <w:tcMar>
              <w:top w:w="75" w:type="dxa"/>
              <w:left w:w="75" w:type="dxa"/>
              <w:bottom w:w="75" w:type="dxa"/>
              <w:right w:w="75" w:type="dxa"/>
            </w:tcMar>
            <w:vAlign w:val="center"/>
            <w:hideMark/>
          </w:tcPr>
          <w:p w14:paraId="1D9E279B" w14:textId="77777777" w:rsidR="00A322FE" w:rsidRPr="0015600B" w:rsidRDefault="00A322FE" w:rsidP="003E2D43">
            <w:pPr>
              <w:spacing w:line="240" w:lineRule="auto"/>
              <w:ind w:firstLine="0"/>
              <w:jc w:val="left"/>
              <w:rPr>
                <w:sz w:val="22"/>
                <w:szCs w:val="20"/>
              </w:rPr>
            </w:pPr>
            <w:r w:rsidRPr="0015600B">
              <w:rPr>
                <w:sz w:val="22"/>
                <w:szCs w:val="20"/>
              </w:rPr>
              <w:t>Resistance and capacitance of melted PCM surrounding the condenser sections of the input HP</w:t>
            </w:r>
          </w:p>
        </w:tc>
      </w:tr>
      <w:tr w:rsidR="00A322FE" w:rsidRPr="0015600B" w14:paraId="73FF6D0E" w14:textId="77777777" w:rsidTr="003E2D43">
        <w:trPr>
          <w:trHeight w:val="449"/>
        </w:trPr>
        <w:tc>
          <w:tcPr>
            <w:tcW w:w="1440" w:type="dxa"/>
            <w:tcBorders>
              <w:bottom w:val="single" w:sz="4" w:space="0" w:color="auto"/>
              <w:right w:val="nil"/>
            </w:tcBorders>
            <w:tcMar>
              <w:top w:w="75" w:type="dxa"/>
              <w:left w:w="75" w:type="dxa"/>
              <w:bottom w:w="75" w:type="dxa"/>
              <w:right w:w="75" w:type="dxa"/>
            </w:tcMar>
            <w:vAlign w:val="center"/>
            <w:hideMark/>
          </w:tcPr>
          <w:p w14:paraId="6DA7B749" w14:textId="77777777" w:rsidR="00A322FE" w:rsidRPr="0015600B" w:rsidRDefault="00A322FE" w:rsidP="003E2D43">
            <w:pPr>
              <w:spacing w:line="240" w:lineRule="auto"/>
              <w:ind w:firstLine="0"/>
              <w:jc w:val="left"/>
              <w:rPr>
                <w:sz w:val="22"/>
                <w:szCs w:val="20"/>
              </w:rPr>
            </w:pPr>
            <w:r w:rsidRPr="0015600B">
              <w:rPr>
                <w:i/>
                <w:iCs/>
                <w:sz w:val="22"/>
                <w:szCs w:val="20"/>
              </w:rPr>
              <w:t>E</w:t>
            </w:r>
            <w:r w:rsidRPr="0015600B">
              <w:rPr>
                <w:sz w:val="22"/>
                <w:szCs w:val="20"/>
                <w:vertAlign w:val="subscript"/>
              </w:rPr>
              <w:t>PCM,</w:t>
            </w:r>
            <w:r>
              <w:rPr>
                <w:sz w:val="22"/>
                <w:szCs w:val="20"/>
                <w:vertAlign w:val="subscript"/>
              </w:rPr>
              <w:t xml:space="preserve"> </w:t>
            </w:r>
            <w:r w:rsidRPr="0015600B">
              <w:rPr>
                <w:i/>
                <w:iCs/>
                <w:sz w:val="22"/>
                <w:szCs w:val="20"/>
                <w:vertAlign w:val="subscript"/>
              </w:rPr>
              <w:t>N+</w:t>
            </w:r>
            <w:r w:rsidRPr="0015600B">
              <w:rPr>
                <w:sz w:val="22"/>
                <w:szCs w:val="20"/>
                <w:vertAlign w:val="subscript"/>
              </w:rPr>
              <w:t>1</w:t>
            </w:r>
            <w:r w:rsidRPr="0015600B">
              <w:rPr>
                <w:i/>
                <w:iCs/>
                <w:sz w:val="22"/>
                <w:szCs w:val="20"/>
                <w:vertAlign w:val="subscript"/>
              </w:rPr>
              <w:t>−M</w:t>
            </w:r>
          </w:p>
        </w:tc>
        <w:tc>
          <w:tcPr>
            <w:tcW w:w="7057" w:type="dxa"/>
            <w:tcBorders>
              <w:bottom w:val="single" w:sz="4" w:space="0" w:color="auto"/>
              <w:right w:val="nil"/>
            </w:tcBorders>
            <w:tcMar>
              <w:top w:w="75" w:type="dxa"/>
              <w:left w:w="75" w:type="dxa"/>
              <w:bottom w:w="75" w:type="dxa"/>
              <w:right w:w="75" w:type="dxa"/>
            </w:tcMar>
            <w:vAlign w:val="center"/>
            <w:hideMark/>
          </w:tcPr>
          <w:p w14:paraId="562F69EC" w14:textId="77777777" w:rsidR="00A322FE" w:rsidRPr="0015600B" w:rsidRDefault="00A322FE" w:rsidP="003E2D43">
            <w:pPr>
              <w:spacing w:line="240" w:lineRule="auto"/>
              <w:ind w:firstLine="0"/>
              <w:jc w:val="left"/>
              <w:rPr>
                <w:sz w:val="22"/>
                <w:szCs w:val="20"/>
              </w:rPr>
            </w:pPr>
            <w:r w:rsidRPr="0015600B">
              <w:rPr>
                <w:sz w:val="22"/>
                <w:szCs w:val="20"/>
              </w:rPr>
              <w:t>Resistance and capacitance of solid PCM surrounding the evaporator sections of the output HPs</w:t>
            </w:r>
          </w:p>
        </w:tc>
      </w:tr>
    </w:tbl>
    <w:p w14:paraId="2907A8A0" w14:textId="77777777" w:rsidR="00A322FE" w:rsidRDefault="00A322FE" w:rsidP="00A322FE">
      <w:pPr>
        <w:spacing w:after="288"/>
      </w:pPr>
    </w:p>
    <w:p w14:paraId="25DCC364" w14:textId="77777777" w:rsidR="00A322FE" w:rsidRPr="0015600B" w:rsidRDefault="00A322FE" w:rsidP="00A322FE">
      <w:pPr>
        <w:spacing w:after="288"/>
      </w:pPr>
      <w:r w:rsidRPr="0015600B">
        <w:t>The energy balance for element </w:t>
      </w:r>
      <w:r w:rsidRPr="0015600B">
        <w:rPr>
          <w:i/>
          <w:iCs/>
        </w:rPr>
        <w:t>n</w:t>
      </w:r>
      <w:r w:rsidRPr="0015600B">
        <w:t>, </w:t>
      </w:r>
      <w:r w:rsidRPr="0015600B">
        <w:rPr>
          <w:i/>
          <w:iCs/>
        </w:rPr>
        <w:t>E</w:t>
      </w:r>
      <w:r w:rsidRPr="0015600B">
        <w:rPr>
          <w:i/>
          <w:iCs/>
          <w:vertAlign w:val="subscript"/>
        </w:rPr>
        <w:t>n</w:t>
      </w:r>
      <w:r w:rsidRPr="0015600B">
        <w:t>, is: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9"/>
        <w:gridCol w:w="1531"/>
      </w:tblGrid>
      <w:tr w:rsidR="00A322FE" w:rsidRPr="0015600B" w14:paraId="4624BCEB" w14:textId="77777777" w:rsidTr="009924B9">
        <w:tc>
          <w:tcPr>
            <w:tcW w:w="7109" w:type="dxa"/>
            <w:vAlign w:val="center"/>
          </w:tcPr>
          <w:p w14:paraId="21408ED3"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m</m:t>
                    </m:r>
                  </m:e>
                  <m:sub>
                    <m:r>
                      <w:rPr>
                        <w:rFonts w:ascii="Cambria Math" w:hAnsi="Cambria Math"/>
                      </w:rPr>
                      <m:t>n</m:t>
                    </m:r>
                  </m:sub>
                </m:sSub>
                <m:sSub>
                  <m:sSubPr>
                    <m:ctrlPr>
                      <w:rPr>
                        <w:rFonts w:ascii="Cambria Math" w:hAnsi="Cambria Math"/>
                        <w:i/>
                      </w:rPr>
                    </m:ctrlPr>
                  </m:sSubPr>
                  <m:e>
                    <m:r>
                      <w:rPr>
                        <w:rFonts w:ascii="Cambria Math" w:hAnsi="Cambria Math"/>
                      </w:rPr>
                      <m:t>c</m:t>
                    </m:r>
                  </m:e>
                  <m:sub>
                    <m:r>
                      <w:rPr>
                        <w:rFonts w:ascii="Cambria Math" w:hAnsi="Cambria Math"/>
                      </w:rPr>
                      <m:t>n</m:t>
                    </m:r>
                  </m:sub>
                </m:sSub>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n</m:t>
                        </m:r>
                      </m:sub>
                    </m:sSub>
                  </m:num>
                  <m:den>
                    <m:r>
                      <w:rPr>
                        <w:rFonts w:ascii="Cambria Math" w:hAnsi="Cambria Math"/>
                      </w:rPr>
                      <m:t>∂t</m:t>
                    </m:r>
                  </m:den>
                </m:f>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n,in</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n,out</m:t>
                    </m:r>
                  </m:sub>
                </m:sSub>
              </m:oMath>
            </m:oMathPara>
          </w:p>
        </w:tc>
        <w:tc>
          <w:tcPr>
            <w:tcW w:w="1531" w:type="dxa"/>
            <w:vAlign w:val="center"/>
          </w:tcPr>
          <w:p w14:paraId="44B3F0AC" w14:textId="712932A8" w:rsidR="00A322FE" w:rsidRPr="0015600B" w:rsidRDefault="009570B8" w:rsidP="009924B9">
            <w:pPr>
              <w:spacing w:after="288"/>
              <w:ind w:firstLine="0"/>
              <w:jc w:val="right"/>
            </w:pPr>
            <w:r>
              <w:t>(</w:t>
            </w:r>
            <w:fldSimple w:instr=" STYLEREF 1 \s ">
              <w:r w:rsidR="00D979B8">
                <w:rPr>
                  <w:noProof/>
                </w:rPr>
                <w:t>3</w:t>
              </w:r>
            </w:fldSimple>
            <w:r>
              <w:t>.</w:t>
            </w:r>
            <w:fldSimple w:instr=" SEQ Equation \* ARABIC \s 1 ">
              <w:r w:rsidR="00D979B8">
                <w:rPr>
                  <w:noProof/>
                </w:rPr>
                <w:t>1</w:t>
              </w:r>
            </w:fldSimple>
            <w:r>
              <w:t>)</w:t>
            </w:r>
          </w:p>
        </w:tc>
      </w:tr>
    </w:tbl>
    <w:p w14:paraId="0A705353" w14:textId="57EA6F99" w:rsidR="00A322FE" w:rsidRPr="0015600B" w:rsidRDefault="00A322FE" w:rsidP="00026817">
      <w:pPr>
        <w:spacing w:after="288"/>
        <w:ind w:firstLine="0"/>
      </w:pPr>
      <w:r w:rsidRPr="0015600B">
        <w:t>where </w:t>
      </w:r>
      <w:r w:rsidRPr="0015600B">
        <w:rPr>
          <w:i/>
          <w:iCs/>
        </w:rPr>
        <w:t>m</w:t>
      </w:r>
      <w:r w:rsidRPr="0015600B">
        <w:rPr>
          <w:i/>
          <w:iCs/>
          <w:vertAlign w:val="subscript"/>
        </w:rPr>
        <w:t>n</w:t>
      </w:r>
      <w:r w:rsidRPr="0015600B">
        <w:t> and </w:t>
      </w:r>
      <w:r w:rsidRPr="0015600B">
        <w:rPr>
          <w:i/>
          <w:iCs/>
        </w:rPr>
        <w:t>c</w:t>
      </w:r>
      <w:r w:rsidRPr="0015600B">
        <w:rPr>
          <w:i/>
          <w:iCs/>
          <w:vertAlign w:val="subscript"/>
        </w:rPr>
        <w:t>n</w:t>
      </w:r>
      <w:r w:rsidRPr="0015600B">
        <w:t> are the mass and specific heat of the element, respectively, and </w:t>
      </w:r>
      <w:r w:rsidRPr="0015600B">
        <w:rPr>
          <w:i/>
          <w:iCs/>
        </w:rPr>
        <w:t>q</w:t>
      </w:r>
      <w:r w:rsidRPr="0015600B">
        <w:rPr>
          <w:i/>
          <w:iCs/>
          <w:vertAlign w:val="subscript"/>
        </w:rPr>
        <w:t>n,in</w:t>
      </w:r>
      <w:r w:rsidRPr="0015600B">
        <w:t> and </w:t>
      </w:r>
      <w:r w:rsidRPr="0015600B">
        <w:rPr>
          <w:i/>
          <w:iCs/>
        </w:rPr>
        <w:t>q</w:t>
      </w:r>
      <w:r w:rsidRPr="0015600B">
        <w:rPr>
          <w:i/>
          <w:iCs/>
          <w:vertAlign w:val="subscript"/>
        </w:rPr>
        <w:t>n,out</w:t>
      </w:r>
      <w:r w:rsidRPr="0015600B">
        <w:t> show the input and output heat transfer rates of element </w:t>
      </w:r>
      <w:r w:rsidRPr="0015600B">
        <w:rPr>
          <w:i/>
          <w:iCs/>
        </w:rPr>
        <w:t>E</w:t>
      </w:r>
      <w:r w:rsidRPr="0015600B">
        <w:rPr>
          <w:i/>
          <w:iCs/>
          <w:vertAlign w:val="subscript"/>
        </w:rPr>
        <w:t>n</w:t>
      </w:r>
      <w:r w:rsidRPr="0015600B">
        <w:rPr>
          <w:i/>
          <w:iCs/>
        </w:rPr>
        <w:t>.</w:t>
      </w:r>
      <w:r w:rsidRPr="0015600B">
        <w:t> The heat transfer rate into (out of) the element </w:t>
      </w:r>
      <w:r w:rsidRPr="0015600B">
        <w:rPr>
          <w:i/>
          <w:iCs/>
        </w:rPr>
        <w:t>E</w:t>
      </w:r>
      <w:r w:rsidRPr="0015600B">
        <w:rPr>
          <w:i/>
          <w:iCs/>
          <w:vertAlign w:val="subscript"/>
        </w:rPr>
        <w:t>n</w:t>
      </w:r>
      <w:r w:rsidRPr="0015600B">
        <w:t> is calculated using the difference between the element temperature </w:t>
      </w:r>
      <w:r w:rsidRPr="0015600B">
        <w:rPr>
          <w:i/>
          <w:iCs/>
        </w:rPr>
        <w:t>T</w:t>
      </w:r>
      <w:r w:rsidRPr="0015600B">
        <w:rPr>
          <w:i/>
          <w:iCs/>
          <w:vertAlign w:val="subscript"/>
        </w:rPr>
        <w:t>n</w:t>
      </w:r>
      <w:r w:rsidRPr="0015600B">
        <w:t>, calculated in the middle of the element, and the interfacial temperature between elements </w:t>
      </w:r>
      <w:r w:rsidRPr="0015600B">
        <w:rPr>
          <w:i/>
          <w:iCs/>
        </w:rPr>
        <w:t>E</w:t>
      </w:r>
      <w:r w:rsidRPr="0015600B">
        <w:rPr>
          <w:i/>
          <w:iCs/>
          <w:vertAlign w:val="subscript"/>
        </w:rPr>
        <w:t>n</w:t>
      </w:r>
      <w:r w:rsidRPr="0015600B">
        <w:t> and </w:t>
      </w:r>
      <w:r w:rsidRPr="0015600B">
        <w:rPr>
          <w:i/>
          <w:iCs/>
        </w:rPr>
        <w:t>E</w:t>
      </w:r>
      <w:r w:rsidRPr="0015600B">
        <w:rPr>
          <w:i/>
          <w:iCs/>
          <w:vertAlign w:val="subscript"/>
        </w:rPr>
        <w:t>n−</w:t>
      </w:r>
      <w:r w:rsidRPr="0015600B">
        <w:rPr>
          <w:vertAlign w:val="subscript"/>
        </w:rPr>
        <w:t>1</w:t>
      </w:r>
      <w:r w:rsidRPr="0015600B">
        <w:t> (</w:t>
      </w:r>
      <w:r w:rsidRPr="0015600B">
        <w:rPr>
          <w:i/>
          <w:iCs/>
        </w:rPr>
        <w:t>E</w:t>
      </w:r>
      <w:r w:rsidRPr="0015600B">
        <w:rPr>
          <w:i/>
          <w:iCs/>
          <w:vertAlign w:val="subscript"/>
        </w:rPr>
        <w:t>n</w:t>
      </w:r>
      <w:r w:rsidRPr="0015600B">
        <w:rPr>
          <w:vertAlign w:val="subscript"/>
        </w:rPr>
        <w:t>+1</w:t>
      </w:r>
      <w:r w:rsidRPr="0015600B">
        <w:t>), </w:t>
      </w:r>
      <w:r w:rsidRPr="0015600B">
        <w:rPr>
          <w:i/>
          <w:iCs/>
        </w:rPr>
        <w:t>T</w:t>
      </w:r>
      <w:r w:rsidRPr="0015600B">
        <w:rPr>
          <w:i/>
          <w:iCs/>
          <w:vertAlign w:val="subscript"/>
        </w:rPr>
        <w:t>i</w:t>
      </w:r>
      <w:r w:rsidRPr="0015600B">
        <w:rPr>
          <w:vertAlign w:val="subscript"/>
        </w:rPr>
        <w:t>,</w:t>
      </w:r>
      <w:r w:rsidRPr="0015600B">
        <w:rPr>
          <w:i/>
          <w:iCs/>
          <w:vertAlign w:val="subscript"/>
        </w:rPr>
        <w:t>n</w:t>
      </w:r>
      <w:r w:rsidRPr="0015600B">
        <w:t> (</w:t>
      </w:r>
      <w:r w:rsidRPr="0015600B">
        <w:rPr>
          <w:i/>
          <w:iCs/>
        </w:rPr>
        <w:t>T</w:t>
      </w:r>
      <w:r w:rsidRPr="0015600B">
        <w:rPr>
          <w:i/>
          <w:iCs/>
          <w:vertAlign w:val="subscript"/>
        </w:rPr>
        <w:t>i</w:t>
      </w:r>
      <w:r w:rsidRPr="0015600B">
        <w:rPr>
          <w:vertAlign w:val="subscript"/>
        </w:rPr>
        <w:t>,</w:t>
      </w:r>
      <w:r w:rsidRPr="0015600B">
        <w:rPr>
          <w:i/>
          <w:iCs/>
          <w:vertAlign w:val="subscript"/>
        </w:rPr>
        <w:t>n</w:t>
      </w:r>
      <w:r w:rsidRPr="0015600B">
        <w:rPr>
          <w:vertAlign w:val="subscript"/>
        </w:rPr>
        <w:t>+1</w:t>
      </w:r>
      <w:r w:rsidRPr="0015600B">
        <w:t>). The heat transfer surface area of the element </w:t>
      </w:r>
      <w:r w:rsidRPr="0015600B">
        <w:rPr>
          <w:i/>
          <w:iCs/>
        </w:rPr>
        <w:t>E</w:t>
      </w:r>
      <w:r w:rsidRPr="0015600B">
        <w:rPr>
          <w:i/>
          <w:iCs/>
          <w:vertAlign w:val="subscript"/>
        </w:rPr>
        <w:t>n</w:t>
      </w:r>
      <w:r w:rsidRPr="0015600B">
        <w:t> is equal to the area of the cylindrical surface passing through the middle of the element (</w:t>
      </w:r>
      <w:r w:rsidRPr="0015600B">
        <w:rPr>
          <w:i/>
          <w:iCs/>
        </w:rPr>
        <w:t>A</w:t>
      </w:r>
      <w:r w:rsidRPr="0015600B">
        <w:rPr>
          <w:i/>
          <w:iCs/>
          <w:vertAlign w:val="subscript"/>
        </w:rPr>
        <w:t>n</w:t>
      </w:r>
      <w:r w:rsidRPr="0015600B">
        <w:rPr>
          <w:rFonts w:ascii="Times New Roman" w:hAnsi="Times New Roman" w:cs="Times New Roman"/>
        </w:rPr>
        <w:t> </w:t>
      </w:r>
      <w:r w:rsidRPr="0015600B">
        <w:t>=</w:t>
      </w:r>
      <w:r w:rsidRPr="0015600B">
        <w:rPr>
          <w:rFonts w:ascii="Times New Roman" w:hAnsi="Times New Roman" w:cs="Times New Roman"/>
        </w:rPr>
        <w:t> </w:t>
      </w:r>
      <w:r w:rsidRPr="0015600B">
        <w:t>2</w:t>
      </w:r>
      <w:r w:rsidRPr="0015600B">
        <w:rPr>
          <w:rFonts w:cs="Georgia Pro"/>
        </w:rPr>
        <w:t>π </w:t>
      </w:r>
      <w:r w:rsidRPr="0015600B">
        <w:rPr>
          <w:i/>
          <w:iCs/>
        </w:rPr>
        <w:t>r</w:t>
      </w:r>
      <w:r w:rsidRPr="0015600B">
        <w:rPr>
          <w:i/>
          <w:iCs/>
          <w:vertAlign w:val="subscript"/>
        </w:rPr>
        <w:t>n</w:t>
      </w:r>
      <w:r w:rsidRPr="0015600B">
        <w:rPr>
          <w:i/>
          <w:iCs/>
        </w:rPr>
        <w:t> H</w:t>
      </w:r>
      <w:r w:rsidRPr="0015600B">
        <w:t>). Thus, the input and output heat transfer rates are calculated as:</w:t>
      </w:r>
    </w:p>
    <w:tbl>
      <w:tblPr>
        <w:tblStyle w:val="TableGrid"/>
        <w:tblpPr w:leftFromText="180" w:rightFromText="180" w:vertAnchor="text" w:horzAnchor="margin" w:tblpY="192"/>
        <w:tblW w:w="10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9"/>
        <w:gridCol w:w="1531"/>
        <w:gridCol w:w="1531"/>
      </w:tblGrid>
      <w:tr w:rsidR="009570B8" w:rsidRPr="0015600B" w14:paraId="7B59E2E3" w14:textId="77777777" w:rsidTr="009924B9">
        <w:tc>
          <w:tcPr>
            <w:tcW w:w="7109" w:type="dxa"/>
            <w:vAlign w:val="center"/>
          </w:tcPr>
          <w:p w14:paraId="1239435D" w14:textId="77777777" w:rsidR="009570B8"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q</m:t>
                    </m:r>
                  </m:e>
                  <m:sub>
                    <m:r>
                      <w:rPr>
                        <w:rFonts w:ascii="Cambria Math" w:hAnsi="Cambria Math"/>
                      </w:rPr>
                      <m:t>n,in</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m:t>
                    </m:r>
                  </m:sub>
                </m:sSub>
                <m:sSub>
                  <m:sSubPr>
                    <m:ctrlPr>
                      <w:rPr>
                        <w:rFonts w:ascii="Cambria Math" w:hAnsi="Cambria Math"/>
                        <w:i/>
                      </w:rPr>
                    </m:ctrlPr>
                  </m:sSubPr>
                  <m:e>
                    <m:r>
                      <w:rPr>
                        <w:rFonts w:ascii="Cambria Math" w:hAnsi="Cambria Math"/>
                      </w:rPr>
                      <m:t>A</m:t>
                    </m:r>
                  </m:e>
                  <m:sub>
                    <m:r>
                      <w:rPr>
                        <w:rFonts w:ascii="Cambria Math" w:hAnsi="Cambria Math"/>
                      </w:rPr>
                      <m:t>n</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i,n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n</m:t>
                        </m:r>
                      </m:sub>
                    </m:sSub>
                  </m:e>
                </m:d>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n</m:t>
                    </m:r>
                  </m:sub>
                </m:sSub>
              </m:oMath>
            </m:oMathPara>
          </w:p>
        </w:tc>
        <w:tc>
          <w:tcPr>
            <w:tcW w:w="1531" w:type="dxa"/>
            <w:vAlign w:val="center"/>
          </w:tcPr>
          <w:p w14:paraId="6FEA32F3" w14:textId="3457DEBF" w:rsidR="009570B8" w:rsidRPr="0015600B" w:rsidDel="009570B8" w:rsidRDefault="009570B8" w:rsidP="009924B9">
            <w:pPr>
              <w:spacing w:after="288"/>
              <w:ind w:firstLine="0"/>
              <w:jc w:val="right"/>
            </w:pPr>
            <w:r>
              <w:t>(</w:t>
            </w:r>
            <w:fldSimple w:instr=" STYLEREF 1 \s ">
              <w:r w:rsidR="00D979B8">
                <w:rPr>
                  <w:noProof/>
                </w:rPr>
                <w:t>3</w:t>
              </w:r>
            </w:fldSimple>
            <w:r>
              <w:t>.</w:t>
            </w:r>
            <w:fldSimple w:instr=" SEQ Equation \* ARABIC \s 1 ">
              <w:r w:rsidR="00D979B8">
                <w:rPr>
                  <w:noProof/>
                </w:rPr>
                <w:t>2</w:t>
              </w:r>
            </w:fldSimple>
            <w:r>
              <w:t>)</w:t>
            </w:r>
          </w:p>
        </w:tc>
        <w:tc>
          <w:tcPr>
            <w:tcW w:w="1531" w:type="dxa"/>
            <w:vAlign w:val="center"/>
          </w:tcPr>
          <w:p w14:paraId="39DA00B5" w14:textId="6B47885B" w:rsidR="009570B8" w:rsidRPr="0015600B" w:rsidRDefault="009570B8" w:rsidP="00723466">
            <w:pPr>
              <w:spacing w:after="288"/>
              <w:ind w:firstLine="0"/>
              <w:jc w:val="left"/>
            </w:pPr>
          </w:p>
        </w:tc>
      </w:tr>
    </w:tbl>
    <w:p w14:paraId="42621514" w14:textId="77777777" w:rsidR="00A322FE" w:rsidRPr="0015600B" w:rsidRDefault="00A322FE" w:rsidP="00A322FE">
      <w:pPr>
        <w:spacing w:after="288"/>
        <w:ind w:firstLine="0"/>
      </w:pPr>
      <w:r w:rsidRPr="0015600B">
        <w:t>and</w:t>
      </w:r>
    </w:p>
    <w:tbl>
      <w:tblPr>
        <w:tblStyle w:val="TableGrid"/>
        <w:tblpPr w:leftFromText="180" w:rightFromText="180" w:vertAnchor="text" w:horzAnchor="margin" w:tblpY="192"/>
        <w:tblW w:w="10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9"/>
        <w:gridCol w:w="1531"/>
        <w:gridCol w:w="1531"/>
      </w:tblGrid>
      <w:tr w:rsidR="009570B8" w:rsidRPr="0015600B" w14:paraId="5D1CBCE0" w14:textId="77777777" w:rsidTr="009924B9">
        <w:tc>
          <w:tcPr>
            <w:tcW w:w="7109" w:type="dxa"/>
            <w:vAlign w:val="center"/>
          </w:tcPr>
          <w:p w14:paraId="47CF686C" w14:textId="77777777" w:rsidR="009570B8"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q</m:t>
                    </m:r>
                  </m:e>
                  <m:sub>
                    <m:r>
                      <w:rPr>
                        <w:rFonts w:ascii="Cambria Math" w:hAnsi="Cambria Math"/>
                      </w:rPr>
                      <m:t>n,out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m:t>
                    </m:r>
                  </m:sub>
                </m:sSub>
                <m:sSub>
                  <m:sSubPr>
                    <m:ctrlPr>
                      <w:rPr>
                        <w:rFonts w:ascii="Cambria Math" w:hAnsi="Cambria Math"/>
                        <w:i/>
                      </w:rPr>
                    </m:ctrlPr>
                  </m:sSubPr>
                  <m:e>
                    <m:r>
                      <w:rPr>
                        <w:rFonts w:ascii="Cambria Math" w:hAnsi="Cambria Math"/>
                      </w:rPr>
                      <m:t>A</m:t>
                    </m:r>
                  </m:e>
                  <m:sub>
                    <m:r>
                      <w:rPr>
                        <w:rFonts w:ascii="Cambria Math" w:hAnsi="Cambria Math"/>
                      </w:rPr>
                      <m:t>n</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i,n+1</m:t>
                        </m:r>
                      </m:sub>
                    </m:sSub>
                  </m:e>
                </m:d>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n</m:t>
                    </m:r>
                  </m:sub>
                </m:sSub>
              </m:oMath>
            </m:oMathPara>
          </w:p>
        </w:tc>
        <w:tc>
          <w:tcPr>
            <w:tcW w:w="1531" w:type="dxa"/>
            <w:vAlign w:val="center"/>
          </w:tcPr>
          <w:p w14:paraId="57AEF0E5" w14:textId="7B64F2F7" w:rsidR="009570B8" w:rsidRPr="0015600B" w:rsidDel="009570B8" w:rsidRDefault="009570B8" w:rsidP="009924B9">
            <w:pPr>
              <w:spacing w:after="288"/>
              <w:ind w:firstLine="0"/>
              <w:jc w:val="right"/>
            </w:pPr>
            <w:r>
              <w:t>(</w:t>
            </w:r>
            <w:fldSimple w:instr=" STYLEREF 1 \s ">
              <w:r w:rsidR="00D979B8">
                <w:rPr>
                  <w:noProof/>
                </w:rPr>
                <w:t>3</w:t>
              </w:r>
            </w:fldSimple>
            <w:r>
              <w:t>.</w:t>
            </w:r>
            <w:fldSimple w:instr=" SEQ Equation \* ARABIC \s 1 ">
              <w:r w:rsidR="00D979B8">
                <w:rPr>
                  <w:noProof/>
                </w:rPr>
                <w:t>3</w:t>
              </w:r>
            </w:fldSimple>
            <w:r>
              <w:t>)</w:t>
            </w:r>
          </w:p>
        </w:tc>
        <w:tc>
          <w:tcPr>
            <w:tcW w:w="1531" w:type="dxa"/>
            <w:vAlign w:val="center"/>
          </w:tcPr>
          <w:p w14:paraId="7AE5CE00" w14:textId="0126BD04" w:rsidR="009570B8" w:rsidRPr="0015600B" w:rsidRDefault="009570B8" w:rsidP="00723466">
            <w:pPr>
              <w:spacing w:after="288"/>
              <w:ind w:firstLine="0"/>
              <w:jc w:val="left"/>
            </w:pPr>
          </w:p>
        </w:tc>
      </w:tr>
    </w:tbl>
    <w:p w14:paraId="3286C65A" w14:textId="1E77A948" w:rsidR="00A322FE" w:rsidRPr="0015600B" w:rsidRDefault="00A322FE" w:rsidP="00A322FE">
      <w:pPr>
        <w:spacing w:after="288"/>
      </w:pPr>
      <w:r w:rsidRPr="0015600B">
        <w:t>The temperature of the element </w:t>
      </w:r>
      <w:r w:rsidRPr="0015600B">
        <w:rPr>
          <w:i/>
          <w:iCs/>
        </w:rPr>
        <w:t>E</w:t>
      </w:r>
      <w:r w:rsidRPr="0015600B">
        <w:rPr>
          <w:i/>
          <w:iCs/>
          <w:vertAlign w:val="subscript"/>
        </w:rPr>
        <w:t>n</w:t>
      </w:r>
      <w:r w:rsidRPr="0015600B">
        <w:t> is coupled to its neighbors through the interfacial temperatures </w:t>
      </w:r>
      <w:r w:rsidRPr="0015600B">
        <w:rPr>
          <w:i/>
          <w:iCs/>
        </w:rPr>
        <w:t>T</w:t>
      </w:r>
      <w:r w:rsidRPr="0015600B">
        <w:rPr>
          <w:i/>
          <w:iCs/>
          <w:vertAlign w:val="subscript"/>
        </w:rPr>
        <w:t>i,n</w:t>
      </w:r>
      <w:r w:rsidR="007C6AB8">
        <w:t xml:space="preserve">, </w:t>
      </w:r>
      <w:r w:rsidRPr="0015600B">
        <w:t>and </w:t>
      </w:r>
      <w:r w:rsidRPr="0015600B">
        <w:rPr>
          <w:i/>
          <w:iCs/>
        </w:rPr>
        <w:t>T</w:t>
      </w:r>
      <w:r w:rsidRPr="0015600B">
        <w:rPr>
          <w:i/>
          <w:iCs/>
          <w:vertAlign w:val="subscript"/>
        </w:rPr>
        <w:t>i,n+</w:t>
      </w:r>
      <w:r w:rsidRPr="0015600B">
        <w:rPr>
          <w:vertAlign w:val="subscript"/>
        </w:rPr>
        <w:t>1</w:t>
      </w:r>
      <w:r w:rsidRPr="0015600B">
        <w:t>. The interfacial temperature </w:t>
      </w:r>
      <w:r w:rsidRPr="0015600B">
        <w:rPr>
          <w:i/>
          <w:iCs/>
        </w:rPr>
        <w:t>T</w:t>
      </w:r>
      <w:r w:rsidRPr="0015600B">
        <w:rPr>
          <w:i/>
          <w:iCs/>
          <w:vertAlign w:val="subscript"/>
        </w:rPr>
        <w:t>i,n+</w:t>
      </w:r>
      <w:r w:rsidRPr="0015600B">
        <w:rPr>
          <w:vertAlign w:val="subscript"/>
        </w:rPr>
        <w:t>1</w:t>
      </w:r>
      <w:r w:rsidR="008F0CF3">
        <w:rPr>
          <w:vertAlign w:val="subscript"/>
        </w:rPr>
        <w:t>,</w:t>
      </w:r>
      <w:r w:rsidRPr="0015600B">
        <w:t> is obtained from the equality of the heat transfer rate leaving </w:t>
      </w:r>
      <w:r w:rsidRPr="0015600B">
        <w:rPr>
          <w:i/>
          <w:iCs/>
        </w:rPr>
        <w:t>E</w:t>
      </w:r>
      <w:r w:rsidRPr="0015600B">
        <w:rPr>
          <w:i/>
          <w:iCs/>
          <w:vertAlign w:val="subscript"/>
        </w:rPr>
        <w:t>n</w:t>
      </w:r>
      <w:r w:rsidRPr="0015600B">
        <w:t> and that entering </w:t>
      </w:r>
      <w:r w:rsidRPr="0015600B">
        <w:rPr>
          <w:i/>
          <w:iCs/>
        </w:rPr>
        <w:t>E</w:t>
      </w:r>
      <w:r w:rsidRPr="0015600B">
        <w:rPr>
          <w:i/>
          <w:iCs/>
          <w:vertAlign w:val="subscript"/>
        </w:rPr>
        <w:t>n</w:t>
      </w:r>
      <w:r w:rsidRPr="0015600B">
        <w:rPr>
          <w:vertAlign w:val="subscript"/>
        </w:rPr>
        <w:t>+1</w:t>
      </w:r>
      <w:r w:rsidRPr="0015600B">
        <w:t>.</w:t>
      </w:r>
    </w:p>
    <w:tbl>
      <w:tblPr>
        <w:tblStyle w:val="TableGrid"/>
        <w:tblpPr w:leftFromText="180" w:rightFromText="180" w:vertAnchor="text" w:horzAnchor="margin" w:tblpY="192"/>
        <w:tblW w:w="10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1502"/>
        <w:gridCol w:w="1502"/>
      </w:tblGrid>
      <w:tr w:rsidR="00916607" w:rsidRPr="0015600B" w14:paraId="427E10B5" w14:textId="77777777" w:rsidTr="009924B9">
        <w:tc>
          <w:tcPr>
            <w:tcW w:w="7128" w:type="dxa"/>
            <w:vAlign w:val="center"/>
          </w:tcPr>
          <w:p w14:paraId="77743087" w14:textId="77777777" w:rsidR="00916607"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T</m:t>
                    </m:r>
                  </m:e>
                  <m:sub>
                    <m:r>
                      <w:rPr>
                        <w:rFonts w:ascii="Cambria Math" w:hAnsi="Cambria Math"/>
                      </w:rPr>
                      <m:t>i,n+1</m:t>
                    </m:r>
                  </m:sub>
                </m:sSub>
                <m:r>
                  <w:rPr>
                    <w:rFonts w:ascii="Cambria Math" w:hAnsi="Cambria Math"/>
                  </w:rPr>
                  <m:t>=</m:t>
                </m:r>
                <m:f>
                  <m:fPr>
                    <m:ctrlPr>
                      <w:rPr>
                        <w:rFonts w:ascii="Cambria Math" w:hAnsi="Cambria Math"/>
                        <w:i/>
                      </w:rPr>
                    </m:ctrlPr>
                  </m:fPr>
                  <m:num>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n</m:t>
                            </m:r>
                          </m:sub>
                        </m:sSub>
                        <m:sSub>
                          <m:sSubPr>
                            <m:ctrlPr>
                              <w:rPr>
                                <w:rFonts w:ascii="Cambria Math" w:hAnsi="Cambria Math"/>
                                <w:i/>
                              </w:rPr>
                            </m:ctrlPr>
                          </m:sSubPr>
                          <m:e>
                            <m:r>
                              <w:rPr>
                                <w:rFonts w:ascii="Cambria Math" w:hAnsi="Cambria Math"/>
                              </w:rPr>
                              <m:t>A</m:t>
                            </m:r>
                          </m:e>
                          <m:sub>
                            <m:r>
                              <w:rPr>
                                <w:rFonts w:ascii="Cambria Math" w:hAnsi="Cambria Math"/>
                              </w:rPr>
                              <m:t>n</m:t>
                            </m:r>
                          </m:sub>
                        </m:sSub>
                        <m:sSub>
                          <m:sSubPr>
                            <m:ctrlPr>
                              <w:rPr>
                                <w:rFonts w:ascii="Cambria Math" w:hAnsi="Cambria Math"/>
                                <w:i/>
                              </w:rPr>
                            </m:ctrlPr>
                          </m:sSubPr>
                          <m:e>
                            <m:r>
                              <w:rPr>
                                <w:rFonts w:ascii="Cambria Math" w:hAnsi="Cambria Math"/>
                              </w:rPr>
                              <m:t>T</m:t>
                            </m:r>
                          </m:e>
                          <m:sub>
                            <m:r>
                              <w:rPr>
                                <w:rFonts w:ascii="Cambria Math" w:hAnsi="Cambria Math"/>
                              </w:rPr>
                              <m:t>n</m:t>
                            </m:r>
                          </m:sub>
                        </m:sSub>
                      </m:num>
                      <m:den>
                        <m:sSub>
                          <m:sSubPr>
                            <m:ctrlPr>
                              <w:rPr>
                                <w:rFonts w:ascii="Cambria Math" w:hAnsi="Cambria Math"/>
                                <w:i/>
                              </w:rPr>
                            </m:ctrlPr>
                          </m:sSubPr>
                          <m:e>
                            <m:r>
                              <w:rPr>
                                <w:rFonts w:ascii="Cambria Math" w:hAnsi="Cambria Math"/>
                              </w:rPr>
                              <m:t>δ</m:t>
                            </m:r>
                          </m:e>
                          <m:sub>
                            <m:r>
                              <w:rPr>
                                <w:rFonts w:ascii="Cambria Math" w:hAnsi="Cambria Math"/>
                              </w:rPr>
                              <m:t>n</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n+1</m:t>
                            </m:r>
                          </m:sub>
                        </m:sSub>
                        <m:sSub>
                          <m:sSubPr>
                            <m:ctrlPr>
                              <w:rPr>
                                <w:rFonts w:ascii="Cambria Math" w:hAnsi="Cambria Math"/>
                                <w:i/>
                              </w:rPr>
                            </m:ctrlPr>
                          </m:sSubPr>
                          <m:e>
                            <m:r>
                              <w:rPr>
                                <w:rFonts w:ascii="Cambria Math" w:hAnsi="Cambria Math"/>
                              </w:rPr>
                              <m:t>A</m:t>
                            </m:r>
                          </m:e>
                          <m:sub>
                            <m:r>
                              <w:rPr>
                                <w:rFonts w:ascii="Cambria Math" w:hAnsi="Cambria Math"/>
                              </w:rPr>
                              <m:t>n+1</m:t>
                            </m:r>
                          </m:sub>
                        </m:sSub>
                        <m:sSub>
                          <m:sSubPr>
                            <m:ctrlPr>
                              <w:rPr>
                                <w:rFonts w:ascii="Cambria Math" w:hAnsi="Cambria Math"/>
                                <w:i/>
                              </w:rPr>
                            </m:ctrlPr>
                          </m:sSubPr>
                          <m:e>
                            <m:r>
                              <w:rPr>
                                <w:rFonts w:ascii="Cambria Math" w:hAnsi="Cambria Math"/>
                              </w:rPr>
                              <m:t>T</m:t>
                            </m:r>
                          </m:e>
                          <m:sub>
                            <m:r>
                              <w:rPr>
                                <w:rFonts w:ascii="Cambria Math" w:hAnsi="Cambria Math"/>
                              </w:rPr>
                              <m:t>n+1</m:t>
                            </m:r>
                          </m:sub>
                        </m:sSub>
                      </m:num>
                      <m:den>
                        <m:sSub>
                          <m:sSubPr>
                            <m:ctrlPr>
                              <w:rPr>
                                <w:rFonts w:ascii="Cambria Math" w:hAnsi="Cambria Math"/>
                                <w:i/>
                              </w:rPr>
                            </m:ctrlPr>
                          </m:sSubPr>
                          <m:e>
                            <m:r>
                              <w:rPr>
                                <w:rFonts w:ascii="Cambria Math" w:hAnsi="Cambria Math"/>
                              </w:rPr>
                              <m:t>δ</m:t>
                            </m:r>
                          </m:e>
                          <m:sub>
                            <m:r>
                              <w:rPr>
                                <w:rFonts w:ascii="Cambria Math" w:hAnsi="Cambria Math"/>
                              </w:rPr>
                              <m:t>n+1</m:t>
                            </m:r>
                          </m:sub>
                        </m:sSub>
                      </m:den>
                    </m:f>
                  </m:num>
                  <m:den>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n</m:t>
                            </m:r>
                          </m:sub>
                        </m:sSub>
                        <m:sSub>
                          <m:sSubPr>
                            <m:ctrlPr>
                              <w:rPr>
                                <w:rFonts w:ascii="Cambria Math" w:hAnsi="Cambria Math"/>
                                <w:i/>
                              </w:rPr>
                            </m:ctrlPr>
                          </m:sSubPr>
                          <m:e>
                            <m:r>
                              <w:rPr>
                                <w:rFonts w:ascii="Cambria Math" w:hAnsi="Cambria Math"/>
                              </w:rPr>
                              <m:t>A</m:t>
                            </m:r>
                          </m:e>
                          <m:sub>
                            <m:r>
                              <w:rPr>
                                <w:rFonts w:ascii="Cambria Math" w:hAnsi="Cambria Math"/>
                              </w:rPr>
                              <m:t>n</m:t>
                            </m:r>
                          </m:sub>
                        </m:sSub>
                      </m:num>
                      <m:den>
                        <m:sSub>
                          <m:sSubPr>
                            <m:ctrlPr>
                              <w:rPr>
                                <w:rFonts w:ascii="Cambria Math" w:hAnsi="Cambria Math"/>
                                <w:i/>
                              </w:rPr>
                            </m:ctrlPr>
                          </m:sSubPr>
                          <m:e>
                            <m:r>
                              <w:rPr>
                                <w:rFonts w:ascii="Cambria Math" w:hAnsi="Cambria Math"/>
                              </w:rPr>
                              <m:t>δ</m:t>
                            </m:r>
                          </m:e>
                          <m:sub>
                            <m:r>
                              <w:rPr>
                                <w:rFonts w:ascii="Cambria Math" w:hAnsi="Cambria Math"/>
                              </w:rPr>
                              <m:t>n</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n+1</m:t>
                            </m:r>
                          </m:sub>
                        </m:sSub>
                        <m:sSub>
                          <m:sSubPr>
                            <m:ctrlPr>
                              <w:rPr>
                                <w:rFonts w:ascii="Cambria Math" w:hAnsi="Cambria Math"/>
                                <w:i/>
                              </w:rPr>
                            </m:ctrlPr>
                          </m:sSubPr>
                          <m:e>
                            <m:r>
                              <w:rPr>
                                <w:rFonts w:ascii="Cambria Math" w:hAnsi="Cambria Math"/>
                              </w:rPr>
                              <m:t>A</m:t>
                            </m:r>
                          </m:e>
                          <m:sub>
                            <m:r>
                              <w:rPr>
                                <w:rFonts w:ascii="Cambria Math" w:hAnsi="Cambria Math"/>
                              </w:rPr>
                              <m:t>n+1</m:t>
                            </m:r>
                          </m:sub>
                        </m:sSub>
                      </m:num>
                      <m:den>
                        <m:sSub>
                          <m:sSubPr>
                            <m:ctrlPr>
                              <w:rPr>
                                <w:rFonts w:ascii="Cambria Math" w:hAnsi="Cambria Math"/>
                                <w:i/>
                              </w:rPr>
                            </m:ctrlPr>
                          </m:sSubPr>
                          <m:e>
                            <m:r>
                              <w:rPr>
                                <w:rFonts w:ascii="Cambria Math" w:hAnsi="Cambria Math"/>
                              </w:rPr>
                              <m:t>δ</m:t>
                            </m:r>
                          </m:e>
                          <m:sub>
                            <m:r>
                              <w:rPr>
                                <w:rFonts w:ascii="Cambria Math" w:hAnsi="Cambria Math"/>
                              </w:rPr>
                              <m:t>n+1</m:t>
                            </m:r>
                          </m:sub>
                        </m:sSub>
                      </m:den>
                    </m:f>
                  </m:den>
                </m:f>
              </m:oMath>
            </m:oMathPara>
          </w:p>
        </w:tc>
        <w:tc>
          <w:tcPr>
            <w:tcW w:w="1502" w:type="dxa"/>
            <w:vAlign w:val="center"/>
          </w:tcPr>
          <w:p w14:paraId="10EC62BF" w14:textId="430EFB6B" w:rsidR="00916607" w:rsidRPr="0015600B" w:rsidDel="00916607"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4</w:t>
              </w:r>
            </w:fldSimple>
            <w:r>
              <w:t>)</w:t>
            </w:r>
          </w:p>
        </w:tc>
        <w:tc>
          <w:tcPr>
            <w:tcW w:w="1502" w:type="dxa"/>
            <w:vAlign w:val="center"/>
          </w:tcPr>
          <w:p w14:paraId="3F768FF9" w14:textId="1CE5022C" w:rsidR="00916607" w:rsidRPr="0015600B" w:rsidRDefault="00916607" w:rsidP="00723466">
            <w:pPr>
              <w:spacing w:after="288"/>
              <w:ind w:firstLine="0"/>
              <w:jc w:val="left"/>
            </w:pPr>
          </w:p>
        </w:tc>
      </w:tr>
    </w:tbl>
    <w:p w14:paraId="7953D401" w14:textId="336BD845" w:rsidR="00A322FE" w:rsidRPr="0015600B" w:rsidRDefault="00A322FE" w:rsidP="00A322FE">
      <w:pPr>
        <w:spacing w:after="288"/>
      </w:pPr>
      <w:r w:rsidRPr="0015600B">
        <w:t>In this equation</w:t>
      </w:r>
      <w:r w:rsidR="008F0CF3">
        <w:t xml:space="preserve">, </w:t>
      </w:r>
      <w:r w:rsidRPr="0015600B">
        <w:rPr>
          <w:i/>
          <w:iCs/>
        </w:rPr>
        <w:t>k</w:t>
      </w:r>
      <w:r w:rsidRPr="0015600B">
        <w:t>, </w:t>
      </w:r>
      <w:r w:rsidRPr="0015600B">
        <w:rPr>
          <w:i/>
          <w:iCs/>
        </w:rPr>
        <w:t>A</w:t>
      </w:r>
      <w:r w:rsidRPr="0015600B">
        <w:t>, and </w:t>
      </w:r>
      <w:r w:rsidRPr="0015600B">
        <w:rPr>
          <w:i/>
          <w:iCs/>
        </w:rPr>
        <w:t>δ</w:t>
      </w:r>
      <w:r w:rsidRPr="0015600B">
        <w:t> represent the thermal conductivity, surface area</w:t>
      </w:r>
      <w:r w:rsidR="003804E1">
        <w:t>,</w:t>
      </w:r>
      <w:r w:rsidRPr="0015600B">
        <w:t xml:space="preserve"> and half-thickness of the thermal elements, respectively. It is noted that due to the difference between </w:t>
      </w:r>
      <w:r w:rsidRPr="0015600B">
        <w:rPr>
          <w:i/>
          <w:iCs/>
        </w:rPr>
        <w:t>A</w:t>
      </w:r>
      <w:r w:rsidRPr="0015600B">
        <w:rPr>
          <w:i/>
          <w:iCs/>
          <w:vertAlign w:val="subscript"/>
        </w:rPr>
        <w:t>n</w:t>
      </w:r>
      <w:r w:rsidRPr="0015600B">
        <w:t> and </w:t>
      </w:r>
      <w:r w:rsidRPr="0015600B">
        <w:rPr>
          <w:i/>
          <w:iCs/>
        </w:rPr>
        <w:t>A</w:t>
      </w:r>
      <w:r w:rsidRPr="0015600B">
        <w:rPr>
          <w:i/>
          <w:iCs/>
          <w:vertAlign w:val="subscript"/>
        </w:rPr>
        <w:t>n</w:t>
      </w:r>
      <w:r w:rsidRPr="0015600B">
        <w:rPr>
          <w:vertAlign w:val="subscript"/>
        </w:rPr>
        <w:t>+1</w:t>
      </w:r>
      <w:r w:rsidRPr="0015600B">
        <w:t>, the temperature slope at the interface between </w:t>
      </w:r>
      <w:r w:rsidRPr="0015600B">
        <w:rPr>
          <w:i/>
          <w:iCs/>
        </w:rPr>
        <w:t>E</w:t>
      </w:r>
      <w:r w:rsidRPr="0015600B">
        <w:rPr>
          <w:i/>
          <w:iCs/>
          <w:vertAlign w:val="subscript"/>
        </w:rPr>
        <w:t>n</w:t>
      </w:r>
      <w:r w:rsidRPr="0015600B">
        <w:t> and </w:t>
      </w:r>
      <w:r w:rsidRPr="0015600B">
        <w:rPr>
          <w:i/>
          <w:iCs/>
        </w:rPr>
        <w:t>E</w:t>
      </w:r>
      <w:r w:rsidRPr="0015600B">
        <w:rPr>
          <w:i/>
          <w:iCs/>
          <w:vertAlign w:val="subscript"/>
        </w:rPr>
        <w:t>n</w:t>
      </w:r>
      <w:r w:rsidRPr="0015600B">
        <w:rPr>
          <w:vertAlign w:val="subscript"/>
        </w:rPr>
        <w:t>+1</w:t>
      </w:r>
      <w:r w:rsidRPr="0015600B">
        <w:t xml:space="preserve"> is different inside the neighboring elements despite the equality of the interfacial heat transfer rates (see Figure </w:t>
      </w:r>
      <w:r w:rsidR="009A3B72">
        <w:t>3</w:t>
      </w:r>
      <w:r w:rsidRPr="0015600B">
        <w:t>.2c).</w:t>
      </w:r>
    </w:p>
    <w:p w14:paraId="1FF92BEB" w14:textId="0A301AEE" w:rsidR="00A322FE" w:rsidRPr="0015600B" w:rsidRDefault="00A322FE" w:rsidP="00A322FE">
      <w:pPr>
        <w:spacing w:after="288"/>
      </w:pPr>
      <w:r w:rsidRPr="0015600B">
        <w:t>The number of PCM elements in each of the solid and liquid regions is fixed, thus their thickness, 2</w:t>
      </w:r>
      <w:r w:rsidRPr="0015600B">
        <w:rPr>
          <w:i/>
          <w:iCs/>
        </w:rPr>
        <w:t>δ</w:t>
      </w:r>
      <w:r w:rsidRPr="0015600B">
        <w:t>, changes as the solid-liquid interface moves. However, when the thickness of the elements in either solid or liquid region decreases below (increases above) a critical value (</w:t>
      </w:r>
      <w:r w:rsidRPr="0015600B">
        <w:rPr>
          <w:i/>
          <w:iCs/>
        </w:rPr>
        <w:t>L</w:t>
      </w:r>
      <w:r w:rsidRPr="0015600B">
        <w:t xml:space="preserve">/200 in this work), the number of elements is reduced by half (doubled) to maintain the accuracy of the numerical results. If only one cell </w:t>
      </w:r>
      <w:r w:rsidR="003804E1">
        <w:t>remains</w:t>
      </w:r>
      <w:r w:rsidRPr="0015600B">
        <w:t xml:space="preserve"> in the solid (liquid) region and its thickness decreases below the </w:t>
      </w:r>
      <w:r w:rsidRPr="0015600B">
        <w:lastRenderedPageBreak/>
        <w:t>critical value, the solid (liquid) phase completely vanishes and the liquid (solid) phase enters the superheating (subcooling) state, characterized by rapid temperature rise (drop) due to the lack of phase change. The displacement rate of the solid-liquid interface is determined from the following energy balance equation applied to the interface:</w:t>
      </w:r>
    </w:p>
    <w:tbl>
      <w:tblPr>
        <w:tblStyle w:val="TableGrid"/>
        <w:tblpPr w:leftFromText="180" w:rightFromText="180" w:vertAnchor="text" w:horzAnchor="margin" w:tblpY="192"/>
        <w:tblW w:w="8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86"/>
        <w:gridCol w:w="1522"/>
      </w:tblGrid>
      <w:tr w:rsidR="00A322FE" w:rsidRPr="0015600B" w14:paraId="2A7365F9" w14:textId="77777777" w:rsidTr="009924B9">
        <w:trPr>
          <w:trHeight w:val="868"/>
        </w:trPr>
        <w:tc>
          <w:tcPr>
            <w:tcW w:w="7186" w:type="dxa"/>
            <w:vAlign w:val="center"/>
          </w:tcPr>
          <w:p w14:paraId="35168C18" w14:textId="77777777" w:rsidR="00A322FE" w:rsidRPr="0015600B" w:rsidRDefault="00A322FE" w:rsidP="00723466">
            <w:pPr>
              <w:spacing w:after="288"/>
              <w:ind w:firstLine="0"/>
              <w:jc w:val="left"/>
            </w:pPr>
            <m:oMathPara>
              <m:oMathParaPr>
                <m:jc m:val="center"/>
              </m:oMathParaPr>
              <m:oMath>
                <m:r>
                  <w:rPr>
                    <w:rFonts w:ascii="Cambria Math" w:hAnsi="Cambria Math"/>
                  </w:rPr>
                  <m:t>ρ</m:t>
                </m:r>
                <m:sSub>
                  <m:sSubPr>
                    <m:ctrlPr>
                      <w:rPr>
                        <w:rFonts w:ascii="Cambria Math" w:hAnsi="Cambria Math"/>
                        <w:i/>
                      </w:rPr>
                    </m:ctrlPr>
                  </m:sSubPr>
                  <m:e>
                    <m:r>
                      <w:rPr>
                        <w:rFonts w:ascii="Cambria Math" w:hAnsi="Cambria Math"/>
                      </w:rPr>
                      <m:t>h</m:t>
                    </m:r>
                  </m:e>
                  <m:sub>
                    <m:r>
                      <w:rPr>
                        <w:rFonts w:ascii="Cambria Math" w:hAnsi="Cambria Math"/>
                      </w:rPr>
                      <m:t>sl</m:t>
                    </m:r>
                  </m:sub>
                </m:sSub>
                <m:box>
                  <m:boxPr>
                    <m:diff m:val="1"/>
                    <m:ctrlPr>
                      <w:rPr>
                        <w:rFonts w:ascii="Cambria Math" w:hAnsi="Cambria Math"/>
                        <w:i/>
                      </w:rPr>
                    </m:ctrlPr>
                  </m:boxPr>
                  <m:e>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V</m:t>
                            </m:r>
                          </m:e>
                          <m:sub>
                            <m:r>
                              <w:rPr>
                                <w:rFonts w:ascii="Cambria Math" w:hAnsi="Cambria Math"/>
                              </w:rPr>
                              <m:t>l</m:t>
                            </m:r>
                          </m:sub>
                        </m:sSub>
                      </m:num>
                      <m:den>
                        <m:r>
                          <w:rPr>
                            <w:rFonts w:ascii="Cambria Math" w:hAnsi="Cambria Math"/>
                          </w:rPr>
                          <m:t>dt</m:t>
                        </m:r>
                      </m:den>
                    </m:f>
                  </m:e>
                </m:box>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m:t>
                    </m:r>
                  </m:sub>
                </m:sSub>
                <m:sSub>
                  <m:sSubPr>
                    <m:ctrlPr>
                      <w:rPr>
                        <w:rFonts w:ascii="Cambria Math" w:hAnsi="Cambria Math"/>
                        <w:i/>
                      </w:rPr>
                    </m:ctrlPr>
                  </m:sSubPr>
                  <m:e>
                    <m:r>
                      <w:rPr>
                        <w:rFonts w:ascii="Cambria Math" w:hAnsi="Cambria Math"/>
                      </w:rPr>
                      <m:t>A</m:t>
                    </m:r>
                  </m:e>
                  <m:sub>
                    <m:r>
                      <w:rPr>
                        <w:rFonts w:ascii="Cambria Math" w:hAnsi="Cambria Math"/>
                      </w:rPr>
                      <m:t>N</m:t>
                    </m:r>
                  </m:sub>
                </m:sSub>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N</m:t>
                        </m:r>
                      </m:sub>
                    </m:sSub>
                    <m:sSub>
                      <m:sSubPr>
                        <m:ctrlPr>
                          <w:rPr>
                            <w:rFonts w:ascii="Cambria Math" w:hAnsi="Cambria Math"/>
                            <w:i/>
                          </w:rPr>
                        </m:ctrlPr>
                      </m:sSubPr>
                      <m:e>
                        <m:r>
                          <w:rPr>
                            <w:rFonts w:ascii="Cambria Math" w:hAnsi="Cambria Math"/>
                          </w:rPr>
                          <m:t>-T</m:t>
                        </m:r>
                      </m:e>
                      <m:sub>
                        <m:r>
                          <w:rPr>
                            <w:rFonts w:ascii="Cambria Math" w:hAnsi="Cambria Math"/>
                          </w:rPr>
                          <m:t>m</m:t>
                        </m:r>
                      </m:sub>
                    </m:sSub>
                  </m:num>
                  <m:den>
                    <m:sSub>
                      <m:sSubPr>
                        <m:ctrlPr>
                          <w:rPr>
                            <w:rFonts w:ascii="Cambria Math" w:hAnsi="Cambria Math"/>
                            <w:i/>
                          </w:rPr>
                        </m:ctrlPr>
                      </m:sSubPr>
                      <m:e>
                        <m:r>
                          <w:rPr>
                            <w:rFonts w:ascii="Cambria Math" w:hAnsi="Cambria Math"/>
                          </w:rPr>
                          <m:t>δ</m:t>
                        </m:r>
                      </m:e>
                      <m:sub>
                        <m:r>
                          <w:rPr>
                            <w:rFonts w:ascii="Cambria Math" w:hAnsi="Cambria Math"/>
                          </w:rPr>
                          <m:t>N</m:t>
                        </m:r>
                      </m:sub>
                    </m:sSub>
                  </m:den>
                </m:f>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N+1</m:t>
                    </m:r>
                  </m:sub>
                </m:sSub>
                <m:sSub>
                  <m:sSubPr>
                    <m:ctrlPr>
                      <w:rPr>
                        <w:rFonts w:ascii="Cambria Math" w:hAnsi="Cambria Math"/>
                        <w:i/>
                      </w:rPr>
                    </m:ctrlPr>
                  </m:sSubPr>
                  <m:e>
                    <m:r>
                      <w:rPr>
                        <w:rFonts w:ascii="Cambria Math" w:hAnsi="Cambria Math"/>
                      </w:rPr>
                      <m:t>A</m:t>
                    </m:r>
                  </m:e>
                  <m:sub>
                    <m:r>
                      <w:rPr>
                        <w:rFonts w:ascii="Cambria Math" w:hAnsi="Cambria Math"/>
                      </w:rPr>
                      <m:t>N+1</m:t>
                    </m:r>
                  </m:sub>
                </m:sSub>
                <m:f>
                  <m:fPr>
                    <m:ctrlPr>
                      <w:rPr>
                        <w:rFonts w:ascii="Cambria Math" w:hAnsi="Cambria Math"/>
                        <w:i/>
                      </w:rPr>
                    </m:ctrlPr>
                  </m:fPr>
                  <m:num>
                    <m:sSub>
                      <m:sSubPr>
                        <m:ctrlPr>
                          <w:rPr>
                            <w:rFonts w:ascii="Cambria Math" w:hAnsi="Cambria Math"/>
                            <w:i/>
                          </w:rPr>
                        </m:ctrlPr>
                      </m:sSubPr>
                      <m:e>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-T</m:t>
                        </m:r>
                      </m:e>
                      <m:sub>
                        <m:r>
                          <w:rPr>
                            <w:rFonts w:ascii="Cambria Math" w:hAnsi="Cambria Math"/>
                          </w:rPr>
                          <m:t>N+1</m:t>
                        </m:r>
                      </m:sub>
                    </m:sSub>
                  </m:num>
                  <m:den>
                    <m:sSub>
                      <m:sSubPr>
                        <m:ctrlPr>
                          <w:rPr>
                            <w:rFonts w:ascii="Cambria Math" w:hAnsi="Cambria Math"/>
                            <w:i/>
                          </w:rPr>
                        </m:ctrlPr>
                      </m:sSubPr>
                      <m:e>
                        <m:r>
                          <w:rPr>
                            <w:rFonts w:ascii="Cambria Math" w:hAnsi="Cambria Math"/>
                          </w:rPr>
                          <m:t>δ</m:t>
                        </m:r>
                      </m:e>
                      <m:sub>
                        <m:r>
                          <w:rPr>
                            <w:rFonts w:ascii="Cambria Math" w:hAnsi="Cambria Math"/>
                          </w:rPr>
                          <m:t>N+1</m:t>
                        </m:r>
                      </m:sub>
                    </m:sSub>
                  </m:den>
                </m:f>
              </m:oMath>
            </m:oMathPara>
          </w:p>
        </w:tc>
        <w:tc>
          <w:tcPr>
            <w:tcW w:w="1522" w:type="dxa"/>
            <w:vAlign w:val="center"/>
          </w:tcPr>
          <w:p w14:paraId="3D0957A0" w14:textId="15F1F71B"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5</w:t>
              </w:r>
            </w:fldSimple>
            <w:r>
              <w:t>)</w:t>
            </w:r>
          </w:p>
        </w:tc>
      </w:tr>
    </w:tbl>
    <w:p w14:paraId="281BDAEC" w14:textId="71B8735E" w:rsidR="00A322FE" w:rsidRPr="0015600B" w:rsidRDefault="00A322FE" w:rsidP="00026817">
      <w:pPr>
        <w:spacing w:after="288"/>
        <w:ind w:firstLine="0"/>
      </w:pPr>
      <w:r w:rsidRPr="0015600B">
        <w:t>where </w:t>
      </w:r>
      <w:r w:rsidRPr="0015600B">
        <w:rPr>
          <w:i/>
          <w:iCs/>
        </w:rPr>
        <w:t>V</w:t>
      </w:r>
      <w:r w:rsidRPr="0015600B">
        <w:rPr>
          <w:i/>
          <w:iCs/>
          <w:vertAlign w:val="subscript"/>
        </w:rPr>
        <w:t>l</w:t>
      </w:r>
      <w:r w:rsidRPr="0015600B">
        <w:t> is the melted PCM volume, and </w:t>
      </w:r>
      <w:r w:rsidRPr="0015600B">
        <w:rPr>
          <w:i/>
          <w:iCs/>
        </w:rPr>
        <w:t>ρ</w:t>
      </w:r>
      <w:r w:rsidRPr="0015600B">
        <w:t> and </w:t>
      </w:r>
      <m:oMath>
        <m:sSub>
          <m:sSubPr>
            <m:ctrlPr>
              <w:rPr>
                <w:rFonts w:ascii="Cambria Math" w:hAnsi="Cambria Math"/>
                <w:i/>
              </w:rPr>
            </m:ctrlPr>
          </m:sSubPr>
          <m:e>
            <m:r>
              <w:rPr>
                <w:rFonts w:ascii="Cambria Math" w:hAnsi="Cambria Math"/>
              </w:rPr>
              <m:t>h</m:t>
            </m:r>
          </m:e>
          <m:sub>
            <m:r>
              <w:rPr>
                <w:rFonts w:ascii="Cambria Math" w:hAnsi="Cambria Math"/>
              </w:rPr>
              <m:t>sl</m:t>
            </m:r>
          </m:sub>
        </m:sSub>
      </m:oMath>
      <w:r w:rsidRPr="0015600B">
        <w:t> are the density and heat of fusion of the PCM, respectively. Also in Equation (</w:t>
      </w:r>
      <w:r w:rsidR="009A3B72">
        <w:t>3</w:t>
      </w:r>
      <w:r w:rsidRPr="0015600B">
        <w:t>.5), </w:t>
      </w:r>
      <m:oMath>
        <m:sSub>
          <m:sSubPr>
            <m:ctrlPr>
              <w:rPr>
                <w:rFonts w:ascii="Cambria Math" w:hAnsi="Cambria Math"/>
                <w:i/>
              </w:rPr>
            </m:ctrlPr>
          </m:sSubPr>
          <m:e>
            <m:r>
              <w:rPr>
                <w:rFonts w:ascii="Cambria Math" w:hAnsi="Cambria Math"/>
              </w:rPr>
              <m:t>T</m:t>
            </m:r>
          </m:e>
          <m:sub>
            <m:r>
              <w:rPr>
                <w:rFonts w:ascii="Cambria Math" w:hAnsi="Cambria Math"/>
              </w:rPr>
              <m:t>N</m:t>
            </m:r>
          </m:sub>
        </m:sSub>
        <m:r>
          <w:rPr>
            <w:rFonts w:ascii="Cambria Math" w:hAnsi="Cambria Math"/>
          </w:rPr>
          <m:t xml:space="preserve"> </m:t>
        </m:r>
      </m:oMath>
      <w:r w:rsidRPr="0015600B">
        <w:t>and </w:t>
      </w:r>
      <m:oMath>
        <m:sSub>
          <m:sSubPr>
            <m:ctrlPr>
              <w:rPr>
                <w:rFonts w:ascii="Cambria Math" w:hAnsi="Cambria Math"/>
                <w:i/>
              </w:rPr>
            </m:ctrlPr>
          </m:sSubPr>
          <m:e>
            <m:r>
              <w:rPr>
                <w:rFonts w:ascii="Cambria Math" w:hAnsi="Cambria Math"/>
              </w:rPr>
              <m:t>T</m:t>
            </m:r>
          </m:e>
          <m:sub>
            <m:r>
              <w:rPr>
                <w:rFonts w:ascii="Cambria Math" w:hAnsi="Cambria Math"/>
              </w:rPr>
              <m:t>N+1</m:t>
            </m:r>
          </m:sub>
        </m:sSub>
      </m:oMath>
      <w:r w:rsidRPr="0015600B">
        <w:t xml:space="preserve"> represent the thermal element temperatures adjacent to the phase front in the liquid and solid regions, respectively. In the above equations, </w:t>
      </w:r>
      <w:r w:rsidR="003804E1">
        <w:t xml:space="preserve">the </w:t>
      </w:r>
      <w:r w:rsidRPr="0015600B">
        <w:t>thermal conductivity of the PCM-metal foam composite</w:t>
      </w:r>
      <w:r w:rsidR="00D25297">
        <w:t xml:space="preserve"> </w:t>
      </w:r>
      <w:r w:rsidR="008F263B">
        <w:fldChar w:fldCharType="begin" w:fldLock="1"/>
      </w:r>
      <w:r w:rsidR="00D6331E">
        <w:instrText>ADDIN CSL_CITATION {"citationItems":[{"id":"ITEM-1","itemData":{"DOI":"10.1016/j.enconman.2004.06.010","ISSN":"01968904","abstract":"In this paper, the melting process inside an irregular geometry filled with high thermal conductivity porous matrix saturated with phase change material PCM is investigated numerically. The numerical model is resting on solving the volume averaged conservation equations for mass, momentum and energy with phase change (melting) in the porous medium. The convection motion of the liquid phase inside the porous matrix is solved considering the Darcy, Brinkman and Forchiemer effects. A local thermal non-equilibrium assumption is considered due to the large difference in thermal properties between the solid matrix and PCM by applying a two energy equation model. The numerical code shows good agreement for pure PCM melting with another published numerical work. Through this study it is found that the presence of the porous matrix has a great effect on the heat transfer and melting rate of the PCM energy storage. Decreasing the porosity of the matrix increases the melting rate, but it also damps the convection motion. It is also found that the best technique to enhance the response of the PCM storage is to use a solid matrix with high porosity and high thermal conductivity. © 2004 Elsevier Ltd. All rights reserved.","author":[{"dropping-particle":"","family":"Mesalhy","given":"Osama","non-dropping-particle":"","parse-names":false,"suffix":""},{"dropping-particle":"","family":"Lafdi","given":"Khalid","non-dropping-particle":"","parse-names":false,"suffix":""},{"dropping-particle":"","family":"Elgafy","given":"Ahmed","non-dropping-particle":"","parse-names":false,"suffix":""},{"dropping-particle":"","family":"Bowman","given":"Keith","non-dropping-particle":"","parse-names":false,"suffix":""}],"container-title":"Energy Conversion and Management","id":"ITEM-1","issue":"6","issued":{"date-parts":[["2005","4","1"]]},"page":"847-867","publisher":"Pergamon","title":"Numerical study for enhancing the thermal conductivity of phase change material (PCM) storage using high thermal conductivity porous matrix","type":"article-journal","volume":"46"},"uris":["http://www.mendeley.com/documents/?uuid=40b1a5ac-9ea4-3424-9ece-649622041ee9"]}],"mendeley":{"formattedCitation":"[56]","plainTextFormattedCitation":"[56]","previouslyFormattedCitation":"[56]"},"properties":{"noteIndex":0},"schema":"https://github.com/citation-style-language/schema/raw/master/csl-citation.json"}</w:instrText>
      </w:r>
      <w:r w:rsidR="008F263B">
        <w:fldChar w:fldCharType="separate"/>
      </w:r>
      <w:r w:rsidR="00D6331E" w:rsidRPr="00D6331E">
        <w:rPr>
          <w:noProof/>
        </w:rPr>
        <w:t>[56]</w:t>
      </w:r>
      <w:r w:rsidR="008F263B">
        <w:fldChar w:fldCharType="end"/>
      </w:r>
      <w:r w:rsidRPr="0015600B">
        <w:t>.</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4"/>
        <w:gridCol w:w="1326"/>
      </w:tblGrid>
      <w:tr w:rsidR="00A322FE" w:rsidRPr="0015600B" w14:paraId="21325313" w14:textId="77777777" w:rsidTr="009924B9">
        <w:tc>
          <w:tcPr>
            <w:tcW w:w="7304" w:type="dxa"/>
            <w:vAlign w:val="center"/>
          </w:tcPr>
          <w:p w14:paraId="4FAA64ED" w14:textId="77777777" w:rsidR="00A322FE" w:rsidRPr="0015600B" w:rsidRDefault="00A322FE" w:rsidP="00723466">
            <w:pPr>
              <w:spacing w:after="288"/>
              <w:ind w:firstLine="0"/>
              <w:jc w:val="left"/>
              <w:rPr>
                <w:sz w:val="22"/>
                <w:szCs w:val="20"/>
              </w:rPr>
            </w:pPr>
            <m:oMathPara>
              <m:oMathParaPr>
                <m:jc m:val="center"/>
              </m:oMathParaPr>
              <m:oMath>
                <m:r>
                  <w:rPr>
                    <w:rFonts w:ascii="Cambria Math" w:hAnsi="Cambria Math"/>
                    <w:sz w:val="22"/>
                    <w:szCs w:val="20"/>
                  </w:rPr>
                  <m:t>k=</m:t>
                </m:r>
                <m:f>
                  <m:fPr>
                    <m:ctrlPr>
                      <w:rPr>
                        <w:rFonts w:ascii="Cambria Math" w:hAnsi="Cambria Math"/>
                        <w:i/>
                        <w:sz w:val="22"/>
                        <w:szCs w:val="20"/>
                      </w:rPr>
                    </m:ctrlPr>
                  </m:fPr>
                  <m:num>
                    <m:d>
                      <m:dPr>
                        <m:begChr m:val="["/>
                        <m:endChr m:val="]"/>
                        <m:ctrlPr>
                          <w:rPr>
                            <w:rFonts w:ascii="Cambria Math" w:hAnsi="Cambria Math"/>
                            <w:i/>
                            <w:sz w:val="22"/>
                            <w:szCs w:val="20"/>
                          </w:rPr>
                        </m:ctrlPr>
                      </m:dPr>
                      <m:e>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r>
                          <w:rPr>
                            <w:rFonts w:ascii="Cambria Math" w:hAnsi="Cambria Math"/>
                            <w:sz w:val="22"/>
                            <w:szCs w:val="20"/>
                          </w:rPr>
                          <m:t>+π</m:t>
                        </m:r>
                        <m:d>
                          <m:dPr>
                            <m:ctrlPr>
                              <w:rPr>
                                <w:rFonts w:ascii="Cambria Math" w:hAnsi="Cambria Math"/>
                                <w:i/>
                                <w:sz w:val="22"/>
                                <w:szCs w:val="20"/>
                              </w:rPr>
                            </m:ctrlPr>
                          </m:dPr>
                          <m:e>
                            <m:rad>
                              <m:radPr>
                                <m:degHide m:val="1"/>
                                <m:ctrlPr>
                                  <w:rPr>
                                    <w:rFonts w:ascii="Cambria Math" w:hAnsi="Cambria Math"/>
                                    <w:i/>
                                    <w:sz w:val="22"/>
                                    <w:szCs w:val="20"/>
                                  </w:rPr>
                                </m:ctrlPr>
                              </m:radPr>
                              <m:deg/>
                              <m:e>
                                <m:f>
                                  <m:fPr>
                                    <m:ctrlPr>
                                      <w:rPr>
                                        <w:rFonts w:ascii="Cambria Math" w:hAnsi="Cambria Math"/>
                                        <w:i/>
                                        <w:sz w:val="22"/>
                                        <w:szCs w:val="20"/>
                                      </w:rPr>
                                    </m:ctrlPr>
                                  </m:fPr>
                                  <m:num>
                                    <m:r>
                                      <w:rPr>
                                        <w:rFonts w:ascii="Cambria Math" w:hAnsi="Cambria Math"/>
                                        <w:sz w:val="22"/>
                                        <w:szCs w:val="20"/>
                                      </w:rPr>
                                      <m:t>1-ϵ</m:t>
                                    </m:r>
                                  </m:num>
                                  <m:den>
                                    <m:r>
                                      <w:rPr>
                                        <w:rFonts w:ascii="Cambria Math" w:hAnsi="Cambria Math"/>
                                        <w:sz w:val="22"/>
                                        <w:szCs w:val="20"/>
                                      </w:rPr>
                                      <m:t>3π</m:t>
                                    </m:r>
                                  </m:den>
                                </m:f>
                              </m:e>
                            </m:rad>
                            <m:r>
                              <w:rPr>
                                <w:rFonts w:ascii="Cambria Math" w:hAnsi="Cambria Math"/>
                                <w:sz w:val="22"/>
                                <w:szCs w:val="20"/>
                              </w:rPr>
                              <m:t>-</m:t>
                            </m:r>
                            <m:f>
                              <m:fPr>
                                <m:ctrlPr>
                                  <w:rPr>
                                    <w:rFonts w:ascii="Cambria Math" w:hAnsi="Cambria Math"/>
                                    <w:i/>
                                    <w:sz w:val="22"/>
                                    <w:szCs w:val="20"/>
                                  </w:rPr>
                                </m:ctrlPr>
                              </m:fPr>
                              <m:num>
                                <m:r>
                                  <w:rPr>
                                    <w:rFonts w:ascii="Cambria Math" w:hAnsi="Cambria Math"/>
                                    <w:sz w:val="22"/>
                                    <w:szCs w:val="20"/>
                                  </w:rPr>
                                  <m:t>1-ϵ</m:t>
                                </m:r>
                              </m:num>
                              <m:den>
                                <m:r>
                                  <w:rPr>
                                    <w:rFonts w:ascii="Cambria Math" w:hAnsi="Cambria Math"/>
                                    <w:sz w:val="22"/>
                                    <w:szCs w:val="20"/>
                                  </w:rPr>
                                  <m:t>3π</m:t>
                                </m:r>
                              </m:den>
                            </m:f>
                          </m:e>
                        </m:d>
                        <m:d>
                          <m:dPr>
                            <m:ctrlPr>
                              <w:rPr>
                                <w:rFonts w:ascii="Cambria Math" w:hAnsi="Cambria Math"/>
                                <w:i/>
                                <w:sz w:val="22"/>
                                <w:szCs w:val="20"/>
                              </w:rPr>
                            </m:ctrlPr>
                          </m:dPr>
                          <m:e>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s</m:t>
                                </m:r>
                              </m:sub>
                            </m:sSub>
                            <m:r>
                              <w:rPr>
                                <w:rFonts w:ascii="Cambria Math" w:hAnsi="Cambria Math"/>
                                <w:sz w:val="22"/>
                                <w:szCs w:val="20"/>
                              </w:rPr>
                              <m:t>-</m:t>
                            </m:r>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e>
                        </m:d>
                      </m:e>
                    </m:d>
                    <m:d>
                      <m:dPr>
                        <m:begChr m:val="["/>
                        <m:endChr m:val="]"/>
                        <m:ctrlPr>
                          <w:rPr>
                            <w:rFonts w:ascii="Cambria Math" w:hAnsi="Cambria Math"/>
                            <w:i/>
                            <w:sz w:val="22"/>
                            <w:szCs w:val="20"/>
                          </w:rPr>
                        </m:ctrlPr>
                      </m:dPr>
                      <m:e>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r>
                          <w:rPr>
                            <w:rFonts w:ascii="Cambria Math" w:hAnsi="Cambria Math"/>
                            <w:sz w:val="22"/>
                            <w:szCs w:val="20"/>
                          </w:rPr>
                          <m:t>+</m:t>
                        </m:r>
                        <m:f>
                          <m:fPr>
                            <m:ctrlPr>
                              <w:rPr>
                                <w:rFonts w:ascii="Cambria Math" w:hAnsi="Cambria Math"/>
                                <w:i/>
                                <w:sz w:val="22"/>
                                <w:szCs w:val="20"/>
                              </w:rPr>
                            </m:ctrlPr>
                          </m:fPr>
                          <m:num>
                            <m:r>
                              <w:rPr>
                                <w:rFonts w:ascii="Cambria Math" w:hAnsi="Cambria Math"/>
                                <w:sz w:val="22"/>
                                <w:szCs w:val="20"/>
                              </w:rPr>
                              <m:t>1-ϵ</m:t>
                            </m:r>
                          </m:num>
                          <m:den>
                            <m:r>
                              <w:rPr>
                                <w:rFonts w:ascii="Cambria Math" w:hAnsi="Cambria Math"/>
                                <w:sz w:val="22"/>
                                <w:szCs w:val="20"/>
                              </w:rPr>
                              <m:t>3π</m:t>
                            </m:r>
                          </m:den>
                        </m:f>
                        <m:d>
                          <m:dPr>
                            <m:ctrlPr>
                              <w:rPr>
                                <w:rFonts w:ascii="Cambria Math" w:hAnsi="Cambria Math"/>
                                <w:i/>
                                <w:sz w:val="22"/>
                                <w:szCs w:val="20"/>
                              </w:rPr>
                            </m:ctrlPr>
                          </m:dPr>
                          <m:e>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s</m:t>
                                </m:r>
                              </m:sub>
                            </m:sSub>
                            <m:r>
                              <w:rPr>
                                <w:rFonts w:ascii="Cambria Math" w:hAnsi="Cambria Math"/>
                                <w:sz w:val="22"/>
                                <w:szCs w:val="20"/>
                              </w:rPr>
                              <m:t>-</m:t>
                            </m:r>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e>
                        </m:d>
                      </m:e>
                    </m:d>
                  </m:num>
                  <m:den>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r>
                      <w:rPr>
                        <w:rFonts w:ascii="Cambria Math" w:hAnsi="Cambria Math"/>
                        <w:sz w:val="22"/>
                        <w:szCs w:val="20"/>
                      </w:rPr>
                      <m:t>+</m:t>
                    </m:r>
                    <m:d>
                      <m:dPr>
                        <m:begChr m:val="["/>
                        <m:endChr m:val="]"/>
                        <m:ctrlPr>
                          <w:rPr>
                            <w:rFonts w:ascii="Cambria Math" w:hAnsi="Cambria Math"/>
                            <w:i/>
                            <w:sz w:val="22"/>
                            <w:szCs w:val="20"/>
                          </w:rPr>
                        </m:ctrlPr>
                      </m:dPr>
                      <m:e>
                        <m:f>
                          <m:fPr>
                            <m:ctrlPr>
                              <w:rPr>
                                <w:rFonts w:ascii="Cambria Math" w:hAnsi="Cambria Math"/>
                                <w:i/>
                                <w:sz w:val="22"/>
                                <w:szCs w:val="20"/>
                              </w:rPr>
                            </m:ctrlPr>
                          </m:fPr>
                          <m:num>
                            <m:r>
                              <w:rPr>
                                <w:rFonts w:ascii="Cambria Math" w:hAnsi="Cambria Math"/>
                                <w:sz w:val="22"/>
                                <w:szCs w:val="20"/>
                              </w:rPr>
                              <m:t>4</m:t>
                            </m:r>
                          </m:num>
                          <m:den>
                            <m:r>
                              <w:rPr>
                                <w:rFonts w:ascii="Cambria Math" w:hAnsi="Cambria Math"/>
                                <w:sz w:val="22"/>
                                <w:szCs w:val="20"/>
                              </w:rPr>
                              <m:t>3</m:t>
                            </m:r>
                          </m:den>
                        </m:f>
                        <m:rad>
                          <m:radPr>
                            <m:degHide m:val="1"/>
                            <m:ctrlPr>
                              <w:rPr>
                                <w:rFonts w:ascii="Cambria Math" w:hAnsi="Cambria Math"/>
                                <w:i/>
                                <w:sz w:val="22"/>
                                <w:szCs w:val="20"/>
                              </w:rPr>
                            </m:ctrlPr>
                          </m:radPr>
                          <m:deg/>
                          <m:e>
                            <m:f>
                              <m:fPr>
                                <m:ctrlPr>
                                  <w:rPr>
                                    <w:rFonts w:ascii="Cambria Math" w:hAnsi="Cambria Math"/>
                                    <w:i/>
                                    <w:sz w:val="22"/>
                                    <w:szCs w:val="20"/>
                                  </w:rPr>
                                </m:ctrlPr>
                              </m:fPr>
                              <m:num>
                                <m:r>
                                  <w:rPr>
                                    <w:rFonts w:ascii="Cambria Math" w:hAnsi="Cambria Math"/>
                                    <w:sz w:val="22"/>
                                    <w:szCs w:val="20"/>
                                  </w:rPr>
                                  <m:t>1-ϵ</m:t>
                                </m:r>
                              </m:num>
                              <m:den>
                                <m:r>
                                  <w:rPr>
                                    <w:rFonts w:ascii="Cambria Math" w:hAnsi="Cambria Math"/>
                                    <w:sz w:val="22"/>
                                    <w:szCs w:val="20"/>
                                  </w:rPr>
                                  <m:t>3π</m:t>
                                </m:r>
                              </m:den>
                            </m:f>
                          </m:e>
                        </m:rad>
                        <m:d>
                          <m:dPr>
                            <m:ctrlPr>
                              <w:rPr>
                                <w:rFonts w:ascii="Cambria Math" w:hAnsi="Cambria Math"/>
                                <w:i/>
                                <w:sz w:val="22"/>
                                <w:szCs w:val="20"/>
                              </w:rPr>
                            </m:ctrlPr>
                          </m:dPr>
                          <m:e>
                            <m:r>
                              <w:rPr>
                                <w:rFonts w:ascii="Cambria Math" w:hAnsi="Cambria Math"/>
                                <w:sz w:val="22"/>
                                <w:szCs w:val="20"/>
                              </w:rPr>
                              <m:t>1-ϵ</m:t>
                            </m:r>
                          </m:e>
                        </m:d>
                        <m:r>
                          <w:rPr>
                            <w:rFonts w:ascii="Cambria Math" w:hAnsi="Cambria Math"/>
                            <w:sz w:val="22"/>
                            <w:szCs w:val="20"/>
                          </w:rPr>
                          <m:t>+π</m:t>
                        </m:r>
                        <m:rad>
                          <m:radPr>
                            <m:degHide m:val="1"/>
                            <m:ctrlPr>
                              <w:rPr>
                                <w:rFonts w:ascii="Cambria Math" w:hAnsi="Cambria Math"/>
                                <w:i/>
                                <w:sz w:val="22"/>
                                <w:szCs w:val="20"/>
                              </w:rPr>
                            </m:ctrlPr>
                          </m:radPr>
                          <m:deg/>
                          <m:e>
                            <m:f>
                              <m:fPr>
                                <m:ctrlPr>
                                  <w:rPr>
                                    <w:rFonts w:ascii="Cambria Math" w:hAnsi="Cambria Math"/>
                                    <w:i/>
                                    <w:sz w:val="22"/>
                                    <w:szCs w:val="20"/>
                                  </w:rPr>
                                </m:ctrlPr>
                              </m:fPr>
                              <m:num>
                                <m:r>
                                  <w:rPr>
                                    <w:rFonts w:ascii="Cambria Math" w:hAnsi="Cambria Math"/>
                                    <w:sz w:val="22"/>
                                    <w:szCs w:val="20"/>
                                  </w:rPr>
                                  <m:t>1-ϵ</m:t>
                                </m:r>
                              </m:num>
                              <m:den>
                                <m:r>
                                  <w:rPr>
                                    <w:rFonts w:ascii="Cambria Math" w:hAnsi="Cambria Math"/>
                                    <w:sz w:val="22"/>
                                    <w:szCs w:val="20"/>
                                  </w:rPr>
                                  <m:t>3π</m:t>
                                </m:r>
                              </m:den>
                            </m:f>
                          </m:e>
                        </m:rad>
                        <m:r>
                          <w:rPr>
                            <w:rFonts w:ascii="Cambria Math" w:hAnsi="Cambria Math"/>
                            <w:sz w:val="22"/>
                            <w:szCs w:val="20"/>
                          </w:rPr>
                          <m:t>-</m:t>
                        </m:r>
                        <m:d>
                          <m:dPr>
                            <m:ctrlPr>
                              <w:rPr>
                                <w:rFonts w:ascii="Cambria Math" w:hAnsi="Cambria Math"/>
                                <w:i/>
                                <w:sz w:val="22"/>
                                <w:szCs w:val="20"/>
                              </w:rPr>
                            </m:ctrlPr>
                          </m:dPr>
                          <m:e>
                            <m:r>
                              <w:rPr>
                                <w:rFonts w:ascii="Cambria Math" w:hAnsi="Cambria Math"/>
                                <w:sz w:val="22"/>
                                <w:szCs w:val="20"/>
                              </w:rPr>
                              <m:t>1-ϵ</m:t>
                            </m:r>
                          </m:e>
                        </m:d>
                      </m:e>
                    </m:d>
                    <m:d>
                      <m:dPr>
                        <m:ctrlPr>
                          <w:rPr>
                            <w:rFonts w:ascii="Cambria Math" w:hAnsi="Cambria Math"/>
                            <w:i/>
                            <w:sz w:val="22"/>
                            <w:szCs w:val="20"/>
                          </w:rPr>
                        </m:ctrlPr>
                      </m:dPr>
                      <m:e>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s</m:t>
                            </m:r>
                          </m:sub>
                        </m:sSub>
                        <m:r>
                          <w:rPr>
                            <w:rFonts w:ascii="Cambria Math" w:hAnsi="Cambria Math"/>
                            <w:sz w:val="22"/>
                            <w:szCs w:val="20"/>
                          </w:rPr>
                          <m:t>-</m:t>
                        </m:r>
                        <m:sSub>
                          <m:sSubPr>
                            <m:ctrlPr>
                              <w:rPr>
                                <w:rFonts w:ascii="Cambria Math" w:hAnsi="Cambria Math"/>
                                <w:i/>
                                <w:sz w:val="22"/>
                                <w:szCs w:val="20"/>
                              </w:rPr>
                            </m:ctrlPr>
                          </m:sSubPr>
                          <m:e>
                            <m:r>
                              <w:rPr>
                                <w:rFonts w:ascii="Cambria Math" w:hAnsi="Cambria Math"/>
                                <w:sz w:val="22"/>
                                <w:szCs w:val="20"/>
                              </w:rPr>
                              <m:t>k</m:t>
                            </m:r>
                          </m:e>
                          <m:sub>
                            <m:r>
                              <w:rPr>
                                <w:rFonts w:ascii="Cambria Math" w:hAnsi="Cambria Math"/>
                                <w:sz w:val="22"/>
                                <w:szCs w:val="20"/>
                              </w:rPr>
                              <m:t>PCM</m:t>
                            </m:r>
                          </m:sub>
                        </m:sSub>
                      </m:e>
                    </m:d>
                  </m:den>
                </m:f>
              </m:oMath>
            </m:oMathPara>
          </w:p>
        </w:tc>
        <w:tc>
          <w:tcPr>
            <w:tcW w:w="1326" w:type="dxa"/>
            <w:vAlign w:val="center"/>
          </w:tcPr>
          <w:p w14:paraId="56EEC617" w14:textId="0A19316E" w:rsidR="00A322FE" w:rsidRPr="0015600B" w:rsidRDefault="00916607" w:rsidP="009924B9">
            <w:pPr>
              <w:spacing w:after="288"/>
              <w:ind w:firstLine="0"/>
              <w:jc w:val="right"/>
              <w:rPr>
                <w:sz w:val="22"/>
                <w:szCs w:val="20"/>
              </w:rPr>
            </w:pPr>
            <w:r>
              <w:t>(</w:t>
            </w:r>
            <w:fldSimple w:instr=" STYLEREF 1 \s ">
              <w:r w:rsidR="00D979B8">
                <w:rPr>
                  <w:noProof/>
                </w:rPr>
                <w:t>3</w:t>
              </w:r>
            </w:fldSimple>
            <w:r>
              <w:t>.</w:t>
            </w:r>
            <w:fldSimple w:instr=" SEQ Equation \* ARABIC \s 1 ">
              <w:r w:rsidR="00D979B8">
                <w:rPr>
                  <w:noProof/>
                </w:rPr>
                <w:t>6</w:t>
              </w:r>
            </w:fldSimple>
            <w:r>
              <w:t>)</w:t>
            </w:r>
          </w:p>
        </w:tc>
      </w:tr>
    </w:tbl>
    <w:p w14:paraId="22A9B6E7" w14:textId="2EA92D41" w:rsidR="00A322FE" w:rsidRPr="0015600B" w:rsidRDefault="004A1A0E" w:rsidP="00026817">
      <w:pPr>
        <w:spacing w:after="288"/>
        <w:ind w:firstLine="0"/>
      </w:pPr>
      <w:r>
        <w:t>w</w:t>
      </w:r>
      <w:r w:rsidRPr="0015600B">
        <w:t>here </w:t>
      </w:r>
      <w:r w:rsidR="00A322FE" w:rsidRPr="0015600B">
        <w:rPr>
          <w:i/>
          <w:iCs/>
        </w:rPr>
        <w:t>k</w:t>
      </w:r>
      <w:r w:rsidR="00A322FE" w:rsidRPr="0015600B">
        <w:rPr>
          <w:vertAlign w:val="subscript"/>
        </w:rPr>
        <w:t>PCM</w:t>
      </w:r>
      <w:r w:rsidR="00A322FE" w:rsidRPr="0015600B">
        <w:t> and </w:t>
      </w:r>
      <w:r w:rsidR="00A322FE" w:rsidRPr="0015600B">
        <w:rPr>
          <w:i/>
          <w:iCs/>
        </w:rPr>
        <w:t>k</w:t>
      </w:r>
      <w:r w:rsidR="00A322FE" w:rsidRPr="0015600B">
        <w:rPr>
          <w:i/>
          <w:iCs/>
          <w:vertAlign w:val="subscript"/>
        </w:rPr>
        <w:t>s</w:t>
      </w:r>
      <w:r w:rsidR="00A322FE" w:rsidRPr="0015600B">
        <w:t> are the PCM and solid matrix thermal conductivities, respectively, and </w:t>
      </w:r>
      <w:r w:rsidR="00A322FE" w:rsidRPr="0015600B">
        <w:rPr>
          <w:rFonts w:ascii="Cambria Math" w:hAnsi="Cambria Math" w:cs="Cambria Math"/>
        </w:rPr>
        <w:t>∊</w:t>
      </w:r>
      <w:r w:rsidR="00A322FE" w:rsidRPr="0015600B">
        <w:t> is the porosity of the metal foam. An effective thermal conductivity 25% smaller than that obtained from Eq</w:t>
      </w:r>
      <w:r w:rsidR="003379E5">
        <w:t>uation</w:t>
      </w:r>
      <w:r w:rsidR="00A322FE" w:rsidRPr="0015600B">
        <w:t> (</w:t>
      </w:r>
      <w:r w:rsidR="009A3B72">
        <w:t>3</w:t>
      </w:r>
      <w:r w:rsidR="00A322FE" w:rsidRPr="0015600B">
        <w:t>.6) is used in this study to account for the effects of contact resistances between the PCM and metal foam. Effective density, specific heat</w:t>
      </w:r>
      <w:r w:rsidR="003804E1">
        <w:t>,</w:t>
      </w:r>
      <w:r w:rsidR="00A322FE" w:rsidRPr="0015600B">
        <w:t xml:space="preserve"> and heat of fusion of the PCM-metal foam composite are calculated based on the metal foam porosity using the following generic equation:</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9"/>
        <w:gridCol w:w="1531"/>
      </w:tblGrid>
      <w:tr w:rsidR="00A322FE" w:rsidRPr="0015600B" w14:paraId="17973E07" w14:textId="77777777" w:rsidTr="009924B9">
        <w:tc>
          <w:tcPr>
            <w:tcW w:w="7109" w:type="dxa"/>
            <w:vAlign w:val="center"/>
          </w:tcPr>
          <w:p w14:paraId="63DA7BD4"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ϕ</m:t>
                    </m:r>
                  </m:e>
                  <m:sub>
                    <m:r>
                      <w:rPr>
                        <w:rFonts w:ascii="Cambria Math" w:hAnsi="Cambria Math"/>
                      </w:rPr>
                      <m:t>eff</m:t>
                    </m:r>
                  </m:sub>
                </m:sSub>
                <m:r>
                  <w:rPr>
                    <w:rFonts w:ascii="Cambria Math" w:hAnsi="Cambria Math"/>
                  </w:rPr>
                  <m:t>=ϵ</m:t>
                </m:r>
                <m:sSub>
                  <m:sSubPr>
                    <m:ctrlPr>
                      <w:rPr>
                        <w:rFonts w:ascii="Cambria Math" w:hAnsi="Cambria Math"/>
                        <w:i/>
                      </w:rPr>
                    </m:ctrlPr>
                  </m:sSubPr>
                  <m:e>
                    <m:r>
                      <w:rPr>
                        <w:rFonts w:ascii="Cambria Math" w:hAnsi="Cambria Math"/>
                      </w:rPr>
                      <m:t>ϕ</m:t>
                    </m:r>
                  </m:e>
                  <m:sub>
                    <m:r>
                      <w:rPr>
                        <w:rFonts w:ascii="Cambria Math" w:hAnsi="Cambria Math"/>
                      </w:rPr>
                      <m:t>PCM</m:t>
                    </m:r>
                  </m:sub>
                </m:sSub>
                <m:r>
                  <w:rPr>
                    <w:rFonts w:ascii="Cambria Math" w:hAnsi="Cambria Math"/>
                  </w:rPr>
                  <m:t>+</m:t>
                </m:r>
                <m:d>
                  <m:dPr>
                    <m:ctrlPr>
                      <w:rPr>
                        <w:rFonts w:ascii="Cambria Math" w:hAnsi="Cambria Math"/>
                        <w:i/>
                      </w:rPr>
                    </m:ctrlPr>
                  </m:dPr>
                  <m:e>
                    <m:r>
                      <w:rPr>
                        <w:rFonts w:ascii="Cambria Math" w:hAnsi="Cambria Math"/>
                      </w:rPr>
                      <m:t>1-ϵ</m:t>
                    </m:r>
                  </m:e>
                </m:d>
                <m:sSub>
                  <m:sSubPr>
                    <m:ctrlPr>
                      <w:rPr>
                        <w:rFonts w:ascii="Cambria Math" w:hAnsi="Cambria Math"/>
                        <w:i/>
                      </w:rPr>
                    </m:ctrlPr>
                  </m:sSubPr>
                  <m:e>
                    <m:r>
                      <w:rPr>
                        <w:rFonts w:ascii="Cambria Math" w:hAnsi="Cambria Math"/>
                      </w:rPr>
                      <m:t>ϕ</m:t>
                    </m:r>
                  </m:e>
                  <m:sub>
                    <m:r>
                      <w:rPr>
                        <w:rFonts w:ascii="Cambria Math" w:hAnsi="Cambria Math"/>
                      </w:rPr>
                      <m:t>s</m:t>
                    </m:r>
                  </m:sub>
                </m:sSub>
              </m:oMath>
            </m:oMathPara>
          </w:p>
        </w:tc>
        <w:tc>
          <w:tcPr>
            <w:tcW w:w="1531" w:type="dxa"/>
            <w:vAlign w:val="center"/>
          </w:tcPr>
          <w:p w14:paraId="4FCD71E5" w14:textId="4FF762A5"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7</w:t>
              </w:r>
            </w:fldSimple>
            <w:r>
              <w:t>)</w:t>
            </w:r>
          </w:p>
        </w:tc>
      </w:tr>
    </w:tbl>
    <w:p w14:paraId="6BE68A68" w14:textId="0E74FB31" w:rsidR="00A322FE" w:rsidRPr="0015600B" w:rsidRDefault="00A322FE" w:rsidP="00A322FE">
      <w:pPr>
        <w:spacing w:after="288"/>
      </w:pPr>
      <w:r w:rsidRPr="0015600B">
        <w:t xml:space="preserve">It is assumed that there is no mass transfer involved in transferring heat across Phase change material to output heat pipes. Therefore, the second energy law is stated as </w:t>
      </w:r>
      <w:r w:rsidRPr="0015600B">
        <w:fldChar w:fldCharType="begin" w:fldLock="1"/>
      </w:r>
      <w:r w:rsidR="00D6331E">
        <w:instrText>ADDIN CSL_CITATION {"citationItems":[{"id":"ITEM-1","itemData":{"DOI":"10.1017/CBO9781107415324.004","ISBN":"9788578110796","ISSN":"1098-6596","PMID":"25246403","abstract":"Thermodynamics is an exciting and fascinating subject that deals with energy, and thermodynamics has long been an essential part of engineering curricula all over the world. It has a broad application area ranging from microscopic organisms to common household appliances, transportation vehicles, power generation systems, and even philosophy. This introductory book contains sufficient material for two sequential courses in thermodynamics. Students are assumed to have an adequate background in calculus and physics.","author":[{"dropping-particle":"","family":"Cengel","given":"Yunus A.","non-dropping-particle":"","parse-names":false,"suffix":""},{"dropping-particle":"","family":"Boles","given":"Michael A.","non-dropping-particle":"","parse-names":false,"suffix":""}],"container-title":"McGraw-Hill","id":"ITEM-1","issued":{"date-parts":[["2015"]]},"title":"Thermodynamics: an Engineering Approach 8th Edition","type":"book"},"uris":["http://www.mendeley.com/documents/?uuid=a6e10f6c-2ca1-4c02-9a9c-dafd6163e869"]}],"mendeley":{"formattedCitation":"[57]","plainTextFormattedCitation":"[57]","previouslyFormattedCitation":"[57]"},"properties":{"noteIndex":0},"schema":"https://github.com/citation-style-language/schema/raw/master/csl-citation.json"}</w:instrText>
      </w:r>
      <w:r w:rsidRPr="0015600B">
        <w:fldChar w:fldCharType="separate"/>
      </w:r>
      <w:r w:rsidR="00D6331E" w:rsidRPr="00D6331E">
        <w:rPr>
          <w:noProof/>
        </w:rPr>
        <w:t>[57]</w:t>
      </w:r>
      <w:r w:rsidRPr="0015600B">
        <w:fldChar w:fldCharType="end"/>
      </w:r>
      <w:r w:rsidRPr="0015600B">
        <w:t>:</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0"/>
        <w:gridCol w:w="1530"/>
      </w:tblGrid>
      <w:tr w:rsidR="00A322FE" w:rsidRPr="0015600B" w14:paraId="7EE59CEC" w14:textId="77777777" w:rsidTr="009924B9">
        <w:tc>
          <w:tcPr>
            <w:tcW w:w="7735" w:type="dxa"/>
            <w:vAlign w:val="center"/>
          </w:tcPr>
          <w:p w14:paraId="0658A3FB"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Ex</m:t>
                    </m:r>
                  </m:e>
                  <m:sub>
                    <m:r>
                      <w:rPr>
                        <w:rFonts w:ascii="Cambria Math" w:hAnsi="Cambria Math"/>
                      </w:rPr>
                      <m:t>in</m:t>
                    </m:r>
                  </m:sub>
                </m:sSub>
                <m:r>
                  <w:rPr>
                    <w:rFonts w:ascii="Cambria Math" w:hAnsi="Cambria Math"/>
                  </w:rPr>
                  <m:t xml:space="preserve">- </m:t>
                </m:r>
                <m:sSub>
                  <m:sSubPr>
                    <m:ctrlPr>
                      <w:rPr>
                        <w:rFonts w:ascii="Cambria Math" w:hAnsi="Cambria Math"/>
                        <w:i/>
                      </w:rPr>
                    </m:ctrlPr>
                  </m:sSubPr>
                  <m:e>
                    <m:r>
                      <w:rPr>
                        <w:rFonts w:ascii="Cambria Math" w:hAnsi="Cambria Math"/>
                      </w:rPr>
                      <m:t>Ex</m:t>
                    </m:r>
                  </m:e>
                  <m:sub>
                    <m:r>
                      <w:rPr>
                        <w:rFonts w:ascii="Cambria Math" w:hAnsi="Cambria Math"/>
                      </w:rPr>
                      <m:t>out</m:t>
                    </m:r>
                  </m:sub>
                </m:sSub>
                <m:r>
                  <w:rPr>
                    <w:rFonts w:ascii="Cambria Math" w:hAnsi="Cambria Math"/>
                  </w:rPr>
                  <m:t>-</m:t>
                </m:r>
                <m:sSub>
                  <m:sSubPr>
                    <m:ctrlPr>
                      <w:rPr>
                        <w:rFonts w:ascii="Cambria Math" w:hAnsi="Cambria Math"/>
                        <w:i/>
                      </w:rPr>
                    </m:ctrlPr>
                  </m:sSubPr>
                  <m:e>
                    <m:r>
                      <w:rPr>
                        <w:rFonts w:ascii="Cambria Math" w:hAnsi="Cambria Math"/>
                      </w:rPr>
                      <m:t>Ex</m:t>
                    </m:r>
                  </m:e>
                  <m:sub>
                    <m:r>
                      <w:rPr>
                        <w:rFonts w:ascii="Cambria Math" w:hAnsi="Cambria Math"/>
                      </w:rPr>
                      <m:t>des</m:t>
                    </m:r>
                  </m:sub>
                </m:sSub>
                <m:r>
                  <w:rPr>
                    <w:rFonts w:ascii="Cambria Math" w:hAnsi="Cambria Math"/>
                  </w:rPr>
                  <m:t>= ∆</m:t>
                </m:r>
                <m:sSub>
                  <m:sSubPr>
                    <m:ctrlPr>
                      <w:rPr>
                        <w:rFonts w:ascii="Cambria Math" w:hAnsi="Cambria Math"/>
                        <w:i/>
                      </w:rPr>
                    </m:ctrlPr>
                  </m:sSubPr>
                  <m:e>
                    <m:r>
                      <w:rPr>
                        <w:rFonts w:ascii="Cambria Math" w:hAnsi="Cambria Math"/>
                      </w:rPr>
                      <m:t>Ex</m:t>
                    </m:r>
                  </m:e>
                  <m:sub>
                    <m:r>
                      <w:rPr>
                        <w:rFonts w:ascii="Cambria Math" w:hAnsi="Cambria Math"/>
                      </w:rPr>
                      <m:t>sys</m:t>
                    </m:r>
                  </m:sub>
                </m:sSub>
              </m:oMath>
            </m:oMathPara>
          </w:p>
        </w:tc>
        <w:tc>
          <w:tcPr>
            <w:tcW w:w="1615" w:type="dxa"/>
            <w:vAlign w:val="center"/>
          </w:tcPr>
          <w:p w14:paraId="119792C0" w14:textId="78B070E5"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8</w:t>
              </w:r>
            </w:fldSimple>
            <w:r>
              <w:t>)</w:t>
            </w:r>
          </w:p>
        </w:tc>
      </w:tr>
    </w:tbl>
    <w:p w14:paraId="49C20D62" w14:textId="3446CA5A" w:rsidR="00A322FE" w:rsidRPr="0015600B" w:rsidRDefault="00A322FE" w:rsidP="000B1200">
      <w:r w:rsidRPr="0015600B">
        <w:t xml:space="preserve">The above equation can be broken down and </w:t>
      </w:r>
      <w:r w:rsidR="003804E1">
        <w:t xml:space="preserve">a </w:t>
      </w:r>
      <w:r w:rsidRPr="0015600B">
        <w:t xml:space="preserve">detailed explanation accompanied </w:t>
      </w:r>
      <w:r w:rsidR="003804E1">
        <w:t>by</w:t>
      </w:r>
      <w:r w:rsidRPr="0015600B">
        <w:t xml:space="preserve"> figures </w:t>
      </w:r>
      <w:r w:rsidR="003804E1">
        <w:t>is</w:t>
      </w:r>
      <w:r w:rsidRPr="0015600B">
        <w:t xml:space="preserve"> presented. Solar is considered as the primary source of energy to avail </w:t>
      </w:r>
      <m:oMath>
        <m:sSub>
          <m:sSubPr>
            <m:ctrlPr>
              <w:rPr>
                <w:rFonts w:ascii="Cambria Math" w:hAnsi="Cambria Math"/>
                <w:i/>
              </w:rPr>
            </m:ctrlPr>
          </m:sSubPr>
          <m:e>
            <m:r>
              <w:rPr>
                <w:rFonts w:ascii="Cambria Math" w:hAnsi="Cambria Math"/>
              </w:rPr>
              <m:t>Ex</m:t>
            </m:r>
          </m:e>
          <m:sub>
            <m:r>
              <w:rPr>
                <w:rFonts w:ascii="Cambria Math" w:hAnsi="Cambria Math"/>
              </w:rPr>
              <m:t>in</m:t>
            </m:r>
          </m:sub>
        </m:sSub>
      </m:oMath>
      <w:r w:rsidRPr="0015600B">
        <w:t xml:space="preserve"> to PCM. </w:t>
      </w:r>
      <m:oMath>
        <m:sSub>
          <m:sSubPr>
            <m:ctrlPr>
              <w:rPr>
                <w:rFonts w:ascii="Cambria Math" w:hAnsi="Cambria Math"/>
                <w:i/>
              </w:rPr>
            </m:ctrlPr>
          </m:sSubPr>
          <m:e>
            <m:r>
              <w:rPr>
                <w:rFonts w:ascii="Cambria Math" w:hAnsi="Cambria Math"/>
              </w:rPr>
              <m:t>Ex</m:t>
            </m:r>
          </m:e>
          <m:sub>
            <m:r>
              <w:rPr>
                <w:rFonts w:ascii="Cambria Math" w:hAnsi="Cambria Math"/>
              </w:rPr>
              <m:t>in</m:t>
            </m:r>
          </m:sub>
        </m:sSub>
      </m:oMath>
      <w:r w:rsidRPr="0015600B">
        <w:t xml:space="preserve"> is mathematically expressed as in </w:t>
      </w:r>
      <w:r w:rsidR="000B1200">
        <w:t>E</w:t>
      </w:r>
      <w:r w:rsidRPr="0015600B">
        <w:t>quation (</w:t>
      </w:r>
      <w:r w:rsidR="009A3B72">
        <w:t>3.9</w:t>
      </w:r>
      <w:r w:rsidRPr="0015600B">
        <w:t>)</w:t>
      </w:r>
      <w:r w:rsidR="009A3B72">
        <w:t>.</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4"/>
        <w:gridCol w:w="1526"/>
      </w:tblGrid>
      <w:tr w:rsidR="00A322FE" w:rsidRPr="0015600B" w14:paraId="5587C081" w14:textId="77777777" w:rsidTr="009924B9">
        <w:tc>
          <w:tcPr>
            <w:tcW w:w="7735" w:type="dxa"/>
            <w:vAlign w:val="center"/>
          </w:tcPr>
          <w:p w14:paraId="348847FC" w14:textId="7C28DE6E"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Ex</m:t>
                    </m:r>
                  </m:e>
                  <m:sub>
                    <m:r>
                      <w:rPr>
                        <w:rFonts w:ascii="Cambria Math" w:hAnsi="Cambria Math"/>
                      </w:rPr>
                      <m:t>in</m:t>
                    </m:r>
                  </m:sub>
                </m:sSub>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r>
                      <w:rPr>
                        <w:rFonts w:ascii="Cambria Math" w:hAnsi="Cambria Math"/>
                      </w:rPr>
                      <m:t>t</m:t>
                    </m:r>
                  </m:sup>
                  <m:e>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solar</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solar</m:t>
                            </m:r>
                          </m:sub>
                        </m:sSub>
                      </m:e>
                    </m:d>
                    <m:r>
                      <w:rPr>
                        <w:rFonts w:ascii="Cambria Math" w:hAnsi="Cambria Math"/>
                      </w:rPr>
                      <m:t>dt</m:t>
                    </m:r>
                  </m:e>
                </m:nary>
              </m:oMath>
            </m:oMathPara>
          </w:p>
        </w:tc>
        <w:tc>
          <w:tcPr>
            <w:tcW w:w="1615" w:type="dxa"/>
            <w:vAlign w:val="center"/>
          </w:tcPr>
          <w:p w14:paraId="6B3E7126" w14:textId="4BE47A55"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9</w:t>
              </w:r>
            </w:fldSimple>
            <w:r>
              <w:t>)</w:t>
            </w:r>
          </w:p>
        </w:tc>
      </w:tr>
    </w:tbl>
    <w:p w14:paraId="53F0FEE3" w14:textId="77777777" w:rsidR="00A322FE" w:rsidRPr="0015600B" w:rsidRDefault="003A0B43" w:rsidP="00A322FE">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solar</m:t>
            </m:r>
          </m:sub>
        </m:sSub>
      </m:oMath>
      <w:r w:rsidR="00A322FE" w:rsidRPr="0015600B">
        <w:t xml:space="preserve"> denotes the entropy generated from solar energy captured. Entropy is generated by some or all the following processes: friction, mixing, chemical reactions, heat transfer through finite temperature difference, unrestrained expansion, non-quasi equilibrium compression or expansion, etc. </w:t>
      </w:r>
    </w:p>
    <w:p w14:paraId="5F6F2520" w14:textId="25845499" w:rsidR="00A322FE" w:rsidRPr="0015600B" w:rsidRDefault="00A322FE" w:rsidP="00F060E7">
      <w:r w:rsidRPr="0015600B">
        <w:t xml:space="preserve">The entropy generated through the process of capturing solar energy could be because of heat transfer through </w:t>
      </w:r>
      <w:r w:rsidR="003804E1">
        <w:t xml:space="preserve">a </w:t>
      </w:r>
      <w:r w:rsidRPr="0015600B">
        <w:t xml:space="preserve">finite temperature difference. solar entropy can be expressed as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6"/>
        <w:gridCol w:w="1544"/>
      </w:tblGrid>
      <w:tr w:rsidR="00A322FE" w:rsidRPr="0015600B" w14:paraId="4047535B" w14:textId="77777777" w:rsidTr="009924B9">
        <w:tc>
          <w:tcPr>
            <w:tcW w:w="7735" w:type="dxa"/>
            <w:vAlign w:val="center"/>
          </w:tcPr>
          <w:p w14:paraId="45F03496"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solar</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solar</m:t>
                        </m:r>
                      </m:sub>
                    </m:sSub>
                  </m:num>
                  <m:den>
                    <m:sSub>
                      <m:sSubPr>
                        <m:ctrlPr>
                          <w:rPr>
                            <w:rFonts w:ascii="Cambria Math" w:hAnsi="Cambria Math"/>
                            <w:i/>
                          </w:rPr>
                        </m:ctrlPr>
                      </m:sSubPr>
                      <m:e>
                        <m:r>
                          <w:rPr>
                            <w:rFonts w:ascii="Cambria Math" w:hAnsi="Cambria Math"/>
                          </w:rPr>
                          <m:t>T</m:t>
                        </m:r>
                      </m:e>
                      <m:sub>
                        <m:r>
                          <w:rPr>
                            <w:rFonts w:ascii="Cambria Math" w:hAnsi="Cambria Math"/>
                          </w:rPr>
                          <m:t>sat,1</m:t>
                        </m:r>
                      </m:sub>
                    </m:sSub>
                  </m:den>
                </m:f>
              </m:oMath>
            </m:oMathPara>
          </w:p>
        </w:tc>
        <w:tc>
          <w:tcPr>
            <w:tcW w:w="1615" w:type="dxa"/>
            <w:vAlign w:val="center"/>
          </w:tcPr>
          <w:p w14:paraId="2B1E30EA" w14:textId="741B0C5C"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10</w:t>
              </w:r>
            </w:fldSimple>
            <w:r>
              <w:t>)</w:t>
            </w:r>
          </w:p>
        </w:tc>
      </w:tr>
    </w:tbl>
    <w:p w14:paraId="0B559571" w14:textId="77777777" w:rsidR="00A322FE" w:rsidRPr="0015600B" w:rsidRDefault="00A322FE" w:rsidP="00A322FE">
      <w:pPr>
        <w:spacing w:after="288"/>
        <w:ind w:firstLine="0"/>
      </w:pPr>
    </w:p>
    <w:p w14:paraId="6D52B92F" w14:textId="77777777" w:rsidR="00A322FE" w:rsidRPr="0015600B" w:rsidRDefault="00A322FE" w:rsidP="00A322FE">
      <w:r w:rsidRPr="0015600B">
        <w:lastRenderedPageBreak/>
        <w:t xml:space="preserve">Exergy provided by solar is then used to raise the temperature of PCM and the total exergy of the system is represented by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5"/>
        <w:gridCol w:w="1525"/>
      </w:tblGrid>
      <w:tr w:rsidR="00A322FE" w:rsidRPr="0015600B" w14:paraId="56AE4941" w14:textId="77777777" w:rsidTr="009924B9">
        <w:tc>
          <w:tcPr>
            <w:tcW w:w="7735" w:type="dxa"/>
            <w:vAlign w:val="center"/>
          </w:tcPr>
          <w:p w14:paraId="19973590"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∆Ex</m:t>
                    </m:r>
                  </m:e>
                  <m:sub>
                    <m:r>
                      <w:rPr>
                        <w:rFonts w:ascii="Cambria Math" w:hAnsi="Cambria Math"/>
                      </w:rPr>
                      <m:t>sys</m:t>
                    </m:r>
                  </m:sub>
                </m:sSub>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r>
                      <w:rPr>
                        <w:rFonts w:ascii="Cambria Math" w:hAnsi="Cambria Math"/>
                      </w:rPr>
                      <m:t>t</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PCM</m:t>
                            </m:r>
                          </m:sub>
                        </m:sSub>
                        <m:sSub>
                          <m:sSubPr>
                            <m:ctrlPr>
                              <w:rPr>
                                <w:rFonts w:ascii="Cambria Math" w:hAnsi="Cambria Math"/>
                                <w:i/>
                              </w:rPr>
                            </m:ctrlPr>
                          </m:sSubPr>
                          <m:e>
                            <m:r>
                              <w:rPr>
                                <w:rFonts w:ascii="Cambria Math" w:hAnsi="Cambria Math"/>
                              </w:rPr>
                              <m:t>c</m:t>
                            </m:r>
                          </m:e>
                          <m:sub>
                            <m:r>
                              <w:rPr>
                                <w:rFonts w:ascii="Cambria Math" w:hAnsi="Cambria Math"/>
                              </w:rPr>
                              <m:t>PCM</m:t>
                            </m:r>
                          </m:sub>
                        </m:sSub>
                        <m:f>
                          <m:fPr>
                            <m:ctrlPr>
                              <w:rPr>
                                <w:rFonts w:ascii="Cambria Math" w:hAnsi="Cambria Math"/>
                                <w:i/>
                              </w:rPr>
                            </m:ctrlPr>
                          </m:fPr>
                          <m:num>
                            <m:sSub>
                              <m:sSubPr>
                                <m:ctrlPr>
                                  <w:rPr>
                                    <w:rFonts w:ascii="Cambria Math" w:hAnsi="Cambria Math"/>
                                    <w:i/>
                                  </w:rPr>
                                </m:ctrlPr>
                              </m:sSubPr>
                              <m:e>
                                <m:r>
                                  <w:rPr>
                                    <w:rFonts w:ascii="Cambria Math" w:hAnsi="Cambria Math"/>
                                  </w:rPr>
                                  <m:t>dT</m:t>
                                </m:r>
                              </m:e>
                              <m:sub>
                                <m:r>
                                  <w:rPr>
                                    <w:rFonts w:ascii="Cambria Math" w:hAnsi="Cambria Math"/>
                                  </w:rPr>
                                  <m:t>PCM</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ρh</m:t>
                            </m:r>
                          </m:e>
                          <m:sub>
                            <m:r>
                              <w:rPr>
                                <w:rFonts w:ascii="Cambria Math" w:hAnsi="Cambria Math"/>
                              </w:rPr>
                              <m:t>sl</m:t>
                            </m:r>
                          </m:sub>
                        </m:sSub>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l</m:t>
                                </m:r>
                              </m:sub>
                            </m:sSub>
                          </m:num>
                          <m:den>
                            <m:r>
                              <w:rPr>
                                <w:rFonts w:ascii="Cambria Math" w:hAnsi="Cambria Math"/>
                              </w:rPr>
                              <m:t>dt</m:t>
                            </m:r>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5</m:t>
                            </m:r>
                          </m:sup>
                          <m:e>
                            <m:sSub>
                              <m:sSubPr>
                                <m:ctrlPr>
                                  <w:rPr>
                                    <w:rFonts w:ascii="Cambria Math" w:hAnsi="Cambria Math"/>
                                    <w:i/>
                                  </w:rPr>
                                </m:ctrlPr>
                              </m:sSubPr>
                              <m:e>
                                <m:r>
                                  <w:rPr>
                                    <w:rFonts w:ascii="Cambria Math" w:hAnsi="Cambria Math"/>
                                  </w:rPr>
                                  <m:t>m</m:t>
                                </m:r>
                              </m:e>
                              <m:sub>
                                <m:r>
                                  <w:rPr>
                                    <w:rFonts w:ascii="Cambria Math" w:hAnsi="Cambria Math"/>
                                  </w:rPr>
                                  <m:t>w,i</m:t>
                                </m:r>
                              </m:sub>
                            </m:sSub>
                            <m:sSub>
                              <m:sSubPr>
                                <m:ctrlPr>
                                  <w:rPr>
                                    <w:rFonts w:ascii="Cambria Math" w:hAnsi="Cambria Math"/>
                                    <w:i/>
                                  </w:rPr>
                                </m:ctrlPr>
                              </m:sSubPr>
                              <m:e>
                                <m:r>
                                  <w:rPr>
                                    <w:rFonts w:ascii="Cambria Math" w:hAnsi="Cambria Math"/>
                                  </w:rPr>
                                  <m:t>c</m:t>
                                </m:r>
                              </m:e>
                              <m:sub>
                                <m:r>
                                  <w:rPr>
                                    <w:rFonts w:ascii="Cambria Math" w:hAnsi="Cambria Math"/>
                                  </w:rPr>
                                  <m:t>w</m:t>
                                </m:r>
                              </m:sub>
                            </m:sSub>
                            <m:f>
                              <m:fPr>
                                <m:ctrlPr>
                                  <w:rPr>
                                    <w:rFonts w:ascii="Cambria Math" w:hAnsi="Cambria Math"/>
                                    <w:i/>
                                  </w:rPr>
                                </m:ctrlPr>
                              </m:fPr>
                              <m:num>
                                <m:sSub>
                                  <m:sSubPr>
                                    <m:ctrlPr>
                                      <w:rPr>
                                        <w:rFonts w:ascii="Cambria Math" w:hAnsi="Cambria Math"/>
                                        <w:i/>
                                      </w:rPr>
                                    </m:ctrlPr>
                                  </m:sSubPr>
                                  <m:e>
                                    <m:r>
                                      <w:rPr>
                                        <w:rFonts w:ascii="Cambria Math" w:hAnsi="Cambria Math"/>
                                      </w:rPr>
                                      <m:t>dT</m:t>
                                    </m:r>
                                  </m:e>
                                  <m:sub>
                                    <m:r>
                                      <w:rPr>
                                        <w:rFonts w:ascii="Cambria Math" w:hAnsi="Cambria Math"/>
                                      </w:rPr>
                                      <m:t>w,i</m:t>
                                    </m:r>
                                  </m:sub>
                                </m:sSub>
                              </m:num>
                              <m:den>
                                <m:r>
                                  <w:rPr>
                                    <w:rFonts w:ascii="Cambria Math" w:hAnsi="Cambria Math"/>
                                  </w:rPr>
                                  <m:t>dt</m:t>
                                </m:r>
                              </m:den>
                            </m:f>
                          </m:e>
                        </m:nary>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f>
                          <m:fPr>
                            <m:ctrlPr>
                              <w:rPr>
                                <w:rFonts w:ascii="Cambria Math" w:hAnsi="Cambria Math"/>
                                <w:i/>
                              </w:rPr>
                            </m:ctrlPr>
                          </m:fPr>
                          <m:num>
                            <m:sSub>
                              <m:sSubPr>
                                <m:ctrlPr>
                                  <w:rPr>
                                    <w:rFonts w:ascii="Cambria Math" w:hAnsi="Cambria Math"/>
                                    <w:i/>
                                  </w:rPr>
                                </m:ctrlPr>
                              </m:sSubPr>
                              <m:e>
                                <m:r>
                                  <w:rPr>
                                    <w:rFonts w:ascii="Cambria Math" w:hAnsi="Cambria Math"/>
                                  </w:rPr>
                                  <m:t>dS</m:t>
                                </m:r>
                              </m:e>
                              <m:sub>
                                <m:r>
                                  <w:rPr>
                                    <w:rFonts w:ascii="Cambria Math" w:hAnsi="Cambria Math"/>
                                  </w:rPr>
                                  <m:t>sys</m:t>
                                </m:r>
                              </m:sub>
                            </m:sSub>
                          </m:num>
                          <m:den>
                            <m:r>
                              <w:rPr>
                                <w:rFonts w:ascii="Cambria Math" w:hAnsi="Cambria Math"/>
                              </w:rPr>
                              <m:t>dt</m:t>
                            </m:r>
                          </m:den>
                        </m:f>
                      </m:e>
                    </m:d>
                    <m:r>
                      <w:rPr>
                        <w:rFonts w:ascii="Cambria Math" w:hAnsi="Cambria Math"/>
                      </w:rPr>
                      <m:t>dt</m:t>
                    </m:r>
                  </m:e>
                </m:nary>
              </m:oMath>
            </m:oMathPara>
          </w:p>
        </w:tc>
        <w:tc>
          <w:tcPr>
            <w:tcW w:w="1615" w:type="dxa"/>
            <w:vAlign w:val="center"/>
          </w:tcPr>
          <w:p w14:paraId="58EEA7F5" w14:textId="7061EA8C"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11</w:t>
              </w:r>
            </w:fldSimple>
            <w:r>
              <w:t>)</w:t>
            </w:r>
          </w:p>
        </w:tc>
      </w:tr>
    </w:tbl>
    <w:p w14:paraId="773D27FD" w14:textId="1ACDB790" w:rsidR="00A322FE" w:rsidRPr="0015600B" w:rsidRDefault="00A27D36" w:rsidP="00A322FE">
      <w:pPr>
        <w:spacing w:after="288"/>
        <w:ind w:firstLine="0"/>
      </w:pPr>
      <w:r>
        <w:t>w</w:t>
      </w:r>
      <w:r w:rsidR="00A322FE" w:rsidRPr="0015600B">
        <w:t xml:space="preserve">here </w:t>
      </w:r>
    </w:p>
    <w:tbl>
      <w:tblPr>
        <w:tblStyle w:val="TableGrid"/>
        <w:tblpPr w:leftFromText="180" w:rightFromText="180" w:vertAnchor="text" w:horzAnchor="margin" w:tblpXSpec="center"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1"/>
        <w:gridCol w:w="1519"/>
      </w:tblGrid>
      <w:tr w:rsidR="00A322FE" w:rsidRPr="0015600B" w14:paraId="481DA918" w14:textId="77777777" w:rsidTr="009924B9">
        <w:tc>
          <w:tcPr>
            <w:tcW w:w="7735" w:type="dxa"/>
            <w:vAlign w:val="center"/>
          </w:tcPr>
          <w:p w14:paraId="00340BE7" w14:textId="77777777" w:rsidR="00A322FE" w:rsidRPr="0015600B" w:rsidRDefault="003A0B43" w:rsidP="00723466">
            <w:pPr>
              <w:spacing w:after="288"/>
              <w:ind w:firstLine="0"/>
              <w:jc w:val="left"/>
            </w:pPr>
            <m:oMathPara>
              <m:oMathParaPr>
                <m:jc m:val="center"/>
              </m:oMathParaPr>
              <m:oMath>
                <m:f>
                  <m:fPr>
                    <m:ctrlPr>
                      <w:rPr>
                        <w:rFonts w:ascii="Cambria Math" w:hAnsi="Cambria Math"/>
                        <w:i/>
                      </w:rPr>
                    </m:ctrlPr>
                  </m:fPr>
                  <m:num>
                    <m:sSub>
                      <m:sSubPr>
                        <m:ctrlPr>
                          <w:rPr>
                            <w:rFonts w:ascii="Cambria Math" w:hAnsi="Cambria Math"/>
                            <w:i/>
                          </w:rPr>
                        </m:ctrlPr>
                      </m:sSubPr>
                      <m:e>
                        <m:r>
                          <w:rPr>
                            <w:rFonts w:ascii="Cambria Math" w:hAnsi="Cambria Math"/>
                          </w:rPr>
                          <m:t>dS</m:t>
                        </m:r>
                      </m:e>
                      <m:sub>
                        <m:r>
                          <w:rPr>
                            <w:rFonts w:ascii="Cambria Math" w:hAnsi="Cambria Math"/>
                          </w:rPr>
                          <m:t>sys</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PCM</m:t>
                    </m:r>
                  </m:sub>
                </m:sSub>
                <m:sSub>
                  <m:sSubPr>
                    <m:ctrlPr>
                      <w:rPr>
                        <w:rFonts w:ascii="Cambria Math" w:hAnsi="Cambria Math"/>
                        <w:i/>
                      </w:rPr>
                    </m:ctrlPr>
                  </m:sSubPr>
                  <m:e>
                    <m:r>
                      <w:rPr>
                        <w:rFonts w:ascii="Cambria Math" w:hAnsi="Cambria Math"/>
                      </w:rPr>
                      <m:t>c</m:t>
                    </m:r>
                  </m:e>
                  <m:sub>
                    <m:r>
                      <w:rPr>
                        <w:rFonts w:ascii="Cambria Math" w:hAnsi="Cambria Math"/>
                      </w:rPr>
                      <m:t>PCM</m:t>
                    </m:r>
                  </m:sub>
                </m:sSub>
                <m:f>
                  <m:fPr>
                    <m:ctrlPr>
                      <w:rPr>
                        <w:rFonts w:ascii="Cambria Math" w:hAnsi="Cambria Math"/>
                        <w:i/>
                      </w:rPr>
                    </m:ctrlPr>
                  </m:fPr>
                  <m:num>
                    <m:sSub>
                      <m:sSubPr>
                        <m:ctrlPr>
                          <w:rPr>
                            <w:rFonts w:ascii="Cambria Math" w:hAnsi="Cambria Math"/>
                            <w:i/>
                          </w:rPr>
                        </m:ctrlPr>
                      </m:sSubPr>
                      <m:e>
                        <m:r>
                          <w:rPr>
                            <w:rFonts w:ascii="Cambria Math" w:hAnsi="Cambria Math"/>
                          </w:rPr>
                          <m:t>dT</m:t>
                        </m:r>
                      </m:e>
                      <m:sub>
                        <m:r>
                          <w:rPr>
                            <w:rFonts w:ascii="Cambria Math" w:hAnsi="Cambria Math"/>
                          </w:rPr>
                          <m:t>PCM</m:t>
                        </m:r>
                      </m:sub>
                    </m:sSub>
                  </m:num>
                  <m:den>
                    <m:r>
                      <w:rPr>
                        <w:rFonts w:ascii="Cambria Math" w:hAnsi="Cambria Math"/>
                      </w:rPr>
                      <m:t>dt</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PCM</m:t>
                            </m:r>
                          </m:sub>
                        </m:sSub>
                      </m:den>
                    </m:f>
                  </m:e>
                </m:d>
                <m:r>
                  <w:rPr>
                    <w:rFonts w:ascii="Cambria Math" w:hAnsi="Cambria Math"/>
                  </w:rPr>
                  <m:t>+</m:t>
                </m:r>
                <m:sSub>
                  <m:sSubPr>
                    <m:ctrlPr>
                      <w:rPr>
                        <w:rFonts w:ascii="Cambria Math" w:hAnsi="Cambria Math"/>
                        <w:i/>
                      </w:rPr>
                    </m:ctrlPr>
                  </m:sSubPr>
                  <m:e>
                    <m:r>
                      <w:rPr>
                        <w:rFonts w:ascii="Cambria Math" w:hAnsi="Cambria Math"/>
                      </w:rPr>
                      <m:t>ρh</m:t>
                    </m:r>
                  </m:e>
                  <m:sub>
                    <m:r>
                      <w:rPr>
                        <w:rFonts w:ascii="Cambria Math" w:hAnsi="Cambria Math"/>
                      </w:rPr>
                      <m:t>sl</m:t>
                    </m:r>
                  </m:sub>
                </m:sSub>
                <m:f>
                  <m:fPr>
                    <m:ctrlPr>
                      <w:rPr>
                        <w:rFonts w:ascii="Cambria Math" w:hAnsi="Cambria Math"/>
                        <w:i/>
                      </w:rPr>
                    </m:ctrlPr>
                  </m:fPr>
                  <m:num>
                    <m:sSub>
                      <m:sSubPr>
                        <m:ctrlPr>
                          <w:rPr>
                            <w:rFonts w:ascii="Cambria Math" w:hAnsi="Cambria Math"/>
                            <w:i/>
                          </w:rPr>
                        </m:ctrlPr>
                      </m:sSubPr>
                      <m:e>
                        <m:r>
                          <w:rPr>
                            <w:rFonts w:ascii="Cambria Math" w:hAnsi="Cambria Math"/>
                          </w:rPr>
                          <m:t>dV</m:t>
                        </m:r>
                      </m:e>
                      <m:sub>
                        <m:r>
                          <w:rPr>
                            <w:rFonts w:ascii="Cambria Math" w:hAnsi="Cambria Math"/>
                          </w:rPr>
                          <m:t>l</m:t>
                        </m:r>
                      </m:sub>
                    </m:sSub>
                  </m:num>
                  <m:den>
                    <m:r>
                      <w:rPr>
                        <w:rFonts w:ascii="Cambria Math" w:hAnsi="Cambria Math"/>
                      </w:rPr>
                      <m:t>dt</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m</m:t>
                            </m:r>
                          </m:sub>
                        </m:sSub>
                      </m:den>
                    </m:f>
                  </m:e>
                </m:d>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5</m:t>
                    </m:r>
                  </m:sup>
                  <m:e>
                    <m:sSub>
                      <m:sSubPr>
                        <m:ctrlPr>
                          <w:rPr>
                            <w:rFonts w:ascii="Cambria Math" w:hAnsi="Cambria Math"/>
                            <w:i/>
                          </w:rPr>
                        </m:ctrlPr>
                      </m:sSubPr>
                      <m:e>
                        <m:r>
                          <w:rPr>
                            <w:rFonts w:ascii="Cambria Math" w:hAnsi="Cambria Math"/>
                          </w:rPr>
                          <m:t>m</m:t>
                        </m:r>
                      </m:e>
                      <m:sub>
                        <m:r>
                          <w:rPr>
                            <w:rFonts w:ascii="Cambria Math" w:hAnsi="Cambria Math"/>
                          </w:rPr>
                          <m:t>w,j</m:t>
                        </m:r>
                      </m:sub>
                    </m:sSub>
                    <m:sSub>
                      <m:sSubPr>
                        <m:ctrlPr>
                          <w:rPr>
                            <w:rFonts w:ascii="Cambria Math" w:hAnsi="Cambria Math"/>
                            <w:i/>
                          </w:rPr>
                        </m:ctrlPr>
                      </m:sSubPr>
                      <m:e>
                        <m:r>
                          <w:rPr>
                            <w:rFonts w:ascii="Cambria Math" w:hAnsi="Cambria Math"/>
                          </w:rPr>
                          <m:t>c</m:t>
                        </m:r>
                      </m:e>
                      <m:sub>
                        <m:r>
                          <w:rPr>
                            <w:rFonts w:ascii="Cambria Math" w:hAnsi="Cambria Math"/>
                          </w:rPr>
                          <m:t>w</m:t>
                        </m:r>
                      </m:sub>
                    </m:sSub>
                    <m:f>
                      <m:fPr>
                        <m:ctrlPr>
                          <w:rPr>
                            <w:rFonts w:ascii="Cambria Math" w:hAnsi="Cambria Math"/>
                            <w:i/>
                          </w:rPr>
                        </m:ctrlPr>
                      </m:fPr>
                      <m:num>
                        <m:sSub>
                          <m:sSubPr>
                            <m:ctrlPr>
                              <w:rPr>
                                <w:rFonts w:ascii="Cambria Math" w:hAnsi="Cambria Math"/>
                                <w:i/>
                              </w:rPr>
                            </m:ctrlPr>
                          </m:sSubPr>
                          <m:e>
                            <m:r>
                              <w:rPr>
                                <w:rFonts w:ascii="Cambria Math" w:hAnsi="Cambria Math"/>
                              </w:rPr>
                              <m:t>dT</m:t>
                            </m:r>
                          </m:e>
                          <m:sub>
                            <m:r>
                              <w:rPr>
                                <w:rFonts w:ascii="Cambria Math" w:hAnsi="Cambria Math"/>
                              </w:rPr>
                              <m:t>w,j</m:t>
                            </m:r>
                          </m:sub>
                        </m:sSub>
                      </m:num>
                      <m:den>
                        <m:r>
                          <w:rPr>
                            <w:rFonts w:ascii="Cambria Math" w:hAnsi="Cambria Math"/>
                          </w:rPr>
                          <m:t>dt</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w,j</m:t>
                                </m:r>
                              </m:sub>
                            </m:sSub>
                          </m:den>
                        </m:f>
                      </m:e>
                    </m:d>
                  </m:e>
                </m:nary>
              </m:oMath>
            </m:oMathPara>
          </w:p>
        </w:tc>
        <w:tc>
          <w:tcPr>
            <w:tcW w:w="1615" w:type="dxa"/>
            <w:vAlign w:val="center"/>
          </w:tcPr>
          <w:p w14:paraId="67B93B1D" w14:textId="25D4CAFD"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12</w:t>
              </w:r>
            </w:fldSimple>
            <w:r>
              <w:t>)</w:t>
            </w:r>
          </w:p>
        </w:tc>
      </w:tr>
    </w:tbl>
    <w:p w14:paraId="34ECD29D" w14:textId="6107D31F" w:rsidR="00A322FE" w:rsidRPr="0015600B" w:rsidRDefault="00636D67" w:rsidP="00A322FE">
      <w:pPr>
        <w:spacing w:after="288"/>
        <w:ind w:firstLine="0"/>
      </w:pPr>
      <w:r>
        <w:t>a</w:t>
      </w:r>
      <w:r w:rsidR="00A322FE" w:rsidRPr="0015600B">
        <w:t xml:space="preserve">nd </w:t>
      </w:r>
      <m:oMath>
        <m:sSub>
          <m:sSubPr>
            <m:ctrlPr>
              <w:rPr>
                <w:rFonts w:ascii="Cambria Math" w:hAnsi="Cambria Math"/>
                <w:i/>
              </w:rPr>
            </m:ctrlPr>
          </m:sSubPr>
          <m:e>
            <m:r>
              <w:rPr>
                <w:rFonts w:ascii="Cambria Math" w:hAnsi="Cambria Math"/>
              </w:rPr>
              <m:t>m</m:t>
            </m:r>
          </m:e>
          <m:sub>
            <m:r>
              <w:rPr>
                <w:rFonts w:ascii="Cambria Math" w:hAnsi="Cambria Math"/>
              </w:rPr>
              <m:t>PCM</m:t>
            </m:r>
          </m:sub>
        </m:sSub>
      </m:oMath>
      <w:r w:rsidR="00A322FE" w:rsidRPr="0015600B">
        <w:t xml:space="preserve"> is calculated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3"/>
        <w:gridCol w:w="1527"/>
      </w:tblGrid>
      <w:tr w:rsidR="00A322FE" w:rsidRPr="0015600B" w14:paraId="6C657C15" w14:textId="77777777" w:rsidTr="009924B9">
        <w:tc>
          <w:tcPr>
            <w:tcW w:w="7735" w:type="dxa"/>
            <w:vAlign w:val="center"/>
          </w:tcPr>
          <w:p w14:paraId="7C58A327"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m</m:t>
                    </m:r>
                  </m:e>
                  <m:sub>
                    <m:r>
                      <w:rPr>
                        <w:rFonts w:ascii="Cambria Math" w:hAnsi="Cambria Math"/>
                      </w:rPr>
                      <m:t>PCM</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TES</m:t>
                        </m:r>
                      </m:e>
                      <m:sub>
                        <m:r>
                          <w:rPr>
                            <w:rFonts w:ascii="Cambria Math" w:hAnsi="Cambria Math"/>
                          </w:rPr>
                          <m:t>size</m:t>
                        </m:r>
                      </m:sub>
                    </m:sSub>
                    <m:r>
                      <m:rPr>
                        <m:sty m:val="p"/>
                      </m:rPr>
                      <w:rPr>
                        <w:rFonts w:ascii="Cambria Math" w:hAnsi="Cambria Math"/>
                      </w:rPr>
                      <m:t>×3.6×</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num>
                  <m:den>
                    <m:sSub>
                      <m:sSubPr>
                        <m:ctrlPr>
                          <w:rPr>
                            <w:rFonts w:ascii="Cambria Math" w:hAnsi="Cambria Math"/>
                          </w:rPr>
                        </m:ctrlPr>
                      </m:sSubPr>
                      <m:e>
                        <m:r>
                          <w:rPr>
                            <w:rFonts w:ascii="Cambria Math" w:hAnsi="Cambria Math"/>
                          </w:rPr>
                          <m:t>h</m:t>
                        </m:r>
                      </m:e>
                      <m:sub>
                        <m:r>
                          <w:rPr>
                            <w:rFonts w:ascii="Cambria Math" w:hAnsi="Cambria Math"/>
                          </w:rPr>
                          <m:t>sl</m:t>
                        </m:r>
                      </m:sub>
                    </m:sSub>
                  </m:den>
                </m:f>
              </m:oMath>
            </m:oMathPara>
          </w:p>
        </w:tc>
        <w:tc>
          <w:tcPr>
            <w:tcW w:w="1615" w:type="dxa"/>
            <w:vAlign w:val="center"/>
          </w:tcPr>
          <w:p w14:paraId="6F78125D" w14:textId="7FC0DF44"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13</w:t>
              </w:r>
            </w:fldSimple>
            <w:r>
              <w:t>)</w:t>
            </w:r>
          </w:p>
        </w:tc>
      </w:tr>
    </w:tbl>
    <w:p w14:paraId="610A9267" w14:textId="77777777" w:rsidR="00A322FE" w:rsidRPr="0015600B" w:rsidRDefault="00A322FE" w:rsidP="00A322FE">
      <w:pPr>
        <w:spacing w:after="288"/>
        <w:ind w:firstLine="0"/>
      </w:pPr>
      <w:r w:rsidRPr="0015600B">
        <w:t xml:space="preserve">This is the exergy contained in the PCM after exergy destroyed and exergy output.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1"/>
        <w:gridCol w:w="1539"/>
      </w:tblGrid>
      <w:tr w:rsidR="00A322FE" w:rsidRPr="0015600B" w14:paraId="58F62941" w14:textId="77777777" w:rsidTr="009924B9">
        <w:tc>
          <w:tcPr>
            <w:tcW w:w="7735" w:type="dxa"/>
            <w:vAlign w:val="center"/>
          </w:tcPr>
          <w:p w14:paraId="6D9F54FA" w14:textId="77777777" w:rsidR="00A322FE" w:rsidRPr="0015600B" w:rsidRDefault="003A0B43" w:rsidP="00723466">
            <w:pPr>
              <w:spacing w:after="288"/>
              <w:ind w:firstLine="0"/>
              <w:jc w:val="left"/>
            </w:pPr>
            <m:oMathPara>
              <m:oMathParaPr>
                <m:jc m:val="center"/>
              </m:oMathParaPr>
              <m:oMath>
                <m:sSub>
                  <m:sSubPr>
                    <m:ctrlPr>
                      <w:rPr>
                        <w:rFonts w:ascii="Cambria Math" w:hAnsi="Cambria Math"/>
                        <w:i/>
                      </w:rPr>
                    </m:ctrlPr>
                  </m:sSubPr>
                  <m:e>
                    <m:r>
                      <w:rPr>
                        <w:rFonts w:ascii="Cambria Math" w:hAnsi="Cambria Math"/>
                      </w:rPr>
                      <m:t>Ex</m:t>
                    </m:r>
                  </m:e>
                  <m:sub>
                    <m:r>
                      <w:rPr>
                        <w:rFonts w:ascii="Cambria Math" w:hAnsi="Cambria Math"/>
                      </w:rPr>
                      <m:t>out</m:t>
                    </m:r>
                  </m:sub>
                </m:sSub>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r>
                      <w:rPr>
                        <w:rFonts w:ascii="Cambria Math" w:hAnsi="Cambria Math"/>
                      </w:rPr>
                      <m:t>t</m:t>
                    </m:r>
                  </m:sup>
                  <m:e>
                    <m:d>
                      <m:dPr>
                        <m:ctrlPr>
                          <w:rPr>
                            <w:rFonts w:ascii="Cambria Math" w:hAnsi="Cambria Math"/>
                            <w:i/>
                          </w:rPr>
                        </m:ctrlPr>
                      </m:dPr>
                      <m:e>
                        <m:sSub>
                          <m:sSubPr>
                            <m:ctrlPr>
                              <w:rPr>
                                <w:rFonts w:ascii="Cambria Math" w:hAnsi="Cambria Math"/>
                                <w:i/>
                              </w:rPr>
                            </m:ctrlPr>
                          </m:sSubPr>
                          <m:e>
                            <m:r>
                              <w:rPr>
                                <w:rFonts w:ascii="Cambria Math" w:hAnsi="Cambria Math"/>
                              </w:rPr>
                              <m:t>q</m:t>
                            </m:r>
                          </m:e>
                          <m:sub>
                            <m:r>
                              <w:rPr>
                                <w:rFonts w:ascii="Cambria Math" w:hAnsi="Cambria Math"/>
                              </w:rPr>
                              <m:t>water</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air</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AC</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water</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air</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AC</m:t>
                            </m:r>
                          </m:sub>
                        </m:sSub>
                        <m:r>
                          <w:rPr>
                            <w:rFonts w:ascii="Cambria Math" w:hAnsi="Cambria Math"/>
                          </w:rPr>
                          <m:t>)</m:t>
                        </m:r>
                      </m:e>
                    </m:d>
                  </m:e>
                </m:nary>
                <m:r>
                  <w:rPr>
                    <w:rFonts w:ascii="Cambria Math" w:hAnsi="Cambria Math"/>
                  </w:rPr>
                  <m:t>dt</m:t>
                </m:r>
              </m:oMath>
            </m:oMathPara>
          </w:p>
        </w:tc>
        <w:tc>
          <w:tcPr>
            <w:tcW w:w="1615" w:type="dxa"/>
            <w:vAlign w:val="center"/>
          </w:tcPr>
          <w:p w14:paraId="148BF9AD" w14:textId="25ACE2D9"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14</w:t>
              </w:r>
            </w:fldSimple>
            <w:r>
              <w:t>)</w:t>
            </w:r>
          </w:p>
        </w:tc>
      </w:tr>
    </w:tbl>
    <w:p w14:paraId="7699806C" w14:textId="4BCB0B63" w:rsidR="00A322FE" w:rsidRPr="0015600B" w:rsidRDefault="009A3B72" w:rsidP="00723466">
      <w:r>
        <w:t>The</w:t>
      </w:r>
      <w:r w:rsidR="00A322FE" w:rsidRPr="0015600B">
        <w:t xml:space="preserve"> PCM properties are analyzed to report the exergy input and output, the exergy changes of the system, entropy generated, and exergy destroyed. In Equation (</w:t>
      </w:r>
      <w:r w:rsidR="00A829C2">
        <w:t>3.11</w:t>
      </w:r>
      <w:r w:rsidR="00A322FE" w:rsidRPr="0015600B">
        <w:t>) and (</w:t>
      </w:r>
      <w:r w:rsidR="00A829C2">
        <w:t>3.</w:t>
      </w:r>
      <w:r w:rsidR="00A322FE" w:rsidRPr="0015600B">
        <w:t>1</w:t>
      </w:r>
      <w:r w:rsidR="00A829C2">
        <w:t>2</w:t>
      </w:r>
      <w:r w:rsidR="00A322FE" w:rsidRPr="0015600B">
        <w:t xml:space="preserve">) </w:t>
      </w:r>
      <m:oMath>
        <m:sSub>
          <m:sSubPr>
            <m:ctrlPr>
              <w:rPr>
                <w:rFonts w:ascii="Cambria Math" w:hAnsi="Cambria Math"/>
                <w:i/>
              </w:rPr>
            </m:ctrlPr>
          </m:sSubPr>
          <m:e>
            <m:r>
              <w:rPr>
                <w:rFonts w:ascii="Cambria Math" w:hAnsi="Cambria Math"/>
              </w:rPr>
              <m:t>T</m:t>
            </m:r>
          </m:e>
          <m:sub>
            <m:r>
              <w:rPr>
                <w:rFonts w:ascii="Cambria Math" w:hAnsi="Cambria Math"/>
              </w:rPr>
              <m:t>PCM</m:t>
            </m:r>
          </m:sub>
        </m:sSub>
      </m:oMath>
      <w:r w:rsidR="00A322FE" w:rsidRPr="0015600B">
        <w:t xml:space="preserve"> is the PCM temperature averaged over the entire PCM volume. The exergy efficiency over the period is given by:</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6"/>
        <w:gridCol w:w="1544"/>
      </w:tblGrid>
      <w:tr w:rsidR="00A322FE" w:rsidRPr="0015600B" w14:paraId="42D2C48F" w14:textId="77777777" w:rsidTr="009924B9">
        <w:tc>
          <w:tcPr>
            <w:tcW w:w="7735" w:type="dxa"/>
            <w:vAlign w:val="center"/>
          </w:tcPr>
          <w:p w14:paraId="79E098F4" w14:textId="77777777" w:rsidR="00A322FE" w:rsidRPr="0015600B" w:rsidRDefault="00A322FE" w:rsidP="00723466">
            <w:pPr>
              <w:spacing w:after="288"/>
              <w:ind w:firstLine="0"/>
              <w:jc w:val="left"/>
            </w:pPr>
            <m:oMathPara>
              <m:oMathParaPr>
                <m:jc m:val="center"/>
              </m:oMathParaPr>
              <m:oMath>
                <m:r>
                  <w:rPr>
                    <w:rFonts w:ascii="Cambria Math" w:hAnsi="Cambria Math"/>
                  </w:rPr>
                  <w:lastRenderedPageBreak/>
                  <m:t>η=1-</m:t>
                </m:r>
                <m:f>
                  <m:fPr>
                    <m:ctrlPr>
                      <w:rPr>
                        <w:rFonts w:ascii="Cambria Math" w:hAnsi="Cambria Math"/>
                        <w:i/>
                      </w:rPr>
                    </m:ctrlPr>
                  </m:fPr>
                  <m:num>
                    <m:sSub>
                      <m:sSubPr>
                        <m:ctrlPr>
                          <w:rPr>
                            <w:rFonts w:ascii="Cambria Math" w:hAnsi="Cambria Math"/>
                            <w:i/>
                          </w:rPr>
                        </m:ctrlPr>
                      </m:sSubPr>
                      <m:e>
                        <m:r>
                          <w:rPr>
                            <w:rFonts w:ascii="Cambria Math" w:hAnsi="Cambria Math"/>
                          </w:rPr>
                          <m:t>Ex</m:t>
                        </m:r>
                      </m:e>
                      <m:sub>
                        <m:r>
                          <w:rPr>
                            <w:rFonts w:ascii="Cambria Math" w:hAnsi="Cambria Math"/>
                          </w:rPr>
                          <m:t>des</m:t>
                        </m:r>
                      </m:sub>
                    </m:sSub>
                  </m:num>
                  <m:den>
                    <m:sSub>
                      <m:sSubPr>
                        <m:ctrlPr>
                          <w:rPr>
                            <w:rFonts w:ascii="Cambria Math" w:hAnsi="Cambria Math"/>
                            <w:i/>
                          </w:rPr>
                        </m:ctrlPr>
                      </m:sSubPr>
                      <m:e>
                        <m:r>
                          <w:rPr>
                            <w:rFonts w:ascii="Cambria Math" w:hAnsi="Cambria Math"/>
                          </w:rPr>
                          <m:t>Ex</m:t>
                        </m:r>
                      </m:e>
                      <m:sub>
                        <m:r>
                          <w:rPr>
                            <w:rFonts w:ascii="Cambria Math" w:hAnsi="Cambria Math"/>
                          </w:rPr>
                          <m:t>in</m:t>
                        </m:r>
                      </m:sub>
                    </m:sSub>
                  </m:den>
                </m:f>
              </m:oMath>
            </m:oMathPara>
          </w:p>
        </w:tc>
        <w:tc>
          <w:tcPr>
            <w:tcW w:w="1615" w:type="dxa"/>
            <w:vAlign w:val="center"/>
          </w:tcPr>
          <w:p w14:paraId="3858D43C" w14:textId="6E9B6745" w:rsidR="00A322FE" w:rsidRPr="0015600B" w:rsidRDefault="00916607" w:rsidP="009924B9">
            <w:pPr>
              <w:spacing w:after="288"/>
              <w:ind w:firstLine="0"/>
              <w:jc w:val="right"/>
            </w:pPr>
            <w:r>
              <w:t>(</w:t>
            </w:r>
            <w:fldSimple w:instr=" STYLEREF 1 \s ">
              <w:r w:rsidR="00D979B8">
                <w:rPr>
                  <w:noProof/>
                </w:rPr>
                <w:t>3</w:t>
              </w:r>
            </w:fldSimple>
            <w:r>
              <w:t>.</w:t>
            </w:r>
            <w:fldSimple w:instr=" SEQ Equation \* ARABIC \s 1 ">
              <w:r w:rsidR="00D979B8">
                <w:rPr>
                  <w:noProof/>
                </w:rPr>
                <w:t>15</w:t>
              </w:r>
            </w:fldSimple>
            <w:r>
              <w:t>)</w:t>
            </w:r>
          </w:p>
        </w:tc>
      </w:tr>
    </w:tbl>
    <w:p w14:paraId="48970046" w14:textId="77777777" w:rsidR="00A322FE" w:rsidRDefault="00A322FE" w:rsidP="00DB3DC6"/>
    <w:p w14:paraId="11D345DF" w14:textId="64DA6259" w:rsidR="00985AD9" w:rsidRDefault="00985AD9" w:rsidP="00985AD9">
      <w:pPr>
        <w:pStyle w:val="Heading2"/>
        <w:numPr>
          <w:ilvl w:val="1"/>
          <w:numId w:val="16"/>
        </w:numPr>
      </w:pPr>
      <w:bookmarkStart w:id="106" w:name="_Toc41053075"/>
      <w:bookmarkStart w:id="107" w:name="_Toc41075479"/>
      <w:bookmarkStart w:id="108" w:name="_Toc42027851"/>
      <w:bookmarkStart w:id="109" w:name="_Toc42335010"/>
      <w:bookmarkStart w:id="110" w:name="_Toc43877979"/>
      <w:bookmarkStart w:id="111" w:name="_Toc47467733"/>
      <w:r w:rsidRPr="00857153">
        <w:t>Candidate</w:t>
      </w:r>
      <w:r w:rsidRPr="0015600B">
        <w:t xml:space="preserve"> Cit</w:t>
      </w:r>
      <w:bookmarkEnd w:id="106"/>
      <w:bookmarkEnd w:id="107"/>
      <w:r w:rsidRPr="0015600B">
        <w:t>ies</w:t>
      </w:r>
      <w:bookmarkEnd w:id="108"/>
      <w:bookmarkEnd w:id="109"/>
      <w:bookmarkEnd w:id="110"/>
      <w:r w:rsidR="00715C2B">
        <w:t xml:space="preserve"> </w:t>
      </w:r>
      <w:r w:rsidR="00A14DC0">
        <w:t xml:space="preserve">Selection </w:t>
      </w:r>
      <w:r w:rsidR="00715C2B">
        <w:t>and Equipment Sizing</w:t>
      </w:r>
      <w:bookmarkEnd w:id="111"/>
    </w:p>
    <w:p w14:paraId="4BB8BD57" w14:textId="043B34DE" w:rsidR="00D8281E" w:rsidRPr="00D8281E" w:rsidRDefault="00D8281E" w:rsidP="00914219">
      <w:r>
        <w:t>This secti</w:t>
      </w:r>
      <w:r w:rsidR="007C6AB8">
        <w:t>o</w:t>
      </w:r>
      <w:r>
        <w:t>n describes the selection process for the candidate cities chosen for this study and the systematic approach to determine the solar collector and LHTES sizes based on the available solar insolation and the building deman</w:t>
      </w:r>
      <w:r w:rsidR="007107EF">
        <w:t>d</w:t>
      </w:r>
      <w:r>
        <w:t>s.</w:t>
      </w:r>
    </w:p>
    <w:p w14:paraId="51AB4ED9" w14:textId="07B348B1" w:rsidR="00B2654F" w:rsidRDefault="00B2654F" w:rsidP="00B2654F">
      <w:pPr>
        <w:pStyle w:val="Heading3"/>
        <w:numPr>
          <w:ilvl w:val="2"/>
          <w:numId w:val="16"/>
        </w:numPr>
      </w:pPr>
      <w:r>
        <w:t>Candidate city selection</w:t>
      </w:r>
    </w:p>
    <w:p w14:paraId="10417FFF" w14:textId="55AD72EE" w:rsidR="00DB3DC6" w:rsidRPr="0015600B" w:rsidRDefault="00516A17" w:rsidP="004940D1">
      <w:pPr>
        <w:rPr>
          <w:szCs w:val="24"/>
        </w:rPr>
      </w:pPr>
      <w:r>
        <w:t>The</w:t>
      </w:r>
      <w:r w:rsidR="00694E5B" w:rsidRPr="00694E5B">
        <w:t xml:space="preserve"> performance of the LHTES system </w:t>
      </w:r>
      <w:r w:rsidR="00694E5B">
        <w:t xml:space="preserve">(expressed using </w:t>
      </w:r>
      <w:r w:rsidR="003804E1">
        <w:t xml:space="preserve">a </w:t>
      </w:r>
      <w:r w:rsidR="00694E5B">
        <w:t>mathematical model) is</w:t>
      </w:r>
      <w:r w:rsidR="00694E5B" w:rsidRPr="00694E5B">
        <w:t xml:space="preserve"> weather-dependen</w:t>
      </w:r>
      <w:r w:rsidR="00694E5B">
        <w:t xml:space="preserve">t. This is because of </w:t>
      </w:r>
      <w:r w:rsidR="003804E1">
        <w:t xml:space="preserve">the </w:t>
      </w:r>
      <w:r w:rsidR="00694E5B">
        <w:t xml:space="preserve">difference </w:t>
      </w:r>
      <w:r w:rsidR="004940D1">
        <w:t xml:space="preserve">in </w:t>
      </w:r>
      <w:r w:rsidR="004940D1" w:rsidRPr="0015600B">
        <w:t>weather</w:t>
      </w:r>
      <w:r w:rsidR="00DB3DC6" w:rsidRPr="0015600B">
        <w:t xml:space="preserve"> conditions </w:t>
      </w:r>
      <w:r w:rsidR="00694E5B">
        <w:t>in different</w:t>
      </w:r>
      <w:r w:rsidR="00DB3DC6" w:rsidRPr="0015600B">
        <w:t xml:space="preserve"> place</w:t>
      </w:r>
      <w:r w:rsidR="00694E5B">
        <w:t>s</w:t>
      </w:r>
      <w:r w:rsidR="00DB3DC6" w:rsidRPr="0015600B">
        <w:t xml:space="preserve"> resulting</w:t>
      </w:r>
      <w:r w:rsidR="003804E1">
        <w:t xml:space="preserve"> in</w:t>
      </w:r>
      <w:r w:rsidR="00DB3DC6" w:rsidRPr="0015600B">
        <w:t xml:space="preserve"> a distinction in building loads for heating,</w:t>
      </w:r>
      <w:r w:rsidR="00413EEA" w:rsidRPr="0015600B">
        <w:t xml:space="preserve"> cooling,</w:t>
      </w:r>
      <w:r w:rsidR="00DB3DC6" w:rsidRPr="0015600B">
        <w:t xml:space="preserve"> and hot water</w:t>
      </w:r>
      <w:r w:rsidR="004940D1">
        <w:t xml:space="preserve"> due to variation of heating degree days, average outdoor temperature</w:t>
      </w:r>
      <w:r w:rsidR="003804E1">
        <w:t>,</w:t>
      </w:r>
      <w:r w:rsidR="004940D1">
        <w:t xml:space="preserve"> and precipitation</w:t>
      </w:r>
      <w:r w:rsidR="00DB3DC6" w:rsidRPr="0015600B">
        <w:t>.</w:t>
      </w:r>
      <w:bookmarkStart w:id="112" w:name="c"/>
      <w:r w:rsidR="004940D1">
        <w:t xml:space="preserve"> </w:t>
      </w:r>
      <w:r w:rsidR="00DB3DC6" w:rsidRPr="0015600B">
        <w:rPr>
          <w:szCs w:val="24"/>
        </w:rPr>
        <w:t>The following are the guidelines to definitions of</w:t>
      </w:r>
      <w:r w:rsidR="003D2804" w:rsidRPr="0015600B">
        <w:rPr>
          <w:szCs w:val="24"/>
        </w:rPr>
        <w:t xml:space="preserve"> </w:t>
      </w:r>
      <w:r w:rsidR="00DB3DC6" w:rsidRPr="0015600B">
        <w:rPr>
          <w:szCs w:val="24"/>
        </w:rPr>
        <w:t xml:space="preserve">climate zones obtained from the department of energy website </w:t>
      </w:r>
      <w:r w:rsidR="00DB3DC6" w:rsidRPr="0015600B">
        <w:rPr>
          <w:szCs w:val="24"/>
        </w:rPr>
        <w:fldChar w:fldCharType="begin" w:fldLock="1"/>
      </w:r>
      <w:r w:rsidR="00D6331E">
        <w:rPr>
          <w:szCs w:val="24"/>
        </w:rPr>
        <w:instrText>ADDIN CSL_CITATION {"citationItems":[{"id":"ITEM-1","itemData":{"URL":"https://www.energy.gov/eere/buildings/climate-zones","accessed":{"date-parts":[["2020","6","1"]]},"id":"ITEM-1","issued":{"date-parts":[["0"]]},"title":"Climate Zones | Department of Energy","type":"webpage"},"uris":["http://www.mendeley.com/documents/?uuid=328f2e3c-9647-3c49-91ff-4e56a2abbac3"]}],"mendeley":{"formattedCitation":"[58]","plainTextFormattedCitation":"[58]","previouslyFormattedCitation":"[58]"},"properties":{"noteIndex":0},"schema":"https://github.com/citation-style-language/schema/raw/master/csl-citation.json"}</w:instrText>
      </w:r>
      <w:r w:rsidR="00DB3DC6" w:rsidRPr="0015600B">
        <w:rPr>
          <w:szCs w:val="24"/>
        </w:rPr>
        <w:fldChar w:fldCharType="separate"/>
      </w:r>
      <w:r w:rsidR="00D6331E" w:rsidRPr="00D6331E">
        <w:rPr>
          <w:noProof/>
          <w:szCs w:val="24"/>
        </w:rPr>
        <w:t>[58]</w:t>
      </w:r>
      <w:r w:rsidR="00DB3DC6" w:rsidRPr="0015600B">
        <w:rPr>
          <w:szCs w:val="24"/>
        </w:rPr>
        <w:fldChar w:fldCharType="end"/>
      </w:r>
      <w:r w:rsidR="00DB3DC6" w:rsidRPr="0015600B">
        <w:rPr>
          <w:szCs w:val="24"/>
        </w:rPr>
        <w:t>:</w:t>
      </w:r>
    </w:p>
    <w:p w14:paraId="3BD8252A" w14:textId="63CE016A"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Hot-humid:</w:t>
      </w:r>
      <w:r w:rsidRPr="0015600B">
        <w:rPr>
          <w:rFonts w:ascii="Georgia Pro" w:hAnsi="Georgia Pro"/>
          <w:szCs w:val="24"/>
        </w:rPr>
        <w:t xml:space="preserve"> A hot-humid climate is a region that receives more than 20</w:t>
      </w:r>
      <w:r w:rsidR="008F0CF3">
        <w:rPr>
          <w:rFonts w:ascii="Georgia Pro" w:hAnsi="Georgia Pro"/>
          <w:szCs w:val="24"/>
        </w:rPr>
        <w:t xml:space="preserve"> </w:t>
      </w:r>
      <w:r w:rsidRPr="0015600B">
        <w:rPr>
          <w:rFonts w:ascii="Georgia Pro" w:hAnsi="Georgia Pro"/>
          <w:szCs w:val="24"/>
        </w:rPr>
        <w:t>in</w:t>
      </w:r>
      <w:r w:rsidR="008F0CF3">
        <w:rPr>
          <w:rFonts w:ascii="Georgia Pro" w:hAnsi="Georgia Pro"/>
          <w:szCs w:val="24"/>
        </w:rPr>
        <w:t xml:space="preserve">. </w:t>
      </w:r>
      <w:r w:rsidRPr="0015600B">
        <w:rPr>
          <w:rFonts w:ascii="Georgia Pro" w:hAnsi="Georgia Pro"/>
          <w:szCs w:val="24"/>
        </w:rPr>
        <w:t>(50 cm) of annual precipitation and where one or both of the following occur:</w:t>
      </w:r>
    </w:p>
    <w:p w14:paraId="6E1699B1" w14:textId="7713378D" w:rsidR="00DB3DC6" w:rsidRPr="0015600B" w:rsidRDefault="00DB3DC6" w:rsidP="00A864AD">
      <w:pPr>
        <w:pStyle w:val="ListParagraph"/>
        <w:numPr>
          <w:ilvl w:val="1"/>
          <w:numId w:val="1"/>
        </w:numPr>
        <w:spacing w:beforeLines="120" w:before="288" w:afterLines="120" w:after="288"/>
        <w:ind w:right="0" w:hanging="720"/>
        <w:rPr>
          <w:rFonts w:ascii="Georgia Pro" w:hAnsi="Georgia Pro" w:cs="Times New Roman"/>
          <w:szCs w:val="24"/>
        </w:rPr>
      </w:pPr>
      <w:r w:rsidRPr="0015600B">
        <w:rPr>
          <w:rFonts w:ascii="Georgia Pro" w:hAnsi="Georgia Pro" w:cs="Times New Roman"/>
          <w:szCs w:val="24"/>
        </w:rPr>
        <w:t xml:space="preserve">A 67°F (19.5°C) or higher wet bulb temperature for 3,000 or more hours during the warmest </w:t>
      </w:r>
      <w:r w:rsidR="008F0CF3">
        <w:rPr>
          <w:rFonts w:ascii="Georgia Pro" w:hAnsi="Georgia Pro" w:cs="Times New Roman"/>
          <w:szCs w:val="24"/>
        </w:rPr>
        <w:t>six</w:t>
      </w:r>
      <w:r w:rsidRPr="0015600B">
        <w:rPr>
          <w:rFonts w:ascii="Georgia Pro" w:hAnsi="Georgia Pro" w:cs="Times New Roman"/>
          <w:szCs w:val="24"/>
        </w:rPr>
        <w:t xml:space="preserve"> consecutive months of the year; or</w:t>
      </w:r>
    </w:p>
    <w:p w14:paraId="7413088B" w14:textId="332D0945" w:rsidR="00DB3DC6" w:rsidRPr="0015600B" w:rsidRDefault="00DB3DC6" w:rsidP="00A864AD">
      <w:pPr>
        <w:pStyle w:val="ListParagraph"/>
        <w:numPr>
          <w:ilvl w:val="1"/>
          <w:numId w:val="1"/>
        </w:numPr>
        <w:spacing w:beforeLines="120" w:before="288" w:afterLines="120" w:after="288"/>
        <w:ind w:right="0" w:hanging="720"/>
        <w:rPr>
          <w:rFonts w:ascii="Georgia Pro" w:hAnsi="Georgia Pro" w:cs="Times New Roman"/>
          <w:szCs w:val="24"/>
        </w:rPr>
      </w:pPr>
      <w:r w:rsidRPr="0015600B">
        <w:rPr>
          <w:rFonts w:ascii="Georgia Pro" w:hAnsi="Georgia Pro" w:cs="Times New Roman"/>
          <w:szCs w:val="24"/>
        </w:rPr>
        <w:t xml:space="preserve">A 73°F (23°C) or higher wet bulb temperature for 1,500 or more hours during the warmest </w:t>
      </w:r>
      <w:r w:rsidR="008F0CF3">
        <w:rPr>
          <w:rFonts w:ascii="Georgia Pro" w:hAnsi="Georgia Pro" w:cs="Times New Roman"/>
          <w:szCs w:val="24"/>
        </w:rPr>
        <w:t>six</w:t>
      </w:r>
      <w:r w:rsidRPr="0015600B">
        <w:rPr>
          <w:rFonts w:ascii="Georgia Pro" w:hAnsi="Georgia Pro" w:cs="Times New Roman"/>
          <w:szCs w:val="24"/>
        </w:rPr>
        <w:t xml:space="preserve"> consecutive months of the year.</w:t>
      </w:r>
    </w:p>
    <w:p w14:paraId="193BB668" w14:textId="35550DD8"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lastRenderedPageBreak/>
        <w:t xml:space="preserve">Mixed-humid: </w:t>
      </w:r>
      <w:r w:rsidRPr="0015600B">
        <w:rPr>
          <w:rFonts w:ascii="Georgia Pro" w:hAnsi="Georgia Pro"/>
          <w:szCs w:val="24"/>
        </w:rPr>
        <w:t>A mixed-humid climate i</w:t>
      </w:r>
      <w:r w:rsidR="008F0CF3">
        <w:rPr>
          <w:rFonts w:ascii="Georgia Pro" w:hAnsi="Georgia Pro"/>
          <w:szCs w:val="24"/>
        </w:rPr>
        <w:t>s</w:t>
      </w:r>
      <w:r w:rsidRPr="0015600B">
        <w:rPr>
          <w:rFonts w:ascii="Georgia Pro" w:hAnsi="Georgia Pro"/>
          <w:szCs w:val="24"/>
        </w:rPr>
        <w:t xml:space="preserve"> a region that receives more than 20 in. (50 cm) of annual precipitation, has approximately 5,400 heating degree days (65°F basis) or fewer, and where the average monthly outdoor temperature drops below 45°F (7°C) during the winter months.</w:t>
      </w:r>
    </w:p>
    <w:p w14:paraId="22D17BA4" w14:textId="4DF3FE28"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Hot-dry:</w:t>
      </w:r>
      <w:r w:rsidRPr="0015600B">
        <w:rPr>
          <w:rFonts w:ascii="Georgia Pro" w:hAnsi="Georgia Pro"/>
          <w:szCs w:val="24"/>
        </w:rPr>
        <w:t xml:space="preserve"> A hot-dry climate is a region that receives less than 20 in. (50 cm) of annual precipitation and where the monthly average outdoor temperature remains above 45°F (7°C) throughout the year.</w:t>
      </w:r>
    </w:p>
    <w:p w14:paraId="5980FD78" w14:textId="77777777"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 xml:space="preserve">Mixed-dry: </w:t>
      </w:r>
      <w:r w:rsidRPr="0015600B">
        <w:rPr>
          <w:rFonts w:ascii="Georgia Pro" w:hAnsi="Georgia Pro"/>
          <w:szCs w:val="24"/>
        </w:rPr>
        <w:t>A mixed-dry climate is generally defined as a region that receives less than 20 in. (50 cm) of annual precipitation, has approximately 5,400 heating degree days (65°F basis) or less, and where the average monthly outdoor temperature drops below 45°F (7°C) during the winter months.</w:t>
      </w:r>
    </w:p>
    <w:p w14:paraId="4488DBF4" w14:textId="77777777"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Cold:</w:t>
      </w:r>
      <w:r w:rsidRPr="0015600B">
        <w:rPr>
          <w:rFonts w:ascii="Georgia Pro" w:hAnsi="Georgia Pro"/>
          <w:szCs w:val="24"/>
        </w:rPr>
        <w:t xml:space="preserve"> A cold climate is generally defined as a region with approximately 5,400 heating degree days (65°F basis) or more and fewer than approximately 9,000 heating degree days (65°F basis).</w:t>
      </w:r>
    </w:p>
    <w:p w14:paraId="516B070A" w14:textId="77777777"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Very cold:</w:t>
      </w:r>
      <w:r w:rsidRPr="0015600B">
        <w:rPr>
          <w:rFonts w:ascii="Georgia Pro" w:hAnsi="Georgia Pro"/>
          <w:szCs w:val="24"/>
        </w:rPr>
        <w:t xml:space="preserve"> A very cold climate is generally defined as a region with approximately 9,000 heating degree days (65°F basis) or more and fewer than approximately 12,600 heating degree days (65°F basis).</w:t>
      </w:r>
    </w:p>
    <w:p w14:paraId="11F9FDF3" w14:textId="77777777"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 xml:space="preserve">Subarctic: </w:t>
      </w:r>
      <w:r w:rsidRPr="0015600B">
        <w:rPr>
          <w:rFonts w:ascii="Georgia Pro" w:hAnsi="Georgia Pro"/>
          <w:szCs w:val="24"/>
        </w:rPr>
        <w:t>A subarctic climate is generally defined as a region with approximately 12,600 heating degree days (65° basis) or more.</w:t>
      </w:r>
    </w:p>
    <w:p w14:paraId="3E901BA9" w14:textId="77777777" w:rsidR="00DB3DC6" w:rsidRPr="0015600B" w:rsidRDefault="00DB3DC6" w:rsidP="00A864AD">
      <w:pPr>
        <w:pStyle w:val="ListParagraph"/>
        <w:numPr>
          <w:ilvl w:val="0"/>
          <w:numId w:val="3"/>
        </w:numPr>
        <w:spacing w:beforeLines="120" w:before="288" w:afterLines="120" w:after="288"/>
        <w:ind w:left="360" w:right="0"/>
        <w:rPr>
          <w:rFonts w:ascii="Georgia Pro" w:hAnsi="Georgia Pro"/>
          <w:szCs w:val="24"/>
        </w:rPr>
      </w:pPr>
      <w:r w:rsidRPr="0015600B">
        <w:rPr>
          <w:rFonts w:ascii="Georgia Pro" w:hAnsi="Georgia Pro"/>
          <w:b/>
          <w:bCs/>
          <w:szCs w:val="24"/>
        </w:rPr>
        <w:t>Marine:</w:t>
      </w:r>
      <w:r w:rsidRPr="0015600B">
        <w:rPr>
          <w:rFonts w:ascii="Georgia Pro" w:hAnsi="Georgia Pro"/>
          <w:szCs w:val="24"/>
        </w:rPr>
        <w:t xml:space="preserve"> A marine climate is generally defined as a region that meets all the following criteria:</w:t>
      </w:r>
    </w:p>
    <w:p w14:paraId="3981E7B4" w14:textId="77777777" w:rsidR="00DB3DC6" w:rsidRPr="0015600B" w:rsidRDefault="00DB3DC6" w:rsidP="00A864AD">
      <w:pPr>
        <w:pStyle w:val="ListParagraph"/>
        <w:numPr>
          <w:ilvl w:val="0"/>
          <w:numId w:val="4"/>
        </w:numPr>
        <w:spacing w:beforeLines="120" w:before="288" w:afterLines="120" w:after="288"/>
        <w:ind w:left="1080" w:right="0" w:hanging="720"/>
        <w:rPr>
          <w:rFonts w:ascii="Georgia Pro" w:hAnsi="Georgia Pro" w:cs="Times New Roman"/>
          <w:szCs w:val="24"/>
        </w:rPr>
      </w:pPr>
      <w:r w:rsidRPr="0015600B">
        <w:rPr>
          <w:rFonts w:ascii="Georgia Pro" w:hAnsi="Georgia Pro" w:cs="Times New Roman"/>
          <w:szCs w:val="24"/>
        </w:rPr>
        <w:lastRenderedPageBreak/>
        <w:t>A mean temperature of the coldest month between 27°F (-3°C) and 65°F (18°C)</w:t>
      </w:r>
    </w:p>
    <w:p w14:paraId="47A2BEE7" w14:textId="4631D339" w:rsidR="00DB3DC6" w:rsidRPr="0015600B" w:rsidRDefault="003804E1" w:rsidP="00A864AD">
      <w:pPr>
        <w:pStyle w:val="ListParagraph"/>
        <w:numPr>
          <w:ilvl w:val="0"/>
          <w:numId w:val="4"/>
        </w:numPr>
        <w:spacing w:beforeLines="120" w:before="288" w:afterLines="120" w:after="288"/>
        <w:ind w:left="1080" w:right="0" w:hanging="720"/>
        <w:rPr>
          <w:rFonts w:ascii="Georgia Pro" w:hAnsi="Georgia Pro" w:cs="Times New Roman"/>
          <w:szCs w:val="24"/>
        </w:rPr>
      </w:pPr>
      <w:r>
        <w:rPr>
          <w:rFonts w:ascii="Georgia Pro" w:hAnsi="Georgia Pro" w:cs="Times New Roman"/>
          <w:szCs w:val="24"/>
        </w:rPr>
        <w:t>The</w:t>
      </w:r>
      <w:r w:rsidR="00DB3DC6" w:rsidRPr="0015600B">
        <w:rPr>
          <w:rFonts w:ascii="Georgia Pro" w:hAnsi="Georgia Pro" w:cs="Times New Roman"/>
          <w:szCs w:val="24"/>
        </w:rPr>
        <w:t xml:space="preserve"> warmest month mean of less than 72°F (22°C)</w:t>
      </w:r>
    </w:p>
    <w:p w14:paraId="49828DF1" w14:textId="77777777" w:rsidR="00DB3DC6" w:rsidRPr="0015600B" w:rsidRDefault="00DB3DC6" w:rsidP="00A864AD">
      <w:pPr>
        <w:pStyle w:val="ListParagraph"/>
        <w:numPr>
          <w:ilvl w:val="0"/>
          <w:numId w:val="4"/>
        </w:numPr>
        <w:spacing w:beforeLines="120" w:before="288" w:afterLines="120" w:after="288"/>
        <w:ind w:left="1080" w:right="0" w:hanging="720"/>
        <w:rPr>
          <w:rFonts w:ascii="Georgia Pro" w:hAnsi="Georgia Pro" w:cs="Times New Roman"/>
          <w:szCs w:val="24"/>
        </w:rPr>
      </w:pPr>
      <w:r w:rsidRPr="0015600B">
        <w:rPr>
          <w:rFonts w:ascii="Georgia Pro" w:hAnsi="Georgia Pro" w:cs="Times New Roman"/>
          <w:szCs w:val="24"/>
        </w:rPr>
        <w:t>At least 4 months with mean temperatures more than 50°F (10°C)</w:t>
      </w:r>
    </w:p>
    <w:p w14:paraId="308C3137" w14:textId="77777777" w:rsidR="00DB3DC6" w:rsidRPr="0015600B" w:rsidRDefault="00DB3DC6" w:rsidP="00A864AD">
      <w:pPr>
        <w:pStyle w:val="ListParagraph"/>
        <w:numPr>
          <w:ilvl w:val="0"/>
          <w:numId w:val="4"/>
        </w:numPr>
        <w:spacing w:beforeLines="120" w:before="288" w:afterLines="120" w:after="288"/>
        <w:ind w:left="1080" w:right="0" w:hanging="720"/>
        <w:rPr>
          <w:rFonts w:ascii="Georgia Pro" w:hAnsi="Georgia Pro" w:cs="Times New Roman"/>
          <w:szCs w:val="24"/>
        </w:rPr>
      </w:pPr>
      <w:r w:rsidRPr="0015600B">
        <w:rPr>
          <w:rFonts w:ascii="Georgia Pro" w:hAnsi="Georgia Pro" w:cs="Times New Roman"/>
          <w:szCs w:val="24"/>
        </w:rPr>
        <w:t xml:space="preserve">A dry season in summer. </w:t>
      </w:r>
    </w:p>
    <w:p w14:paraId="0D48DC95" w14:textId="77777777" w:rsidR="00DB3DC6" w:rsidRPr="0015600B" w:rsidRDefault="00DB3DC6" w:rsidP="00A864AD">
      <w:pPr>
        <w:pStyle w:val="ListParagraph"/>
        <w:numPr>
          <w:ilvl w:val="0"/>
          <w:numId w:val="4"/>
        </w:numPr>
        <w:spacing w:beforeLines="120" w:before="288" w:afterLines="120" w:after="288"/>
        <w:ind w:left="1080" w:right="0" w:hanging="720"/>
        <w:rPr>
          <w:rFonts w:ascii="Georgia Pro" w:hAnsi="Georgia Pro" w:cs="Times New Roman"/>
          <w:szCs w:val="24"/>
        </w:rPr>
      </w:pPr>
      <w:r w:rsidRPr="0015600B">
        <w:rPr>
          <w:rFonts w:ascii="Georgia Pro" w:hAnsi="Georgia Pro" w:cs="Times New Roman"/>
          <w:szCs w:val="24"/>
        </w:rPr>
        <w:t>The month with the heaviest precipitation in the cold season has at least three times as much precipitation as the month with the least precipitation in the rest of the year. The cold season is October through March in the Northern Hemisphere and April through September in the Southern Hemisphere.</w:t>
      </w:r>
    </w:p>
    <w:p w14:paraId="3F42EC30" w14:textId="6AEE121E" w:rsidR="00DB3DC6" w:rsidRPr="0015600B" w:rsidRDefault="00DB3DC6" w:rsidP="00DB3DC6">
      <w:pPr>
        <w:spacing w:beforeLines="120" w:before="288" w:afterLines="120" w:after="288"/>
        <w:rPr>
          <w:szCs w:val="24"/>
        </w:rPr>
      </w:pPr>
      <w:r w:rsidRPr="0015600B">
        <w:rPr>
          <w:szCs w:val="24"/>
        </w:rPr>
        <w:t xml:space="preserve">In this research, seven cities were selected </w:t>
      </w:r>
      <w:r w:rsidR="00CC125C">
        <w:rPr>
          <w:szCs w:val="24"/>
        </w:rPr>
        <w:t>from</w:t>
      </w:r>
      <w:r w:rsidRPr="0015600B">
        <w:rPr>
          <w:szCs w:val="24"/>
        </w:rPr>
        <w:t xml:space="preserve"> seven different U.S. climate zones. Shown in Figure 3</w:t>
      </w:r>
      <w:r w:rsidR="00F40C35" w:rsidRPr="0015600B">
        <w:rPr>
          <w:szCs w:val="24"/>
        </w:rPr>
        <w:t>.</w:t>
      </w:r>
      <w:r w:rsidR="009A3B72">
        <w:rPr>
          <w:szCs w:val="24"/>
        </w:rPr>
        <w:t>3</w:t>
      </w:r>
      <w:r w:rsidRPr="0015600B">
        <w:rPr>
          <w:szCs w:val="24"/>
        </w:rPr>
        <w:t xml:space="preserve"> are the cities that were </w:t>
      </w:r>
      <w:r w:rsidR="008F0CF3">
        <w:rPr>
          <w:szCs w:val="24"/>
        </w:rPr>
        <w:t>chosen</w:t>
      </w:r>
      <w:r w:rsidRPr="0015600B">
        <w:rPr>
          <w:szCs w:val="24"/>
        </w:rPr>
        <w:t xml:space="preserve"> for this </w:t>
      </w:r>
      <w:r w:rsidR="00F40C35" w:rsidRPr="0015600B">
        <w:rPr>
          <w:szCs w:val="24"/>
        </w:rPr>
        <w:t>study</w:t>
      </w:r>
      <w:r w:rsidRPr="0015600B">
        <w:rPr>
          <w:szCs w:val="24"/>
        </w:rPr>
        <w:t xml:space="preserve"> which are: Miami, FL, from a hot-humid climate zone; Duluth, MN from a very cold climate zone; Oklahoma City, OK from a mixed-humid climate zone; Albuquerque, NM from a mixed-dry climate zone; Los Angeles CA from a hot-dry zone; Reno, NV from a cold climate zone, and Portland, OR from a marine climate zone </w:t>
      </w:r>
      <w:r w:rsidRPr="0015600B">
        <w:rPr>
          <w:szCs w:val="24"/>
        </w:rPr>
        <w:fldChar w:fldCharType="begin" w:fldLock="1"/>
      </w:r>
      <w:r w:rsidR="00D6331E">
        <w:rPr>
          <w:szCs w:val="24"/>
        </w:rPr>
        <w:instrText>ADDIN CSL_CITATION {"citationItems":[{"id":"ITEM-1","itemData":{"URL":"https://www.pepperconstruction.com/blog/science-building-codes-and-climate-zones","accessed":{"date-parts":[["2020","6","1"]]},"id":"ITEM-1","issued":{"date-parts":[["0"]]},"title":"Recent changes to ASHRAE and IECC climate zone map and building codes","type":"webpage"},"uris":["http://www.mendeley.com/documents/?uuid=e3489fad-b15f-3747-945e-3ee49d70043d"]}],"mendeley":{"formattedCitation":"[59]","plainTextFormattedCitation":"[59]","previouslyFormattedCitation":"[59]"},"properties":{"noteIndex":0},"schema":"https://github.com/citation-style-language/schema/raw/master/csl-citation.json"}</w:instrText>
      </w:r>
      <w:r w:rsidRPr="0015600B">
        <w:rPr>
          <w:szCs w:val="24"/>
        </w:rPr>
        <w:fldChar w:fldCharType="separate"/>
      </w:r>
      <w:r w:rsidR="00D6331E" w:rsidRPr="00D6331E">
        <w:rPr>
          <w:noProof/>
          <w:szCs w:val="24"/>
        </w:rPr>
        <w:t>[59]</w:t>
      </w:r>
      <w:r w:rsidRPr="0015600B">
        <w:rPr>
          <w:szCs w:val="24"/>
        </w:rPr>
        <w:fldChar w:fldCharType="end"/>
      </w:r>
      <w:r w:rsidRPr="0015600B">
        <w:rPr>
          <w:szCs w:val="24"/>
        </w:rPr>
        <w:t xml:space="preserve">. </w:t>
      </w:r>
    </w:p>
    <w:p w14:paraId="2185C8A1" w14:textId="77777777" w:rsidR="000573B7" w:rsidRDefault="00DB3DC6" w:rsidP="000573B7">
      <w:pPr>
        <w:keepNext/>
        <w:spacing w:beforeLines="120" w:before="288" w:afterLines="120" w:after="288"/>
        <w:ind w:firstLine="0"/>
        <w:jc w:val="center"/>
      </w:pPr>
      <w:bookmarkStart w:id="113" w:name="_Toc41053076"/>
      <w:bookmarkStart w:id="114" w:name="_Toc41075480"/>
      <w:bookmarkStart w:id="115" w:name="_Toc42027852"/>
      <w:bookmarkStart w:id="116" w:name="_Toc42335011"/>
      <w:r w:rsidRPr="0015600B">
        <w:rPr>
          <w:noProof/>
          <w:szCs w:val="24"/>
        </w:rPr>
        <w:lastRenderedPageBreak/>
        <w:drawing>
          <wp:inline distT="0" distB="0" distL="0" distR="0" wp14:anchorId="272730F2" wp14:editId="258D8C68">
            <wp:extent cx="4903391" cy="2466357"/>
            <wp:effectExtent l="0" t="0" r="0" b="0"/>
            <wp:docPr id="33" name="Picture 1">
              <a:extLst xmlns:a="http://schemas.openxmlformats.org/drawingml/2006/main">
                <a:ext uri="{FF2B5EF4-FFF2-40B4-BE49-F238E27FC236}">
                  <a16:creationId xmlns:a16="http://schemas.microsoft.com/office/drawing/2014/main" id="{3D244A8E-A9B5-461E-BF2D-CE32A446F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D244A8E-A9B5-461E-BF2D-CE32A446FCA5}"/>
                        </a:ext>
                      </a:extLst>
                    </pic:cNvPr>
                    <pic:cNvPicPr>
                      <a:picLocks noChangeAspect="1"/>
                    </pic:cNvPicPr>
                  </pic:nvPicPr>
                  <pic:blipFill>
                    <a:blip r:embed="rId32"/>
                    <a:stretch>
                      <a:fillRect/>
                    </a:stretch>
                  </pic:blipFill>
                  <pic:spPr>
                    <a:xfrm>
                      <a:off x="0" y="0"/>
                      <a:ext cx="4903391" cy="2466357"/>
                    </a:xfrm>
                    <a:prstGeom prst="rect">
                      <a:avLst/>
                    </a:prstGeom>
                  </pic:spPr>
                </pic:pic>
              </a:graphicData>
            </a:graphic>
          </wp:inline>
        </w:drawing>
      </w:r>
    </w:p>
    <w:p w14:paraId="11A94D67" w14:textId="30CF9214" w:rsidR="00DB3DC6" w:rsidRPr="007C6AB8" w:rsidRDefault="000573B7" w:rsidP="00037B41">
      <w:pPr>
        <w:pStyle w:val="Caption"/>
      </w:pPr>
      <w:bookmarkStart w:id="117" w:name="_Toc47467757"/>
      <w:r w:rsidRPr="007C6AB8">
        <w:t xml:space="preserve">Figure </w:t>
      </w:r>
      <w:fldSimple w:instr=" STYLEREF 1 \s ">
        <w:r w:rsidR="00D979B8">
          <w:rPr>
            <w:noProof/>
          </w:rPr>
          <w:t>3</w:t>
        </w:r>
      </w:fldSimple>
      <w:r w:rsidR="00961B56" w:rsidRPr="007C6AB8">
        <w:t>.</w:t>
      </w:r>
      <w:fldSimple w:instr=" SEQ Figure \* ARABIC \s 1 ">
        <w:r w:rsidR="00D979B8">
          <w:rPr>
            <w:noProof/>
          </w:rPr>
          <w:t>3</w:t>
        </w:r>
      </w:fldSimple>
      <w:r w:rsidRPr="007C6AB8">
        <w:t>.</w:t>
      </w:r>
      <w:bookmarkStart w:id="118" w:name="_Toc41072084"/>
      <w:bookmarkStart w:id="119" w:name="_Toc41206825"/>
      <w:bookmarkStart w:id="120" w:name="_Toc41579998"/>
      <w:bookmarkStart w:id="121" w:name="_Toc41601486"/>
      <w:r w:rsidR="00DB3DC6" w:rsidRPr="007C6AB8">
        <w:t xml:space="preserve"> Showing ASHRAE Climate Zones and marking selected cities</w:t>
      </w:r>
      <w:bookmarkEnd w:id="118"/>
      <w:bookmarkEnd w:id="119"/>
      <w:bookmarkEnd w:id="120"/>
      <w:bookmarkEnd w:id="121"/>
      <w:r w:rsidR="00A27D36" w:rsidRPr="007C6AB8">
        <w:t xml:space="preserve"> </w:t>
      </w:r>
      <w:r w:rsidR="00D61001" w:rsidRPr="007C6AB8">
        <w:t xml:space="preserve">(adopted from </w:t>
      </w:r>
      <w:r w:rsidR="00A27D36" w:rsidRPr="007C6AB8">
        <w:fldChar w:fldCharType="begin" w:fldLock="1"/>
      </w:r>
      <w:r w:rsidR="00D6331E">
        <w:instrText>ADDIN CSL_CITATION {"citationItems":[{"id":"ITEM-1","itemData":{"URL":"https://basc.pnnl.gov/images/building-america-climate-zone-map","accessed":{"date-parts":[["2020","6","29"]]},"author":[{"dropping-particle":"","family":"Baechler, Williamson, Gilbride, Cole, Hefty","given":"Love","non-dropping-particle":"","parse-names":false,"suffix":""}],"id":"ITEM-1","issued":{"date-parts":[["0"]]},"title":"Building America climate zone map | Building America Solution Center","type":"webpage"},"uris":["http://www.mendeley.com/documents/?uuid=7210f008-11f6-3f72-ad03-8f253dbe1240"]}],"mendeley":{"formattedCitation":"[60]","plainTextFormattedCitation":"[60]","previouslyFormattedCitation":"[60]"},"properties":{"noteIndex":0},"schema":"https://github.com/citation-style-language/schema/raw/master/csl-citation.json"}</w:instrText>
      </w:r>
      <w:r w:rsidR="00A27D36" w:rsidRPr="007C6AB8">
        <w:fldChar w:fldCharType="separate"/>
      </w:r>
      <w:r w:rsidR="00D6331E" w:rsidRPr="00D6331E">
        <w:rPr>
          <w:i w:val="0"/>
          <w:noProof/>
        </w:rPr>
        <w:t>[60]</w:t>
      </w:r>
      <w:r w:rsidR="00A27D36" w:rsidRPr="007C6AB8">
        <w:fldChar w:fldCharType="end"/>
      </w:r>
      <w:r w:rsidR="00D61001" w:rsidRPr="007C6AB8">
        <w:t>)</w:t>
      </w:r>
      <w:r w:rsidR="00A27D36" w:rsidRPr="007C6AB8">
        <w:t>.</w:t>
      </w:r>
      <w:bookmarkEnd w:id="117"/>
    </w:p>
    <w:bookmarkEnd w:id="113"/>
    <w:bookmarkEnd w:id="114"/>
    <w:bookmarkEnd w:id="115"/>
    <w:bookmarkEnd w:id="116"/>
    <w:p w14:paraId="6EAD43B5" w14:textId="1392AE0A" w:rsidR="00DB3DC6" w:rsidRPr="0015600B" w:rsidRDefault="00DB3DC6" w:rsidP="00DB3DC6">
      <w:pPr>
        <w:spacing w:beforeLines="120" w:before="288" w:afterLines="120" w:after="288"/>
        <w:rPr>
          <w:szCs w:val="24"/>
        </w:rPr>
      </w:pPr>
      <w:r w:rsidRPr="0015600B">
        <w:rPr>
          <w:szCs w:val="24"/>
        </w:rPr>
        <w:t xml:space="preserve">Equipment sizing is </w:t>
      </w:r>
      <w:r w:rsidR="00516B0E" w:rsidRPr="0015600B">
        <w:rPr>
          <w:szCs w:val="24"/>
        </w:rPr>
        <w:t xml:space="preserve">determined using the </w:t>
      </w:r>
      <w:r w:rsidRPr="0015600B">
        <w:rPr>
          <w:szCs w:val="24"/>
        </w:rPr>
        <w:t>total daily building energy demand for heating</w:t>
      </w:r>
      <w:r w:rsidR="00516B0E" w:rsidRPr="0015600B">
        <w:rPr>
          <w:szCs w:val="24"/>
        </w:rPr>
        <w:t xml:space="preserve">, cooling, </w:t>
      </w:r>
      <w:r w:rsidRPr="0015600B">
        <w:rPr>
          <w:szCs w:val="24"/>
        </w:rPr>
        <w:t>and hot water loads and solar radiation index. It is desired to</w:t>
      </w:r>
      <w:r w:rsidR="004E1A99">
        <w:rPr>
          <w:szCs w:val="24"/>
        </w:rPr>
        <w:t xml:space="preserve"> </w:t>
      </w:r>
      <w:r w:rsidRPr="0015600B">
        <w:rPr>
          <w:szCs w:val="24"/>
        </w:rPr>
        <w:t>meet daily building energy demand; therefore,</w:t>
      </w:r>
      <w:r w:rsidR="004E1A99">
        <w:rPr>
          <w:szCs w:val="24"/>
        </w:rPr>
        <w:t xml:space="preserve"> </w:t>
      </w:r>
      <w:r w:rsidR="003804E1">
        <w:rPr>
          <w:szCs w:val="24"/>
        </w:rPr>
        <w:t xml:space="preserve">the </w:t>
      </w:r>
      <w:r w:rsidRPr="0015600B">
        <w:rPr>
          <w:szCs w:val="24"/>
        </w:rPr>
        <w:t xml:space="preserve">solar collector </w:t>
      </w:r>
      <w:r w:rsidR="00516B0E" w:rsidRPr="0015600B">
        <w:rPr>
          <w:szCs w:val="24"/>
        </w:rPr>
        <w:t xml:space="preserve">area </w:t>
      </w:r>
      <w:r w:rsidRPr="0015600B">
        <w:rPr>
          <w:szCs w:val="24"/>
        </w:rPr>
        <w:t xml:space="preserve">is sized to supply </w:t>
      </w:r>
      <w:r w:rsidR="003804E1">
        <w:rPr>
          <w:szCs w:val="24"/>
        </w:rPr>
        <w:t xml:space="preserve">the </w:t>
      </w:r>
      <w:r w:rsidRPr="0015600B">
        <w:rPr>
          <w:szCs w:val="24"/>
        </w:rPr>
        <w:t>total thermal energy req</w:t>
      </w:r>
      <w:r w:rsidR="00516B0E" w:rsidRPr="0015600B">
        <w:rPr>
          <w:szCs w:val="24"/>
        </w:rPr>
        <w:t>uired</w:t>
      </w:r>
      <w:r w:rsidR="004E1A99">
        <w:rPr>
          <w:szCs w:val="24"/>
        </w:rPr>
        <w:t>.</w:t>
      </w:r>
      <w:r w:rsidR="00516B0E" w:rsidRPr="0015600B">
        <w:rPr>
          <w:szCs w:val="24"/>
        </w:rPr>
        <w:t xml:space="preserve"> </w:t>
      </w:r>
      <w:r w:rsidR="004E1A99">
        <w:rPr>
          <w:szCs w:val="24"/>
        </w:rPr>
        <w:t xml:space="preserve">Solar energy </w:t>
      </w:r>
      <w:r w:rsidR="00516B0E" w:rsidRPr="0015600B">
        <w:rPr>
          <w:szCs w:val="24"/>
        </w:rPr>
        <w:t xml:space="preserve">is stored and distributed by </w:t>
      </w:r>
      <w:r w:rsidR="003804E1">
        <w:rPr>
          <w:szCs w:val="24"/>
        </w:rPr>
        <w:t xml:space="preserve">the </w:t>
      </w:r>
      <w:r w:rsidR="00516B0E" w:rsidRPr="0015600B">
        <w:rPr>
          <w:szCs w:val="24"/>
        </w:rPr>
        <w:t>thermal energy storage</w:t>
      </w:r>
      <w:r w:rsidR="004E1A99">
        <w:rPr>
          <w:szCs w:val="24"/>
        </w:rPr>
        <w:t xml:space="preserve"> unit</w:t>
      </w:r>
      <w:r w:rsidRPr="0015600B">
        <w:rPr>
          <w:szCs w:val="24"/>
        </w:rPr>
        <w:t xml:space="preserve">. A step by step details on sizing equipment </w:t>
      </w:r>
      <w:r w:rsidR="003804E1">
        <w:rPr>
          <w:szCs w:val="24"/>
        </w:rPr>
        <w:t>is</w:t>
      </w:r>
      <w:r w:rsidRPr="0015600B">
        <w:rPr>
          <w:szCs w:val="24"/>
        </w:rPr>
        <w:t xml:space="preserve"> discussed in this section.</w:t>
      </w:r>
    </w:p>
    <w:p w14:paraId="080B6FC4" w14:textId="267110A1" w:rsidR="00DB3DC6" w:rsidRPr="0015600B" w:rsidRDefault="00DB3DC6" w:rsidP="00723466">
      <w:pPr>
        <w:pStyle w:val="Heading3"/>
        <w:numPr>
          <w:ilvl w:val="2"/>
          <w:numId w:val="16"/>
        </w:numPr>
      </w:pPr>
      <w:bookmarkStart w:id="122" w:name="_Toc41053077"/>
      <w:bookmarkStart w:id="123" w:name="_Toc41075481"/>
      <w:bookmarkStart w:id="124" w:name="_Toc42027853"/>
      <w:bookmarkStart w:id="125" w:name="_Toc42335012"/>
      <w:bookmarkStart w:id="126" w:name="_Toc43877981"/>
      <w:r w:rsidRPr="0015600B">
        <w:t>Daily total energy demand</w:t>
      </w:r>
      <w:bookmarkEnd w:id="122"/>
      <w:bookmarkEnd w:id="123"/>
      <w:r w:rsidRPr="0015600B">
        <w:t xml:space="preserve"> calculation</w:t>
      </w:r>
      <w:bookmarkEnd w:id="124"/>
      <w:bookmarkEnd w:id="125"/>
      <w:bookmarkEnd w:id="126"/>
    </w:p>
    <w:p w14:paraId="39CB732B" w14:textId="51918C08" w:rsidR="00DB3DC6" w:rsidRPr="0015600B" w:rsidRDefault="00DB3DC6" w:rsidP="00DB3DC6">
      <w:pPr>
        <w:spacing w:beforeLines="120" w:before="288" w:afterLines="120" w:after="288"/>
        <w:rPr>
          <w:szCs w:val="24"/>
        </w:rPr>
      </w:pPr>
      <w:r w:rsidRPr="0015600B">
        <w:rPr>
          <w:szCs w:val="24"/>
        </w:rPr>
        <w:t>Hourly data on residential heating, cooling</w:t>
      </w:r>
      <w:r w:rsidR="003804E1">
        <w:rPr>
          <w:szCs w:val="24"/>
        </w:rPr>
        <w:t>,</w:t>
      </w:r>
      <w:r w:rsidRPr="0015600B">
        <w:rPr>
          <w:szCs w:val="24"/>
        </w:rPr>
        <w:t xml:space="preserve"> and hot water loads are available from the OpenEI website </w:t>
      </w:r>
      <w:r w:rsidRPr="0015600B">
        <w:rPr>
          <w:szCs w:val="24"/>
        </w:rPr>
        <w:fldChar w:fldCharType="begin" w:fldLock="1"/>
      </w:r>
      <w:r w:rsidR="00D6331E">
        <w:rPr>
          <w:szCs w:val="24"/>
        </w:rPr>
        <w:instrText>ADDIN CSL_CITATION {"citationItems":[{"id":"ITEM-1","itemData":{"URL":"https://openei.org/datasets/files/961/pub/EPLUS_TMY2_RESIDENTIAL_BASE/","accessed":{"date-parts":[["2020","6","1"]]},"id":"ITEM-1","issued":{"date-parts":[["0"]]},"title":"Index of /datasets/files/961/pub/EPLUS_TMY2_RESIDENTIAL_BASE","type":"webpage"},"uris":["http://www.mendeley.com/documents/?uuid=482acc46-d2b5-35df-9335-7101f1917aae"]}],"mendeley":{"formattedCitation":"[61]","plainTextFormattedCitation":"[61]","previouslyFormattedCitation":"[61]"},"properties":{"noteIndex":0},"schema":"https://github.com/citation-style-language/schema/raw/master/csl-citation.json"}</w:instrText>
      </w:r>
      <w:r w:rsidRPr="0015600B">
        <w:rPr>
          <w:szCs w:val="24"/>
        </w:rPr>
        <w:fldChar w:fldCharType="separate"/>
      </w:r>
      <w:r w:rsidR="00D6331E" w:rsidRPr="00D6331E">
        <w:rPr>
          <w:noProof/>
          <w:szCs w:val="24"/>
        </w:rPr>
        <w:t>[61]</w:t>
      </w:r>
      <w:r w:rsidRPr="0015600B">
        <w:rPr>
          <w:szCs w:val="24"/>
        </w:rPr>
        <w:fldChar w:fldCharType="end"/>
      </w:r>
      <w:r w:rsidRPr="0015600B">
        <w:rPr>
          <w:szCs w:val="24"/>
        </w:rPr>
        <w:t xml:space="preserve">, affiliated with the U.S. Department of Energy. The daily demand is obtained by adding 24-hour load data for space cooling and heating, and hot water for each day in a TMY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8"/>
        <w:gridCol w:w="1612"/>
      </w:tblGrid>
      <w:tr w:rsidR="00DB3DC6" w:rsidRPr="0015600B" w14:paraId="26A88C80" w14:textId="77777777" w:rsidTr="009924B9">
        <w:tc>
          <w:tcPr>
            <w:tcW w:w="7735" w:type="dxa"/>
            <w:vAlign w:val="center"/>
          </w:tcPr>
          <w:p w14:paraId="4D0DFE9B" w14:textId="278D8F3A" w:rsidR="00DB3DC6" w:rsidRPr="0015600B" w:rsidRDefault="003A0B43" w:rsidP="00723466">
            <w:pPr>
              <w:spacing w:beforeLines="120" w:before="288" w:afterLines="120" w:after="288"/>
              <w:jc w:val="left"/>
              <w:rPr>
                <w:szCs w:val="24"/>
              </w:rPr>
            </w:pPr>
            <m:oMathPara>
              <m:oMath>
                <m:sSub>
                  <m:sSubPr>
                    <m:ctrlPr>
                      <w:rPr>
                        <w:rFonts w:ascii="Cambria Math" w:hAnsi="Cambria Math"/>
                        <w:iCs/>
                        <w:szCs w:val="24"/>
                      </w:rPr>
                    </m:ctrlPr>
                  </m:sSubPr>
                  <m:e>
                    <m:r>
                      <w:rPr>
                        <w:rFonts w:ascii="Cambria Math" w:hAnsi="Cambria Math"/>
                        <w:szCs w:val="24"/>
                      </w:rPr>
                      <m:t>Q</m:t>
                    </m:r>
                  </m:e>
                  <m:sub>
                    <m:r>
                      <w:rPr>
                        <w:rFonts w:ascii="Cambria Math" w:hAnsi="Cambria Math"/>
                        <w:szCs w:val="24"/>
                      </w:rPr>
                      <m:t>d</m:t>
                    </m:r>
                  </m:sub>
                </m:sSub>
                <m:r>
                  <m:rPr>
                    <m:sty m:val="p"/>
                  </m:rPr>
                  <w:rPr>
                    <w:rFonts w:ascii="Cambria Math" w:hAnsi="Cambria Math"/>
                    <w:szCs w:val="24"/>
                  </w:rPr>
                  <m:t>=</m:t>
                </m:r>
                <m:nary>
                  <m:naryPr>
                    <m:ctrlPr>
                      <w:rPr>
                        <w:rFonts w:ascii="Cambria Math" w:hAnsi="Cambria Math"/>
                        <w:iCs/>
                        <w:szCs w:val="24"/>
                      </w:rPr>
                    </m:ctrlPr>
                  </m:naryPr>
                  <m:sub>
                    <m:r>
                      <m:rPr>
                        <m:sty m:val="p"/>
                      </m:rPr>
                      <w:rPr>
                        <w:rFonts w:ascii="Cambria Math" w:hAnsi="Cambria Math"/>
                        <w:szCs w:val="24"/>
                      </w:rPr>
                      <m:t>0</m:t>
                    </m:r>
                  </m:sub>
                  <m:sup>
                    <m:r>
                      <m:rPr>
                        <m:sty m:val="p"/>
                      </m:rPr>
                      <w:rPr>
                        <w:rFonts w:ascii="Cambria Math" w:hAnsi="Cambria Math"/>
                        <w:szCs w:val="24"/>
                      </w:rPr>
                      <m:t>24</m:t>
                    </m:r>
                  </m:sup>
                  <m:e>
                    <m:sSub>
                      <m:sSubPr>
                        <m:ctrlPr>
                          <w:rPr>
                            <w:rFonts w:ascii="Cambria Math" w:hAnsi="Cambria Math"/>
                            <w:iCs/>
                            <w:szCs w:val="24"/>
                          </w:rPr>
                        </m:ctrlPr>
                      </m:sSubPr>
                      <m:e>
                        <m:r>
                          <w:rPr>
                            <w:rFonts w:ascii="Cambria Math" w:hAnsi="Cambria Math"/>
                            <w:szCs w:val="24"/>
                          </w:rPr>
                          <m:t>load</m:t>
                        </m:r>
                      </m:e>
                      <m:sub>
                        <m:r>
                          <w:rPr>
                            <w:rFonts w:ascii="Cambria Math" w:hAnsi="Cambria Math"/>
                            <w:szCs w:val="24"/>
                          </w:rPr>
                          <m:t>h</m:t>
                        </m:r>
                      </m:sub>
                    </m:sSub>
                    <m:r>
                      <w:rPr>
                        <w:rFonts w:ascii="Cambria Math" w:hAnsi="Cambria Math"/>
                        <w:szCs w:val="24"/>
                      </w:rPr>
                      <m:t>dh</m:t>
                    </m:r>
                  </m:e>
                </m:nary>
              </m:oMath>
            </m:oMathPara>
          </w:p>
        </w:tc>
        <w:tc>
          <w:tcPr>
            <w:tcW w:w="1615" w:type="dxa"/>
            <w:vAlign w:val="center"/>
          </w:tcPr>
          <w:p w14:paraId="2CED4CD0" w14:textId="4BF38645"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16</w:t>
              </w:r>
            </w:fldSimple>
            <w:r>
              <w:t>)</w:t>
            </w:r>
          </w:p>
        </w:tc>
      </w:tr>
    </w:tbl>
    <w:p w14:paraId="2B22C22C" w14:textId="659ECC2B" w:rsidR="00DB3DC6" w:rsidRPr="0015600B" w:rsidRDefault="00DB3DC6" w:rsidP="00DB3DC6">
      <w:pPr>
        <w:spacing w:beforeLines="120" w:before="288" w:afterLines="120" w:after="288"/>
        <w:rPr>
          <w:szCs w:val="24"/>
        </w:rPr>
      </w:pPr>
      <w:r w:rsidRPr="0015600B">
        <w:rPr>
          <w:szCs w:val="24"/>
        </w:rPr>
        <w:t xml:space="preserve">Throughout this paper, the subscripts </w:t>
      </w:r>
      <m:oMath>
        <m:r>
          <w:rPr>
            <w:rFonts w:ascii="Cambria Math" w:hAnsi="Cambria Math"/>
            <w:szCs w:val="24"/>
          </w:rPr>
          <m:t>d</m:t>
        </m:r>
      </m:oMath>
      <w:r w:rsidRPr="0015600B">
        <w:rPr>
          <w:b/>
          <w:szCs w:val="24"/>
        </w:rPr>
        <w:t xml:space="preserve"> </w:t>
      </w:r>
      <w:r w:rsidRPr="0015600B">
        <w:rPr>
          <w:szCs w:val="24"/>
        </w:rPr>
        <w:t xml:space="preserve">and </w:t>
      </w:r>
      <w:r w:rsidR="00542EEA">
        <w:rPr>
          <w:i/>
          <w:iCs/>
          <w:szCs w:val="24"/>
        </w:rPr>
        <w:t>h</w:t>
      </w:r>
      <w:r w:rsidRPr="0015600B">
        <w:rPr>
          <w:szCs w:val="24"/>
        </w:rPr>
        <w:t xml:space="preserve"> represent day and hour, respectively; and </w:t>
      </w:r>
      <m:oMath>
        <m:sSub>
          <m:sSubPr>
            <m:ctrlPr>
              <w:rPr>
                <w:rFonts w:ascii="Cambria Math" w:hAnsi="Cambria Math"/>
                <w:i/>
                <w:iCs/>
                <w:szCs w:val="24"/>
              </w:rPr>
            </m:ctrlPr>
          </m:sSubPr>
          <m:e>
            <m:r>
              <w:rPr>
                <w:rFonts w:ascii="Cambria Math" w:hAnsi="Cambria Math"/>
                <w:szCs w:val="24"/>
              </w:rPr>
              <m:t>load</m:t>
            </m:r>
          </m:e>
          <m:sub>
            <m:r>
              <w:rPr>
                <w:rFonts w:ascii="Cambria Math" w:hAnsi="Cambria Math"/>
                <w:szCs w:val="24"/>
              </w:rPr>
              <m:t>t</m:t>
            </m:r>
          </m:sub>
        </m:sSub>
      </m:oMath>
      <w:r w:rsidRPr="0015600B">
        <w:rPr>
          <w:b/>
          <w:iCs/>
          <w:szCs w:val="24"/>
        </w:rPr>
        <w:t xml:space="preserve"> </w:t>
      </w:r>
      <w:r w:rsidRPr="0015600B">
        <w:rPr>
          <w:iCs/>
          <w:szCs w:val="24"/>
        </w:rPr>
        <w:t>is</w:t>
      </w:r>
      <w:r w:rsidRPr="0015600B">
        <w:rPr>
          <w:b/>
          <w:iCs/>
          <w:szCs w:val="24"/>
        </w:rPr>
        <w:t xml:space="preserve"> </w:t>
      </w:r>
      <w:r w:rsidRPr="0015600B">
        <w:rPr>
          <w:iCs/>
          <w:szCs w:val="24"/>
        </w:rPr>
        <w:t xml:space="preserve">the hourly energy required for heating, cooling, and hot water.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gridCol w:w="1611"/>
      </w:tblGrid>
      <w:tr w:rsidR="00DB3DC6" w:rsidRPr="0015600B" w14:paraId="5805CCE9" w14:textId="77777777" w:rsidTr="009924B9">
        <w:tc>
          <w:tcPr>
            <w:tcW w:w="7735" w:type="dxa"/>
            <w:vAlign w:val="center"/>
          </w:tcPr>
          <w:p w14:paraId="6F7FEA3F" w14:textId="07D217E0" w:rsidR="00DB3DC6" w:rsidRPr="0015600B" w:rsidRDefault="003A0B43" w:rsidP="00723466">
            <w:pPr>
              <w:spacing w:beforeLines="120" w:before="288" w:afterLines="120" w:after="288"/>
              <w:jc w:val="left"/>
              <w:rPr>
                <w:rFonts w:eastAsia="DengXian"/>
                <w:szCs w:val="24"/>
              </w:rPr>
            </w:pPr>
            <m:oMathPara>
              <m:oMathParaPr>
                <m:jc m:val="center"/>
              </m:oMathParaPr>
              <m:oMath>
                <m:sSub>
                  <m:sSubPr>
                    <m:ctrlPr>
                      <w:rPr>
                        <w:rFonts w:ascii="Cambria Math" w:hAnsi="Cambria Math"/>
                        <w:iCs/>
                        <w:szCs w:val="24"/>
                      </w:rPr>
                    </m:ctrlPr>
                  </m:sSubPr>
                  <m:e>
                    <m:r>
                      <w:rPr>
                        <w:rFonts w:ascii="Cambria Math" w:hAnsi="Cambria Math"/>
                        <w:szCs w:val="24"/>
                      </w:rPr>
                      <m:t>load</m:t>
                    </m:r>
                  </m:e>
                  <m:sub>
                    <m:r>
                      <w:rPr>
                        <w:rFonts w:ascii="Cambria Math" w:hAnsi="Cambria Math"/>
                        <w:szCs w:val="24"/>
                      </w:rPr>
                      <m:t>h</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COP</m:t>
                        </m:r>
                      </m:e>
                      <m:sub>
                        <m:r>
                          <w:rPr>
                            <w:rFonts w:ascii="Cambria Math" w:hAnsi="Cambria Math"/>
                            <w:szCs w:val="24"/>
                          </w:rPr>
                          <m:t>vapor</m:t>
                        </m:r>
                        <m:r>
                          <m:rPr>
                            <m:sty m:val="p"/>
                          </m:rPr>
                          <w:rPr>
                            <w:rFonts w:ascii="Cambria Math" w:hAnsi="Cambria Math"/>
                            <w:szCs w:val="24"/>
                          </w:rPr>
                          <m:t xml:space="preserve"> </m:t>
                        </m:r>
                        <m:r>
                          <w:rPr>
                            <w:rFonts w:ascii="Cambria Math" w:hAnsi="Cambria Math"/>
                            <w:szCs w:val="24"/>
                          </w:rPr>
                          <m:t>compression</m:t>
                        </m:r>
                      </m:sub>
                    </m:sSub>
                  </m:num>
                  <m:den>
                    <m:sSub>
                      <m:sSubPr>
                        <m:ctrlPr>
                          <w:rPr>
                            <w:rFonts w:ascii="Cambria Math" w:hAnsi="Cambria Math"/>
                            <w:szCs w:val="24"/>
                          </w:rPr>
                        </m:ctrlPr>
                      </m:sSubPr>
                      <m:e>
                        <m:r>
                          <m:rPr>
                            <m:sty m:val="p"/>
                          </m:rPr>
                          <w:rPr>
                            <w:rFonts w:ascii="Cambria Math" w:hAnsi="Cambria Math"/>
                            <w:szCs w:val="24"/>
                          </w:rPr>
                          <m:t>COP</m:t>
                        </m:r>
                      </m:e>
                      <m:sub>
                        <m:r>
                          <w:rPr>
                            <w:rFonts w:ascii="Cambria Math" w:hAnsi="Cambria Math"/>
                            <w:szCs w:val="24"/>
                          </w:rPr>
                          <m:t>absorption</m:t>
                        </m:r>
                        <m:r>
                          <m:rPr>
                            <m:sty m:val="p"/>
                          </m:rPr>
                          <w:rPr>
                            <w:rFonts w:ascii="Cambria Math" w:hAnsi="Cambria Math"/>
                            <w:szCs w:val="24"/>
                          </w:rPr>
                          <m:t xml:space="preserve"> </m:t>
                        </m:r>
                        <m:r>
                          <w:rPr>
                            <w:rFonts w:ascii="Cambria Math" w:hAnsi="Cambria Math"/>
                            <w:szCs w:val="24"/>
                          </w:rPr>
                          <m:t>chiller</m:t>
                        </m:r>
                      </m:sub>
                    </m:sSub>
                  </m:den>
                </m:f>
                <m:r>
                  <m:rPr>
                    <m:sty m:val="p"/>
                  </m:rPr>
                  <w:rPr>
                    <w:rFonts w:ascii="Cambria Math" w:hAnsi="Cambria Math"/>
                    <w:szCs w:val="24"/>
                  </w:rPr>
                  <m:t xml:space="preserve"> ×</m:t>
                </m:r>
                <m:sSub>
                  <m:sSubPr>
                    <m:ctrlPr>
                      <w:rPr>
                        <w:rFonts w:ascii="Cambria Math" w:hAnsi="Cambria Math"/>
                        <w:iCs/>
                        <w:szCs w:val="24"/>
                      </w:rPr>
                    </m:ctrlPr>
                  </m:sSubPr>
                  <m:e>
                    <m:r>
                      <w:rPr>
                        <w:rFonts w:ascii="Cambria Math" w:hAnsi="Cambria Math"/>
                        <w:szCs w:val="24"/>
                      </w:rPr>
                      <m:t>load</m:t>
                    </m:r>
                  </m:e>
                  <m:sub>
                    <m:r>
                      <w:rPr>
                        <w:rFonts w:ascii="Cambria Math" w:hAnsi="Cambria Math"/>
                        <w:szCs w:val="24"/>
                      </w:rPr>
                      <m:t>h</m:t>
                    </m:r>
                    <m:r>
                      <m:rPr>
                        <m:sty m:val="p"/>
                      </m:rPr>
                      <w:rPr>
                        <w:rFonts w:ascii="Cambria Math" w:hAnsi="Cambria Math"/>
                        <w:szCs w:val="24"/>
                      </w:rPr>
                      <m:t>,</m:t>
                    </m:r>
                    <m:r>
                      <w:rPr>
                        <w:rFonts w:ascii="Cambria Math" w:hAnsi="Cambria Math"/>
                        <w:szCs w:val="24"/>
                      </w:rPr>
                      <m:t>cooling</m:t>
                    </m:r>
                  </m:sub>
                </m:sSub>
                <m:r>
                  <m:rPr>
                    <m:sty m:val="p"/>
                  </m:rPr>
                  <w:rPr>
                    <w:rFonts w:ascii="Cambria Math" w:hAnsi="Cambria Math"/>
                    <w:szCs w:val="24"/>
                  </w:rPr>
                  <m:t>+</m:t>
                </m:r>
                <m:sSub>
                  <m:sSubPr>
                    <m:ctrlPr>
                      <w:rPr>
                        <w:rFonts w:ascii="Cambria Math" w:hAnsi="Cambria Math"/>
                        <w:iCs/>
                        <w:szCs w:val="24"/>
                      </w:rPr>
                    </m:ctrlPr>
                  </m:sSubPr>
                  <m:e>
                    <m:r>
                      <w:rPr>
                        <w:rFonts w:ascii="Cambria Math" w:hAnsi="Cambria Math"/>
                        <w:szCs w:val="24"/>
                      </w:rPr>
                      <m:t>load</m:t>
                    </m:r>
                  </m:e>
                  <m:sub>
                    <m:r>
                      <w:rPr>
                        <w:rFonts w:ascii="Cambria Math" w:hAnsi="Cambria Math"/>
                        <w:szCs w:val="24"/>
                      </w:rPr>
                      <m:t>h</m:t>
                    </m:r>
                    <m:r>
                      <m:rPr>
                        <m:sty m:val="p"/>
                      </m:rPr>
                      <w:rPr>
                        <w:rFonts w:ascii="Cambria Math" w:hAnsi="Cambria Math"/>
                        <w:szCs w:val="24"/>
                      </w:rPr>
                      <m:t>,</m:t>
                    </m:r>
                    <m:r>
                      <w:rPr>
                        <w:rFonts w:ascii="Cambria Math" w:hAnsi="Cambria Math"/>
                        <w:szCs w:val="24"/>
                      </w:rPr>
                      <m:t>heating</m:t>
                    </m:r>
                  </m:sub>
                </m:sSub>
                <m:r>
                  <m:rPr>
                    <m:sty m:val="p"/>
                  </m:rPr>
                  <w:rPr>
                    <w:rFonts w:ascii="Cambria Math" w:hAnsi="Cambria Math"/>
                    <w:szCs w:val="24"/>
                  </w:rPr>
                  <m:t>+</m:t>
                </m:r>
                <m:sSub>
                  <m:sSubPr>
                    <m:ctrlPr>
                      <w:rPr>
                        <w:rFonts w:ascii="Cambria Math" w:hAnsi="Cambria Math"/>
                        <w:iCs/>
                        <w:szCs w:val="24"/>
                      </w:rPr>
                    </m:ctrlPr>
                  </m:sSubPr>
                  <m:e>
                    <m:r>
                      <w:rPr>
                        <w:rFonts w:ascii="Cambria Math" w:hAnsi="Cambria Math"/>
                        <w:szCs w:val="24"/>
                      </w:rPr>
                      <m:t>load</m:t>
                    </m:r>
                  </m:e>
                  <m:sub>
                    <m:r>
                      <w:rPr>
                        <w:rFonts w:ascii="Cambria Math" w:hAnsi="Cambria Math"/>
                        <w:szCs w:val="24"/>
                      </w:rPr>
                      <m:t>h</m:t>
                    </m:r>
                    <m:r>
                      <m:rPr>
                        <m:sty m:val="p"/>
                      </m:rPr>
                      <w:rPr>
                        <w:rFonts w:ascii="Cambria Math" w:hAnsi="Cambria Math"/>
                        <w:szCs w:val="24"/>
                      </w:rPr>
                      <m:t>,</m:t>
                    </m:r>
                    <m:r>
                      <w:rPr>
                        <w:rFonts w:ascii="Cambria Math" w:hAnsi="Cambria Math"/>
                        <w:szCs w:val="24"/>
                      </w:rPr>
                      <m:t>hot</m:t>
                    </m:r>
                    <m:r>
                      <m:rPr>
                        <m:sty m:val="p"/>
                      </m:rPr>
                      <w:rPr>
                        <w:rFonts w:ascii="Cambria Math" w:hAnsi="Cambria Math"/>
                        <w:szCs w:val="24"/>
                      </w:rPr>
                      <m:t> </m:t>
                    </m:r>
                    <m:r>
                      <w:rPr>
                        <w:rFonts w:ascii="Cambria Math" w:hAnsi="Cambria Math"/>
                        <w:szCs w:val="24"/>
                      </w:rPr>
                      <m:t>water</m:t>
                    </m:r>
                  </m:sub>
                </m:sSub>
              </m:oMath>
            </m:oMathPara>
          </w:p>
        </w:tc>
        <w:tc>
          <w:tcPr>
            <w:tcW w:w="1615" w:type="dxa"/>
            <w:vAlign w:val="center"/>
          </w:tcPr>
          <w:p w14:paraId="194A720B" w14:textId="138331E8"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17</w:t>
              </w:r>
            </w:fldSimple>
            <w:r>
              <w:t>)</w:t>
            </w:r>
          </w:p>
        </w:tc>
      </w:tr>
    </w:tbl>
    <w:p w14:paraId="7192FA55" w14:textId="07B18A81" w:rsidR="00DB3DC6" w:rsidRPr="0015600B" w:rsidRDefault="003A0B43" w:rsidP="00DB3DC6">
      <w:pPr>
        <w:spacing w:beforeLines="120" w:before="288" w:afterLines="120" w:after="288"/>
        <w:rPr>
          <w:szCs w:val="24"/>
        </w:rPr>
      </w:pPr>
      <m:oMath>
        <m:sSub>
          <m:sSubPr>
            <m:ctrlPr>
              <w:rPr>
                <w:rFonts w:ascii="Cambria Math" w:hAnsi="Cambria Math"/>
                <w:i/>
                <w:szCs w:val="24"/>
              </w:rPr>
            </m:ctrlPr>
          </m:sSubPr>
          <m:e>
            <m:r>
              <m:rPr>
                <m:sty m:val="p"/>
              </m:rPr>
              <w:rPr>
                <w:rFonts w:ascii="Cambria Math" w:hAnsi="Cambria Math"/>
                <w:szCs w:val="24"/>
              </w:rPr>
              <m:t>COP</m:t>
            </m:r>
          </m:e>
          <m:sub>
            <m:r>
              <w:rPr>
                <w:rFonts w:ascii="Cambria Math" w:hAnsi="Cambria Math"/>
                <w:szCs w:val="24"/>
              </w:rPr>
              <m:t>vapor compression</m:t>
            </m:r>
          </m:sub>
        </m:sSub>
      </m:oMath>
      <w:r w:rsidR="00DB3DC6" w:rsidRPr="0015600B">
        <w:rPr>
          <w:szCs w:val="24"/>
        </w:rPr>
        <w:t xml:space="preserve"> is the coefficient of performance of </w:t>
      </w:r>
      <w:r w:rsidR="003804E1">
        <w:rPr>
          <w:szCs w:val="24"/>
        </w:rPr>
        <w:t xml:space="preserve">the </w:t>
      </w:r>
      <w:r w:rsidR="00DB3DC6" w:rsidRPr="0015600B">
        <w:rPr>
          <w:szCs w:val="24"/>
        </w:rPr>
        <w:t xml:space="preserve">vapor compression cycle and is calculated using SEER (seasonal energy efficiency ratio) relations obtained from </w:t>
      </w:r>
      <w:r w:rsidR="00DB3DC6" w:rsidRPr="0015600B">
        <w:rPr>
          <w:szCs w:val="24"/>
        </w:rPr>
        <w:fldChar w:fldCharType="begin" w:fldLock="1"/>
      </w:r>
      <w:r w:rsidR="00D6331E">
        <w:rPr>
          <w:szCs w:val="24"/>
        </w:rPr>
        <w:instrText>ADDIN CSL_CITATION {"citationItems":[{"id":"ITEM-1","itemData":{"abstract":"R22 and R410A split airconditioning systems were tested and compared as outdoor temperature ranged from 27.8 °C (82.0 °F) to 54.4 °F (130 °F). The R410A system tests were extended to 68.3 °C (155.0 °F) ambient temperature with a customized compressor. Capacity and efficiency of both systems decreased linearly with increasing outdoor temperature, but the R410A system performance degraded more than the R22 system performance. Operation of the R410A system was stable during all tests, including those with the customized compressor extending up to the 68.3 °F (155.0 °F) outdoor temperature and resulting in a supercritical condition at the condenser inlet. No noticeable changes in noise level or operation of the system was noted. NOMENCLATURE Comp compressor COP coefficient of performance, W/W EER energy efficiency ratio, Btu/Wh SEER seasonal energy efficiency ratio, Btu/Wh T ambient temperature, °C (°F)","author":[{"dropping-particle":"V","family":"Payne","given":"W","non-dropping-particle":"","parse-names":false,"suffix":""},{"dropping-particle":"","family":"Domanski","given":"P A","non-dropping-particle":"","parse-names":false,"suffix":""},{"dropping-particle":"","family":"Payne","given":"W Vance","non-dropping-particle":"","parse-names":false,"suffix":""},{"dropping-particle":"","family":"Domanski","given":"Piotr A","non-dropping-particle":"","parse-names":false,"suffix":""}],"id":"ITEM-1","issued":{"date-parts":[["0"]]},"title":"Purdue e-Pubs A Comparison Of An R22 And An R410A Air Conditioner Operating At High Ambient Temperatures A Comparison of an R22 and an R410A Air Conditioner Operating at High Ambient Temperatures","type":"report"},"uris":["http://www.mendeley.com/documents/?uuid=f28d6b55-46b4-3378-bbb4-23b581f838d1"]}],"mendeley":{"formattedCitation":"[62]","plainTextFormattedCitation":"[62]","previouslyFormattedCitation":"[62]"},"properties":{"noteIndex":0},"schema":"https://github.com/citation-style-language/schema/raw/master/csl-citation.json"}</w:instrText>
      </w:r>
      <w:r w:rsidR="00DB3DC6" w:rsidRPr="0015600B">
        <w:rPr>
          <w:szCs w:val="24"/>
        </w:rPr>
        <w:fldChar w:fldCharType="separate"/>
      </w:r>
      <w:r w:rsidR="00D6331E" w:rsidRPr="00D6331E">
        <w:rPr>
          <w:noProof/>
          <w:szCs w:val="24"/>
        </w:rPr>
        <w:t>[62]</w:t>
      </w:r>
      <w:r w:rsidR="00DB3DC6" w:rsidRPr="0015600B">
        <w:rPr>
          <w:szCs w:val="24"/>
        </w:rPr>
        <w:fldChar w:fldCharType="end"/>
      </w:r>
      <w:r w:rsidR="004A74BE">
        <w:rPr>
          <w:szCs w:val="24"/>
        </w:rPr>
        <w:t xml:space="preserve"> </w:t>
      </w:r>
      <w:r w:rsidR="00DB3DC6" w:rsidRPr="0015600B">
        <w:rPr>
          <w:szCs w:val="24"/>
        </w:rPr>
        <w:t>-</w:t>
      </w:r>
      <w:r w:rsidR="004A74BE">
        <w:rPr>
          <w:szCs w:val="24"/>
        </w:rPr>
        <w:t xml:space="preserve"> </w:t>
      </w:r>
      <w:r w:rsidR="00DB3DC6" w:rsidRPr="0015600B">
        <w:rPr>
          <w:szCs w:val="24"/>
        </w:rPr>
        <w:fldChar w:fldCharType="begin" w:fldLock="1"/>
      </w:r>
      <w:r w:rsidR="00D6331E">
        <w:rPr>
          <w:szCs w:val="24"/>
        </w:rPr>
        <w:instrText>ADDIN CSL_CITATION {"citationItems":[{"id":"ITEM-1","itemData":{"URL":"https://powerknotsra.com/2011/03/01/cops-eers-and-seers/","accessed":{"date-parts":[["2020","6","1"]]},"id":"ITEM-1","issued":{"date-parts":[["0"]]},"title":"COPs, EERs, and SEERs – Power Knot SRA","type":"webpage"},"uris":["http://www.mendeley.com/documents/?uuid=c5a49a9a-5ffd-3215-a880-d9710435bca9"]}],"mendeley":{"formattedCitation":"[63]","plainTextFormattedCitation":"[63]","previouslyFormattedCitation":"[63]"},"properties":{"noteIndex":0},"schema":"https://github.com/citation-style-language/schema/raw/master/csl-citation.json"}</w:instrText>
      </w:r>
      <w:r w:rsidR="00DB3DC6" w:rsidRPr="0015600B">
        <w:rPr>
          <w:szCs w:val="24"/>
        </w:rPr>
        <w:fldChar w:fldCharType="separate"/>
      </w:r>
      <w:r w:rsidR="00D6331E" w:rsidRPr="00D6331E">
        <w:rPr>
          <w:noProof/>
          <w:szCs w:val="24"/>
        </w:rPr>
        <w:t>[63]</w:t>
      </w:r>
      <w:r w:rsidR="00DB3DC6" w:rsidRPr="0015600B">
        <w:rPr>
          <w:szCs w:val="24"/>
        </w:rPr>
        <w:fldChar w:fldCharType="end"/>
      </w:r>
      <w:r w:rsidR="00DB3DC6" w:rsidRPr="0015600B">
        <w:rPr>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1602"/>
      </w:tblGrid>
      <w:tr w:rsidR="00DB3DC6" w:rsidRPr="0015600B" w14:paraId="157B73DA" w14:textId="77777777" w:rsidTr="009924B9">
        <w:trPr>
          <w:jc w:val="center"/>
        </w:trPr>
        <w:tc>
          <w:tcPr>
            <w:tcW w:w="7735" w:type="dxa"/>
            <w:vAlign w:val="center"/>
          </w:tcPr>
          <w:p w14:paraId="2E9A7A1A" w14:textId="77777777" w:rsidR="00DB3DC6" w:rsidRPr="0015600B" w:rsidRDefault="00DB3DC6" w:rsidP="00723466">
            <w:pPr>
              <w:spacing w:beforeLines="120" w:before="288" w:afterLines="120" w:after="288"/>
              <w:jc w:val="left"/>
              <w:rPr>
                <w:szCs w:val="24"/>
              </w:rPr>
            </w:pPr>
            <m:oMathPara>
              <m:oMathParaPr>
                <m:jc m:val="center"/>
              </m:oMathParaPr>
              <m:oMath>
                <m:r>
                  <w:rPr>
                    <w:rFonts w:ascii="Cambria Math" w:eastAsiaTheme="minorEastAsia" w:hAnsi="Cambria Math"/>
                    <w:szCs w:val="24"/>
                  </w:rPr>
                  <m:t>SEER</m:t>
                </m:r>
                <m:r>
                  <m:rPr>
                    <m:sty m:val="p"/>
                  </m:rPr>
                  <w:rPr>
                    <w:rFonts w:ascii="Cambria Math" w:eastAsiaTheme="minorEastAsia" w:hAnsi="Cambria Math"/>
                    <w:szCs w:val="24"/>
                  </w:rPr>
                  <m:t>=</m:t>
                </m:r>
                <m:f>
                  <m:fPr>
                    <m:ctrlPr>
                      <w:rPr>
                        <w:rFonts w:ascii="Cambria Math" w:hAnsi="Cambria Math"/>
                        <w:szCs w:val="24"/>
                      </w:rPr>
                    </m:ctrlPr>
                  </m:fPr>
                  <m:num>
                    <m:r>
                      <w:rPr>
                        <w:rFonts w:ascii="Cambria Math" w:hAnsi="Cambria Math"/>
                        <w:szCs w:val="24"/>
                      </w:rPr>
                      <m:t>output</m:t>
                    </m:r>
                    <m:r>
                      <m:rPr>
                        <m:sty m:val="p"/>
                      </m:rPr>
                      <w:rPr>
                        <w:rFonts w:ascii="Cambria Math" w:hAnsi="Cambria Math"/>
                        <w:szCs w:val="24"/>
                      </w:rPr>
                      <m:t xml:space="preserve"> </m:t>
                    </m:r>
                    <m:r>
                      <w:rPr>
                        <w:rFonts w:ascii="Cambria Math" w:hAnsi="Cambria Math"/>
                        <w:szCs w:val="24"/>
                      </w:rPr>
                      <m:t>cooling</m:t>
                    </m:r>
                    <m:r>
                      <m:rPr>
                        <m:sty m:val="p"/>
                      </m:rPr>
                      <w:rPr>
                        <w:rFonts w:ascii="Cambria Math" w:hAnsi="Cambria Math"/>
                        <w:szCs w:val="24"/>
                      </w:rPr>
                      <m:t xml:space="preserve"> </m:t>
                    </m:r>
                    <m:r>
                      <w:rPr>
                        <w:rFonts w:ascii="Cambria Math" w:hAnsi="Cambria Math"/>
                        <w:szCs w:val="24"/>
                      </w:rPr>
                      <m:t>energy</m:t>
                    </m:r>
                    <m:r>
                      <m:rPr>
                        <m:sty m:val="p"/>
                      </m:rPr>
                      <w:rPr>
                        <w:rFonts w:ascii="Cambria Math" w:hAnsi="Cambria Math"/>
                        <w:szCs w:val="24"/>
                      </w:rPr>
                      <m:t xml:space="preserve"> </m:t>
                    </m:r>
                    <m:r>
                      <w:rPr>
                        <w:rFonts w:ascii="Cambria Math" w:hAnsi="Cambria Math"/>
                        <w:szCs w:val="24"/>
                      </w:rPr>
                      <m:t>in</m:t>
                    </m:r>
                    <m:r>
                      <m:rPr>
                        <m:sty m:val="p"/>
                      </m:rPr>
                      <w:rPr>
                        <w:rFonts w:ascii="Cambria Math" w:hAnsi="Cambria Math"/>
                        <w:szCs w:val="24"/>
                      </w:rPr>
                      <m:t xml:space="preserve"> </m:t>
                    </m:r>
                    <m:r>
                      <w:rPr>
                        <w:rFonts w:ascii="Cambria Math" w:hAnsi="Cambria Math"/>
                        <w:szCs w:val="24"/>
                      </w:rPr>
                      <m:t>BTU</m:t>
                    </m:r>
                    <m:r>
                      <m:rPr>
                        <m:sty m:val="p"/>
                      </m:rPr>
                      <w:rPr>
                        <w:rFonts w:ascii="Cambria Math" w:hAnsi="Cambria Math"/>
                        <w:szCs w:val="24"/>
                      </w:rPr>
                      <m:t xml:space="preserve"> </m:t>
                    </m:r>
                    <m:r>
                      <w:rPr>
                        <w:rFonts w:ascii="Cambria Math" w:hAnsi="Cambria Math"/>
                        <w:szCs w:val="24"/>
                      </w:rPr>
                      <m:t>over</m:t>
                    </m:r>
                    <m:r>
                      <m:rPr>
                        <m:sty m:val="p"/>
                      </m:rPr>
                      <w:rPr>
                        <w:rFonts w:ascii="Cambria Math" w:hAnsi="Cambria Math"/>
                        <w:szCs w:val="24"/>
                      </w:rPr>
                      <m:t xml:space="preserve"> </m:t>
                    </m:r>
                    <m:r>
                      <w:rPr>
                        <w:rFonts w:ascii="Cambria Math" w:hAnsi="Cambria Math"/>
                        <w:szCs w:val="24"/>
                      </w:rPr>
                      <m:t>a</m:t>
                    </m:r>
                    <m:r>
                      <m:rPr>
                        <m:sty m:val="p"/>
                      </m:rPr>
                      <w:rPr>
                        <w:rFonts w:ascii="Cambria Math" w:hAnsi="Cambria Math"/>
                        <w:szCs w:val="24"/>
                      </w:rPr>
                      <m:t xml:space="preserve"> </m:t>
                    </m:r>
                    <m:r>
                      <w:rPr>
                        <w:rFonts w:ascii="Cambria Math" w:hAnsi="Cambria Math"/>
                        <w:szCs w:val="24"/>
                      </w:rPr>
                      <m:t>cooling</m:t>
                    </m:r>
                    <m:r>
                      <m:rPr>
                        <m:sty m:val="p"/>
                      </m:rPr>
                      <w:rPr>
                        <w:rFonts w:ascii="Cambria Math" w:hAnsi="Cambria Math"/>
                        <w:szCs w:val="24"/>
                      </w:rPr>
                      <m:t xml:space="preserve"> </m:t>
                    </m:r>
                    <m:r>
                      <w:rPr>
                        <w:rFonts w:ascii="Cambria Math" w:hAnsi="Cambria Math"/>
                        <w:szCs w:val="24"/>
                      </w:rPr>
                      <m:t>season</m:t>
                    </m:r>
                  </m:num>
                  <m:den>
                    <m:r>
                      <w:rPr>
                        <w:rFonts w:ascii="Cambria Math" w:hAnsi="Cambria Math"/>
                        <w:szCs w:val="24"/>
                      </w:rPr>
                      <m:t>input</m:t>
                    </m:r>
                    <m:r>
                      <m:rPr>
                        <m:sty m:val="p"/>
                      </m:rPr>
                      <w:rPr>
                        <w:rFonts w:ascii="Cambria Math" w:hAnsi="Cambria Math"/>
                        <w:szCs w:val="24"/>
                      </w:rPr>
                      <m:t xml:space="preserve"> </m:t>
                    </m:r>
                    <m:r>
                      <w:rPr>
                        <w:rFonts w:ascii="Cambria Math" w:hAnsi="Cambria Math"/>
                        <w:szCs w:val="24"/>
                      </w:rPr>
                      <m:t>electrical</m:t>
                    </m:r>
                    <m:r>
                      <m:rPr>
                        <m:sty m:val="p"/>
                      </m:rPr>
                      <w:rPr>
                        <w:rFonts w:ascii="Cambria Math" w:hAnsi="Cambria Math"/>
                        <w:szCs w:val="24"/>
                      </w:rPr>
                      <m:t xml:space="preserve"> </m:t>
                    </m:r>
                    <m:r>
                      <w:rPr>
                        <w:rFonts w:ascii="Cambria Math" w:hAnsi="Cambria Math"/>
                        <w:szCs w:val="24"/>
                      </w:rPr>
                      <m:t>energy</m:t>
                    </m:r>
                    <m:r>
                      <m:rPr>
                        <m:sty m:val="p"/>
                      </m:rPr>
                      <w:rPr>
                        <w:rFonts w:ascii="Cambria Math" w:hAnsi="Cambria Math"/>
                        <w:szCs w:val="24"/>
                      </w:rPr>
                      <m:t xml:space="preserve"> </m:t>
                    </m:r>
                    <m:r>
                      <w:rPr>
                        <w:rFonts w:ascii="Cambria Math" w:hAnsi="Cambria Math"/>
                        <w:szCs w:val="24"/>
                      </w:rPr>
                      <m:t>in</m:t>
                    </m:r>
                    <m:r>
                      <m:rPr>
                        <m:sty m:val="p"/>
                      </m:rPr>
                      <w:rPr>
                        <w:rFonts w:ascii="Cambria Math" w:hAnsi="Cambria Math"/>
                        <w:szCs w:val="24"/>
                      </w:rPr>
                      <m:t xml:space="preserve"> </m:t>
                    </m:r>
                    <m:r>
                      <w:rPr>
                        <w:rFonts w:ascii="Cambria Math" w:hAnsi="Cambria Math"/>
                        <w:szCs w:val="24"/>
                      </w:rPr>
                      <m:t>Wh</m:t>
                    </m:r>
                    <m:r>
                      <m:rPr>
                        <m:sty m:val="p"/>
                      </m:rPr>
                      <w:rPr>
                        <w:rFonts w:ascii="Cambria Math" w:hAnsi="Cambria Math"/>
                        <w:szCs w:val="24"/>
                      </w:rPr>
                      <m:t xml:space="preserve"> </m:t>
                    </m:r>
                    <m:r>
                      <w:rPr>
                        <w:rFonts w:ascii="Cambria Math" w:hAnsi="Cambria Math"/>
                        <w:szCs w:val="24"/>
                      </w:rPr>
                      <m:t>during</m:t>
                    </m:r>
                    <m:r>
                      <m:rPr>
                        <m:sty m:val="p"/>
                      </m:rPr>
                      <w:rPr>
                        <w:rFonts w:ascii="Cambria Math" w:hAnsi="Cambria Math"/>
                        <w:szCs w:val="24"/>
                      </w:rPr>
                      <m:t xml:space="preserve"> </m:t>
                    </m:r>
                    <m:r>
                      <w:rPr>
                        <w:rFonts w:ascii="Cambria Math" w:hAnsi="Cambria Math"/>
                        <w:szCs w:val="24"/>
                      </w:rPr>
                      <m:t>the</m:t>
                    </m:r>
                    <m:r>
                      <m:rPr>
                        <m:sty m:val="p"/>
                      </m:rPr>
                      <w:rPr>
                        <w:rFonts w:ascii="Cambria Math" w:hAnsi="Cambria Math"/>
                        <w:szCs w:val="24"/>
                      </w:rPr>
                      <m:t xml:space="preserve"> </m:t>
                    </m:r>
                    <m:r>
                      <w:rPr>
                        <w:rFonts w:ascii="Cambria Math" w:hAnsi="Cambria Math"/>
                        <w:szCs w:val="24"/>
                      </w:rPr>
                      <m:t>same</m:t>
                    </m:r>
                    <m:r>
                      <m:rPr>
                        <m:sty m:val="p"/>
                      </m:rPr>
                      <w:rPr>
                        <w:rFonts w:ascii="Cambria Math" w:hAnsi="Cambria Math"/>
                        <w:szCs w:val="24"/>
                      </w:rPr>
                      <m:t xml:space="preserve"> </m:t>
                    </m:r>
                    <m:r>
                      <w:rPr>
                        <w:rFonts w:ascii="Cambria Math" w:hAnsi="Cambria Math"/>
                        <w:szCs w:val="24"/>
                      </w:rPr>
                      <m:t>season</m:t>
                    </m:r>
                  </m:den>
                </m:f>
              </m:oMath>
            </m:oMathPara>
          </w:p>
        </w:tc>
        <w:tc>
          <w:tcPr>
            <w:tcW w:w="1615" w:type="dxa"/>
            <w:vAlign w:val="center"/>
          </w:tcPr>
          <w:p w14:paraId="774B0E95" w14:textId="28B94EBD"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18</w:t>
              </w:r>
            </w:fldSimple>
            <w:r>
              <w:t>)</w:t>
            </w:r>
          </w:p>
        </w:tc>
      </w:tr>
    </w:tbl>
    <w:p w14:paraId="3C182047" w14:textId="14C95CDE" w:rsidR="00DB3DC6" w:rsidRPr="0015600B" w:rsidRDefault="00DB3DC6" w:rsidP="00DB3DC6">
      <w:pPr>
        <w:spacing w:beforeLines="120" w:before="288" w:afterLines="120" w:after="288"/>
        <w:rPr>
          <w:szCs w:val="24"/>
        </w:rPr>
      </w:pPr>
      <w:r w:rsidRPr="0015600B">
        <w:rPr>
          <w:szCs w:val="24"/>
        </w:rPr>
        <w:t xml:space="preserve">The energy efficiency ratio (EER) is the quantity of SEER and can be determined using Equation </w:t>
      </w:r>
      <w:r w:rsidR="004A74BE">
        <w:rPr>
          <w:szCs w:val="24"/>
        </w:rPr>
        <w:t>3.19</w:t>
      </w:r>
      <w:r w:rsidRPr="0015600B">
        <w:rPr>
          <w:szCs w:val="24"/>
        </w:rPr>
        <w:t xml:space="preserve">. </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0"/>
        <w:gridCol w:w="1610"/>
      </w:tblGrid>
      <w:tr w:rsidR="00DB3DC6" w:rsidRPr="0015600B" w14:paraId="0F61C95D" w14:textId="77777777" w:rsidTr="009924B9">
        <w:tc>
          <w:tcPr>
            <w:tcW w:w="7735" w:type="dxa"/>
            <w:vAlign w:val="center"/>
          </w:tcPr>
          <w:p w14:paraId="049B1279" w14:textId="77777777" w:rsidR="00DB3DC6" w:rsidRPr="0015600B" w:rsidRDefault="00DB3DC6" w:rsidP="00723466">
            <w:pPr>
              <w:spacing w:beforeLines="120" w:before="288" w:afterLines="120" w:after="288"/>
              <w:jc w:val="left"/>
              <w:rPr>
                <w:rFonts w:eastAsia="DengXian"/>
                <w:szCs w:val="24"/>
              </w:rPr>
            </w:pPr>
            <m:oMathPara>
              <m:oMathParaPr>
                <m:jc m:val="center"/>
              </m:oMathParaPr>
              <m:oMath>
                <m:r>
                  <w:rPr>
                    <w:rFonts w:ascii="Cambria Math" w:eastAsiaTheme="minorEastAsia" w:hAnsi="Cambria Math"/>
                    <w:szCs w:val="24"/>
                  </w:rPr>
                  <m:t>EER</m:t>
                </m:r>
                <m:r>
                  <m:rPr>
                    <m:sty m:val="p"/>
                  </m:rPr>
                  <w:rPr>
                    <w:rFonts w:ascii="Cambria Math" w:eastAsiaTheme="minorEastAsia" w:hAnsi="Cambria Math"/>
                    <w:szCs w:val="24"/>
                  </w:rPr>
                  <m:t>=</m:t>
                </m:r>
                <m:f>
                  <m:fPr>
                    <m:ctrlPr>
                      <w:rPr>
                        <w:rFonts w:ascii="Cambria Math" w:hAnsi="Cambria Math"/>
                        <w:szCs w:val="24"/>
                      </w:rPr>
                    </m:ctrlPr>
                  </m:fPr>
                  <m:num>
                    <m:r>
                      <w:rPr>
                        <w:rFonts w:ascii="Cambria Math" w:hAnsi="Cambria Math"/>
                        <w:szCs w:val="24"/>
                      </w:rPr>
                      <m:t>output</m:t>
                    </m:r>
                    <m:r>
                      <m:rPr>
                        <m:sty m:val="p"/>
                      </m:rPr>
                      <w:rPr>
                        <w:rFonts w:ascii="Cambria Math" w:hAnsi="Cambria Math"/>
                        <w:szCs w:val="24"/>
                      </w:rPr>
                      <m:t xml:space="preserve"> </m:t>
                    </m:r>
                    <m:r>
                      <w:rPr>
                        <w:rFonts w:ascii="Cambria Math" w:hAnsi="Cambria Math"/>
                        <w:szCs w:val="24"/>
                      </w:rPr>
                      <m:t>cooling</m:t>
                    </m:r>
                    <m:r>
                      <m:rPr>
                        <m:sty m:val="p"/>
                      </m:rPr>
                      <w:rPr>
                        <w:rFonts w:ascii="Cambria Math" w:hAnsi="Cambria Math"/>
                        <w:szCs w:val="24"/>
                      </w:rPr>
                      <m:t xml:space="preserve"> </m:t>
                    </m:r>
                    <m:r>
                      <w:rPr>
                        <w:rFonts w:ascii="Cambria Math" w:hAnsi="Cambria Math"/>
                        <w:szCs w:val="24"/>
                      </w:rPr>
                      <m:t>energy</m:t>
                    </m:r>
                    <m:r>
                      <m:rPr>
                        <m:sty m:val="p"/>
                      </m:rPr>
                      <w:rPr>
                        <w:rFonts w:ascii="Cambria Math" w:hAnsi="Cambria Math"/>
                        <w:szCs w:val="24"/>
                      </w:rPr>
                      <m:t xml:space="preserve"> </m:t>
                    </m:r>
                    <m:r>
                      <w:rPr>
                        <w:rFonts w:ascii="Cambria Math" w:hAnsi="Cambria Math"/>
                        <w:szCs w:val="24"/>
                      </w:rPr>
                      <m:t>in</m:t>
                    </m:r>
                    <m:r>
                      <m:rPr>
                        <m:sty m:val="p"/>
                      </m:rPr>
                      <w:rPr>
                        <w:rFonts w:ascii="Cambria Math" w:hAnsi="Cambria Math"/>
                        <w:szCs w:val="24"/>
                      </w:rPr>
                      <m:t xml:space="preserve"> </m:t>
                    </m:r>
                    <m:r>
                      <w:rPr>
                        <w:rFonts w:ascii="Cambria Math" w:hAnsi="Cambria Math"/>
                        <w:szCs w:val="24"/>
                      </w:rPr>
                      <m:t>BTU</m:t>
                    </m:r>
                    <m:r>
                      <m:rPr>
                        <m:sty m:val="p"/>
                      </m:rPr>
                      <w:rPr>
                        <w:rFonts w:ascii="Cambria Math" w:hAnsi="Cambria Math"/>
                        <w:szCs w:val="24"/>
                      </w:rPr>
                      <m:t xml:space="preserve"> </m:t>
                    </m:r>
                  </m:num>
                  <m:den>
                    <m:r>
                      <w:rPr>
                        <w:rFonts w:ascii="Cambria Math" w:hAnsi="Cambria Math"/>
                        <w:szCs w:val="24"/>
                      </w:rPr>
                      <m:t>input</m:t>
                    </m:r>
                    <m:r>
                      <m:rPr>
                        <m:sty m:val="p"/>
                      </m:rPr>
                      <w:rPr>
                        <w:rFonts w:ascii="Cambria Math" w:hAnsi="Cambria Math"/>
                        <w:szCs w:val="24"/>
                      </w:rPr>
                      <m:t xml:space="preserve"> </m:t>
                    </m:r>
                    <m:r>
                      <w:rPr>
                        <w:rFonts w:ascii="Cambria Math" w:hAnsi="Cambria Math"/>
                        <w:szCs w:val="24"/>
                      </w:rPr>
                      <m:t>electrical</m:t>
                    </m:r>
                    <m:r>
                      <m:rPr>
                        <m:sty m:val="p"/>
                      </m:rPr>
                      <w:rPr>
                        <w:rFonts w:ascii="Cambria Math" w:hAnsi="Cambria Math"/>
                        <w:szCs w:val="24"/>
                      </w:rPr>
                      <m:t xml:space="preserve"> </m:t>
                    </m:r>
                    <m:r>
                      <w:rPr>
                        <w:rFonts w:ascii="Cambria Math" w:hAnsi="Cambria Math"/>
                        <w:szCs w:val="24"/>
                      </w:rPr>
                      <m:t>energy</m:t>
                    </m:r>
                    <m:r>
                      <m:rPr>
                        <m:sty m:val="p"/>
                      </m:rPr>
                      <w:rPr>
                        <w:rFonts w:ascii="Cambria Math" w:hAnsi="Cambria Math"/>
                        <w:szCs w:val="24"/>
                      </w:rPr>
                      <m:t xml:space="preserve"> </m:t>
                    </m:r>
                    <m:r>
                      <w:rPr>
                        <w:rFonts w:ascii="Cambria Math" w:hAnsi="Cambria Math"/>
                        <w:szCs w:val="24"/>
                      </w:rPr>
                      <m:t>in</m:t>
                    </m:r>
                    <m:r>
                      <m:rPr>
                        <m:sty m:val="p"/>
                      </m:rPr>
                      <w:rPr>
                        <w:rFonts w:ascii="Cambria Math" w:hAnsi="Cambria Math"/>
                        <w:szCs w:val="24"/>
                      </w:rPr>
                      <m:t xml:space="preserve"> </m:t>
                    </m:r>
                    <m:r>
                      <w:rPr>
                        <w:rFonts w:ascii="Cambria Math" w:hAnsi="Cambria Math"/>
                        <w:szCs w:val="24"/>
                      </w:rPr>
                      <m:t>Wh</m:t>
                    </m:r>
                  </m:den>
                </m:f>
                <m:r>
                  <m:rPr>
                    <m:sty m:val="p"/>
                  </m:rPr>
                  <w:rPr>
                    <w:rFonts w:ascii="Cambria Math" w:hAnsi="Cambria Math"/>
                    <w:szCs w:val="24"/>
                  </w:rPr>
                  <m:t xml:space="preserve">=1.12 </m:t>
                </m:r>
                <m:r>
                  <w:rPr>
                    <w:rFonts w:ascii="Cambria Math" w:hAnsi="Cambria Math"/>
                    <w:szCs w:val="24"/>
                  </w:rPr>
                  <m:t>SEER</m:t>
                </m:r>
                <m:r>
                  <m:rPr>
                    <m:sty m:val="p"/>
                  </m:rPr>
                  <w:rPr>
                    <w:rFonts w:ascii="Cambria Math" w:hAnsi="Cambria Math"/>
                    <w:szCs w:val="24"/>
                  </w:rPr>
                  <m:t xml:space="preserve">-0.02 </m:t>
                </m:r>
                <m:sSup>
                  <m:sSupPr>
                    <m:ctrlPr>
                      <w:rPr>
                        <w:rFonts w:ascii="Cambria Math" w:hAnsi="Cambria Math"/>
                        <w:szCs w:val="24"/>
                      </w:rPr>
                    </m:ctrlPr>
                  </m:sSupPr>
                  <m:e>
                    <m:r>
                      <w:rPr>
                        <w:rFonts w:ascii="Cambria Math" w:hAnsi="Cambria Math"/>
                        <w:szCs w:val="24"/>
                      </w:rPr>
                      <m:t>SEER</m:t>
                    </m:r>
                  </m:e>
                  <m:sup>
                    <m:r>
                      <m:rPr>
                        <m:sty m:val="p"/>
                      </m:rPr>
                      <w:rPr>
                        <w:rFonts w:ascii="Cambria Math" w:hAnsi="Cambria Math"/>
                        <w:szCs w:val="24"/>
                      </w:rPr>
                      <m:t>2</m:t>
                    </m:r>
                  </m:sup>
                </m:sSup>
              </m:oMath>
            </m:oMathPara>
          </w:p>
        </w:tc>
        <w:tc>
          <w:tcPr>
            <w:tcW w:w="1615" w:type="dxa"/>
            <w:vAlign w:val="center"/>
          </w:tcPr>
          <w:p w14:paraId="4C2054CB" w14:textId="71DC63BB"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19</w:t>
              </w:r>
            </w:fldSimple>
            <w:r>
              <w:t>)</w:t>
            </w:r>
          </w:p>
        </w:tc>
      </w:tr>
    </w:tbl>
    <w:p w14:paraId="3576B18E" w14:textId="3A8B33D0" w:rsidR="00DB3DC6" w:rsidRPr="0015600B" w:rsidRDefault="00DB3DC6" w:rsidP="00DB3DC6">
      <w:pPr>
        <w:spacing w:beforeLines="120" w:before="288" w:afterLines="120" w:after="288"/>
        <w:rPr>
          <w:szCs w:val="24"/>
        </w:rPr>
      </w:pPr>
      <w:r w:rsidRPr="0015600B">
        <w:rPr>
          <w:szCs w:val="24"/>
        </w:rPr>
        <w:t xml:space="preserve">Finally, </w:t>
      </w:r>
      <m:oMath>
        <m:sSub>
          <m:sSubPr>
            <m:ctrlPr>
              <w:rPr>
                <w:rFonts w:ascii="Cambria Math" w:hAnsi="Cambria Math"/>
                <w:i/>
                <w:szCs w:val="24"/>
              </w:rPr>
            </m:ctrlPr>
          </m:sSubPr>
          <m:e>
            <m:r>
              <m:rPr>
                <m:sty m:val="p"/>
              </m:rPr>
              <w:rPr>
                <w:rFonts w:ascii="Cambria Math" w:hAnsi="Cambria Math"/>
                <w:szCs w:val="24"/>
              </w:rPr>
              <m:t>COP</m:t>
            </m:r>
          </m:e>
          <m:sub>
            <m:r>
              <w:rPr>
                <w:rFonts w:ascii="Cambria Math" w:hAnsi="Cambria Math"/>
                <w:szCs w:val="24"/>
              </w:rPr>
              <m:t>vapor compression</m:t>
            </m:r>
          </m:sub>
        </m:sSub>
      </m:oMath>
      <w:r w:rsidRPr="0015600B">
        <w:rPr>
          <w:szCs w:val="24"/>
        </w:rPr>
        <w:t xml:space="preserve"> is calculated using Equation </w:t>
      </w:r>
      <w:r w:rsidR="00C24276">
        <w:rPr>
          <w:szCs w:val="24"/>
        </w:rPr>
        <w:t>3.20</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gridCol w:w="1611"/>
      </w:tblGrid>
      <w:tr w:rsidR="00DB3DC6" w:rsidRPr="0015600B" w14:paraId="0122B60E" w14:textId="77777777" w:rsidTr="009924B9">
        <w:trPr>
          <w:trHeight w:val="1440"/>
        </w:trPr>
        <w:tc>
          <w:tcPr>
            <w:tcW w:w="7735" w:type="dxa"/>
            <w:vAlign w:val="center"/>
          </w:tcPr>
          <w:p w14:paraId="258653FA" w14:textId="77777777" w:rsidR="00DB3DC6" w:rsidRPr="0015600B" w:rsidRDefault="003A0B43" w:rsidP="00723466">
            <w:pPr>
              <w:spacing w:beforeLines="120" w:before="288" w:afterLines="120" w:after="288"/>
              <w:jc w:val="left"/>
              <w:rPr>
                <w:rFonts w:eastAsia="DengXian"/>
                <w:szCs w:val="24"/>
              </w:rPr>
            </w:pPr>
            <m:oMathPara>
              <m:oMathParaPr>
                <m:jc m:val="center"/>
              </m:oMathParaPr>
              <m:oMath>
                <m:sSub>
                  <m:sSubPr>
                    <m:ctrlPr>
                      <w:rPr>
                        <w:rFonts w:ascii="Cambria Math" w:hAnsi="Cambria Math"/>
                        <w:szCs w:val="24"/>
                      </w:rPr>
                    </m:ctrlPr>
                  </m:sSubPr>
                  <m:e>
                    <m:r>
                      <m:rPr>
                        <m:sty m:val="p"/>
                      </m:rPr>
                      <w:rPr>
                        <w:rFonts w:ascii="Cambria Math" w:hAnsi="Cambria Math"/>
                        <w:szCs w:val="24"/>
                      </w:rPr>
                      <m:t>COP</m:t>
                    </m:r>
                  </m:e>
                  <m:sub>
                    <m:r>
                      <w:rPr>
                        <w:rFonts w:ascii="Cambria Math" w:hAnsi="Cambria Math"/>
                        <w:szCs w:val="24"/>
                      </w:rPr>
                      <m:t>vapor</m:t>
                    </m:r>
                    <m:r>
                      <m:rPr>
                        <m:sty m:val="p"/>
                      </m:rPr>
                      <w:rPr>
                        <w:rFonts w:ascii="Cambria Math" w:hAnsi="Cambria Math"/>
                        <w:szCs w:val="24"/>
                      </w:rPr>
                      <m:t xml:space="preserve"> </m:t>
                    </m:r>
                    <m:r>
                      <w:rPr>
                        <w:rFonts w:ascii="Cambria Math" w:hAnsi="Cambria Math"/>
                        <w:szCs w:val="24"/>
                      </w:rPr>
                      <m:t>compression</m:t>
                    </m:r>
                  </m:sub>
                </m:sSub>
                <m:r>
                  <m:rPr>
                    <m:sty m:val="p"/>
                  </m:rPr>
                  <w:rPr>
                    <w:rFonts w:ascii="Cambria Math" w:hAnsi="Cambria Math"/>
                    <w:szCs w:val="24"/>
                  </w:rPr>
                  <m:t>=</m:t>
                </m:r>
                <m:f>
                  <m:fPr>
                    <m:ctrlPr>
                      <w:rPr>
                        <w:rFonts w:ascii="Cambria Math" w:hAnsi="Cambria Math"/>
                        <w:szCs w:val="24"/>
                      </w:rPr>
                    </m:ctrlPr>
                  </m:fPr>
                  <m:num>
                    <m:r>
                      <w:rPr>
                        <w:rFonts w:ascii="Cambria Math" w:hAnsi="Cambria Math"/>
                        <w:szCs w:val="24"/>
                      </w:rPr>
                      <m:t>output</m:t>
                    </m:r>
                    <m:r>
                      <m:rPr>
                        <m:sty m:val="p"/>
                      </m:rPr>
                      <w:rPr>
                        <w:rFonts w:ascii="Cambria Math" w:hAnsi="Cambria Math"/>
                        <w:szCs w:val="24"/>
                      </w:rPr>
                      <m:t xml:space="preserve"> </m:t>
                    </m:r>
                    <m:r>
                      <w:rPr>
                        <w:rFonts w:ascii="Cambria Math" w:hAnsi="Cambria Math"/>
                        <w:szCs w:val="24"/>
                      </w:rPr>
                      <m:t>cooling</m:t>
                    </m:r>
                    <m:r>
                      <m:rPr>
                        <m:sty m:val="p"/>
                      </m:rPr>
                      <w:rPr>
                        <w:rFonts w:ascii="Cambria Math" w:hAnsi="Cambria Math"/>
                        <w:szCs w:val="24"/>
                      </w:rPr>
                      <m:t xml:space="preserve"> </m:t>
                    </m:r>
                    <m:r>
                      <w:rPr>
                        <w:rFonts w:ascii="Cambria Math" w:hAnsi="Cambria Math"/>
                        <w:szCs w:val="24"/>
                      </w:rPr>
                      <m:t>energy</m:t>
                    </m:r>
                  </m:num>
                  <m:den>
                    <m:r>
                      <w:rPr>
                        <w:rFonts w:ascii="Cambria Math" w:hAnsi="Cambria Math"/>
                        <w:szCs w:val="24"/>
                      </w:rPr>
                      <m:t>input</m:t>
                    </m:r>
                    <m:r>
                      <m:rPr>
                        <m:sty m:val="p"/>
                      </m:rPr>
                      <w:rPr>
                        <w:rFonts w:ascii="Cambria Math" w:hAnsi="Cambria Math"/>
                        <w:szCs w:val="24"/>
                      </w:rPr>
                      <m:t xml:space="preserve"> </m:t>
                    </m:r>
                    <m:r>
                      <w:rPr>
                        <w:rFonts w:ascii="Cambria Math" w:hAnsi="Cambria Math"/>
                        <w:szCs w:val="24"/>
                      </w:rPr>
                      <m:t>electrical</m:t>
                    </m:r>
                    <m:r>
                      <m:rPr>
                        <m:sty m:val="p"/>
                      </m:rPr>
                      <w:rPr>
                        <w:rFonts w:ascii="Cambria Math" w:hAnsi="Cambria Math"/>
                        <w:szCs w:val="24"/>
                      </w:rPr>
                      <m:t xml:space="preserve"> </m:t>
                    </m:r>
                    <m:r>
                      <w:rPr>
                        <w:rFonts w:ascii="Cambria Math" w:hAnsi="Cambria Math"/>
                        <w:szCs w:val="24"/>
                      </w:rPr>
                      <m:t>energy</m:t>
                    </m:r>
                  </m:den>
                </m:f>
                <m:r>
                  <m:rPr>
                    <m:sty m:val="p"/>
                  </m:rPr>
                  <w:rPr>
                    <w:rFonts w:ascii="Cambria Math" w:hAnsi="Cambria Math"/>
                    <w:szCs w:val="24"/>
                  </w:rPr>
                  <m:t>=</m:t>
                </m:r>
                <m:r>
                  <w:rPr>
                    <w:rFonts w:ascii="Cambria Math" w:hAnsi="Cambria Math"/>
                    <w:szCs w:val="24"/>
                  </w:rPr>
                  <m:t>EER</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BTU</m:t>
                        </m:r>
                      </m:num>
                      <m:den>
                        <m:r>
                          <w:rPr>
                            <w:rFonts w:ascii="Cambria Math" w:hAnsi="Cambria Math"/>
                            <w:szCs w:val="24"/>
                          </w:rPr>
                          <m:t>wh</m:t>
                        </m:r>
                      </m:den>
                    </m:f>
                  </m:e>
                </m:d>
                <m:f>
                  <m:fPr>
                    <m:ctrlPr>
                      <w:rPr>
                        <w:rFonts w:ascii="Cambria Math" w:hAnsi="Cambria Math"/>
                        <w:szCs w:val="24"/>
                      </w:rPr>
                    </m:ctrlPr>
                  </m:fPr>
                  <m:num>
                    <m:r>
                      <m:rPr>
                        <m:sty m:val="p"/>
                      </m:rPr>
                      <w:rPr>
                        <w:rFonts w:ascii="Cambria Math" w:hAnsi="Cambria Math"/>
                        <w:szCs w:val="24"/>
                      </w:rPr>
                      <m:t xml:space="preserve">1055 </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J</m:t>
                            </m:r>
                          </m:num>
                          <m:den>
                            <m:r>
                              <w:rPr>
                                <w:rFonts w:ascii="Cambria Math" w:hAnsi="Cambria Math"/>
                                <w:szCs w:val="24"/>
                              </w:rPr>
                              <m:t>BTU</m:t>
                            </m:r>
                          </m:den>
                        </m:f>
                      </m:e>
                    </m:d>
                  </m:num>
                  <m:den>
                    <m:r>
                      <m:rPr>
                        <m:sty m:val="p"/>
                      </m:rPr>
                      <w:rPr>
                        <w:rFonts w:ascii="Cambria Math" w:hAnsi="Cambria Math"/>
                        <w:szCs w:val="24"/>
                      </w:rPr>
                      <m:t xml:space="preserve">3600 </m:t>
                    </m:r>
                    <m:d>
                      <m:dPr>
                        <m:ctrlPr>
                          <w:rPr>
                            <w:rFonts w:ascii="Cambria Math" w:hAnsi="Cambria Math"/>
                            <w:szCs w:val="24"/>
                          </w:rPr>
                        </m:ctrlPr>
                      </m:dPr>
                      <m:e>
                        <m:f>
                          <m:fPr>
                            <m:ctrlPr>
                              <w:rPr>
                                <w:rFonts w:ascii="Cambria Math" w:hAnsi="Cambria Math"/>
                                <w:szCs w:val="24"/>
                              </w:rPr>
                            </m:ctrlPr>
                          </m:fPr>
                          <m:num>
                            <m:r>
                              <w:rPr>
                                <w:rFonts w:ascii="Cambria Math" w:hAnsi="Cambria Math"/>
                                <w:szCs w:val="24"/>
                              </w:rPr>
                              <m:t>J</m:t>
                            </m:r>
                          </m:num>
                          <m:den>
                            <m:r>
                              <w:rPr>
                                <w:rFonts w:ascii="Cambria Math" w:hAnsi="Cambria Math"/>
                                <w:szCs w:val="24"/>
                              </w:rPr>
                              <m:t>wh</m:t>
                            </m:r>
                          </m:den>
                        </m:f>
                      </m:e>
                    </m:d>
                  </m:den>
                </m:f>
                <m:r>
                  <m:rPr>
                    <m:sty m:val="p"/>
                  </m:rPr>
                  <w:rPr>
                    <w:rFonts w:ascii="Cambria Math" w:hAnsi="Cambria Math"/>
                    <w:szCs w:val="24"/>
                  </w:rPr>
                  <m:t xml:space="preserve">=0.293 </m:t>
                </m:r>
                <m:r>
                  <w:rPr>
                    <w:rFonts w:ascii="Cambria Math" w:hAnsi="Cambria Math"/>
                    <w:szCs w:val="24"/>
                  </w:rPr>
                  <m:t>EER</m:t>
                </m:r>
              </m:oMath>
            </m:oMathPara>
          </w:p>
        </w:tc>
        <w:tc>
          <w:tcPr>
            <w:tcW w:w="1615" w:type="dxa"/>
            <w:vAlign w:val="center"/>
          </w:tcPr>
          <w:p w14:paraId="2D506AEC" w14:textId="7C91F0CA"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20</w:t>
              </w:r>
            </w:fldSimple>
            <w:r>
              <w:t>)</w:t>
            </w:r>
          </w:p>
        </w:tc>
      </w:tr>
    </w:tbl>
    <w:p w14:paraId="2BAEF427" w14:textId="16543B97" w:rsidR="00DB3DC6" w:rsidRPr="0015600B" w:rsidRDefault="00DB3DC6" w:rsidP="00723466">
      <w:pPr>
        <w:pStyle w:val="Heading3"/>
        <w:numPr>
          <w:ilvl w:val="2"/>
          <w:numId w:val="16"/>
        </w:numPr>
        <w:spacing w:beforeLines="120" w:before="288" w:afterLines="120" w:after="288"/>
        <w:rPr>
          <w:rFonts w:cs="Times New Roman"/>
          <w:bCs/>
        </w:rPr>
      </w:pPr>
      <w:bookmarkStart w:id="127" w:name="_Toc41053078"/>
      <w:bookmarkStart w:id="128" w:name="_Toc41075482"/>
      <w:bookmarkStart w:id="129" w:name="_Toc42027854"/>
      <w:bookmarkStart w:id="130" w:name="_Toc42335013"/>
      <w:bookmarkStart w:id="131" w:name="_Toc43877982"/>
      <w:r w:rsidRPr="0015600B">
        <w:rPr>
          <w:rFonts w:cs="Times New Roman"/>
          <w:bCs/>
        </w:rPr>
        <w:t>Solar collector area</w:t>
      </w:r>
      <w:bookmarkEnd w:id="127"/>
      <w:bookmarkEnd w:id="128"/>
      <w:r w:rsidRPr="0015600B">
        <w:rPr>
          <w:rFonts w:cs="Times New Roman"/>
          <w:bCs/>
        </w:rPr>
        <w:t xml:space="preserve"> sizing</w:t>
      </w:r>
      <w:bookmarkEnd w:id="129"/>
      <w:bookmarkEnd w:id="130"/>
      <w:bookmarkEnd w:id="131"/>
    </w:p>
    <w:p w14:paraId="71D9576E" w14:textId="6E1C768C" w:rsidR="00DB3DC6" w:rsidRPr="0015600B" w:rsidRDefault="00DB3DC6" w:rsidP="00DB3DC6">
      <w:pPr>
        <w:spacing w:beforeLines="120" w:before="288" w:afterLines="120" w:after="288"/>
        <w:rPr>
          <w:szCs w:val="24"/>
        </w:rPr>
      </w:pPr>
      <w:r w:rsidRPr="0015600B">
        <w:rPr>
          <w:szCs w:val="24"/>
        </w:rPr>
        <w:t xml:space="preserve">The area of the solar collector is determined based on total building energy demand and GHI. The area of the </w:t>
      </w:r>
      <w:r w:rsidR="008F0CF3">
        <w:rPr>
          <w:szCs w:val="24"/>
        </w:rPr>
        <w:t xml:space="preserve">solar </w:t>
      </w:r>
      <w:r w:rsidRPr="0015600B">
        <w:rPr>
          <w:szCs w:val="24"/>
        </w:rPr>
        <w:t>collector based on daily energy demand is calculated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gridCol w:w="1611"/>
      </w:tblGrid>
      <w:tr w:rsidR="00DB3DC6" w:rsidRPr="0015600B" w14:paraId="342A3B84" w14:textId="77777777" w:rsidTr="009924B9">
        <w:tc>
          <w:tcPr>
            <w:tcW w:w="7735" w:type="dxa"/>
            <w:vAlign w:val="center"/>
          </w:tcPr>
          <w:p w14:paraId="39FC0572" w14:textId="57ACB8D4" w:rsidR="00DB3DC6" w:rsidRPr="0015600B" w:rsidRDefault="003A0B43" w:rsidP="00723466">
            <w:pPr>
              <w:spacing w:beforeLines="120" w:before="288" w:afterLines="120" w:after="288"/>
              <w:jc w:val="left"/>
              <w:rPr>
                <w:szCs w:val="24"/>
              </w:rPr>
            </w:pPr>
            <m:oMathPara>
              <m:oMathParaPr>
                <m:jc m:val="center"/>
              </m:oMathParaP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d</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szCs w:val="24"/>
                          </w:rPr>
                        </m:ctrlPr>
                      </m:sSubPr>
                      <m:e>
                        <m:r>
                          <w:rPr>
                            <w:rFonts w:ascii="Cambria Math" w:hAnsi="Cambria Math"/>
                            <w:szCs w:val="24"/>
                          </w:rPr>
                          <m:t>Q</m:t>
                        </m:r>
                      </m:e>
                      <m:sub>
                        <m:r>
                          <w:rPr>
                            <w:rFonts w:ascii="Cambria Math" w:hAnsi="Cambria Math"/>
                            <w:szCs w:val="24"/>
                          </w:rPr>
                          <m:t>d,demand</m:t>
                        </m:r>
                      </m:sub>
                    </m:sSub>
                  </m:num>
                  <m:den>
                    <m:sSub>
                      <m:sSubPr>
                        <m:ctrlPr>
                          <w:rPr>
                            <w:rFonts w:ascii="Cambria Math" w:hAnsi="Cambria Math"/>
                            <w:iCs/>
                            <w:szCs w:val="24"/>
                          </w:rPr>
                        </m:ctrlPr>
                      </m:sSubPr>
                      <m:e>
                        <m:r>
                          <w:rPr>
                            <w:rFonts w:ascii="Cambria Math" w:hAnsi="Cambria Math"/>
                            <w:szCs w:val="24"/>
                          </w:rPr>
                          <m:t>η</m:t>
                        </m:r>
                      </m:e>
                      <m:sub>
                        <m:r>
                          <w:rPr>
                            <w:rFonts w:ascii="Cambria Math" w:hAnsi="Cambria Math"/>
                            <w:szCs w:val="24"/>
                          </w:rPr>
                          <m:t>collector</m:t>
                        </m:r>
                      </m:sub>
                    </m:sSub>
                    <m:nary>
                      <m:naryPr>
                        <m:chr m:val="∑"/>
                        <m:limLoc m:val="undOvr"/>
                        <m:ctrlPr>
                          <w:rPr>
                            <w:rFonts w:ascii="Cambria Math" w:hAnsi="Cambria Math"/>
                            <w:szCs w:val="24"/>
                          </w:rPr>
                        </m:ctrlPr>
                      </m:naryPr>
                      <m:sub>
                        <m:r>
                          <m:rPr>
                            <m:sty m:val="p"/>
                          </m:rPr>
                          <w:rPr>
                            <w:rFonts w:ascii="Cambria Math" w:hAnsi="Cambria Math"/>
                            <w:szCs w:val="24"/>
                          </w:rPr>
                          <m:t>0</m:t>
                        </m:r>
                      </m:sub>
                      <m:sup>
                        <m:r>
                          <m:rPr>
                            <m:sty m:val="p"/>
                          </m:rPr>
                          <w:rPr>
                            <w:rFonts w:ascii="Cambria Math" w:hAnsi="Cambria Math"/>
                            <w:szCs w:val="24"/>
                          </w:rPr>
                          <m:t>24</m:t>
                        </m:r>
                      </m:sup>
                      <m:e>
                        <m:r>
                          <w:rPr>
                            <w:rFonts w:ascii="Cambria Math" w:hAnsi="Cambria Math"/>
                            <w:szCs w:val="24"/>
                          </w:rPr>
                          <m:t>GHI</m:t>
                        </m:r>
                      </m:e>
                    </m:nary>
                  </m:den>
                </m:f>
              </m:oMath>
            </m:oMathPara>
          </w:p>
        </w:tc>
        <w:tc>
          <w:tcPr>
            <w:tcW w:w="1615" w:type="dxa"/>
            <w:vAlign w:val="center"/>
          </w:tcPr>
          <w:p w14:paraId="1469A6A1" w14:textId="460FC426"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21</w:t>
              </w:r>
            </w:fldSimple>
            <w:r>
              <w:t>)</w:t>
            </w:r>
          </w:p>
        </w:tc>
      </w:tr>
    </w:tbl>
    <w:p w14:paraId="533A064D" w14:textId="6FEE2892" w:rsidR="00DB3DC6" w:rsidRPr="0015600B" w:rsidRDefault="00DB3DC6" w:rsidP="00DB3DC6">
      <w:pPr>
        <w:spacing w:beforeLines="120" w:before="288" w:afterLines="120" w:after="288"/>
        <w:rPr>
          <w:szCs w:val="24"/>
        </w:rPr>
      </w:pPr>
      <w:r w:rsidRPr="0015600B">
        <w:rPr>
          <w:szCs w:val="24"/>
        </w:rPr>
        <w:t xml:space="preserve">GHI is known as the hourly solar radiation index data, which is obtained from </w:t>
      </w:r>
      <w:r w:rsidR="003804E1">
        <w:rPr>
          <w:szCs w:val="24"/>
        </w:rPr>
        <w:t xml:space="preserve">the </w:t>
      </w:r>
      <w:r w:rsidRPr="0015600B">
        <w:rPr>
          <w:szCs w:val="24"/>
        </w:rPr>
        <w:t xml:space="preserve">national solar radiation database website reported as </w:t>
      </w:r>
      <w:r w:rsidR="003804E1">
        <w:rPr>
          <w:szCs w:val="24"/>
        </w:rPr>
        <w:t xml:space="preserve">the </w:t>
      </w:r>
      <w:r w:rsidRPr="0015600B">
        <w:rPr>
          <w:szCs w:val="24"/>
        </w:rPr>
        <w:t xml:space="preserve">global horizontal index, GHI </w:t>
      </w:r>
      <w:r w:rsidRPr="0015600B">
        <w:rPr>
          <w:szCs w:val="24"/>
        </w:rPr>
        <w:fldChar w:fldCharType="begin" w:fldLock="1"/>
      </w:r>
      <w:r w:rsidR="00D6331E">
        <w:rPr>
          <w:szCs w:val="24"/>
        </w:rPr>
        <w:instrText>ADDIN CSL_CITATION {"citationItems":[{"id":"ITEM-1","itemData":{"URL":"https://rredc.nrel.gov/solar/old_data/nsrdb/1991-2010/","accessed":{"date-parts":[["2020","6","1"]]},"id":"ITEM-1","issued":{"date-parts":[["0"]]},"title":"NSRDB: 1991- 2010 Update","type":"webpage"},"uris":["http://www.mendeley.com/documents/?uuid=6092f1e7-7705-355b-9314-856da5bda501"]}],"mendeley":{"formattedCitation":"[64]","plainTextFormattedCitation":"[64]","previouslyFormattedCitation":"[64]"},"properties":{"noteIndex":0},"schema":"https://github.com/citation-style-language/schema/raw/master/csl-citation.json"}</w:instrText>
      </w:r>
      <w:r w:rsidRPr="0015600B">
        <w:rPr>
          <w:szCs w:val="24"/>
        </w:rPr>
        <w:fldChar w:fldCharType="separate"/>
      </w:r>
      <w:r w:rsidR="00D6331E" w:rsidRPr="00D6331E">
        <w:rPr>
          <w:noProof/>
          <w:szCs w:val="24"/>
        </w:rPr>
        <w:t>[64]</w:t>
      </w:r>
      <w:r w:rsidRPr="0015600B">
        <w:rPr>
          <w:szCs w:val="24"/>
        </w:rPr>
        <w:fldChar w:fldCharType="end"/>
      </w:r>
      <w:r w:rsidRPr="0015600B">
        <w:rPr>
          <w:szCs w:val="24"/>
        </w:rPr>
        <w:t xml:space="preserve">, and </w:t>
      </w:r>
      <m:oMath>
        <m:sSub>
          <m:sSubPr>
            <m:ctrlPr>
              <w:rPr>
                <w:rFonts w:ascii="Cambria Math" w:hAnsi="Cambria Math"/>
                <w:i/>
                <w:iCs/>
                <w:szCs w:val="24"/>
              </w:rPr>
            </m:ctrlPr>
          </m:sSubPr>
          <m:e>
            <m:r>
              <w:rPr>
                <w:rFonts w:ascii="Cambria Math" w:hAnsi="Cambria Math"/>
                <w:szCs w:val="24"/>
              </w:rPr>
              <m:t>η</m:t>
            </m:r>
          </m:e>
          <m:sub>
            <m:r>
              <w:rPr>
                <w:rFonts w:ascii="Cambria Math" w:hAnsi="Cambria Math"/>
                <w:szCs w:val="24"/>
              </w:rPr>
              <m:t>collector</m:t>
            </m:r>
          </m:sub>
        </m:sSub>
      </m:oMath>
      <w:r w:rsidRPr="0015600B">
        <w:rPr>
          <w:iCs/>
          <w:szCs w:val="24"/>
        </w:rPr>
        <w:t xml:space="preserve"> is the efficiency of the evacuated glass tubed used for solar insolation absorption. The solar collector area averaged over the entire year is given by</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8"/>
        <w:gridCol w:w="1612"/>
      </w:tblGrid>
      <w:tr w:rsidR="00DB3DC6" w:rsidRPr="0015600B" w14:paraId="566AC9A3" w14:textId="77777777" w:rsidTr="009924B9">
        <w:tc>
          <w:tcPr>
            <w:tcW w:w="7735" w:type="dxa"/>
            <w:vAlign w:val="center"/>
          </w:tcPr>
          <w:p w14:paraId="74109F85" w14:textId="3D8A92E0" w:rsidR="00DB3DC6" w:rsidRPr="0015600B" w:rsidRDefault="003A0B43" w:rsidP="00723466">
            <w:pPr>
              <w:spacing w:beforeLines="120" w:before="288" w:afterLines="120" w:after="288"/>
              <w:jc w:val="left"/>
              <w:rPr>
                <w:szCs w:val="24"/>
              </w:rPr>
            </w:pPr>
            <m:oMathPara>
              <m:oMathParaPr>
                <m:jc m:val="center"/>
              </m:oMathParaPr>
              <m:oMath>
                <m:sSub>
                  <m:sSubPr>
                    <m:ctrlPr>
                      <w:rPr>
                        <w:rFonts w:ascii="Cambria Math" w:hAnsi="Cambria Math"/>
                        <w:szCs w:val="24"/>
                      </w:rPr>
                    </m:ctrlPr>
                  </m:sSubPr>
                  <m:e>
                    <m:r>
                      <w:rPr>
                        <w:rFonts w:ascii="Cambria Math" w:hAnsi="Cambria Math"/>
                        <w:szCs w:val="24"/>
                      </w:rPr>
                      <m:t>A</m:t>
                    </m:r>
                  </m:e>
                  <m:sub>
                    <m:r>
                      <w:rPr>
                        <w:rFonts w:ascii="Cambria Math" w:hAnsi="Cambria Math"/>
                        <w:szCs w:val="24"/>
                      </w:rPr>
                      <m:t>collector</m:t>
                    </m:r>
                  </m:sub>
                </m:sSub>
                <m:r>
                  <m:rPr>
                    <m:sty m:val="p"/>
                  </m:rPr>
                  <w:rPr>
                    <w:rFonts w:ascii="Cambria Math" w:hAnsi="Cambria Math"/>
                    <w:szCs w:val="24"/>
                  </w:rPr>
                  <m:t>=</m:t>
                </m:r>
                <m:f>
                  <m:fPr>
                    <m:type m:val="skw"/>
                    <m:ctrlPr>
                      <w:rPr>
                        <w:rFonts w:ascii="Cambria Math" w:hAnsi="Cambria Math"/>
                        <w:szCs w:val="24"/>
                      </w:rPr>
                    </m:ctrlPr>
                  </m:fPr>
                  <m:num>
                    <m:r>
                      <m:rPr>
                        <m:sty m:val="p"/>
                      </m:rPr>
                      <w:rPr>
                        <w:rFonts w:ascii="Cambria Math" w:hAnsi="Cambria Math"/>
                        <w:szCs w:val="24"/>
                      </w:rPr>
                      <m:t>1</m:t>
                    </m:r>
                  </m:num>
                  <m:den>
                    <m:r>
                      <m:rPr>
                        <m:sty m:val="p"/>
                      </m:rPr>
                      <w:rPr>
                        <w:rFonts w:ascii="Cambria Math" w:hAnsi="Cambria Math"/>
                        <w:szCs w:val="24"/>
                      </w:rPr>
                      <m:t>365</m:t>
                    </m:r>
                  </m:den>
                </m:f>
                <m:nary>
                  <m:naryPr>
                    <m:chr m:val="∑"/>
                    <m:limLoc m:val="undOvr"/>
                    <m:ctrlPr>
                      <w:rPr>
                        <w:rFonts w:ascii="Cambria Math" w:hAnsi="Cambria Math"/>
                        <w:szCs w:val="24"/>
                      </w:rPr>
                    </m:ctrlPr>
                  </m:naryPr>
                  <m:sub>
                    <m:r>
                      <w:rPr>
                        <w:rFonts w:ascii="Cambria Math" w:hAnsi="Cambria Math"/>
                        <w:szCs w:val="24"/>
                      </w:rPr>
                      <m:t>i</m:t>
                    </m:r>
                    <m:r>
                      <m:rPr>
                        <m:sty m:val="p"/>
                      </m:rPr>
                      <w:rPr>
                        <w:rFonts w:ascii="Cambria Math" w:hAnsi="Cambria Math"/>
                        <w:szCs w:val="24"/>
                      </w:rPr>
                      <m:t>=1</m:t>
                    </m:r>
                  </m:sub>
                  <m:sup>
                    <m:r>
                      <m:rPr>
                        <m:sty m:val="p"/>
                      </m:rPr>
                      <w:rPr>
                        <w:rFonts w:ascii="Cambria Math" w:hAnsi="Cambria Math"/>
                        <w:szCs w:val="24"/>
                      </w:rPr>
                      <m:t>365</m:t>
                    </m:r>
                  </m:sup>
                  <m:e>
                    <m:sSub>
                      <m:sSubPr>
                        <m:ctrlPr>
                          <w:rPr>
                            <w:rFonts w:ascii="Cambria Math" w:hAnsi="Cambria Math"/>
                            <w:szCs w:val="24"/>
                          </w:rPr>
                        </m:ctrlPr>
                      </m:sSubPr>
                      <m:e>
                        <m:r>
                          <w:rPr>
                            <w:rFonts w:ascii="Cambria Math" w:hAnsi="Cambria Math"/>
                            <w:szCs w:val="24"/>
                          </w:rPr>
                          <m:t>A</m:t>
                        </m:r>
                      </m:e>
                      <m:sub>
                        <m:r>
                          <w:rPr>
                            <w:rFonts w:ascii="Cambria Math" w:hAnsi="Cambria Math"/>
                            <w:szCs w:val="24"/>
                          </w:rPr>
                          <m:t>d</m:t>
                        </m:r>
                      </m:sub>
                    </m:sSub>
                  </m:e>
                </m:nary>
              </m:oMath>
            </m:oMathPara>
          </w:p>
        </w:tc>
        <w:tc>
          <w:tcPr>
            <w:tcW w:w="1615" w:type="dxa"/>
            <w:vAlign w:val="center"/>
          </w:tcPr>
          <w:p w14:paraId="61034B40" w14:textId="57348F9B"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22</w:t>
              </w:r>
            </w:fldSimple>
            <w:r>
              <w:t>)</w:t>
            </w:r>
          </w:p>
        </w:tc>
      </w:tr>
    </w:tbl>
    <w:p w14:paraId="59C667ED" w14:textId="17D4E8F0" w:rsidR="00DB3DC6" w:rsidRPr="0015600B" w:rsidRDefault="00DB3DC6" w:rsidP="00DB3DC6">
      <w:pPr>
        <w:spacing w:beforeLines="120" w:before="288" w:afterLines="120" w:after="288"/>
        <w:rPr>
          <w:szCs w:val="24"/>
        </w:rPr>
      </w:pPr>
      <w:r w:rsidRPr="0015600B">
        <w:rPr>
          <w:szCs w:val="24"/>
        </w:rPr>
        <w:t xml:space="preserve">Therefore, the hourly solar insolation absorbed is calculated as the product of the collector area, GHI, and the efficiency of the solar collector, and is given by </w:t>
      </w:r>
      <w:r w:rsidR="001B5339">
        <w:rPr>
          <w:szCs w:val="24"/>
        </w:rPr>
        <w:fldChar w:fldCharType="begin" w:fldLock="1"/>
      </w:r>
      <w:r w:rsidR="006B30E6">
        <w:rPr>
          <w:szCs w:val="24"/>
        </w:rPr>
        <w:instrText>ADDIN CSL_CITATION {"citationItems":[{"id":"ITEM-1","itemData":{"DOI":"10.1016/j.enconman.2018.08.105","ISSN":"01968904","abstract":"A thermal network model is developed to study the performance of a solar thermal-powered heating, cooling and hot water system comprised of evacuated tube collectors, a latent heat thermal energy storage unit and related heat exchangers, and an absorption chiller/heat pump. The system performance is studied for a residential building in a hot climate zone (Phoenix, Arizona) on two typical solar days representative of a relatively cold day and a relatively hot day. A systematic sizing methodology is presented to minimize the phase change material mass and the output temperature fluctuations. An exergy analysis is also performed to quantify the second law efficiency of the system. Analysis of the energy performance of the system shows that more than 80% annual energy saving can be achieved by using a solar collector area of 10 m2 coupled with a 29 kWh latent heat thermal energy storage system. The effect of the heat transfer design of the thermal energy storage system, in particular the number of condenser pipes of the input heat pipe and evaporator sections of the output heat pipes embedded within the phase change material, on the thermal and exergetic performance of the system is also investigated. It is shown that increasing the number of pipes decreases the temperature fluctuations and increases the exergy efficiency due to minimized temperature drops. Quantitatively, increasing the number of pipes from 60 to 112, decreases the maximum temperature drops across the latent heat thermal energy storage system from about 30 °C to 15 °C, and increases the exergy efficiency from about 75% to 90%. This study demonstrates the capability of a solar thermal-powered heating, cooling and hot water system integrated with latent heat thermal energy storage to significantly reduce the auxiliary energy input needed to meet the demands of a residential building located in a hot climate zone.","author":[{"dropping-particle":"","family":"Shabgard","given":"Hamidreza","non-dropping-particle":"","parse-names":false,"suffix":""},{"dropping-particle":"","family":"Song","given":"Li","non-dropping-particle":"","parse-names":false,"suffix":""},{"dropping-particle":"","family":"Zhu","given":"Weiwei","non-dropping-particle":"","parse-names":false,"suffix":""}],"container-title":"Energy Conversion and Management","id":"ITEM-1","issued":{"date-parts":[["2018"]]},"title":"Heat transfer and exergy analysis of a novel solar-powered integrated heating, cooling, and hot water system with latent heat thermal energy storage","type":"article-journal"},"uris":["http://www.mendeley.com/documents/?uuid=879518db-309c-4558-85b9-95d2824cb020"]}],"mendeley":{"formattedCitation":"[1]","plainTextFormattedCitation":"[1]","previouslyFormattedCitation":"[1]"},"properties":{"noteIndex":0},"schema":"https://github.com/citation-style-language/schema/raw/master/csl-citation.json"}</w:instrText>
      </w:r>
      <w:r w:rsidR="001B5339">
        <w:rPr>
          <w:szCs w:val="24"/>
        </w:rPr>
        <w:fldChar w:fldCharType="separate"/>
      </w:r>
      <w:r w:rsidR="001B5339" w:rsidRPr="001B5339">
        <w:rPr>
          <w:noProof/>
          <w:szCs w:val="24"/>
        </w:rPr>
        <w:t>[1]</w:t>
      </w:r>
      <w:r w:rsidR="001B5339">
        <w:rPr>
          <w:szCs w:val="24"/>
        </w:rPr>
        <w:fldChar w:fldCharType="end"/>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8"/>
        <w:gridCol w:w="1612"/>
      </w:tblGrid>
      <w:tr w:rsidR="00DB3DC6" w:rsidRPr="0015600B" w14:paraId="24E6334E" w14:textId="77777777" w:rsidTr="009924B9">
        <w:tc>
          <w:tcPr>
            <w:tcW w:w="7735" w:type="dxa"/>
            <w:vAlign w:val="center"/>
          </w:tcPr>
          <w:p w14:paraId="2B8DD6A6" w14:textId="083177B1" w:rsidR="00DB3DC6" w:rsidRPr="0015600B" w:rsidRDefault="003A0B43" w:rsidP="00723466">
            <w:pPr>
              <w:spacing w:beforeLines="120" w:before="288" w:afterLines="120" w:after="288"/>
              <w:jc w:val="left"/>
              <w:rPr>
                <w:szCs w:val="24"/>
              </w:rPr>
            </w:pPr>
            <m:oMathPara>
              <m:oMathParaPr>
                <m:jc m:val="center"/>
              </m:oMathParaPr>
              <m:oMath>
                <m:sSub>
                  <m:sSubPr>
                    <m:ctrlPr>
                      <w:rPr>
                        <w:rFonts w:ascii="Cambria Math" w:hAnsi="Cambria Math"/>
                        <w:szCs w:val="24"/>
                      </w:rPr>
                    </m:ctrlPr>
                  </m:sSubPr>
                  <m:e>
                    <m:r>
                      <w:rPr>
                        <w:rFonts w:ascii="Cambria Math" w:hAnsi="Cambria Math"/>
                        <w:szCs w:val="24"/>
                      </w:rPr>
                      <m:t>Q</m:t>
                    </m:r>
                  </m:e>
                  <m:sub>
                    <m:r>
                      <w:rPr>
                        <w:rFonts w:ascii="Cambria Math" w:hAnsi="Cambria Math"/>
                        <w:szCs w:val="24"/>
                      </w:rPr>
                      <m:t>h</m:t>
                    </m:r>
                    <m:r>
                      <m:rPr>
                        <m:sty m:val="p"/>
                      </m:rPr>
                      <w:rPr>
                        <w:rFonts w:ascii="Cambria Math" w:hAnsi="Cambria Math"/>
                        <w:szCs w:val="24"/>
                      </w:rPr>
                      <m:t>,</m:t>
                    </m:r>
                    <m:r>
                      <w:rPr>
                        <w:rFonts w:ascii="Cambria Math" w:hAnsi="Cambria Math"/>
                        <w:szCs w:val="24"/>
                      </w:rPr>
                      <m:t>solar</m:t>
                    </m:r>
                  </m:sub>
                </m:sSub>
                <m:r>
                  <m:rPr>
                    <m:sty m:val="p"/>
                  </m:rPr>
                  <w:rPr>
                    <w:rFonts w:ascii="Cambria Math" w:hAnsi="Cambria Math"/>
                    <w:szCs w:val="24"/>
                  </w:rPr>
                  <m:t>=</m:t>
                </m:r>
                <m:r>
                  <w:rPr>
                    <w:rFonts w:ascii="Cambria Math" w:hAnsi="Cambria Math"/>
                    <w:szCs w:val="24"/>
                  </w:rPr>
                  <m:t>GHI</m:t>
                </m:r>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A</m:t>
                    </m:r>
                  </m:e>
                  <m:sub>
                    <m:r>
                      <w:rPr>
                        <w:rFonts w:ascii="Cambria Math" w:hAnsi="Cambria Math"/>
                        <w:szCs w:val="24"/>
                      </w:rPr>
                      <m:t>collector</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η</m:t>
                    </m:r>
                  </m:e>
                  <m:sub>
                    <m:r>
                      <w:rPr>
                        <w:rFonts w:ascii="Cambria Math" w:hAnsi="Cambria Math"/>
                        <w:szCs w:val="24"/>
                      </w:rPr>
                      <m:t>collector</m:t>
                    </m:r>
                  </m:sub>
                </m:sSub>
              </m:oMath>
            </m:oMathPara>
          </w:p>
        </w:tc>
        <w:tc>
          <w:tcPr>
            <w:tcW w:w="1615" w:type="dxa"/>
            <w:vAlign w:val="center"/>
          </w:tcPr>
          <w:p w14:paraId="7B707930" w14:textId="3E6B837F"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23</w:t>
              </w:r>
            </w:fldSimple>
            <w:r>
              <w:t>)</w:t>
            </w:r>
          </w:p>
        </w:tc>
      </w:tr>
    </w:tbl>
    <w:p w14:paraId="2E4AFD65" w14:textId="6F2FAA70" w:rsidR="00DB3DC6" w:rsidRPr="0015600B" w:rsidRDefault="00DB3DC6" w:rsidP="00723466">
      <w:pPr>
        <w:pStyle w:val="Heading3"/>
        <w:numPr>
          <w:ilvl w:val="2"/>
          <w:numId w:val="16"/>
        </w:numPr>
        <w:spacing w:beforeLines="120" w:before="288" w:afterLines="120" w:after="288"/>
        <w:rPr>
          <w:rFonts w:cs="Times New Roman"/>
          <w:bCs/>
        </w:rPr>
      </w:pPr>
      <w:bookmarkStart w:id="132" w:name="_Toc41053079"/>
      <w:bookmarkStart w:id="133" w:name="_Toc41075483"/>
      <w:bookmarkStart w:id="134" w:name="_Toc42027855"/>
      <w:bookmarkStart w:id="135" w:name="_Toc42335014"/>
      <w:bookmarkStart w:id="136" w:name="_Toc43877983"/>
      <w:r w:rsidRPr="0015600B">
        <w:rPr>
          <w:rFonts w:cs="Times New Roman"/>
          <w:bCs/>
        </w:rPr>
        <w:t>Thermal energy storage</w:t>
      </w:r>
      <w:bookmarkEnd w:id="132"/>
      <w:bookmarkEnd w:id="133"/>
      <w:r w:rsidRPr="0015600B">
        <w:rPr>
          <w:rFonts w:cs="Times New Roman"/>
          <w:bCs/>
        </w:rPr>
        <w:t xml:space="preserve"> sizing</w:t>
      </w:r>
      <w:bookmarkEnd w:id="134"/>
      <w:bookmarkEnd w:id="135"/>
      <w:bookmarkEnd w:id="136"/>
    </w:p>
    <w:p w14:paraId="0DE7DF2A" w14:textId="77777777" w:rsidR="00DB3DC6" w:rsidRPr="0015600B" w:rsidRDefault="00DB3DC6" w:rsidP="00DB3DC6">
      <w:pPr>
        <w:spacing w:beforeLines="120" w:before="288" w:afterLines="120" w:after="288"/>
        <w:rPr>
          <w:szCs w:val="24"/>
        </w:rPr>
      </w:pPr>
      <w:r w:rsidRPr="0015600B">
        <w:rPr>
          <w:szCs w:val="24"/>
        </w:rPr>
        <w:t>The size of thermal energy storage is determined based on excess daily solar energy available and energy demand when solar energy is not available or not sufficient. The excess solar energy is calculated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5"/>
        <w:gridCol w:w="2065"/>
      </w:tblGrid>
      <w:tr w:rsidR="00DB3DC6" w:rsidRPr="0015600B" w14:paraId="3DC85606" w14:textId="77777777" w:rsidTr="009924B9">
        <w:tc>
          <w:tcPr>
            <w:tcW w:w="6565" w:type="dxa"/>
            <w:vAlign w:val="center"/>
          </w:tcPr>
          <w:p w14:paraId="13690F13" w14:textId="7BFFA484" w:rsidR="00DB3DC6" w:rsidRPr="0015600B" w:rsidRDefault="003A0B43" w:rsidP="00723466">
            <w:pPr>
              <w:spacing w:beforeLines="120" w:before="288" w:afterLines="120" w:after="288"/>
              <w:jc w:val="left"/>
              <w:rPr>
                <w:szCs w:val="24"/>
              </w:rPr>
            </w:pPr>
            <m:oMathPara>
              <m:oMath>
                <m:sSub>
                  <m:sSubPr>
                    <m:ctrlPr>
                      <w:rPr>
                        <w:rFonts w:ascii="Cambria Math" w:hAnsi="Cambria Math"/>
                        <w:szCs w:val="24"/>
                      </w:rPr>
                    </m:ctrlPr>
                  </m:sSubPr>
                  <m:e>
                    <m:r>
                      <w:rPr>
                        <w:rFonts w:ascii="Cambria Math" w:hAnsi="Cambria Math"/>
                        <w:szCs w:val="24"/>
                      </w:rPr>
                      <m:t>Q</m:t>
                    </m:r>
                  </m:e>
                  <m:sub>
                    <m:r>
                      <w:rPr>
                        <w:rFonts w:ascii="Cambria Math" w:hAnsi="Cambria Math"/>
                        <w:szCs w:val="24"/>
                      </w:rPr>
                      <m:t>d</m:t>
                    </m:r>
                    <m:r>
                      <m:rPr>
                        <m:sty m:val="p"/>
                      </m:rPr>
                      <w:rPr>
                        <w:rFonts w:ascii="Cambria Math" w:hAnsi="Cambria Math"/>
                        <w:szCs w:val="24"/>
                      </w:rPr>
                      <m:t>,</m:t>
                    </m:r>
                    <m:r>
                      <w:rPr>
                        <w:rFonts w:ascii="Cambria Math" w:hAnsi="Cambria Math"/>
                        <w:szCs w:val="24"/>
                      </w:rPr>
                      <m:t>solar</m:t>
                    </m:r>
                    <m:r>
                      <m:rPr>
                        <m:sty m:val="p"/>
                      </m:rPr>
                      <w:rPr>
                        <w:rFonts w:ascii="Cambria Math" w:hAnsi="Cambria Math"/>
                        <w:szCs w:val="24"/>
                      </w:rPr>
                      <m:t xml:space="preserve"> </m:t>
                    </m:r>
                    <m:r>
                      <w:rPr>
                        <w:rFonts w:ascii="Cambria Math" w:hAnsi="Cambria Math"/>
                        <w:szCs w:val="24"/>
                      </w:rPr>
                      <m:t>excess</m:t>
                    </m:r>
                  </m:sub>
                </m:sSub>
                <m:r>
                  <m:rPr>
                    <m:sty m:val="p"/>
                  </m:rPr>
                  <w:rPr>
                    <w:rFonts w:ascii="Cambria Math" w:hAnsi="Cambria Math"/>
                    <w:szCs w:val="24"/>
                  </w:rPr>
                  <m:t>=</m:t>
                </m:r>
                <m:nary>
                  <m:naryPr>
                    <m:limLoc m:val="subSup"/>
                    <m:ctrlPr>
                      <w:rPr>
                        <w:rFonts w:ascii="Cambria Math" w:hAnsi="Cambria Math"/>
                        <w:szCs w:val="24"/>
                      </w:rPr>
                    </m:ctrlPr>
                  </m:naryPr>
                  <m:sub>
                    <m:r>
                      <m:rPr>
                        <m:sty m:val="p"/>
                      </m:rPr>
                      <w:rPr>
                        <w:rFonts w:ascii="Cambria Math" w:hAnsi="Cambria Math"/>
                        <w:szCs w:val="24"/>
                      </w:rPr>
                      <m:t>0</m:t>
                    </m:r>
                  </m:sub>
                  <m:sup>
                    <m:r>
                      <m:rPr>
                        <m:sty m:val="p"/>
                      </m:rPr>
                      <w:rPr>
                        <w:rFonts w:ascii="Cambria Math" w:hAnsi="Cambria Math"/>
                        <w:szCs w:val="24"/>
                      </w:rPr>
                      <m:t>24</m:t>
                    </m:r>
                  </m:sup>
                  <m:e>
                    <m:d>
                      <m:dPr>
                        <m:ctrlPr>
                          <w:rPr>
                            <w:rFonts w:ascii="Cambria Math" w:hAnsi="Cambria Math"/>
                            <w:szCs w:val="24"/>
                          </w:rPr>
                        </m:ctrlPr>
                      </m:dPr>
                      <m:e>
                        <m:func>
                          <m:funcPr>
                            <m:ctrlPr>
                              <w:rPr>
                                <w:rFonts w:ascii="Cambria Math" w:hAnsi="Cambria Math"/>
                                <w:szCs w:val="24"/>
                              </w:rPr>
                            </m:ctrlPr>
                          </m:funcPr>
                          <m:fName>
                            <m:r>
                              <m:rPr>
                                <m:sty m:val="p"/>
                              </m:rPr>
                              <w:rPr>
                                <w:rFonts w:ascii="Cambria Math" w:hAnsi="Cambria Math"/>
                                <w:szCs w:val="24"/>
                              </w:rPr>
                              <m:t>max</m:t>
                            </m:r>
                          </m:fName>
                          <m:e>
                            <m:d>
                              <m:dPr>
                                <m:ctrlPr>
                                  <w:rPr>
                                    <w:rFonts w:ascii="Cambria Math" w:hAnsi="Cambria Math"/>
                                    <w:szCs w:val="24"/>
                                  </w:rPr>
                                </m:ctrlPr>
                              </m:dPr>
                              <m:e>
                                <m:r>
                                  <m:rPr>
                                    <m:sty m:val="p"/>
                                  </m:rPr>
                                  <w:rPr>
                                    <w:rFonts w:ascii="Cambria Math" w:hAnsi="Cambria Math"/>
                                    <w:szCs w:val="24"/>
                                  </w:rPr>
                                  <m:t>0,</m:t>
                                </m:r>
                                <m:sSub>
                                  <m:sSubPr>
                                    <m:ctrlPr>
                                      <w:rPr>
                                        <w:rFonts w:ascii="Cambria Math" w:hAnsi="Cambria Math"/>
                                        <w:szCs w:val="24"/>
                                      </w:rPr>
                                    </m:ctrlPr>
                                  </m:sSubPr>
                                  <m:e>
                                    <m:r>
                                      <w:rPr>
                                        <w:rFonts w:ascii="Cambria Math" w:hAnsi="Cambria Math"/>
                                        <w:szCs w:val="24"/>
                                      </w:rPr>
                                      <m:t>Q</m:t>
                                    </m:r>
                                  </m:e>
                                  <m:sub>
                                    <m:r>
                                      <w:rPr>
                                        <w:rFonts w:ascii="Cambria Math" w:hAnsi="Cambria Math"/>
                                        <w:szCs w:val="24"/>
                                      </w:rPr>
                                      <m:t>h</m:t>
                                    </m:r>
                                    <m:r>
                                      <m:rPr>
                                        <m:sty m:val="p"/>
                                      </m:rPr>
                                      <w:rPr>
                                        <w:rFonts w:ascii="Cambria Math" w:hAnsi="Cambria Math"/>
                                        <w:szCs w:val="24"/>
                                      </w:rPr>
                                      <m:t>,</m:t>
                                    </m:r>
                                    <m:r>
                                      <w:rPr>
                                        <w:rFonts w:ascii="Cambria Math" w:hAnsi="Cambria Math"/>
                                        <w:szCs w:val="24"/>
                                      </w:rPr>
                                      <m:t>solar</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load</m:t>
                                    </m:r>
                                  </m:e>
                                  <m:sub>
                                    <m:r>
                                      <w:rPr>
                                        <w:rFonts w:ascii="Cambria Math" w:hAnsi="Cambria Math"/>
                                        <w:szCs w:val="24"/>
                                      </w:rPr>
                                      <m:t>h</m:t>
                                    </m:r>
                                  </m:sub>
                                </m:sSub>
                              </m:e>
                            </m:d>
                          </m:e>
                        </m:func>
                      </m:e>
                    </m:d>
                    <m:r>
                      <w:rPr>
                        <w:rFonts w:ascii="Cambria Math" w:hAnsi="Cambria Math"/>
                        <w:szCs w:val="24"/>
                      </w:rPr>
                      <m:t>dh</m:t>
                    </m:r>
                  </m:e>
                </m:nary>
              </m:oMath>
            </m:oMathPara>
          </w:p>
        </w:tc>
        <w:tc>
          <w:tcPr>
            <w:tcW w:w="2065" w:type="dxa"/>
            <w:vAlign w:val="center"/>
          </w:tcPr>
          <w:p w14:paraId="407403F3" w14:textId="30ED6CA8" w:rsidR="00DB3DC6" w:rsidRPr="0015600B" w:rsidRDefault="00224A73" w:rsidP="00224A73">
            <w:pPr>
              <w:spacing w:beforeLines="120" w:before="288" w:afterLines="120" w:after="288"/>
              <w:ind w:firstLine="0"/>
              <w:jc w:val="right"/>
              <w:rPr>
                <w:szCs w:val="24"/>
              </w:rPr>
            </w:pPr>
            <w:r>
              <w:t>(</w:t>
            </w:r>
            <w:fldSimple w:instr=" STYLEREF 1 \s ">
              <w:r w:rsidR="00D979B8">
                <w:rPr>
                  <w:noProof/>
                </w:rPr>
                <w:t>3</w:t>
              </w:r>
            </w:fldSimple>
            <w:r>
              <w:t>.</w:t>
            </w:r>
            <w:fldSimple w:instr=" SEQ Equation \* ARABIC \s 1 ">
              <w:r w:rsidR="00D979B8">
                <w:rPr>
                  <w:noProof/>
                </w:rPr>
                <w:t>24</w:t>
              </w:r>
            </w:fldSimple>
            <w:r>
              <w:t>)</w:t>
            </w:r>
          </w:p>
        </w:tc>
      </w:tr>
    </w:tbl>
    <w:p w14:paraId="4998E85D" w14:textId="77777777" w:rsidR="00DB3DC6" w:rsidRPr="0015600B" w:rsidRDefault="00DB3DC6" w:rsidP="00690F6A">
      <w:pPr>
        <w:spacing w:beforeLines="120" w:before="288" w:afterLines="120" w:after="288"/>
        <w:jc w:val="left"/>
        <w:rPr>
          <w:szCs w:val="24"/>
        </w:rPr>
      </w:pPr>
      <w:r w:rsidRPr="0015600B">
        <w:rPr>
          <w:szCs w:val="24"/>
        </w:rPr>
        <w:t>The daily energy demand during the times when no solar energy is available is calculated as</w:t>
      </w:r>
    </w:p>
    <w:tbl>
      <w:tblPr>
        <w:tblStyle w:val="TableGrid"/>
        <w:tblpPr w:leftFromText="180" w:rightFromText="180" w:vertAnchor="text" w:horzAnchor="margin" w:tblpXSpec="center"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1"/>
        <w:gridCol w:w="1529"/>
      </w:tblGrid>
      <w:tr w:rsidR="00DB3DC6" w:rsidRPr="0015600B" w14:paraId="2D968F1A" w14:textId="77777777" w:rsidTr="009924B9">
        <w:tc>
          <w:tcPr>
            <w:tcW w:w="7735" w:type="dxa"/>
            <w:vAlign w:val="center"/>
          </w:tcPr>
          <w:p w14:paraId="0A171CDE" w14:textId="5C37730B" w:rsidR="00DB3DC6" w:rsidRPr="0015600B" w:rsidRDefault="003A0B43" w:rsidP="00026817">
            <w:pPr>
              <w:spacing w:beforeLines="120" w:before="288" w:afterLines="120" w:after="288"/>
              <w:jc w:val="left"/>
              <w:rPr>
                <w:szCs w:val="24"/>
              </w:rPr>
            </w:pPr>
            <m:oMathPara>
              <m:oMath>
                <m:sSub>
                  <m:sSubPr>
                    <m:ctrlPr>
                      <w:rPr>
                        <w:rFonts w:ascii="Cambria Math" w:hAnsi="Cambria Math"/>
                        <w:szCs w:val="24"/>
                      </w:rPr>
                    </m:ctrlPr>
                  </m:sSubPr>
                  <m:e>
                    <m:r>
                      <w:rPr>
                        <w:rFonts w:ascii="Cambria Math" w:hAnsi="Cambria Math"/>
                        <w:szCs w:val="24"/>
                      </w:rPr>
                      <m:t>Q</m:t>
                    </m:r>
                  </m:e>
                  <m:sub>
                    <m:r>
                      <w:rPr>
                        <w:rFonts w:ascii="Cambria Math" w:hAnsi="Cambria Math"/>
                        <w:szCs w:val="24"/>
                      </w:rPr>
                      <m:t>d</m:t>
                    </m:r>
                    <m:r>
                      <m:rPr>
                        <m:sty m:val="p"/>
                      </m:rPr>
                      <w:rPr>
                        <w:rFonts w:ascii="Cambria Math" w:hAnsi="Cambria Math"/>
                        <w:szCs w:val="24"/>
                      </w:rPr>
                      <m:t>,</m:t>
                    </m:r>
                    <m:r>
                      <w:rPr>
                        <w:rFonts w:ascii="Cambria Math" w:hAnsi="Cambria Math"/>
                        <w:szCs w:val="24"/>
                      </w:rPr>
                      <m:t>PCM</m:t>
                    </m:r>
                  </m:sub>
                </m:sSub>
                <m:r>
                  <m:rPr>
                    <m:sty m:val="p"/>
                  </m:rPr>
                  <w:rPr>
                    <w:rFonts w:ascii="Cambria Math" w:hAnsi="Cambria Math"/>
                    <w:szCs w:val="24"/>
                  </w:rPr>
                  <m:t>=</m:t>
                </m:r>
                <m:nary>
                  <m:naryPr>
                    <m:limLoc m:val="subSup"/>
                    <m:ctrlPr>
                      <w:rPr>
                        <w:rFonts w:ascii="Cambria Math" w:hAnsi="Cambria Math"/>
                        <w:szCs w:val="24"/>
                      </w:rPr>
                    </m:ctrlPr>
                  </m:naryPr>
                  <m:sub>
                    <m:r>
                      <m:rPr>
                        <m:sty m:val="p"/>
                      </m:rPr>
                      <w:rPr>
                        <w:rFonts w:ascii="Cambria Math" w:hAnsi="Cambria Math"/>
                        <w:szCs w:val="24"/>
                      </w:rPr>
                      <m:t>0</m:t>
                    </m:r>
                  </m:sub>
                  <m:sup>
                    <m:r>
                      <m:rPr>
                        <m:sty m:val="p"/>
                      </m:rPr>
                      <w:rPr>
                        <w:rFonts w:ascii="Cambria Math" w:hAnsi="Cambria Math"/>
                        <w:szCs w:val="24"/>
                      </w:rPr>
                      <m:t>24</m:t>
                    </m:r>
                  </m:sup>
                  <m:e>
                    <m:d>
                      <m:dPr>
                        <m:ctrlPr>
                          <w:rPr>
                            <w:rFonts w:ascii="Cambria Math" w:hAnsi="Cambria Math"/>
                            <w:szCs w:val="24"/>
                          </w:rPr>
                        </m:ctrlPr>
                      </m:dPr>
                      <m:e>
                        <m:func>
                          <m:funcPr>
                            <m:ctrlPr>
                              <w:rPr>
                                <w:rFonts w:ascii="Cambria Math" w:hAnsi="Cambria Math"/>
                                <w:szCs w:val="24"/>
                              </w:rPr>
                            </m:ctrlPr>
                          </m:funcPr>
                          <m:fName>
                            <m:r>
                              <m:rPr>
                                <m:sty m:val="p"/>
                              </m:rPr>
                              <w:rPr>
                                <w:rFonts w:ascii="Cambria Math" w:hAnsi="Cambria Math"/>
                                <w:szCs w:val="24"/>
                              </w:rPr>
                              <m:t>max</m:t>
                            </m:r>
                          </m:fName>
                          <m:e>
                            <m:d>
                              <m:dPr>
                                <m:ctrlPr>
                                  <w:rPr>
                                    <w:rFonts w:ascii="Cambria Math" w:hAnsi="Cambria Math"/>
                                    <w:szCs w:val="24"/>
                                  </w:rPr>
                                </m:ctrlPr>
                              </m:dPr>
                              <m:e>
                                <m:r>
                                  <m:rPr>
                                    <m:sty m:val="p"/>
                                  </m:rPr>
                                  <w:rPr>
                                    <w:rFonts w:ascii="Cambria Math" w:hAnsi="Cambria Math"/>
                                    <w:szCs w:val="24"/>
                                  </w:rPr>
                                  <m:t>0,</m:t>
                                </m:r>
                                <m:sSub>
                                  <m:sSubPr>
                                    <m:ctrlPr>
                                      <w:rPr>
                                        <w:rFonts w:ascii="Cambria Math" w:hAnsi="Cambria Math"/>
                                        <w:szCs w:val="24"/>
                                      </w:rPr>
                                    </m:ctrlPr>
                                  </m:sSubPr>
                                  <m:e>
                                    <m:r>
                                      <w:rPr>
                                        <w:rFonts w:ascii="Cambria Math" w:hAnsi="Cambria Math"/>
                                        <w:szCs w:val="24"/>
                                      </w:rPr>
                                      <m:t>load</m:t>
                                    </m:r>
                                  </m:e>
                                  <m:sub>
                                    <m:r>
                                      <w:rPr>
                                        <w:rFonts w:ascii="Cambria Math" w:hAnsi="Cambria Math"/>
                                        <w:szCs w:val="24"/>
                                      </w:rPr>
                                      <m:t>h</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Q</m:t>
                                    </m:r>
                                  </m:e>
                                  <m:sub>
                                    <m:r>
                                      <w:rPr>
                                        <w:rFonts w:ascii="Cambria Math" w:hAnsi="Cambria Math"/>
                                        <w:szCs w:val="24"/>
                                      </w:rPr>
                                      <m:t>h</m:t>
                                    </m:r>
                                    <m:r>
                                      <m:rPr>
                                        <m:sty m:val="p"/>
                                      </m:rPr>
                                      <w:rPr>
                                        <w:rFonts w:ascii="Cambria Math" w:hAnsi="Cambria Math"/>
                                        <w:szCs w:val="24"/>
                                      </w:rPr>
                                      <m:t>,</m:t>
                                    </m:r>
                                    <m:r>
                                      <w:rPr>
                                        <w:rFonts w:ascii="Cambria Math" w:hAnsi="Cambria Math"/>
                                        <w:szCs w:val="24"/>
                                      </w:rPr>
                                      <m:t>solar</m:t>
                                    </m:r>
                                  </m:sub>
                                </m:sSub>
                              </m:e>
                            </m:d>
                          </m:e>
                        </m:func>
                      </m:e>
                    </m:d>
                    <m:r>
                      <w:rPr>
                        <w:rFonts w:ascii="Cambria Math" w:hAnsi="Cambria Math"/>
                        <w:szCs w:val="24"/>
                      </w:rPr>
                      <m:t>dh</m:t>
                    </m:r>
                  </m:e>
                </m:nary>
              </m:oMath>
            </m:oMathPara>
          </w:p>
        </w:tc>
        <w:tc>
          <w:tcPr>
            <w:tcW w:w="1615" w:type="dxa"/>
            <w:vAlign w:val="center"/>
          </w:tcPr>
          <w:p w14:paraId="33BB2566" w14:textId="1446880F" w:rsidR="00DB3DC6" w:rsidRPr="0015600B" w:rsidRDefault="00916607" w:rsidP="009924B9">
            <w:pPr>
              <w:spacing w:beforeLines="120" w:before="288" w:afterLines="120" w:after="288"/>
              <w:ind w:firstLine="0"/>
              <w:jc w:val="right"/>
              <w:rPr>
                <w:szCs w:val="24"/>
              </w:rPr>
            </w:pPr>
            <w:r>
              <w:t>(</w:t>
            </w:r>
            <w:fldSimple w:instr=" STYLEREF 1 \s ">
              <w:r w:rsidR="00D979B8">
                <w:rPr>
                  <w:noProof/>
                </w:rPr>
                <w:t>3</w:t>
              </w:r>
            </w:fldSimple>
            <w:r>
              <w:t>.</w:t>
            </w:r>
            <w:fldSimple w:instr=" SEQ Equation \* ARABIC \s 1 ">
              <w:r w:rsidR="00D979B8">
                <w:rPr>
                  <w:noProof/>
                </w:rPr>
                <w:t>25</w:t>
              </w:r>
            </w:fldSimple>
            <w:r>
              <w:t>)</w:t>
            </w:r>
          </w:p>
        </w:tc>
      </w:tr>
    </w:tbl>
    <w:p w14:paraId="03FC9225" w14:textId="77777777" w:rsidR="00DB3DC6" w:rsidRPr="0015600B" w:rsidRDefault="00DB3DC6" w:rsidP="00690F6A">
      <w:pPr>
        <w:spacing w:beforeLines="120" w:before="288" w:afterLines="120" w:after="288"/>
        <w:jc w:val="left"/>
        <w:rPr>
          <w:szCs w:val="24"/>
        </w:rPr>
      </w:pPr>
      <w:r w:rsidRPr="0015600B">
        <w:rPr>
          <w:szCs w:val="24"/>
        </w:rPr>
        <w:t>Thermal energy stored by the PCM daily is calculated as</w:t>
      </w:r>
    </w:p>
    <w:tbl>
      <w:tblPr>
        <w:tblStyle w:val="TableGrid"/>
        <w:tblpPr w:leftFromText="180" w:rightFromText="180" w:vertAnchor="text" w:horzAnchor="margin" w:tblpXSpec="center"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9"/>
        <w:gridCol w:w="1611"/>
      </w:tblGrid>
      <w:tr w:rsidR="00DB3DC6" w:rsidRPr="0015600B" w14:paraId="2CAE580A" w14:textId="77777777" w:rsidTr="009924B9">
        <w:trPr>
          <w:trHeight w:val="260"/>
        </w:trPr>
        <w:tc>
          <w:tcPr>
            <w:tcW w:w="7735" w:type="dxa"/>
            <w:vAlign w:val="center"/>
          </w:tcPr>
          <w:p w14:paraId="0B7F43AD" w14:textId="0D349D2A" w:rsidR="00DB3DC6" w:rsidRPr="0015600B" w:rsidRDefault="003A0B43" w:rsidP="00723466">
            <w:pPr>
              <w:spacing w:beforeLines="120" w:before="288" w:afterLines="120" w:after="288"/>
              <w:jc w:val="center"/>
              <w:rPr>
                <w:szCs w:val="24"/>
              </w:rPr>
            </w:pPr>
            <m:oMathPara>
              <m:oMath>
                <m:sSub>
                  <m:sSubPr>
                    <m:ctrlPr>
                      <w:rPr>
                        <w:rFonts w:ascii="Cambria Math" w:hAnsi="Cambria Math"/>
                        <w:szCs w:val="24"/>
                      </w:rPr>
                    </m:ctrlPr>
                  </m:sSubPr>
                  <m:e>
                    <m:r>
                      <w:rPr>
                        <w:rFonts w:ascii="Cambria Math" w:hAnsi="Cambria Math"/>
                        <w:szCs w:val="24"/>
                      </w:rPr>
                      <m:t>TES</m:t>
                    </m:r>
                  </m:e>
                  <m:sub>
                    <m:r>
                      <w:rPr>
                        <w:rFonts w:ascii="Cambria Math" w:hAnsi="Cambria Math"/>
                        <w:szCs w:val="24"/>
                      </w:rPr>
                      <m:t>d</m:t>
                    </m:r>
                  </m:sub>
                </m:sSub>
                <m:r>
                  <m:rPr>
                    <m:sty m:val="p"/>
                  </m:rPr>
                  <w:rPr>
                    <w:rFonts w:ascii="Cambria Math" w:hAnsi="Cambria Math"/>
                    <w:szCs w:val="24"/>
                  </w:rPr>
                  <m:t>=min(</m:t>
                </m:r>
                <m:sSub>
                  <m:sSubPr>
                    <m:ctrlPr>
                      <w:rPr>
                        <w:rFonts w:ascii="Cambria Math" w:hAnsi="Cambria Math"/>
                        <w:szCs w:val="24"/>
                      </w:rPr>
                    </m:ctrlPr>
                  </m:sSubPr>
                  <m:e>
                    <m:r>
                      <w:rPr>
                        <w:rFonts w:ascii="Cambria Math" w:hAnsi="Cambria Math"/>
                        <w:szCs w:val="24"/>
                      </w:rPr>
                      <m:t>Q</m:t>
                    </m:r>
                  </m:e>
                  <m:sub>
                    <m:r>
                      <w:rPr>
                        <w:rFonts w:ascii="Cambria Math" w:hAnsi="Cambria Math"/>
                        <w:szCs w:val="24"/>
                      </w:rPr>
                      <m:t>d</m:t>
                    </m:r>
                    <m:r>
                      <m:rPr>
                        <m:sty m:val="p"/>
                      </m:rPr>
                      <w:rPr>
                        <w:rFonts w:ascii="Cambria Math" w:hAnsi="Cambria Math"/>
                        <w:szCs w:val="24"/>
                      </w:rPr>
                      <m:t xml:space="preserve">,  </m:t>
                    </m:r>
                    <m:r>
                      <w:rPr>
                        <w:rFonts w:ascii="Cambria Math" w:hAnsi="Cambria Math"/>
                        <w:szCs w:val="24"/>
                      </w:rPr>
                      <m:t>solar</m:t>
                    </m:r>
                    <m:r>
                      <m:rPr>
                        <m:sty m:val="p"/>
                      </m:rPr>
                      <w:rPr>
                        <w:rFonts w:ascii="Cambria Math" w:hAnsi="Cambria Math"/>
                        <w:szCs w:val="24"/>
                      </w:rPr>
                      <m:t xml:space="preserve"> </m:t>
                    </m:r>
                    <m:r>
                      <w:rPr>
                        <w:rFonts w:ascii="Cambria Math" w:hAnsi="Cambria Math"/>
                        <w:szCs w:val="24"/>
                      </w:rPr>
                      <m:t>excess</m:t>
                    </m:r>
                  </m:sub>
                </m:sSub>
                <m:r>
                  <m:rPr>
                    <m:sty m:val="p"/>
                  </m:rPr>
                  <w:rPr>
                    <w:rFonts w:ascii="Cambria Math" w:hAnsi="Cambria Math"/>
                    <w:szCs w:val="24"/>
                  </w:rPr>
                  <m:t>,</m:t>
                </m:r>
                <m:sSub>
                  <m:sSubPr>
                    <m:ctrlPr>
                      <w:rPr>
                        <w:rFonts w:ascii="Cambria Math" w:hAnsi="Cambria Math"/>
                        <w:szCs w:val="24"/>
                      </w:rPr>
                    </m:ctrlPr>
                  </m:sSubPr>
                  <m:e>
                    <m:r>
                      <w:rPr>
                        <w:rFonts w:ascii="Cambria Math" w:hAnsi="Cambria Math"/>
                        <w:szCs w:val="24"/>
                      </w:rPr>
                      <m:t>Q</m:t>
                    </m:r>
                  </m:e>
                  <m:sub>
                    <m:r>
                      <w:rPr>
                        <w:rFonts w:ascii="Cambria Math" w:hAnsi="Cambria Math"/>
                        <w:szCs w:val="24"/>
                      </w:rPr>
                      <m:t>d</m:t>
                    </m:r>
                    <m:r>
                      <m:rPr>
                        <m:sty m:val="p"/>
                      </m:rPr>
                      <w:rPr>
                        <w:rFonts w:ascii="Cambria Math" w:hAnsi="Cambria Math"/>
                        <w:szCs w:val="24"/>
                      </w:rPr>
                      <m:t>,</m:t>
                    </m:r>
                    <m:r>
                      <w:rPr>
                        <w:rFonts w:ascii="Cambria Math" w:hAnsi="Cambria Math"/>
                        <w:szCs w:val="24"/>
                      </w:rPr>
                      <m:t>PCM</m:t>
                    </m:r>
                  </m:sub>
                </m:sSub>
                <m:r>
                  <m:rPr>
                    <m:sty m:val="p"/>
                  </m:rPr>
                  <w:rPr>
                    <w:rFonts w:ascii="Cambria Math" w:hAnsi="Cambria Math"/>
                    <w:szCs w:val="24"/>
                  </w:rPr>
                  <m:t>)</m:t>
                </m:r>
              </m:oMath>
            </m:oMathPara>
          </w:p>
        </w:tc>
        <w:tc>
          <w:tcPr>
            <w:tcW w:w="1615" w:type="dxa"/>
            <w:vAlign w:val="center"/>
          </w:tcPr>
          <w:p w14:paraId="2C53FA19" w14:textId="2E3AF631" w:rsidR="00DB3DC6" w:rsidRPr="0015600B" w:rsidRDefault="00916607" w:rsidP="009924B9">
            <w:pPr>
              <w:spacing w:beforeLines="120" w:before="288" w:afterLines="120" w:after="288"/>
              <w:jc w:val="right"/>
              <w:rPr>
                <w:szCs w:val="24"/>
              </w:rPr>
            </w:pPr>
            <w:r>
              <w:t>(</w:t>
            </w:r>
            <w:fldSimple w:instr=" STYLEREF 1 \s ">
              <w:r w:rsidR="00D979B8">
                <w:rPr>
                  <w:noProof/>
                </w:rPr>
                <w:t>3</w:t>
              </w:r>
            </w:fldSimple>
            <w:r>
              <w:t>.</w:t>
            </w:r>
            <w:fldSimple w:instr=" SEQ Equation \* ARABIC \s 1 ">
              <w:r w:rsidR="00D979B8">
                <w:rPr>
                  <w:noProof/>
                </w:rPr>
                <w:t>26</w:t>
              </w:r>
            </w:fldSimple>
            <w:r>
              <w:t>)</w:t>
            </w:r>
          </w:p>
        </w:tc>
      </w:tr>
    </w:tbl>
    <w:p w14:paraId="377451FF" w14:textId="77777777" w:rsidR="00DB3DC6" w:rsidRPr="0015600B" w:rsidRDefault="00DB3DC6" w:rsidP="00DB3DC6">
      <w:pPr>
        <w:spacing w:beforeLines="120" w:before="288" w:afterLines="120" w:after="288"/>
        <w:rPr>
          <w:szCs w:val="24"/>
        </w:rPr>
      </w:pPr>
      <w:r w:rsidRPr="0015600B">
        <w:rPr>
          <w:szCs w:val="24"/>
        </w:rPr>
        <w:t xml:space="preserve">Therefore, the thermal energy storage size </w:t>
      </w:r>
      <m:oMath>
        <m:sSub>
          <m:sSubPr>
            <m:ctrlPr>
              <w:rPr>
                <w:rFonts w:ascii="Cambria Math" w:hAnsi="Cambria Math"/>
                <w:i/>
                <w:szCs w:val="24"/>
              </w:rPr>
            </m:ctrlPr>
          </m:sSubPr>
          <m:e>
            <m:r>
              <w:rPr>
                <w:rFonts w:ascii="Cambria Math" w:hAnsi="Cambria Math"/>
                <w:szCs w:val="24"/>
              </w:rPr>
              <m:t>TES</m:t>
            </m:r>
          </m:e>
          <m:sub>
            <m:r>
              <w:rPr>
                <w:rFonts w:ascii="Cambria Math" w:hAnsi="Cambria Math"/>
                <w:szCs w:val="24"/>
              </w:rPr>
              <m:t>size</m:t>
            </m:r>
          </m:sub>
        </m:sSub>
      </m:oMath>
      <w:r w:rsidRPr="0015600B">
        <w:rPr>
          <w:szCs w:val="24"/>
        </w:rPr>
        <w:t xml:space="preserve"> is calculated as</w:t>
      </w:r>
    </w:p>
    <w:tbl>
      <w:tblPr>
        <w:tblStyle w:val="TableGrid"/>
        <w:tblpPr w:leftFromText="180" w:rightFromText="180" w:vertAnchor="text" w:horzAnchor="margin" w:tblpXSpec="center"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7"/>
        <w:gridCol w:w="1533"/>
      </w:tblGrid>
      <w:tr w:rsidR="00DB3DC6" w:rsidRPr="0015600B" w14:paraId="34EA8C62" w14:textId="77777777" w:rsidTr="009924B9">
        <w:tc>
          <w:tcPr>
            <w:tcW w:w="7735" w:type="dxa"/>
            <w:vAlign w:val="center"/>
          </w:tcPr>
          <w:p w14:paraId="047A7FBA" w14:textId="1F73C102" w:rsidR="00DB3DC6" w:rsidRPr="0015600B" w:rsidRDefault="003A0B43" w:rsidP="00723466">
            <w:pPr>
              <w:spacing w:beforeLines="120" w:before="288" w:afterLines="120" w:after="288"/>
              <w:jc w:val="left"/>
              <w:rPr>
                <w:rFonts w:eastAsiaTheme="minorEastAsia"/>
                <w:szCs w:val="24"/>
              </w:rPr>
            </w:pPr>
            <m:oMathPara>
              <m:oMath>
                <m:sSub>
                  <m:sSubPr>
                    <m:ctrlPr>
                      <w:rPr>
                        <w:rFonts w:ascii="Cambria Math" w:hAnsi="Cambria Math"/>
                        <w:szCs w:val="24"/>
                      </w:rPr>
                    </m:ctrlPr>
                  </m:sSubPr>
                  <m:e>
                    <m:r>
                      <w:rPr>
                        <w:rFonts w:ascii="Cambria Math" w:hAnsi="Cambria Math"/>
                        <w:szCs w:val="24"/>
                      </w:rPr>
                      <m:t>TES</m:t>
                    </m:r>
                  </m:e>
                  <m:sub>
                    <m:r>
                      <w:rPr>
                        <w:rFonts w:ascii="Cambria Math" w:hAnsi="Cambria Math"/>
                        <w:szCs w:val="24"/>
                      </w:rPr>
                      <m:t>size</m:t>
                    </m:r>
                  </m:sub>
                </m:sSub>
                <m:r>
                  <m:rPr>
                    <m:sty m:val="p"/>
                  </m:rPr>
                  <w:rPr>
                    <w:rFonts w:ascii="Cambria Math" w:hAnsi="Cambria Math"/>
                    <w:szCs w:val="24"/>
                  </w:rPr>
                  <m:t>=</m:t>
                </m:r>
                <m:f>
                  <m:fPr>
                    <m:type m:val="skw"/>
                    <m:ctrlPr>
                      <w:rPr>
                        <w:rFonts w:ascii="Cambria Math" w:hAnsi="Cambria Math"/>
                        <w:szCs w:val="24"/>
                      </w:rPr>
                    </m:ctrlPr>
                  </m:fPr>
                  <m:num>
                    <m:r>
                      <m:rPr>
                        <m:sty m:val="p"/>
                      </m:rPr>
                      <w:rPr>
                        <w:rFonts w:ascii="Cambria Math" w:hAnsi="Cambria Math"/>
                        <w:szCs w:val="24"/>
                      </w:rPr>
                      <m:t>1</m:t>
                    </m:r>
                  </m:num>
                  <m:den>
                    <m:r>
                      <m:rPr>
                        <m:sty m:val="p"/>
                      </m:rPr>
                      <w:rPr>
                        <w:rFonts w:ascii="Cambria Math" w:hAnsi="Cambria Math"/>
                        <w:szCs w:val="24"/>
                      </w:rPr>
                      <m:t>365</m:t>
                    </m:r>
                  </m:den>
                </m:f>
                <m:nary>
                  <m:naryPr>
                    <m:chr m:val="∑"/>
                    <m:limLoc m:val="undOvr"/>
                    <m:ctrlPr>
                      <w:rPr>
                        <w:rFonts w:ascii="Cambria Math" w:hAnsi="Cambria Math"/>
                        <w:szCs w:val="24"/>
                      </w:rPr>
                    </m:ctrlPr>
                  </m:naryPr>
                  <m:sub>
                    <m:r>
                      <w:rPr>
                        <w:rFonts w:ascii="Cambria Math" w:hAnsi="Cambria Math"/>
                        <w:szCs w:val="24"/>
                      </w:rPr>
                      <m:t>d</m:t>
                    </m:r>
                    <m:r>
                      <m:rPr>
                        <m:sty m:val="p"/>
                      </m:rPr>
                      <w:rPr>
                        <w:rFonts w:ascii="Cambria Math" w:hAnsi="Cambria Math"/>
                        <w:szCs w:val="24"/>
                      </w:rPr>
                      <m:t>=1</m:t>
                    </m:r>
                  </m:sub>
                  <m:sup>
                    <m:r>
                      <m:rPr>
                        <m:sty m:val="p"/>
                      </m:rPr>
                      <w:rPr>
                        <w:rFonts w:ascii="Cambria Math" w:hAnsi="Cambria Math"/>
                        <w:szCs w:val="24"/>
                      </w:rPr>
                      <m:t>365</m:t>
                    </m:r>
                  </m:sup>
                  <m:e>
                    <m:sSub>
                      <m:sSubPr>
                        <m:ctrlPr>
                          <w:rPr>
                            <w:rFonts w:ascii="Cambria Math" w:hAnsi="Cambria Math"/>
                            <w:szCs w:val="24"/>
                          </w:rPr>
                        </m:ctrlPr>
                      </m:sSubPr>
                      <m:e>
                        <m:r>
                          <w:rPr>
                            <w:rFonts w:ascii="Cambria Math" w:hAnsi="Cambria Math"/>
                            <w:szCs w:val="24"/>
                          </w:rPr>
                          <m:t>TES</m:t>
                        </m:r>
                      </m:e>
                      <m:sub>
                        <m:r>
                          <w:rPr>
                            <w:rFonts w:ascii="Cambria Math" w:hAnsi="Cambria Math"/>
                            <w:szCs w:val="24"/>
                          </w:rPr>
                          <m:t>d</m:t>
                        </m:r>
                      </m:sub>
                    </m:sSub>
                  </m:e>
                </m:nary>
              </m:oMath>
            </m:oMathPara>
          </w:p>
        </w:tc>
        <w:tc>
          <w:tcPr>
            <w:tcW w:w="1615" w:type="dxa"/>
            <w:vAlign w:val="center"/>
          </w:tcPr>
          <w:p w14:paraId="6A82BF1C" w14:textId="3787663B" w:rsidR="00DB3DC6" w:rsidRPr="0015600B" w:rsidRDefault="00916607" w:rsidP="009924B9">
            <w:pPr>
              <w:spacing w:beforeLines="120" w:before="288" w:afterLines="120" w:after="288"/>
              <w:ind w:firstLine="0"/>
              <w:jc w:val="right"/>
              <w:rPr>
                <w:szCs w:val="24"/>
              </w:rPr>
            </w:pPr>
            <w:r>
              <w:t>(</w:t>
            </w:r>
            <w:fldSimple w:instr=" STYLEREF 1 \s ">
              <w:r w:rsidR="00D979B8">
                <w:rPr>
                  <w:noProof/>
                </w:rPr>
                <w:t>3</w:t>
              </w:r>
            </w:fldSimple>
            <w:r>
              <w:t>.</w:t>
            </w:r>
            <w:fldSimple w:instr=" SEQ Equation \* ARABIC \s 1 ">
              <w:r w:rsidR="00D979B8">
                <w:rPr>
                  <w:noProof/>
                </w:rPr>
                <w:t>27</w:t>
              </w:r>
            </w:fldSimple>
            <w:r>
              <w:t>)</w:t>
            </w:r>
          </w:p>
        </w:tc>
      </w:tr>
    </w:tbl>
    <w:p w14:paraId="25186511" w14:textId="0EF08D9D" w:rsidR="00DB3DC6" w:rsidRPr="0015600B" w:rsidRDefault="00DB3DC6" w:rsidP="00723466">
      <w:pPr>
        <w:pStyle w:val="Heading2"/>
        <w:numPr>
          <w:ilvl w:val="1"/>
          <w:numId w:val="16"/>
        </w:numPr>
      </w:pPr>
      <w:bookmarkStart w:id="137" w:name="_Toc41075484"/>
      <w:bookmarkStart w:id="138" w:name="_Toc42027856"/>
      <w:bookmarkStart w:id="139" w:name="_Toc42335015"/>
      <w:bookmarkStart w:id="140" w:name="_Toc43877984"/>
      <w:bookmarkStart w:id="141" w:name="_Toc47467734"/>
      <w:r w:rsidRPr="00723466">
        <w:lastRenderedPageBreak/>
        <w:t>Equipment</w:t>
      </w:r>
      <w:r w:rsidRPr="0015600B">
        <w:t xml:space="preserve"> Base Size</w:t>
      </w:r>
      <w:bookmarkEnd w:id="137"/>
      <w:bookmarkEnd w:id="138"/>
      <w:bookmarkEnd w:id="139"/>
      <w:bookmarkEnd w:id="140"/>
      <w:bookmarkEnd w:id="141"/>
    </w:p>
    <w:p w14:paraId="33EA125F" w14:textId="145D1556" w:rsidR="00DB3DC6" w:rsidRPr="0015600B" w:rsidRDefault="00DB3DC6" w:rsidP="00DB3DC6">
      <w:pPr>
        <w:pStyle w:val="NormalWeb"/>
        <w:shd w:val="clear" w:color="auto" w:fill="FFFFFF" w:themeFill="background1"/>
        <w:spacing w:beforeLines="120" w:before="288" w:beforeAutospacing="0" w:afterLines="120" w:after="288" w:afterAutospacing="0"/>
        <w:rPr>
          <w:rFonts w:ascii="Georgia Pro" w:hAnsi="Georgia Pro"/>
        </w:rPr>
      </w:pPr>
      <w:r w:rsidRPr="0015600B">
        <w:rPr>
          <w:rFonts w:ascii="Georgia Pro" w:hAnsi="Georgia Pro"/>
        </w:rPr>
        <w:t>The solar collector area and thermal energy storage sizes were c</w:t>
      </w:r>
      <w:r w:rsidR="00B20E74">
        <w:rPr>
          <w:rFonts w:ascii="Georgia Pro" w:hAnsi="Georgia Pro"/>
        </w:rPr>
        <w:t>alculated</w:t>
      </w:r>
      <w:r w:rsidRPr="0015600B">
        <w:rPr>
          <w:rFonts w:ascii="Georgia Pro" w:hAnsi="Georgia Pro"/>
        </w:rPr>
        <w:t xml:space="preserve"> using Excel. The Solar collector efficiency was assumed to be 60%; the SEER value was given as 14 </w:t>
      </w:r>
      <w:r w:rsidRPr="0015600B">
        <w:rPr>
          <w:rFonts w:ascii="Georgia Pro" w:hAnsi="Georgia Pro"/>
        </w:rPr>
        <w:fldChar w:fldCharType="begin" w:fldLock="1"/>
      </w:r>
      <w:r w:rsidR="00D6331E">
        <w:rPr>
          <w:rFonts w:ascii="Georgia Pro" w:hAnsi="Georgia Pro"/>
        </w:rPr>
        <w:instrText>ADDIN CSL_CITATION {"citationItems":[{"id":"ITEM-1","itemData":{"URL":"https://www.nrel.gov/docs/fy11osti/52172.pdf","accessed":{"date-parts":[["2020","5","31"]]},"id":"ITEM-1","issued":{"date-parts":[["0"]]},"title":"(No Title)","type":"webpage"},"uris":["http://www.mendeley.com/documents/?uuid=365dbb3a-b5ee-3ec0-a477-be92594882bb"]}],"mendeley":{"formattedCitation":"[65]","plainTextFormattedCitation":"[65]","previouslyFormattedCitation":"[65]"},"properties":{"noteIndex":0},"schema":"https://github.com/citation-style-language/schema/raw/master/csl-citation.json"}</w:instrText>
      </w:r>
      <w:r w:rsidRPr="0015600B">
        <w:rPr>
          <w:rFonts w:ascii="Georgia Pro" w:hAnsi="Georgia Pro"/>
        </w:rPr>
        <w:fldChar w:fldCharType="separate"/>
      </w:r>
      <w:r w:rsidR="00D6331E" w:rsidRPr="00D6331E">
        <w:rPr>
          <w:rFonts w:ascii="Georgia Pro" w:hAnsi="Georgia Pro"/>
          <w:noProof/>
        </w:rPr>
        <w:t>[65]</w:t>
      </w:r>
      <w:r w:rsidRPr="0015600B">
        <w:rPr>
          <w:rFonts w:ascii="Georgia Pro" w:hAnsi="Georgia Pro"/>
        </w:rPr>
        <w:fldChar w:fldCharType="end"/>
      </w:r>
      <w:r w:rsidRPr="0015600B">
        <w:rPr>
          <w:rFonts w:ascii="Georgia Pro" w:hAnsi="Georgia Pro"/>
        </w:rPr>
        <w:t xml:space="preserve">. </w:t>
      </w:r>
      <w:r w:rsidR="00FB20FF">
        <w:rPr>
          <w:rFonts w:ascii="Georgia Pro" w:hAnsi="Georgia Pro"/>
        </w:rPr>
        <w:t>Equation 3.</w:t>
      </w:r>
      <w:r w:rsidR="004A74BE">
        <w:rPr>
          <w:rFonts w:ascii="Georgia Pro" w:hAnsi="Georgia Pro"/>
        </w:rPr>
        <w:t>20</w:t>
      </w:r>
      <w:r w:rsidR="00FB20FF">
        <w:rPr>
          <w:rFonts w:ascii="Georgia Pro" w:hAnsi="Georgia Pro"/>
        </w:rPr>
        <w:t xml:space="preserve"> results vapor compression COP of 3.75. The COP of </w:t>
      </w:r>
      <w:r w:rsidR="003804E1">
        <w:rPr>
          <w:rFonts w:ascii="Georgia Pro" w:hAnsi="Georgia Pro"/>
        </w:rPr>
        <w:t xml:space="preserve">the </w:t>
      </w:r>
      <w:r w:rsidR="00FB20FF">
        <w:rPr>
          <w:rFonts w:ascii="Georgia Pro" w:hAnsi="Georgia Pro"/>
        </w:rPr>
        <w:t>absorption</w:t>
      </w:r>
      <w:r w:rsidR="00FB20FF" w:rsidRPr="0015600B">
        <w:rPr>
          <w:rFonts w:ascii="Georgia Pro" w:hAnsi="Georgia Pro"/>
        </w:rPr>
        <w:t xml:space="preserve"> </w:t>
      </w:r>
      <w:r w:rsidR="00FB20FF">
        <w:rPr>
          <w:rFonts w:ascii="Georgia Pro" w:hAnsi="Georgia Pro"/>
        </w:rPr>
        <w:t>chiller is approximately one</w:t>
      </w:r>
      <w:r w:rsidRPr="0015600B">
        <w:rPr>
          <w:rFonts w:ascii="Georgia Pro" w:hAnsi="Georgia Pro"/>
        </w:rPr>
        <w:t xml:space="preserve"> </w:t>
      </w:r>
      <w:r w:rsidRPr="0015600B">
        <w:rPr>
          <w:rFonts w:ascii="Georgia Pro" w:hAnsi="Georgia Pro"/>
        </w:rPr>
        <w:fldChar w:fldCharType="begin" w:fldLock="1"/>
      </w:r>
      <w:r w:rsidR="00D6331E">
        <w:rPr>
          <w:rFonts w:ascii="Georgia Pro" w:hAnsi="Georgia Pro"/>
        </w:rPr>
        <w:instrText>ADDIN CSL_CITATION {"citationItems":[{"id":"ITEM-1","itemData":{"abstract":"Absorption Chillers for CHP Systems Chillers are used in commercial buildings and industrial plants to provide air conditioning, refrigeration, and process fluid cooling. There are two basic types of chiller cycles: vapor compression and sorption. Vapor compression chillers use reciprocating, screw, or centrifugal compressors to power the cycle. The compressors are most often driven by electric motors, although they can also be powered by natural gas engines or steam turbines. Sorption chillers, which are available as either absorption or adsorption designs 1 , are driven with thermal energy produced from a direct fired burner integrated with the chiller, or with thermal energy supplied indirectly to the chiller. Indirect thermal sources include hot water, steam, or combustion exhaust. Absorption chillers are often exhaust fired using thermal energy recovered from combined heat and power (CHP) prime movers (e.g., reciprocating engines, microturbines, and combustion turbines). Table 1 provides an overview of absorption chiller use in CHP applications. Applications Absorption chillers use a binary solution of a refrigerant and an absorbent, and different solutions allow absorption chillers to meet a range of site cooling needs. For space conditioning and other requirements that require chilling fluid temperatures of 40°F or higher, water/lithium bromide (refrigerant/ absorbent) is the most common solution. For lower temperatures, am-monia/water (refrigerant/absorbent) is typically used. Absorption chillers are most cost effective at sites that have significant space conditioning requirements or year-round cooling loads. Applications with significant year-round space conditioning loads include hospitals, hotels, large commercial office buildings, and college campuses. Sites that may require steady year-round cooling include manufacturing plants with process cooling needs, cold storage warehouses, data centers, and district energy plants. A 400-ton single-stage absorption chiller integrated with three 600 kW reciprocating engines provides hot water for process and space heating. The system is located at a metal fabrication facility in Fitchburg, Massachusetts. Photo courtesy of Northeast CHP Technical Assistance Partnership (CHP TAP). Table 1. Summary of Absorption Chiller Attributes for CHP Systems Size range 5 to 3,000 refrigeration tons Input Heat Hot water, steam, or prime mover exhaust Configuration Available in single and two stage designs. Single sta…","author":[{"dropping-particle":"","family":"States Department of Energy","given":"United","non-dropping-particle":"","parse-names":false,"suffix":""}],"id":"ITEM-1","issued":{"date-parts":[["0"]]},"title":"Combined Heat and Power Technology Fact Sheet Series ADVANCED MANUFACTURING OFFICE","type":"report"},"uris":["http://www.mendeley.com/documents/?uuid=0bdbc2a0-73d3-3eee-82c5-7c45df9d130f"]}],"mendeley":{"formattedCitation":"[66]","plainTextFormattedCitation":"[66]","previouslyFormattedCitation":"[66]"},"properties":{"noteIndex":0},"schema":"https://github.com/citation-style-language/schema/raw/master/csl-citation.json"}</w:instrText>
      </w:r>
      <w:r w:rsidRPr="0015600B">
        <w:rPr>
          <w:rFonts w:ascii="Georgia Pro" w:hAnsi="Georgia Pro"/>
        </w:rPr>
        <w:fldChar w:fldCharType="separate"/>
      </w:r>
      <w:r w:rsidR="00D6331E" w:rsidRPr="00D6331E">
        <w:rPr>
          <w:rFonts w:ascii="Georgia Pro" w:hAnsi="Georgia Pro"/>
          <w:noProof/>
        </w:rPr>
        <w:t>[66]</w:t>
      </w:r>
      <w:r w:rsidRPr="0015600B">
        <w:rPr>
          <w:rFonts w:ascii="Georgia Pro" w:hAnsi="Georgia Pro"/>
        </w:rPr>
        <w:fldChar w:fldCharType="end"/>
      </w:r>
      <w:r w:rsidRPr="0015600B">
        <w:rPr>
          <w:rFonts w:ascii="Georgia Pro" w:hAnsi="Georgia Pro"/>
        </w:rPr>
        <w:t>.</w:t>
      </w:r>
    </w:p>
    <w:p w14:paraId="35CF8E25" w14:textId="01D08CD4" w:rsidR="00DB3DC6" w:rsidRPr="0015600B" w:rsidRDefault="00DB3DC6" w:rsidP="00DB3DC6">
      <w:pPr>
        <w:pStyle w:val="NormalWeb"/>
        <w:shd w:val="clear" w:color="auto" w:fill="FFFFFF" w:themeFill="background1"/>
        <w:spacing w:beforeLines="120" w:before="288" w:beforeAutospacing="0" w:afterLines="120" w:after="288" w:afterAutospacing="0"/>
        <w:rPr>
          <w:rFonts w:ascii="Georgia Pro" w:hAnsi="Georgia Pro"/>
        </w:rPr>
      </w:pPr>
      <w:r w:rsidRPr="0015600B">
        <w:rPr>
          <w:rFonts w:ascii="Georgia Pro" w:hAnsi="Georgia Pro"/>
        </w:rPr>
        <w:t xml:space="preserve">The solar collector area was calculated using Equation </w:t>
      </w:r>
      <w:r w:rsidR="00FB20FF">
        <w:rPr>
          <w:rFonts w:ascii="Georgia Pro" w:hAnsi="Georgia Pro"/>
        </w:rPr>
        <w:t>3.</w:t>
      </w:r>
      <w:r w:rsidR="00393BCE">
        <w:rPr>
          <w:rFonts w:ascii="Georgia Pro" w:hAnsi="Georgia Pro"/>
        </w:rPr>
        <w:t>22</w:t>
      </w:r>
      <w:r w:rsidR="008F0CF3">
        <w:rPr>
          <w:rFonts w:ascii="Georgia Pro" w:hAnsi="Georgia Pro"/>
        </w:rPr>
        <w:t>,</w:t>
      </w:r>
      <w:r w:rsidRPr="0015600B">
        <w:rPr>
          <w:rFonts w:ascii="Georgia Pro" w:hAnsi="Georgia Pro"/>
        </w:rPr>
        <w:t xml:space="preserve"> and thermal energy storage size was calculated using Equation </w:t>
      </w:r>
      <w:r w:rsidR="00FB20FF">
        <w:rPr>
          <w:rFonts w:ascii="Georgia Pro" w:hAnsi="Georgia Pro"/>
        </w:rPr>
        <w:t>3.</w:t>
      </w:r>
      <w:r w:rsidR="00393BCE">
        <w:rPr>
          <w:rFonts w:ascii="Georgia Pro" w:hAnsi="Georgia Pro"/>
        </w:rPr>
        <w:t>27</w:t>
      </w:r>
      <w:r w:rsidRPr="0015600B">
        <w:rPr>
          <w:rFonts w:ascii="Georgia Pro" w:hAnsi="Georgia Pro"/>
        </w:rPr>
        <w:t xml:space="preserve">. The total annual </w:t>
      </w:r>
      <w:r w:rsidR="00FB20FF">
        <w:rPr>
          <w:rFonts w:ascii="Georgia Pro" w:hAnsi="Georgia Pro"/>
        </w:rPr>
        <w:t xml:space="preserve">building </w:t>
      </w:r>
      <w:r w:rsidRPr="0015600B">
        <w:rPr>
          <w:rFonts w:ascii="Georgia Pro" w:hAnsi="Georgia Pro"/>
        </w:rPr>
        <w:t xml:space="preserve">energy demand, annual GHI, solar collector area, and thermal energy storage size for the selected cities </w:t>
      </w:r>
      <w:r w:rsidR="003804E1">
        <w:rPr>
          <w:rFonts w:ascii="Georgia Pro" w:hAnsi="Georgia Pro"/>
        </w:rPr>
        <w:t>is</w:t>
      </w:r>
      <w:r w:rsidRPr="0015600B">
        <w:rPr>
          <w:rFonts w:ascii="Georgia Pro" w:hAnsi="Georgia Pro"/>
        </w:rPr>
        <w:t xml:space="preserve"> presented in Table 3.</w:t>
      </w:r>
      <w:r w:rsidR="00F8228A">
        <w:rPr>
          <w:rFonts w:ascii="Georgia Pro" w:hAnsi="Georgia Pro"/>
        </w:rPr>
        <w:t>2</w:t>
      </w:r>
      <w:r w:rsidRPr="0015600B">
        <w:rPr>
          <w:rFonts w:ascii="Georgia Pro" w:hAnsi="Georgia Pro"/>
        </w:rPr>
        <w:t xml:space="preserve">. </w:t>
      </w:r>
    </w:p>
    <w:p w14:paraId="06ACA369" w14:textId="5107C2E3" w:rsidR="00E013A1" w:rsidRDefault="00E013A1" w:rsidP="00037B41">
      <w:pPr>
        <w:pStyle w:val="Caption"/>
      </w:pPr>
      <w:bookmarkStart w:id="142" w:name="_Toc47467744"/>
      <w:r>
        <w:t xml:space="preserve">Table </w:t>
      </w:r>
      <w:fldSimple w:instr=" STYLEREF 1 \s ">
        <w:r w:rsidR="00D979B8">
          <w:rPr>
            <w:noProof/>
          </w:rPr>
          <w:t>3</w:t>
        </w:r>
      </w:fldSimple>
      <w:r w:rsidR="003838C6">
        <w:t>.</w:t>
      </w:r>
      <w:fldSimple w:instr=" SEQ Table \* ARABIC \s 1 ">
        <w:r w:rsidR="00D979B8">
          <w:rPr>
            <w:noProof/>
          </w:rPr>
          <w:t>2</w:t>
        </w:r>
      </w:fldSimple>
      <w:r>
        <w:t>.</w:t>
      </w:r>
      <w:bookmarkStart w:id="143" w:name="_Toc41574673"/>
      <w:bookmarkStart w:id="144" w:name="_Toc42383125"/>
      <w:r w:rsidRPr="00E013A1">
        <w:t xml:space="preserve"> </w:t>
      </w:r>
      <w:r w:rsidRPr="0015600B">
        <w:t>Annual total building energy demand</w:t>
      </w:r>
      <w:r>
        <w:t>,</w:t>
      </w:r>
      <w:r w:rsidRPr="0015600B">
        <w:t xml:space="preserve"> total </w:t>
      </w:r>
      <w:r>
        <w:t>annual GHI, solar collector area</w:t>
      </w:r>
      <w:r w:rsidR="003804E1">
        <w:t>,</w:t>
      </w:r>
      <w:r>
        <w:t xml:space="preserve"> and thermal energy storage size</w:t>
      </w:r>
      <w:r w:rsidRPr="0015600B">
        <w:t>.</w:t>
      </w:r>
      <w:bookmarkEnd w:id="142"/>
      <w:bookmarkEnd w:id="143"/>
      <w:bookmarkEnd w:id="144"/>
    </w:p>
    <w:tbl>
      <w:tblPr>
        <w:tblW w:w="8358" w:type="dxa"/>
        <w:tblBorders>
          <w:top w:val="single" w:sz="12" w:space="0" w:color="auto"/>
          <w:bottom w:val="single" w:sz="12" w:space="0" w:color="auto"/>
        </w:tblBorders>
        <w:tblLook w:val="04A0" w:firstRow="1" w:lastRow="0" w:firstColumn="1" w:lastColumn="0" w:noHBand="0" w:noVBand="1"/>
      </w:tblPr>
      <w:tblGrid>
        <w:gridCol w:w="2185"/>
        <w:gridCol w:w="1262"/>
        <w:gridCol w:w="1143"/>
        <w:gridCol w:w="1467"/>
        <w:gridCol w:w="1254"/>
        <w:gridCol w:w="1047"/>
      </w:tblGrid>
      <w:tr w:rsidR="00DB3DC6" w:rsidRPr="0015600B" w14:paraId="79195BDB" w14:textId="77777777" w:rsidTr="004F2C5B">
        <w:trPr>
          <w:trHeight w:val="164"/>
        </w:trPr>
        <w:tc>
          <w:tcPr>
            <w:tcW w:w="2185" w:type="dxa"/>
            <w:tcBorders>
              <w:top w:val="single" w:sz="12" w:space="0" w:color="auto"/>
              <w:bottom w:val="single" w:sz="12" w:space="0" w:color="auto"/>
            </w:tcBorders>
            <w:shd w:val="clear" w:color="auto" w:fill="auto"/>
            <w:noWrap/>
            <w:vAlign w:val="bottom"/>
            <w:hideMark/>
          </w:tcPr>
          <w:p w14:paraId="178B621C" w14:textId="77777777" w:rsidR="00DB3DC6" w:rsidRPr="0015600B" w:rsidRDefault="00DB3DC6" w:rsidP="00DB3DC6">
            <w:pPr>
              <w:pStyle w:val="NoSpacing"/>
              <w:rPr>
                <w:rFonts w:ascii="Georgia Pro" w:hAnsi="Georgia Pro"/>
              </w:rPr>
            </w:pPr>
            <w:r w:rsidRPr="0015600B">
              <w:rPr>
                <w:rFonts w:ascii="Georgia Pro" w:hAnsi="Georgia Pro"/>
              </w:rPr>
              <w:t xml:space="preserve">City </w:t>
            </w:r>
          </w:p>
        </w:tc>
        <w:tc>
          <w:tcPr>
            <w:tcW w:w="1262" w:type="dxa"/>
            <w:tcBorders>
              <w:top w:val="single" w:sz="12" w:space="0" w:color="auto"/>
              <w:bottom w:val="single" w:sz="12" w:space="0" w:color="auto"/>
            </w:tcBorders>
            <w:shd w:val="clear" w:color="auto" w:fill="auto"/>
            <w:noWrap/>
            <w:vAlign w:val="bottom"/>
            <w:hideMark/>
          </w:tcPr>
          <w:p w14:paraId="593F8C3C" w14:textId="77777777" w:rsidR="00DB3DC6" w:rsidRPr="0015600B" w:rsidRDefault="00DB3DC6" w:rsidP="00DB3DC6">
            <w:pPr>
              <w:pStyle w:val="NoSpacing"/>
              <w:rPr>
                <w:rFonts w:ascii="Georgia Pro" w:hAnsi="Georgia Pro"/>
              </w:rPr>
            </w:pPr>
            <w:r w:rsidRPr="0015600B">
              <w:rPr>
                <w:rFonts w:ascii="Georgia Pro" w:hAnsi="Georgia Pro"/>
              </w:rPr>
              <w:t>Zone</w:t>
            </w:r>
          </w:p>
        </w:tc>
        <w:tc>
          <w:tcPr>
            <w:tcW w:w="1143" w:type="dxa"/>
            <w:tcBorders>
              <w:top w:val="single" w:sz="12" w:space="0" w:color="auto"/>
              <w:bottom w:val="single" w:sz="12" w:space="0" w:color="auto"/>
            </w:tcBorders>
            <w:vAlign w:val="bottom"/>
          </w:tcPr>
          <w:p w14:paraId="75F3BF3F" w14:textId="77777777" w:rsidR="00DB3DC6" w:rsidRPr="0015600B" w:rsidRDefault="00DB3DC6" w:rsidP="00DB3DC6">
            <w:pPr>
              <w:pStyle w:val="NoSpacing"/>
              <w:rPr>
                <w:rFonts w:ascii="Georgia Pro" w:hAnsi="Georgia Pro"/>
              </w:rPr>
            </w:pPr>
            <w:r w:rsidRPr="0015600B">
              <w:rPr>
                <w:rFonts w:ascii="Georgia Pro" w:hAnsi="Georgia Pro"/>
              </w:rPr>
              <w:t>Total annual energy demand (MWh)</w:t>
            </w:r>
          </w:p>
        </w:tc>
        <w:tc>
          <w:tcPr>
            <w:tcW w:w="1467" w:type="dxa"/>
            <w:tcBorders>
              <w:top w:val="single" w:sz="12" w:space="0" w:color="auto"/>
              <w:bottom w:val="single" w:sz="12" w:space="0" w:color="auto"/>
            </w:tcBorders>
            <w:vAlign w:val="bottom"/>
          </w:tcPr>
          <w:p w14:paraId="22FCD1D8" w14:textId="77777777" w:rsidR="00DB3DC6" w:rsidRPr="0015600B" w:rsidRDefault="00DB3DC6" w:rsidP="00DB3DC6">
            <w:pPr>
              <w:pStyle w:val="NoSpacing"/>
              <w:rPr>
                <w:rFonts w:ascii="Georgia Pro" w:hAnsi="Georgia Pro"/>
              </w:rPr>
            </w:pPr>
            <w:r w:rsidRPr="0015600B">
              <w:rPr>
                <w:rFonts w:ascii="Georgia Pro" w:hAnsi="Georgia Pro"/>
              </w:rPr>
              <w:t>Annual GHI (MWh/m</w:t>
            </w:r>
            <w:r w:rsidRPr="0015600B">
              <w:rPr>
                <w:rFonts w:ascii="Georgia Pro" w:hAnsi="Georgia Pro"/>
                <w:vertAlign w:val="superscript"/>
              </w:rPr>
              <w:t>2</w:t>
            </w:r>
            <w:r w:rsidRPr="0015600B">
              <w:rPr>
                <w:rFonts w:ascii="Georgia Pro" w:hAnsi="Georgia Pro"/>
              </w:rPr>
              <w:t>)</w:t>
            </w:r>
          </w:p>
        </w:tc>
        <w:tc>
          <w:tcPr>
            <w:tcW w:w="1254" w:type="dxa"/>
            <w:tcBorders>
              <w:top w:val="single" w:sz="12" w:space="0" w:color="auto"/>
              <w:bottom w:val="single" w:sz="12" w:space="0" w:color="auto"/>
            </w:tcBorders>
            <w:shd w:val="clear" w:color="auto" w:fill="auto"/>
            <w:noWrap/>
            <w:vAlign w:val="bottom"/>
            <w:hideMark/>
          </w:tcPr>
          <w:p w14:paraId="580B0BFB" w14:textId="77777777" w:rsidR="00DB3DC6" w:rsidRPr="0015600B" w:rsidRDefault="00DB3DC6" w:rsidP="00DB3DC6">
            <w:pPr>
              <w:pStyle w:val="NoSpacing"/>
              <w:rPr>
                <w:rFonts w:ascii="Georgia Pro" w:hAnsi="Georgia Pro"/>
              </w:rPr>
            </w:pPr>
            <w:r w:rsidRPr="0015600B">
              <w:rPr>
                <w:rFonts w:ascii="Georgia Pro" w:hAnsi="Georgia Pro"/>
              </w:rPr>
              <w:t xml:space="preserve">Collector area (m2) </w:t>
            </w:r>
          </w:p>
        </w:tc>
        <w:tc>
          <w:tcPr>
            <w:tcW w:w="1047" w:type="dxa"/>
            <w:tcBorders>
              <w:top w:val="single" w:sz="12" w:space="0" w:color="auto"/>
              <w:bottom w:val="single" w:sz="12" w:space="0" w:color="auto"/>
            </w:tcBorders>
            <w:shd w:val="clear" w:color="auto" w:fill="auto"/>
            <w:noWrap/>
            <w:vAlign w:val="bottom"/>
            <w:hideMark/>
          </w:tcPr>
          <w:p w14:paraId="3AD78515" w14:textId="433925ED" w:rsidR="00DB3DC6" w:rsidRPr="0015600B" w:rsidRDefault="003A0B43" w:rsidP="00DB3DC6">
            <w:pPr>
              <w:pStyle w:val="NoSpacing"/>
              <w:rPr>
                <w:rFonts w:ascii="Georgia Pro" w:hAnsi="Georgia Pro" w:cs="Calibri"/>
                <w:bCs/>
                <w:color w:val="000000"/>
              </w:rPr>
            </w:pPr>
            <m:oMath>
              <m:sSub>
                <m:sSubPr>
                  <m:ctrlPr>
                    <w:rPr>
                      <w:rFonts w:ascii="Cambria Math" w:hAnsi="Cambria Math"/>
                      <w:bCs/>
                    </w:rPr>
                  </m:ctrlPr>
                </m:sSubPr>
                <m:e>
                  <m:r>
                    <w:rPr>
                      <w:rFonts w:ascii="Cambria Math" w:hAnsi="Cambria Math"/>
                    </w:rPr>
                    <m:t>TES</m:t>
                  </m:r>
                </m:e>
                <m:sub>
                  <m:r>
                    <m:rPr>
                      <m:sty m:val="bi"/>
                    </m:rPr>
                    <w:rPr>
                      <w:rFonts w:ascii="Cambria Math" w:hAnsi="Cambria Math"/>
                    </w:rPr>
                    <m:t>size</m:t>
                  </m:r>
                </m:sub>
              </m:sSub>
            </m:oMath>
            <w:r w:rsidR="00DB3DC6" w:rsidRPr="0015600B">
              <w:rPr>
                <w:rFonts w:ascii="Georgia Pro" w:hAnsi="Georgia Pro" w:cs="Calibri"/>
                <w:bCs/>
                <w:color w:val="000000"/>
              </w:rPr>
              <w:t xml:space="preserve"> (kWh)</w:t>
            </w:r>
          </w:p>
        </w:tc>
      </w:tr>
      <w:tr w:rsidR="00DB3DC6" w:rsidRPr="0015600B" w14:paraId="358CA1C8" w14:textId="77777777" w:rsidTr="004F2C5B">
        <w:trPr>
          <w:trHeight w:val="164"/>
        </w:trPr>
        <w:tc>
          <w:tcPr>
            <w:tcW w:w="2185" w:type="dxa"/>
            <w:tcBorders>
              <w:top w:val="single" w:sz="12" w:space="0" w:color="auto"/>
            </w:tcBorders>
            <w:shd w:val="clear" w:color="auto" w:fill="auto"/>
            <w:noWrap/>
            <w:vAlign w:val="center"/>
            <w:hideMark/>
          </w:tcPr>
          <w:p w14:paraId="5CE5C99B" w14:textId="77777777" w:rsidR="00DB3DC6" w:rsidRPr="0015600B" w:rsidRDefault="00DB3DC6" w:rsidP="00DB3DC6">
            <w:pPr>
              <w:pStyle w:val="NoSpacing"/>
              <w:rPr>
                <w:rFonts w:ascii="Georgia Pro" w:hAnsi="Georgia Pro"/>
              </w:rPr>
            </w:pPr>
            <w:r w:rsidRPr="0015600B">
              <w:rPr>
                <w:rFonts w:ascii="Georgia Pro" w:hAnsi="Georgia Pro"/>
              </w:rPr>
              <w:t>Miami, FL</w:t>
            </w:r>
          </w:p>
        </w:tc>
        <w:tc>
          <w:tcPr>
            <w:tcW w:w="1262" w:type="dxa"/>
            <w:tcBorders>
              <w:top w:val="single" w:sz="12" w:space="0" w:color="auto"/>
            </w:tcBorders>
            <w:shd w:val="clear" w:color="auto" w:fill="auto"/>
            <w:noWrap/>
            <w:vAlign w:val="center"/>
            <w:hideMark/>
          </w:tcPr>
          <w:p w14:paraId="7674329F" w14:textId="77777777" w:rsidR="00DB3DC6" w:rsidRPr="0015600B" w:rsidRDefault="00DB3DC6" w:rsidP="00DB3DC6">
            <w:pPr>
              <w:pStyle w:val="NoSpacing"/>
              <w:rPr>
                <w:rFonts w:ascii="Georgia Pro" w:hAnsi="Georgia Pro"/>
              </w:rPr>
            </w:pPr>
            <w:r w:rsidRPr="0015600B">
              <w:rPr>
                <w:rFonts w:ascii="Georgia Pro" w:hAnsi="Georgia Pro"/>
              </w:rPr>
              <w:t>Hot-humid</w:t>
            </w:r>
          </w:p>
        </w:tc>
        <w:tc>
          <w:tcPr>
            <w:tcW w:w="1143" w:type="dxa"/>
            <w:tcBorders>
              <w:top w:val="single" w:sz="12" w:space="0" w:color="auto"/>
            </w:tcBorders>
            <w:vAlign w:val="center"/>
          </w:tcPr>
          <w:p w14:paraId="62C6EC81" w14:textId="2EDFB2DB" w:rsidR="00DB3DC6" w:rsidRPr="0015600B" w:rsidRDefault="00DB3DC6" w:rsidP="00DB3DC6">
            <w:pPr>
              <w:pStyle w:val="NoSpacing"/>
              <w:rPr>
                <w:rFonts w:ascii="Georgia Pro" w:hAnsi="Georgia Pro"/>
              </w:rPr>
            </w:pPr>
            <w:r w:rsidRPr="0015600B">
              <w:rPr>
                <w:rFonts w:ascii="Georgia Pro" w:hAnsi="Georgia Pro"/>
              </w:rPr>
              <w:t>15.01</w:t>
            </w:r>
          </w:p>
        </w:tc>
        <w:tc>
          <w:tcPr>
            <w:tcW w:w="1467" w:type="dxa"/>
            <w:tcBorders>
              <w:top w:val="single" w:sz="12" w:space="0" w:color="auto"/>
            </w:tcBorders>
            <w:vAlign w:val="center"/>
          </w:tcPr>
          <w:p w14:paraId="046BFCB0" w14:textId="56DD4FDA" w:rsidR="00DB3DC6" w:rsidRPr="0015600B" w:rsidRDefault="00DB3DC6" w:rsidP="00DB3DC6">
            <w:pPr>
              <w:pStyle w:val="NoSpacing"/>
              <w:rPr>
                <w:rFonts w:ascii="Georgia Pro" w:hAnsi="Georgia Pro"/>
              </w:rPr>
            </w:pPr>
            <w:r w:rsidRPr="0015600B">
              <w:rPr>
                <w:rFonts w:ascii="Georgia Pro" w:hAnsi="Georgia Pro"/>
              </w:rPr>
              <w:t>1.72</w:t>
            </w:r>
          </w:p>
        </w:tc>
        <w:tc>
          <w:tcPr>
            <w:tcW w:w="1254" w:type="dxa"/>
            <w:tcBorders>
              <w:top w:val="single" w:sz="12" w:space="0" w:color="auto"/>
            </w:tcBorders>
            <w:shd w:val="clear" w:color="auto" w:fill="auto"/>
            <w:noWrap/>
            <w:vAlign w:val="center"/>
            <w:hideMark/>
          </w:tcPr>
          <w:p w14:paraId="3DC9AE06" w14:textId="034D454D" w:rsidR="00DB3DC6" w:rsidRPr="0015600B" w:rsidRDefault="00DB3DC6" w:rsidP="00DB3DC6">
            <w:pPr>
              <w:pStyle w:val="NoSpacing"/>
              <w:rPr>
                <w:rFonts w:ascii="Georgia Pro" w:hAnsi="Georgia Pro"/>
              </w:rPr>
            </w:pPr>
            <w:r w:rsidRPr="0015600B">
              <w:rPr>
                <w:rFonts w:ascii="Georgia Pro" w:hAnsi="Georgia Pro"/>
              </w:rPr>
              <w:t>16.0</w:t>
            </w:r>
            <w:r w:rsidR="004A74BE">
              <w:rPr>
                <w:rFonts w:ascii="Georgia Pro" w:hAnsi="Georgia Pro"/>
              </w:rPr>
              <w:t>7</w:t>
            </w:r>
          </w:p>
        </w:tc>
        <w:tc>
          <w:tcPr>
            <w:tcW w:w="1047" w:type="dxa"/>
            <w:tcBorders>
              <w:top w:val="single" w:sz="12" w:space="0" w:color="auto"/>
            </w:tcBorders>
            <w:shd w:val="clear" w:color="auto" w:fill="auto"/>
            <w:noWrap/>
            <w:vAlign w:val="center"/>
            <w:hideMark/>
          </w:tcPr>
          <w:p w14:paraId="7D25FDF5" w14:textId="46684C0D" w:rsidR="00DB3DC6" w:rsidRPr="0015600B" w:rsidRDefault="00DB3DC6" w:rsidP="00DB3DC6">
            <w:pPr>
              <w:pStyle w:val="NoSpacing"/>
              <w:rPr>
                <w:rFonts w:ascii="Georgia Pro" w:hAnsi="Georgia Pro"/>
              </w:rPr>
            </w:pPr>
            <w:r w:rsidRPr="0015600B">
              <w:rPr>
                <w:rFonts w:ascii="Georgia Pro" w:hAnsi="Georgia Pro"/>
              </w:rPr>
              <w:t>14.91</w:t>
            </w:r>
          </w:p>
        </w:tc>
      </w:tr>
      <w:tr w:rsidR="00DB3DC6" w:rsidRPr="0015600B" w14:paraId="70F48AE0" w14:textId="77777777" w:rsidTr="004F2C5B">
        <w:trPr>
          <w:trHeight w:val="164"/>
        </w:trPr>
        <w:tc>
          <w:tcPr>
            <w:tcW w:w="2185" w:type="dxa"/>
            <w:shd w:val="clear" w:color="auto" w:fill="auto"/>
            <w:noWrap/>
            <w:vAlign w:val="center"/>
            <w:hideMark/>
          </w:tcPr>
          <w:p w14:paraId="6F274035" w14:textId="77777777" w:rsidR="00DB3DC6" w:rsidRPr="0015600B" w:rsidRDefault="00DB3DC6" w:rsidP="00DB3DC6">
            <w:pPr>
              <w:pStyle w:val="NoSpacing"/>
              <w:rPr>
                <w:rFonts w:ascii="Georgia Pro" w:hAnsi="Georgia Pro"/>
              </w:rPr>
            </w:pPr>
            <w:r w:rsidRPr="0015600B">
              <w:rPr>
                <w:rFonts w:ascii="Georgia Pro" w:hAnsi="Georgia Pro"/>
              </w:rPr>
              <w:t>Duluth, MN</w:t>
            </w:r>
          </w:p>
        </w:tc>
        <w:tc>
          <w:tcPr>
            <w:tcW w:w="1262" w:type="dxa"/>
            <w:shd w:val="clear" w:color="auto" w:fill="auto"/>
            <w:noWrap/>
            <w:vAlign w:val="center"/>
            <w:hideMark/>
          </w:tcPr>
          <w:p w14:paraId="4FD72731" w14:textId="77777777" w:rsidR="00DB3DC6" w:rsidRPr="0015600B" w:rsidRDefault="00DB3DC6" w:rsidP="00DB3DC6">
            <w:pPr>
              <w:pStyle w:val="NoSpacing"/>
              <w:rPr>
                <w:rFonts w:ascii="Georgia Pro" w:hAnsi="Georgia Pro"/>
              </w:rPr>
            </w:pPr>
            <w:r w:rsidRPr="0015600B">
              <w:rPr>
                <w:rFonts w:ascii="Georgia Pro" w:hAnsi="Georgia Pro"/>
              </w:rPr>
              <w:t>Very cold</w:t>
            </w:r>
          </w:p>
        </w:tc>
        <w:tc>
          <w:tcPr>
            <w:tcW w:w="1143" w:type="dxa"/>
            <w:vAlign w:val="center"/>
          </w:tcPr>
          <w:p w14:paraId="0C07590C" w14:textId="2A3A6797" w:rsidR="00DB3DC6" w:rsidRPr="0015600B" w:rsidRDefault="00DB3DC6" w:rsidP="00DB3DC6">
            <w:pPr>
              <w:pStyle w:val="NoSpacing"/>
              <w:rPr>
                <w:rFonts w:ascii="Georgia Pro" w:hAnsi="Georgia Pro"/>
              </w:rPr>
            </w:pPr>
            <w:r w:rsidRPr="0015600B">
              <w:rPr>
                <w:rFonts w:ascii="Georgia Pro" w:hAnsi="Georgia Pro"/>
              </w:rPr>
              <w:t>54.2</w:t>
            </w:r>
            <w:r w:rsidR="004A74BE">
              <w:rPr>
                <w:rFonts w:ascii="Georgia Pro" w:hAnsi="Georgia Pro"/>
              </w:rPr>
              <w:t>9</w:t>
            </w:r>
          </w:p>
        </w:tc>
        <w:tc>
          <w:tcPr>
            <w:tcW w:w="1467" w:type="dxa"/>
            <w:vAlign w:val="center"/>
          </w:tcPr>
          <w:p w14:paraId="10EFD776" w14:textId="1DA4E6AC" w:rsidR="00DB3DC6" w:rsidRPr="0015600B" w:rsidRDefault="00DB3DC6" w:rsidP="00DB3DC6">
            <w:pPr>
              <w:pStyle w:val="NoSpacing"/>
              <w:rPr>
                <w:rFonts w:ascii="Georgia Pro" w:hAnsi="Georgia Pro"/>
              </w:rPr>
            </w:pPr>
            <w:r w:rsidRPr="0015600B">
              <w:rPr>
                <w:rFonts w:ascii="Georgia Pro" w:hAnsi="Georgia Pro"/>
              </w:rPr>
              <w:t>1.32</w:t>
            </w:r>
          </w:p>
        </w:tc>
        <w:tc>
          <w:tcPr>
            <w:tcW w:w="1254" w:type="dxa"/>
            <w:shd w:val="clear" w:color="auto" w:fill="auto"/>
            <w:noWrap/>
            <w:vAlign w:val="center"/>
            <w:hideMark/>
          </w:tcPr>
          <w:p w14:paraId="5C2982E3" w14:textId="5A320DA7" w:rsidR="00DB3DC6" w:rsidRPr="0015600B" w:rsidRDefault="00DB3DC6" w:rsidP="00DB3DC6">
            <w:pPr>
              <w:pStyle w:val="NoSpacing"/>
              <w:rPr>
                <w:rFonts w:ascii="Georgia Pro" w:hAnsi="Georgia Pro"/>
              </w:rPr>
            </w:pPr>
            <w:r w:rsidRPr="0015600B">
              <w:rPr>
                <w:rFonts w:ascii="Georgia Pro" w:hAnsi="Georgia Pro"/>
              </w:rPr>
              <w:t>156.6</w:t>
            </w:r>
            <w:r w:rsidR="004A74BE">
              <w:rPr>
                <w:rFonts w:ascii="Georgia Pro" w:hAnsi="Georgia Pro"/>
              </w:rPr>
              <w:t>7</w:t>
            </w:r>
          </w:p>
        </w:tc>
        <w:tc>
          <w:tcPr>
            <w:tcW w:w="1047" w:type="dxa"/>
            <w:shd w:val="clear" w:color="auto" w:fill="auto"/>
            <w:noWrap/>
            <w:vAlign w:val="center"/>
            <w:hideMark/>
          </w:tcPr>
          <w:p w14:paraId="3F8F2112" w14:textId="4D42B036" w:rsidR="00DB3DC6" w:rsidRPr="0015600B" w:rsidRDefault="00DB3DC6" w:rsidP="00DB3DC6">
            <w:pPr>
              <w:pStyle w:val="NoSpacing"/>
              <w:rPr>
                <w:rFonts w:ascii="Georgia Pro" w:hAnsi="Georgia Pro"/>
              </w:rPr>
            </w:pPr>
            <w:r w:rsidRPr="0015600B">
              <w:rPr>
                <w:rFonts w:ascii="Georgia Pro" w:hAnsi="Georgia Pro"/>
              </w:rPr>
              <w:t>53.59</w:t>
            </w:r>
          </w:p>
        </w:tc>
      </w:tr>
      <w:tr w:rsidR="00DB3DC6" w:rsidRPr="0015600B" w14:paraId="428B4102" w14:textId="77777777" w:rsidTr="004F2C5B">
        <w:trPr>
          <w:trHeight w:val="164"/>
        </w:trPr>
        <w:tc>
          <w:tcPr>
            <w:tcW w:w="2185" w:type="dxa"/>
            <w:shd w:val="clear" w:color="auto" w:fill="auto"/>
            <w:noWrap/>
            <w:vAlign w:val="center"/>
            <w:hideMark/>
          </w:tcPr>
          <w:p w14:paraId="70809D52" w14:textId="2E16DCCA" w:rsidR="00DB3DC6" w:rsidRPr="0015600B" w:rsidRDefault="00DB3DC6" w:rsidP="00DB3DC6">
            <w:pPr>
              <w:pStyle w:val="NoSpacing"/>
              <w:rPr>
                <w:rFonts w:ascii="Georgia Pro" w:hAnsi="Georgia Pro"/>
              </w:rPr>
            </w:pPr>
            <w:r w:rsidRPr="0015600B">
              <w:rPr>
                <w:rFonts w:ascii="Georgia Pro" w:hAnsi="Georgia Pro"/>
              </w:rPr>
              <w:t>Oklahoma City, OK</w:t>
            </w:r>
          </w:p>
        </w:tc>
        <w:tc>
          <w:tcPr>
            <w:tcW w:w="1262" w:type="dxa"/>
            <w:shd w:val="clear" w:color="auto" w:fill="auto"/>
            <w:noWrap/>
            <w:vAlign w:val="center"/>
            <w:hideMark/>
          </w:tcPr>
          <w:p w14:paraId="11204D00" w14:textId="77777777" w:rsidR="00DB3DC6" w:rsidRPr="0015600B" w:rsidRDefault="00DB3DC6" w:rsidP="00DB3DC6">
            <w:pPr>
              <w:pStyle w:val="NoSpacing"/>
              <w:rPr>
                <w:rFonts w:ascii="Georgia Pro" w:hAnsi="Georgia Pro"/>
              </w:rPr>
            </w:pPr>
            <w:r w:rsidRPr="0015600B">
              <w:rPr>
                <w:rFonts w:ascii="Georgia Pro" w:hAnsi="Georgia Pro"/>
              </w:rPr>
              <w:t>Mixed-humid</w:t>
            </w:r>
          </w:p>
        </w:tc>
        <w:tc>
          <w:tcPr>
            <w:tcW w:w="1143" w:type="dxa"/>
            <w:vAlign w:val="center"/>
          </w:tcPr>
          <w:p w14:paraId="1F36B65E" w14:textId="126EDAB7" w:rsidR="00DB3DC6" w:rsidRPr="0015600B" w:rsidRDefault="00DB3DC6" w:rsidP="00DB3DC6">
            <w:pPr>
              <w:pStyle w:val="NoSpacing"/>
              <w:rPr>
                <w:rFonts w:ascii="Georgia Pro" w:hAnsi="Georgia Pro"/>
              </w:rPr>
            </w:pPr>
            <w:r w:rsidRPr="0015600B">
              <w:rPr>
                <w:rFonts w:ascii="Georgia Pro" w:hAnsi="Georgia Pro"/>
              </w:rPr>
              <w:t>23.63</w:t>
            </w:r>
          </w:p>
        </w:tc>
        <w:tc>
          <w:tcPr>
            <w:tcW w:w="1467" w:type="dxa"/>
            <w:vAlign w:val="center"/>
          </w:tcPr>
          <w:p w14:paraId="10FF04ED" w14:textId="41C962D1" w:rsidR="00DB3DC6" w:rsidRPr="0015600B" w:rsidRDefault="00DB3DC6" w:rsidP="00DB3DC6">
            <w:pPr>
              <w:pStyle w:val="NoSpacing"/>
              <w:rPr>
                <w:rFonts w:ascii="Georgia Pro" w:hAnsi="Georgia Pro"/>
              </w:rPr>
            </w:pPr>
            <w:r w:rsidRPr="0015600B">
              <w:rPr>
                <w:rFonts w:ascii="Georgia Pro" w:hAnsi="Georgia Pro"/>
              </w:rPr>
              <w:t>1.70</w:t>
            </w:r>
          </w:p>
        </w:tc>
        <w:tc>
          <w:tcPr>
            <w:tcW w:w="1254" w:type="dxa"/>
            <w:shd w:val="clear" w:color="auto" w:fill="auto"/>
            <w:noWrap/>
            <w:vAlign w:val="center"/>
            <w:hideMark/>
          </w:tcPr>
          <w:p w14:paraId="226CA43C" w14:textId="7915D8A2" w:rsidR="00DB3DC6" w:rsidRPr="0015600B" w:rsidRDefault="00DB3DC6" w:rsidP="00DB3DC6">
            <w:pPr>
              <w:pStyle w:val="NoSpacing"/>
              <w:rPr>
                <w:rFonts w:ascii="Georgia Pro" w:hAnsi="Georgia Pro"/>
              </w:rPr>
            </w:pPr>
            <w:r w:rsidRPr="0015600B">
              <w:rPr>
                <w:rFonts w:ascii="Georgia Pro" w:hAnsi="Georgia Pro"/>
              </w:rPr>
              <w:t>39.1</w:t>
            </w:r>
            <w:r w:rsidR="004A74BE">
              <w:rPr>
                <w:rFonts w:ascii="Georgia Pro" w:hAnsi="Georgia Pro"/>
              </w:rPr>
              <w:t>7</w:t>
            </w:r>
          </w:p>
        </w:tc>
        <w:tc>
          <w:tcPr>
            <w:tcW w:w="1047" w:type="dxa"/>
            <w:shd w:val="clear" w:color="auto" w:fill="auto"/>
            <w:noWrap/>
            <w:vAlign w:val="center"/>
            <w:hideMark/>
          </w:tcPr>
          <w:p w14:paraId="3CE544C0" w14:textId="5A2714D1" w:rsidR="00DB3DC6" w:rsidRPr="0015600B" w:rsidRDefault="00DB3DC6" w:rsidP="00DB3DC6">
            <w:pPr>
              <w:pStyle w:val="NoSpacing"/>
              <w:rPr>
                <w:rFonts w:ascii="Georgia Pro" w:hAnsi="Georgia Pro"/>
              </w:rPr>
            </w:pPr>
            <w:r w:rsidRPr="0015600B">
              <w:rPr>
                <w:rFonts w:ascii="Georgia Pro" w:hAnsi="Georgia Pro"/>
              </w:rPr>
              <w:t>21.5</w:t>
            </w:r>
            <w:r w:rsidR="004A74BE">
              <w:rPr>
                <w:rFonts w:ascii="Georgia Pro" w:hAnsi="Georgia Pro"/>
              </w:rPr>
              <w:t>4</w:t>
            </w:r>
          </w:p>
        </w:tc>
      </w:tr>
      <w:tr w:rsidR="00DB3DC6" w:rsidRPr="0015600B" w14:paraId="1B674470" w14:textId="77777777" w:rsidTr="004F2C5B">
        <w:trPr>
          <w:trHeight w:val="164"/>
        </w:trPr>
        <w:tc>
          <w:tcPr>
            <w:tcW w:w="2185" w:type="dxa"/>
            <w:shd w:val="clear" w:color="auto" w:fill="auto"/>
            <w:noWrap/>
            <w:vAlign w:val="center"/>
            <w:hideMark/>
          </w:tcPr>
          <w:p w14:paraId="7349B999" w14:textId="77777777" w:rsidR="00DB3DC6" w:rsidRPr="0015600B" w:rsidRDefault="00DB3DC6" w:rsidP="00DB3DC6">
            <w:pPr>
              <w:pStyle w:val="NoSpacing"/>
              <w:rPr>
                <w:rFonts w:ascii="Georgia Pro" w:hAnsi="Georgia Pro"/>
              </w:rPr>
            </w:pPr>
            <w:r w:rsidRPr="0015600B">
              <w:rPr>
                <w:rFonts w:ascii="Georgia Pro" w:hAnsi="Georgia Pro"/>
              </w:rPr>
              <w:t>Albuquerque, NM</w:t>
            </w:r>
          </w:p>
        </w:tc>
        <w:tc>
          <w:tcPr>
            <w:tcW w:w="1262" w:type="dxa"/>
            <w:shd w:val="clear" w:color="auto" w:fill="auto"/>
            <w:noWrap/>
            <w:vAlign w:val="center"/>
            <w:hideMark/>
          </w:tcPr>
          <w:p w14:paraId="6E62148C" w14:textId="77777777" w:rsidR="00DB3DC6" w:rsidRPr="0015600B" w:rsidRDefault="00DB3DC6" w:rsidP="00DB3DC6">
            <w:pPr>
              <w:pStyle w:val="NoSpacing"/>
              <w:rPr>
                <w:rFonts w:ascii="Georgia Pro" w:hAnsi="Georgia Pro"/>
              </w:rPr>
            </w:pPr>
            <w:r w:rsidRPr="0015600B">
              <w:rPr>
                <w:rFonts w:ascii="Georgia Pro" w:hAnsi="Georgia Pro"/>
              </w:rPr>
              <w:t>Mixed-dry</w:t>
            </w:r>
          </w:p>
        </w:tc>
        <w:tc>
          <w:tcPr>
            <w:tcW w:w="1143" w:type="dxa"/>
            <w:vAlign w:val="center"/>
          </w:tcPr>
          <w:p w14:paraId="43BB2357" w14:textId="28566EA5" w:rsidR="00DB3DC6" w:rsidRPr="0015600B" w:rsidRDefault="00DB3DC6" w:rsidP="00DB3DC6">
            <w:pPr>
              <w:pStyle w:val="NoSpacing"/>
              <w:rPr>
                <w:rFonts w:ascii="Georgia Pro" w:hAnsi="Georgia Pro"/>
              </w:rPr>
            </w:pPr>
            <w:r w:rsidRPr="0015600B">
              <w:rPr>
                <w:rFonts w:ascii="Georgia Pro" w:hAnsi="Georgia Pro"/>
              </w:rPr>
              <w:t>19.37</w:t>
            </w:r>
          </w:p>
        </w:tc>
        <w:tc>
          <w:tcPr>
            <w:tcW w:w="1467" w:type="dxa"/>
            <w:vAlign w:val="center"/>
          </w:tcPr>
          <w:p w14:paraId="7D478A68" w14:textId="1351CD68" w:rsidR="00DB3DC6" w:rsidRPr="0015600B" w:rsidRDefault="00DB3DC6" w:rsidP="00DB3DC6">
            <w:pPr>
              <w:pStyle w:val="NoSpacing"/>
              <w:rPr>
                <w:rFonts w:ascii="Georgia Pro" w:hAnsi="Georgia Pro"/>
              </w:rPr>
            </w:pPr>
            <w:r w:rsidRPr="0015600B">
              <w:rPr>
                <w:rFonts w:ascii="Georgia Pro" w:hAnsi="Georgia Pro"/>
              </w:rPr>
              <w:t>2.0</w:t>
            </w:r>
            <w:r w:rsidR="004A74BE">
              <w:rPr>
                <w:rFonts w:ascii="Georgia Pro" w:hAnsi="Georgia Pro"/>
              </w:rPr>
              <w:t>6</w:t>
            </w:r>
          </w:p>
        </w:tc>
        <w:tc>
          <w:tcPr>
            <w:tcW w:w="1254" w:type="dxa"/>
            <w:shd w:val="clear" w:color="auto" w:fill="auto"/>
            <w:noWrap/>
            <w:vAlign w:val="center"/>
            <w:hideMark/>
          </w:tcPr>
          <w:p w14:paraId="3C95B4C3" w14:textId="2CF0CB2E" w:rsidR="00DB3DC6" w:rsidRPr="0015600B" w:rsidRDefault="00DB3DC6" w:rsidP="00DB3DC6">
            <w:pPr>
              <w:pStyle w:val="NoSpacing"/>
              <w:rPr>
                <w:rFonts w:ascii="Georgia Pro" w:hAnsi="Georgia Pro"/>
              </w:rPr>
            </w:pPr>
            <w:r w:rsidRPr="0015600B">
              <w:rPr>
                <w:rFonts w:ascii="Georgia Pro" w:hAnsi="Georgia Pro"/>
              </w:rPr>
              <w:t>22.7</w:t>
            </w:r>
            <w:r w:rsidR="004A74BE">
              <w:rPr>
                <w:rFonts w:ascii="Georgia Pro" w:hAnsi="Georgia Pro"/>
              </w:rPr>
              <w:t>1</w:t>
            </w:r>
          </w:p>
        </w:tc>
        <w:tc>
          <w:tcPr>
            <w:tcW w:w="1047" w:type="dxa"/>
            <w:shd w:val="clear" w:color="auto" w:fill="auto"/>
            <w:noWrap/>
            <w:vAlign w:val="center"/>
            <w:hideMark/>
          </w:tcPr>
          <w:p w14:paraId="564475C7" w14:textId="2CAF71DD" w:rsidR="00DB3DC6" w:rsidRPr="0015600B" w:rsidRDefault="00DB3DC6" w:rsidP="00DB3DC6">
            <w:pPr>
              <w:pStyle w:val="NoSpacing"/>
              <w:rPr>
                <w:rFonts w:ascii="Georgia Pro" w:hAnsi="Georgia Pro"/>
              </w:rPr>
            </w:pPr>
            <w:r w:rsidRPr="0015600B">
              <w:rPr>
                <w:rFonts w:ascii="Georgia Pro" w:hAnsi="Georgia Pro"/>
              </w:rPr>
              <w:t>19.62</w:t>
            </w:r>
          </w:p>
        </w:tc>
      </w:tr>
      <w:tr w:rsidR="00DB3DC6" w:rsidRPr="0015600B" w14:paraId="23625227" w14:textId="77777777" w:rsidTr="004F2C5B">
        <w:trPr>
          <w:trHeight w:val="164"/>
        </w:trPr>
        <w:tc>
          <w:tcPr>
            <w:tcW w:w="2185" w:type="dxa"/>
            <w:shd w:val="clear" w:color="auto" w:fill="auto"/>
            <w:noWrap/>
            <w:vAlign w:val="center"/>
            <w:hideMark/>
          </w:tcPr>
          <w:p w14:paraId="63B93ACD" w14:textId="3E210DEB" w:rsidR="00DB3DC6" w:rsidRPr="0015600B" w:rsidRDefault="00DB3DC6" w:rsidP="00DB3DC6">
            <w:pPr>
              <w:pStyle w:val="NoSpacing"/>
              <w:rPr>
                <w:rFonts w:ascii="Georgia Pro" w:hAnsi="Georgia Pro"/>
              </w:rPr>
            </w:pPr>
            <w:r w:rsidRPr="0015600B">
              <w:rPr>
                <w:rFonts w:ascii="Georgia Pro" w:hAnsi="Georgia Pro"/>
              </w:rPr>
              <w:t>Los Angeles, CA</w:t>
            </w:r>
          </w:p>
        </w:tc>
        <w:tc>
          <w:tcPr>
            <w:tcW w:w="1262" w:type="dxa"/>
            <w:shd w:val="clear" w:color="auto" w:fill="auto"/>
            <w:noWrap/>
            <w:vAlign w:val="center"/>
            <w:hideMark/>
          </w:tcPr>
          <w:p w14:paraId="5411BA91" w14:textId="77777777" w:rsidR="00DB3DC6" w:rsidRPr="0015600B" w:rsidRDefault="00DB3DC6" w:rsidP="00DB3DC6">
            <w:pPr>
              <w:pStyle w:val="NoSpacing"/>
              <w:rPr>
                <w:rFonts w:ascii="Georgia Pro" w:hAnsi="Georgia Pro"/>
              </w:rPr>
            </w:pPr>
            <w:r w:rsidRPr="0015600B">
              <w:rPr>
                <w:rFonts w:ascii="Georgia Pro" w:hAnsi="Georgia Pro"/>
              </w:rPr>
              <w:t>Hot-dry</w:t>
            </w:r>
          </w:p>
        </w:tc>
        <w:tc>
          <w:tcPr>
            <w:tcW w:w="1143" w:type="dxa"/>
            <w:vAlign w:val="center"/>
          </w:tcPr>
          <w:p w14:paraId="472F1C53" w14:textId="61AFF011" w:rsidR="00DB3DC6" w:rsidRPr="0015600B" w:rsidRDefault="004A74BE" w:rsidP="00DB3DC6">
            <w:pPr>
              <w:pStyle w:val="NoSpacing"/>
              <w:rPr>
                <w:rFonts w:ascii="Georgia Pro" w:hAnsi="Georgia Pro"/>
              </w:rPr>
            </w:pPr>
            <w:r>
              <w:rPr>
                <w:rFonts w:ascii="Georgia Pro" w:hAnsi="Georgia Pro"/>
              </w:rPr>
              <w:t>0</w:t>
            </w:r>
            <w:r w:rsidR="00DB3DC6" w:rsidRPr="0015600B">
              <w:rPr>
                <w:rFonts w:ascii="Georgia Pro" w:hAnsi="Georgia Pro"/>
              </w:rPr>
              <w:t>8.4</w:t>
            </w:r>
            <w:r>
              <w:rPr>
                <w:rFonts w:ascii="Georgia Pro" w:hAnsi="Georgia Pro"/>
              </w:rPr>
              <w:t>2</w:t>
            </w:r>
          </w:p>
        </w:tc>
        <w:tc>
          <w:tcPr>
            <w:tcW w:w="1467" w:type="dxa"/>
            <w:vAlign w:val="center"/>
          </w:tcPr>
          <w:p w14:paraId="755E7936" w14:textId="3599B2A3" w:rsidR="00DB3DC6" w:rsidRPr="0015600B" w:rsidRDefault="00DB3DC6" w:rsidP="00DB3DC6">
            <w:pPr>
              <w:pStyle w:val="NoSpacing"/>
              <w:rPr>
                <w:rFonts w:ascii="Georgia Pro" w:hAnsi="Georgia Pro"/>
              </w:rPr>
            </w:pPr>
            <w:r w:rsidRPr="0015600B">
              <w:rPr>
                <w:rFonts w:ascii="Georgia Pro" w:hAnsi="Georgia Pro"/>
              </w:rPr>
              <w:t>1.76</w:t>
            </w:r>
          </w:p>
        </w:tc>
        <w:tc>
          <w:tcPr>
            <w:tcW w:w="1254" w:type="dxa"/>
            <w:shd w:val="clear" w:color="auto" w:fill="auto"/>
            <w:noWrap/>
            <w:vAlign w:val="center"/>
            <w:hideMark/>
          </w:tcPr>
          <w:p w14:paraId="445CFD62" w14:textId="5D3A4C3F" w:rsidR="00DB3DC6" w:rsidRPr="0015600B" w:rsidRDefault="00DB3DC6" w:rsidP="00DB3DC6">
            <w:pPr>
              <w:pStyle w:val="NoSpacing"/>
              <w:rPr>
                <w:rFonts w:ascii="Georgia Pro" w:hAnsi="Georgia Pro"/>
              </w:rPr>
            </w:pPr>
            <w:r w:rsidRPr="0015600B">
              <w:rPr>
                <w:rFonts w:ascii="Georgia Pro" w:hAnsi="Georgia Pro"/>
              </w:rPr>
              <w:t>11.0</w:t>
            </w:r>
            <w:r w:rsidR="004A74BE">
              <w:rPr>
                <w:rFonts w:ascii="Georgia Pro" w:hAnsi="Georgia Pro"/>
              </w:rPr>
              <w:t>4</w:t>
            </w:r>
          </w:p>
        </w:tc>
        <w:tc>
          <w:tcPr>
            <w:tcW w:w="1047" w:type="dxa"/>
            <w:shd w:val="clear" w:color="auto" w:fill="auto"/>
            <w:noWrap/>
            <w:vAlign w:val="center"/>
            <w:hideMark/>
          </w:tcPr>
          <w:p w14:paraId="3E7180AD" w14:textId="208BF723" w:rsidR="00DB3DC6" w:rsidRPr="0015600B" w:rsidRDefault="004A74BE" w:rsidP="00DB3DC6">
            <w:pPr>
              <w:pStyle w:val="NoSpacing"/>
              <w:rPr>
                <w:rFonts w:ascii="Georgia Pro" w:hAnsi="Georgia Pro"/>
              </w:rPr>
            </w:pPr>
            <w:r>
              <w:rPr>
                <w:rFonts w:ascii="Georgia Pro" w:hAnsi="Georgia Pro"/>
              </w:rPr>
              <w:t>0</w:t>
            </w:r>
            <w:r w:rsidR="00DB3DC6" w:rsidRPr="0015600B">
              <w:rPr>
                <w:rFonts w:ascii="Georgia Pro" w:hAnsi="Georgia Pro"/>
              </w:rPr>
              <w:t>7.6</w:t>
            </w:r>
            <w:r>
              <w:rPr>
                <w:rFonts w:ascii="Georgia Pro" w:hAnsi="Georgia Pro"/>
              </w:rPr>
              <w:t>2</w:t>
            </w:r>
          </w:p>
        </w:tc>
      </w:tr>
      <w:tr w:rsidR="00DB3DC6" w:rsidRPr="0015600B" w14:paraId="792EA313" w14:textId="77777777" w:rsidTr="004F2C5B">
        <w:trPr>
          <w:trHeight w:val="164"/>
        </w:trPr>
        <w:tc>
          <w:tcPr>
            <w:tcW w:w="2185" w:type="dxa"/>
            <w:shd w:val="clear" w:color="auto" w:fill="auto"/>
            <w:noWrap/>
            <w:vAlign w:val="center"/>
            <w:hideMark/>
          </w:tcPr>
          <w:p w14:paraId="0DF66BD3" w14:textId="77777777" w:rsidR="00DB3DC6" w:rsidRPr="0015600B" w:rsidRDefault="00DB3DC6" w:rsidP="00DB3DC6">
            <w:pPr>
              <w:pStyle w:val="NoSpacing"/>
              <w:rPr>
                <w:rFonts w:ascii="Georgia Pro" w:hAnsi="Georgia Pro"/>
              </w:rPr>
            </w:pPr>
            <w:r w:rsidRPr="0015600B">
              <w:rPr>
                <w:rFonts w:ascii="Georgia Pro" w:hAnsi="Georgia Pro"/>
              </w:rPr>
              <w:t>Reno, NV</w:t>
            </w:r>
          </w:p>
        </w:tc>
        <w:tc>
          <w:tcPr>
            <w:tcW w:w="1262" w:type="dxa"/>
            <w:shd w:val="clear" w:color="auto" w:fill="auto"/>
            <w:noWrap/>
            <w:vAlign w:val="center"/>
            <w:hideMark/>
          </w:tcPr>
          <w:p w14:paraId="41934655" w14:textId="77777777" w:rsidR="00DB3DC6" w:rsidRPr="0015600B" w:rsidRDefault="00DB3DC6" w:rsidP="00DB3DC6">
            <w:pPr>
              <w:pStyle w:val="NoSpacing"/>
              <w:rPr>
                <w:rFonts w:ascii="Georgia Pro" w:hAnsi="Georgia Pro"/>
              </w:rPr>
            </w:pPr>
            <w:r w:rsidRPr="0015600B">
              <w:rPr>
                <w:rFonts w:ascii="Georgia Pro" w:hAnsi="Georgia Pro"/>
              </w:rPr>
              <w:t>Cold</w:t>
            </w:r>
          </w:p>
        </w:tc>
        <w:tc>
          <w:tcPr>
            <w:tcW w:w="1143" w:type="dxa"/>
            <w:vAlign w:val="center"/>
          </w:tcPr>
          <w:p w14:paraId="49FE0C10" w14:textId="3494C2EC" w:rsidR="00DB3DC6" w:rsidRPr="0015600B" w:rsidRDefault="00DB3DC6" w:rsidP="00DB3DC6">
            <w:pPr>
              <w:pStyle w:val="NoSpacing"/>
              <w:rPr>
                <w:rFonts w:ascii="Georgia Pro" w:hAnsi="Georgia Pro"/>
              </w:rPr>
            </w:pPr>
            <w:r w:rsidRPr="0015600B">
              <w:rPr>
                <w:rFonts w:ascii="Georgia Pro" w:hAnsi="Georgia Pro"/>
              </w:rPr>
              <w:t>33.4</w:t>
            </w:r>
            <w:r w:rsidR="004A74BE">
              <w:rPr>
                <w:rFonts w:ascii="Georgia Pro" w:hAnsi="Georgia Pro"/>
              </w:rPr>
              <w:t>4</w:t>
            </w:r>
          </w:p>
        </w:tc>
        <w:tc>
          <w:tcPr>
            <w:tcW w:w="1467" w:type="dxa"/>
            <w:vAlign w:val="center"/>
          </w:tcPr>
          <w:p w14:paraId="32218BD8" w14:textId="4A069CF8" w:rsidR="00DB3DC6" w:rsidRPr="0015600B" w:rsidRDefault="00DB3DC6" w:rsidP="00DB3DC6">
            <w:pPr>
              <w:pStyle w:val="NoSpacing"/>
              <w:rPr>
                <w:rFonts w:ascii="Georgia Pro" w:hAnsi="Georgia Pro"/>
              </w:rPr>
            </w:pPr>
            <w:r w:rsidRPr="0015600B">
              <w:rPr>
                <w:rFonts w:ascii="Georgia Pro" w:hAnsi="Georgia Pro"/>
              </w:rPr>
              <w:t>1.84</w:t>
            </w:r>
          </w:p>
        </w:tc>
        <w:tc>
          <w:tcPr>
            <w:tcW w:w="1254" w:type="dxa"/>
            <w:shd w:val="clear" w:color="auto" w:fill="auto"/>
            <w:noWrap/>
            <w:vAlign w:val="center"/>
            <w:hideMark/>
          </w:tcPr>
          <w:p w14:paraId="4BFEA2A1" w14:textId="7AC0A9A3" w:rsidR="00DB3DC6" w:rsidRPr="0015600B" w:rsidRDefault="00DB3DC6" w:rsidP="00DB3DC6">
            <w:pPr>
              <w:pStyle w:val="NoSpacing"/>
              <w:rPr>
                <w:rFonts w:ascii="Georgia Pro" w:hAnsi="Georgia Pro"/>
              </w:rPr>
            </w:pPr>
            <w:r w:rsidRPr="0015600B">
              <w:rPr>
                <w:rFonts w:ascii="Georgia Pro" w:hAnsi="Georgia Pro"/>
              </w:rPr>
              <w:t>56.40</w:t>
            </w:r>
          </w:p>
        </w:tc>
        <w:tc>
          <w:tcPr>
            <w:tcW w:w="1047" w:type="dxa"/>
            <w:shd w:val="clear" w:color="auto" w:fill="auto"/>
            <w:noWrap/>
            <w:vAlign w:val="center"/>
            <w:hideMark/>
          </w:tcPr>
          <w:p w14:paraId="02B1C712" w14:textId="4C38C05C" w:rsidR="00DB3DC6" w:rsidRPr="0015600B" w:rsidRDefault="00DB3DC6" w:rsidP="00DB3DC6">
            <w:pPr>
              <w:pStyle w:val="NoSpacing"/>
              <w:rPr>
                <w:rFonts w:ascii="Georgia Pro" w:hAnsi="Georgia Pro"/>
              </w:rPr>
            </w:pPr>
            <w:r w:rsidRPr="0015600B">
              <w:rPr>
                <w:rFonts w:ascii="Georgia Pro" w:hAnsi="Georgia Pro"/>
              </w:rPr>
              <w:t>36.39</w:t>
            </w:r>
          </w:p>
        </w:tc>
      </w:tr>
      <w:tr w:rsidR="00DB3DC6" w:rsidRPr="0015600B" w14:paraId="71A26AA0" w14:textId="77777777" w:rsidTr="004F2C5B">
        <w:trPr>
          <w:trHeight w:val="164"/>
        </w:trPr>
        <w:tc>
          <w:tcPr>
            <w:tcW w:w="2185" w:type="dxa"/>
            <w:shd w:val="clear" w:color="auto" w:fill="auto"/>
            <w:noWrap/>
            <w:vAlign w:val="center"/>
            <w:hideMark/>
          </w:tcPr>
          <w:p w14:paraId="0D33102F" w14:textId="77777777" w:rsidR="00DB3DC6" w:rsidRPr="0015600B" w:rsidRDefault="00DB3DC6" w:rsidP="00DB3DC6">
            <w:pPr>
              <w:pStyle w:val="NoSpacing"/>
              <w:rPr>
                <w:rFonts w:ascii="Georgia Pro" w:hAnsi="Georgia Pro"/>
              </w:rPr>
            </w:pPr>
            <w:r w:rsidRPr="0015600B">
              <w:rPr>
                <w:rFonts w:ascii="Georgia Pro" w:hAnsi="Georgia Pro"/>
              </w:rPr>
              <w:t>Portland, OR</w:t>
            </w:r>
          </w:p>
        </w:tc>
        <w:tc>
          <w:tcPr>
            <w:tcW w:w="1262" w:type="dxa"/>
            <w:shd w:val="clear" w:color="auto" w:fill="auto"/>
            <w:noWrap/>
            <w:vAlign w:val="center"/>
            <w:hideMark/>
          </w:tcPr>
          <w:p w14:paraId="7B00A46D" w14:textId="77777777" w:rsidR="00DB3DC6" w:rsidRPr="0015600B" w:rsidRDefault="00DB3DC6" w:rsidP="00DB3DC6">
            <w:pPr>
              <w:pStyle w:val="NoSpacing"/>
              <w:rPr>
                <w:rFonts w:ascii="Georgia Pro" w:hAnsi="Georgia Pro"/>
              </w:rPr>
            </w:pPr>
            <w:r w:rsidRPr="0015600B">
              <w:rPr>
                <w:rFonts w:ascii="Georgia Pro" w:hAnsi="Georgia Pro"/>
              </w:rPr>
              <w:t>Marine</w:t>
            </w:r>
          </w:p>
        </w:tc>
        <w:tc>
          <w:tcPr>
            <w:tcW w:w="1143" w:type="dxa"/>
            <w:vAlign w:val="center"/>
          </w:tcPr>
          <w:p w14:paraId="62B0E321" w14:textId="665BD1FA" w:rsidR="00DB3DC6" w:rsidRPr="0015600B" w:rsidRDefault="00DB3DC6" w:rsidP="00DB3DC6">
            <w:pPr>
              <w:pStyle w:val="NoSpacing"/>
              <w:rPr>
                <w:rFonts w:ascii="Georgia Pro" w:hAnsi="Georgia Pro"/>
              </w:rPr>
            </w:pPr>
            <w:r w:rsidRPr="0015600B">
              <w:rPr>
                <w:rFonts w:ascii="Georgia Pro" w:hAnsi="Georgia Pro"/>
              </w:rPr>
              <w:t>24.</w:t>
            </w:r>
            <w:r w:rsidR="004A74BE">
              <w:rPr>
                <w:rFonts w:ascii="Georgia Pro" w:hAnsi="Georgia Pro"/>
              </w:rPr>
              <w:t>50</w:t>
            </w:r>
          </w:p>
        </w:tc>
        <w:tc>
          <w:tcPr>
            <w:tcW w:w="1467" w:type="dxa"/>
            <w:vAlign w:val="center"/>
          </w:tcPr>
          <w:p w14:paraId="37065ACE" w14:textId="6B93429A" w:rsidR="00DB3DC6" w:rsidRPr="0015600B" w:rsidRDefault="00DB3DC6" w:rsidP="00DB3DC6">
            <w:pPr>
              <w:pStyle w:val="NoSpacing"/>
              <w:rPr>
                <w:rFonts w:ascii="Georgia Pro" w:hAnsi="Georgia Pro"/>
              </w:rPr>
            </w:pPr>
            <w:r w:rsidRPr="0015600B">
              <w:rPr>
                <w:rFonts w:ascii="Georgia Pro" w:hAnsi="Georgia Pro"/>
              </w:rPr>
              <w:t>1.27</w:t>
            </w:r>
          </w:p>
        </w:tc>
        <w:tc>
          <w:tcPr>
            <w:tcW w:w="1254" w:type="dxa"/>
            <w:shd w:val="clear" w:color="auto" w:fill="auto"/>
            <w:noWrap/>
            <w:vAlign w:val="center"/>
            <w:hideMark/>
          </w:tcPr>
          <w:p w14:paraId="09D6674F" w14:textId="0B6F0589" w:rsidR="00DB3DC6" w:rsidRPr="0015600B" w:rsidRDefault="00DB3DC6" w:rsidP="00DB3DC6">
            <w:pPr>
              <w:pStyle w:val="NoSpacing"/>
              <w:rPr>
                <w:rFonts w:ascii="Georgia Pro" w:hAnsi="Georgia Pro"/>
              </w:rPr>
            </w:pPr>
            <w:r w:rsidRPr="0015600B">
              <w:rPr>
                <w:rFonts w:ascii="Georgia Pro" w:hAnsi="Georgia Pro"/>
              </w:rPr>
              <w:t>86.2</w:t>
            </w:r>
            <w:r w:rsidR="004A74BE">
              <w:rPr>
                <w:rFonts w:ascii="Georgia Pro" w:hAnsi="Georgia Pro"/>
              </w:rPr>
              <w:t>8</w:t>
            </w:r>
          </w:p>
        </w:tc>
        <w:tc>
          <w:tcPr>
            <w:tcW w:w="1047" w:type="dxa"/>
            <w:shd w:val="clear" w:color="auto" w:fill="auto"/>
            <w:noWrap/>
            <w:vAlign w:val="center"/>
            <w:hideMark/>
          </w:tcPr>
          <w:p w14:paraId="0145E658" w14:textId="3D340859" w:rsidR="00DB3DC6" w:rsidRPr="0015600B" w:rsidRDefault="00DB3DC6" w:rsidP="00DB3DC6">
            <w:pPr>
              <w:pStyle w:val="NoSpacing"/>
              <w:rPr>
                <w:rFonts w:ascii="Georgia Pro" w:hAnsi="Georgia Pro"/>
              </w:rPr>
            </w:pPr>
            <w:r w:rsidRPr="0015600B">
              <w:rPr>
                <w:rFonts w:ascii="Georgia Pro" w:hAnsi="Georgia Pro"/>
              </w:rPr>
              <w:t>22.73</w:t>
            </w:r>
          </w:p>
        </w:tc>
      </w:tr>
      <w:bookmarkEnd w:id="112"/>
    </w:tbl>
    <w:p w14:paraId="14B1D529" w14:textId="77777777" w:rsidR="00DB318E" w:rsidRDefault="00DB318E" w:rsidP="00DB318E"/>
    <w:p w14:paraId="4CFB5FDA" w14:textId="010DE07D" w:rsidR="00DB3DC6" w:rsidRPr="0015600B" w:rsidRDefault="00FB20FF" w:rsidP="00723466">
      <w:pPr>
        <w:spacing w:after="288"/>
        <w:sectPr w:rsidR="00DB3DC6" w:rsidRPr="0015600B" w:rsidSect="004F2C5B">
          <w:headerReference w:type="default" r:id="rId33"/>
          <w:pgSz w:w="12240" w:h="15840"/>
          <w:pgMar w:top="1440" w:right="1440" w:bottom="1440" w:left="2160" w:header="720" w:footer="720" w:gutter="0"/>
          <w:cols w:space="720"/>
          <w:docGrid w:linePitch="360"/>
        </w:sectPr>
      </w:pPr>
      <w:r>
        <w:lastRenderedPageBreak/>
        <w:t>The total building load in cold climate zones (i.e.</w:t>
      </w:r>
      <w:r w:rsidR="008F0CF3">
        <w:t>,</w:t>
      </w:r>
      <w:r>
        <w:t xml:space="preserve"> </w:t>
      </w:r>
      <w:r w:rsidR="00DB318E">
        <w:t>marine</w:t>
      </w:r>
      <w:r>
        <w:t xml:space="preserve"> and very cold) is relatively high. These climates receive a very low intensity of sunlight</w:t>
      </w:r>
      <w:r w:rsidR="008F0CF3">
        <w:t>,</w:t>
      </w:r>
      <w:r>
        <w:t xml:space="preserve"> thus larger area of </w:t>
      </w:r>
      <w:r w:rsidR="003804E1">
        <w:t xml:space="preserve">the </w:t>
      </w:r>
      <w:r>
        <w:t>solar collector</w:t>
      </w:r>
      <w:r w:rsidR="008F0CF3">
        <w:t>,</w:t>
      </w:r>
      <w:r>
        <w:t xml:space="preserve"> which in turn results</w:t>
      </w:r>
      <w:r w:rsidR="003804E1">
        <w:t xml:space="preserve"> in</w:t>
      </w:r>
      <w:r>
        <w:t xml:space="preserve"> a larger size of thermal energy storage.</w:t>
      </w:r>
      <w:r w:rsidR="00DB318E">
        <w:t xml:space="preserve"> The same results are reflected </w:t>
      </w:r>
      <w:r w:rsidR="008F0CF3">
        <w:t>in</w:t>
      </w:r>
      <w:r w:rsidR="00DB318E">
        <w:t xml:space="preserve"> cities in mild climate zones (i.e.</w:t>
      </w:r>
      <w:r w:rsidR="008F0CF3">
        <w:t>,</w:t>
      </w:r>
      <w:r w:rsidR="00DB318E">
        <w:t xml:space="preserve"> cold and mixed humid)</w:t>
      </w:r>
      <w:r w:rsidR="008F0CF3">
        <w:t>;</w:t>
      </w:r>
      <w:r w:rsidR="00DB318E">
        <w:t xml:space="preserve"> however, the </w:t>
      </w:r>
      <w:r w:rsidR="008F0CF3">
        <w:t xml:space="preserve">equipment </w:t>
      </w:r>
      <w:r w:rsidR="00DB318E">
        <w:t>sizes in these climates are smaller compared to cold climate zones. On the other hand, t</w:t>
      </w:r>
      <w:r w:rsidRPr="0015600B">
        <w:t>he total</w:t>
      </w:r>
      <w:r w:rsidR="00DB318E">
        <w:t xml:space="preserve"> </w:t>
      </w:r>
      <w:r w:rsidRPr="0015600B">
        <w:t xml:space="preserve">energy demand </w:t>
      </w:r>
      <w:r w:rsidR="00DB318E">
        <w:t>is the lowest</w:t>
      </w:r>
      <w:r w:rsidR="008F0CF3">
        <w:t>,</w:t>
      </w:r>
      <w:r w:rsidR="00DB318E">
        <w:t xml:space="preserve"> and solar radiation intensity is highest in warm climate zones (i.e.</w:t>
      </w:r>
      <w:r w:rsidR="008F0CF3">
        <w:t>,</w:t>
      </w:r>
      <w:r w:rsidR="00DB318E">
        <w:t xml:space="preserve"> mixed dry, hot dry, hot-humid). As </w:t>
      </w:r>
      <w:r w:rsidR="008F0CF3">
        <w:t xml:space="preserve">a </w:t>
      </w:r>
      <w:r w:rsidR="00DB318E">
        <w:t>result, the area of the solar collector</w:t>
      </w:r>
      <w:r w:rsidR="00B140E4">
        <w:t xml:space="preserve"> </w:t>
      </w:r>
      <w:r w:rsidR="00DB318E">
        <w:t xml:space="preserve">and the size of thermal energy storage are </w:t>
      </w:r>
      <w:r w:rsidR="003804E1">
        <w:t xml:space="preserve">the </w:t>
      </w:r>
      <w:r w:rsidR="00DB318E">
        <w:t>smallest of all. In the later chapters</w:t>
      </w:r>
      <w:r w:rsidR="00414001">
        <w:t xml:space="preserve"> of this thesis</w:t>
      </w:r>
      <w:r w:rsidR="00DB318E">
        <w:t>, the effect equipment size on energy saving</w:t>
      </w:r>
      <w:r w:rsidR="00B140E4">
        <w:t>s</w:t>
      </w:r>
      <w:r w:rsidR="00DB318E">
        <w:t xml:space="preserve"> and benefit</w:t>
      </w:r>
      <w:r w:rsidR="003804E1">
        <w:t>s</w:t>
      </w:r>
      <w:r w:rsidR="00DB318E">
        <w:t xml:space="preserve"> are reported. </w:t>
      </w:r>
      <w:bookmarkStart w:id="145" w:name="_Toc41075485"/>
      <w:bookmarkStart w:id="146" w:name="_Toc42335016"/>
      <w:bookmarkStart w:id="147" w:name="_Hlk41043380"/>
      <w:bookmarkStart w:id="148" w:name="e"/>
      <w:bookmarkStart w:id="149" w:name="closing"/>
    </w:p>
    <w:p w14:paraId="7A70A82E" w14:textId="1B78E1BD" w:rsidR="00DB3DC6" w:rsidRPr="006F6481" w:rsidRDefault="001A4E6B" w:rsidP="00C764BF">
      <w:pPr>
        <w:pStyle w:val="Heading1"/>
      </w:pPr>
      <w:bookmarkStart w:id="150" w:name="_Toc43877985"/>
      <w:bookmarkStart w:id="151" w:name="_Toc47467735"/>
      <w:r w:rsidRPr="00916607">
        <w:rPr>
          <w:caps w:val="0"/>
        </w:rPr>
        <w:lastRenderedPageBreak/>
        <w:t>LHTES</w:t>
      </w:r>
      <w:r w:rsidRPr="00857153">
        <w:rPr>
          <w:caps w:val="0"/>
        </w:rPr>
        <w:t xml:space="preserve"> </w:t>
      </w:r>
      <w:r w:rsidRPr="00916607">
        <w:rPr>
          <w:caps w:val="0"/>
        </w:rPr>
        <w:t xml:space="preserve">SYSTEM </w:t>
      </w:r>
      <w:r>
        <w:rPr>
          <w:caps w:val="0"/>
        </w:rPr>
        <w:t>HEAT TRANSFER AN</w:t>
      </w:r>
      <w:r w:rsidR="00CF098A">
        <w:rPr>
          <w:caps w:val="0"/>
        </w:rPr>
        <w:t>D</w:t>
      </w:r>
      <w:r>
        <w:rPr>
          <w:caps w:val="0"/>
        </w:rPr>
        <w:t xml:space="preserve"> </w:t>
      </w:r>
      <w:r w:rsidRPr="00916607">
        <w:rPr>
          <w:caps w:val="0"/>
        </w:rPr>
        <w:t>ENERGY PERFORMANCE ANALYSIS</w:t>
      </w:r>
      <w:bookmarkEnd w:id="145"/>
      <w:bookmarkEnd w:id="150"/>
      <w:bookmarkEnd w:id="151"/>
    </w:p>
    <w:p w14:paraId="4EF0F65B" w14:textId="109774F8" w:rsidR="00DB3DC6" w:rsidRDefault="00C46DC4" w:rsidP="00551EC2">
      <w:pPr>
        <w:spacing w:after="288"/>
      </w:pPr>
      <w:r>
        <w:t xml:space="preserve">As mentioned in Chapter 3, seven cities were selected to study the performance of </w:t>
      </w:r>
      <w:r w:rsidR="001949AC">
        <w:t xml:space="preserve">the </w:t>
      </w:r>
      <w:r>
        <w:t xml:space="preserve">LHTES system in different </w:t>
      </w:r>
      <w:r w:rsidR="005825D1">
        <w:t xml:space="preserve">U.S </w:t>
      </w:r>
      <w:r>
        <w:t xml:space="preserve">climate zones. First, the heat transfer and exergy analysis </w:t>
      </w:r>
      <w:r w:rsidR="001949AC">
        <w:t>are</w:t>
      </w:r>
      <w:r>
        <w:t xml:space="preserve"> conducted </w:t>
      </w:r>
      <w:r w:rsidR="001949AC">
        <w:t>i</w:t>
      </w:r>
      <w:r>
        <w:t xml:space="preserve">n only one city. Heat transfer and exergy analysis facilitate the understanding of the effect of adjusting the equipment sizes on thermal outlet temperature and </w:t>
      </w:r>
      <w:r w:rsidR="001949AC">
        <w:t xml:space="preserve">the </w:t>
      </w:r>
      <w:r>
        <w:t>system’s exergy efficiency. This effect is common to all the selected cities</w:t>
      </w:r>
      <w:r w:rsidR="008F0CF3">
        <w:t>;</w:t>
      </w:r>
      <w:r>
        <w:t xml:space="preserve"> thus</w:t>
      </w:r>
      <w:r w:rsidR="008F0CF3">
        <w:t>,</w:t>
      </w:r>
      <w:r>
        <w:t xml:space="preserve"> only one city was reported to avoid repetition. Second, energy performance analysis and evaluation </w:t>
      </w:r>
      <w:r w:rsidR="001949AC">
        <w:t>are</w:t>
      </w:r>
      <w:r>
        <w:t xml:space="preserve"> </w:t>
      </w:r>
      <w:r w:rsidR="00551EC2">
        <w:t xml:space="preserve">conducted on all seven </w:t>
      </w:r>
      <w:r w:rsidR="008F0CF3">
        <w:t>chosen</w:t>
      </w:r>
      <w:r w:rsidR="00551EC2">
        <w:t xml:space="preserve"> cities. Energy performance analysis and evaluation (i.e.</w:t>
      </w:r>
      <w:r w:rsidR="008F0CF3">
        <w:t>,</w:t>
      </w:r>
      <w:r w:rsidR="00551EC2">
        <w:t xml:space="preserve"> auxiliary energy demand, energy cost analysis</w:t>
      </w:r>
      <w:r w:rsidR="001949AC">
        <w:t>,</w:t>
      </w:r>
      <w:r w:rsidR="00551EC2">
        <w:t xml:space="preserve"> and energy performance evaluation) establishes the feasibility and the benefits of employing the system. In this chapter, the heat transfer and exergy analysis </w:t>
      </w:r>
      <w:r w:rsidR="001949AC">
        <w:t>are</w:t>
      </w:r>
      <w:r w:rsidR="00551EC2">
        <w:t xml:space="preserve"> reported first then, the energy performance analysis and evaluation.</w:t>
      </w:r>
    </w:p>
    <w:p w14:paraId="150B529C" w14:textId="5DF5A5DE" w:rsidR="007523BD" w:rsidRPr="0015600B" w:rsidRDefault="007523BD" w:rsidP="00C764BF">
      <w:pPr>
        <w:pStyle w:val="Heading2"/>
        <w:numPr>
          <w:ilvl w:val="1"/>
          <w:numId w:val="15"/>
        </w:numPr>
      </w:pPr>
      <w:bookmarkStart w:id="152" w:name="_Toc43877986"/>
      <w:bookmarkStart w:id="153" w:name="_Toc47467736"/>
      <w:r>
        <w:t>Heat Transfer and Exergy Analysis</w:t>
      </w:r>
      <w:bookmarkEnd w:id="152"/>
      <w:bookmarkEnd w:id="153"/>
    </w:p>
    <w:p w14:paraId="6E6CEC15" w14:textId="54213FFA" w:rsidR="007523BD" w:rsidRPr="0015600B" w:rsidRDefault="007523BD" w:rsidP="007523BD">
      <w:pPr>
        <w:spacing w:after="288"/>
      </w:pPr>
      <w:r w:rsidRPr="0015600B">
        <w:t>The unit cell has a length of </w:t>
      </w:r>
      <w:r w:rsidRPr="0015600B">
        <w:rPr>
          <w:i/>
          <w:iCs/>
        </w:rPr>
        <w:t>L</w:t>
      </w:r>
      <w:r w:rsidRPr="0015600B">
        <w:rPr>
          <w:rFonts w:ascii="Times New Roman" w:hAnsi="Times New Roman" w:cs="Times New Roman"/>
        </w:rPr>
        <w:t> </w:t>
      </w:r>
      <w:r w:rsidRPr="0015600B">
        <w:t>=</w:t>
      </w:r>
      <w:r w:rsidRPr="0015600B">
        <w:rPr>
          <w:rFonts w:ascii="Times New Roman" w:hAnsi="Times New Roman" w:cs="Times New Roman"/>
        </w:rPr>
        <w:t> </w:t>
      </w:r>
      <w:r w:rsidRPr="0015600B">
        <w:t>0.1</w:t>
      </w:r>
      <w:r w:rsidRPr="0015600B">
        <w:rPr>
          <w:rFonts w:ascii="Times New Roman" w:hAnsi="Times New Roman" w:cs="Times New Roman"/>
        </w:rPr>
        <w:t> </w:t>
      </w:r>
      <w:r w:rsidRPr="0015600B">
        <w:t>m</w:t>
      </w:r>
      <w:r w:rsidR="008F0CF3">
        <w:t>,</w:t>
      </w:r>
      <w:r w:rsidRPr="0015600B">
        <w:t xml:space="preserve"> and the heat pipes</w:t>
      </w:r>
      <w:r w:rsidRPr="0015600B">
        <w:rPr>
          <w:rFonts w:cs="Georgia Pro"/>
        </w:rPr>
        <w:t>’ </w:t>
      </w:r>
      <w:r w:rsidRPr="0015600B">
        <w:t>outer radius</w:t>
      </w:r>
      <w:r w:rsidRPr="0015600B">
        <w:rPr>
          <w:rFonts w:cs="Georgia Pro"/>
        </w:rPr>
        <w:t> </w:t>
      </w:r>
      <w:r w:rsidRPr="0015600B">
        <w:t>is</w:t>
      </w:r>
      <w:r w:rsidRPr="0015600B">
        <w:rPr>
          <w:rFonts w:cs="Georgia Pro"/>
        </w:rPr>
        <w:t> </w:t>
      </w:r>
      <w:r w:rsidRPr="0015600B">
        <w:rPr>
          <w:i/>
          <w:iCs/>
        </w:rPr>
        <w:t>r</w:t>
      </w:r>
      <w:r w:rsidRPr="0015600B">
        <w:rPr>
          <w:vertAlign w:val="subscript"/>
        </w:rPr>
        <w:t>HP</w:t>
      </w:r>
      <w:r w:rsidRPr="0015600B">
        <w:rPr>
          <w:rFonts w:ascii="Times New Roman" w:hAnsi="Times New Roman" w:cs="Times New Roman"/>
        </w:rPr>
        <w:t> </w:t>
      </w:r>
      <w:r w:rsidRPr="0015600B">
        <w:t>=</w:t>
      </w:r>
      <w:r w:rsidRPr="0015600B">
        <w:rPr>
          <w:rFonts w:ascii="Times New Roman" w:hAnsi="Times New Roman" w:cs="Times New Roman"/>
        </w:rPr>
        <w:t> </w:t>
      </w:r>
      <w:r w:rsidRPr="0015600B">
        <w:t>0.015</w:t>
      </w:r>
      <w:r w:rsidRPr="0015600B">
        <w:rPr>
          <w:rFonts w:ascii="Times New Roman" w:hAnsi="Times New Roman" w:cs="Times New Roman"/>
        </w:rPr>
        <w:t> </w:t>
      </w:r>
      <w:r w:rsidRPr="0015600B">
        <w:t>m. The</w:t>
      </w:r>
      <w:r w:rsidRPr="0015600B">
        <w:rPr>
          <w:rFonts w:cs="Georgia Pro"/>
        </w:rPr>
        <w:t> </w:t>
      </w:r>
      <w:r w:rsidRPr="0015600B">
        <w:t>condenser</w:t>
      </w:r>
      <w:r w:rsidRPr="0015600B">
        <w:rPr>
          <w:rFonts w:cs="Georgia Pro"/>
        </w:rPr>
        <w:t> </w:t>
      </w:r>
      <w:r w:rsidRPr="0015600B">
        <w:t>section of the input HP and the</w:t>
      </w:r>
      <w:r w:rsidRPr="0015600B">
        <w:rPr>
          <w:rFonts w:cs="Georgia Pro"/>
        </w:rPr>
        <w:t> </w:t>
      </w:r>
      <w:r w:rsidRPr="0015600B">
        <w:t>evaporator section</w:t>
      </w:r>
      <w:r w:rsidRPr="0015600B">
        <w:rPr>
          <w:rFonts w:cs="Georgia Pro"/>
        </w:rPr>
        <w:t> </w:t>
      </w:r>
      <w:r w:rsidRPr="0015600B">
        <w:t xml:space="preserve">of the output HP </w:t>
      </w:r>
      <w:r w:rsidR="008F0CF3">
        <w:t>is</w:t>
      </w:r>
      <w:r w:rsidRPr="0015600B">
        <w:t xml:space="preserve"> at 110</w:t>
      </w:r>
      <w:r w:rsidRPr="0015600B">
        <w:rPr>
          <w:rFonts w:ascii="Times New Roman" w:hAnsi="Times New Roman" w:cs="Times New Roman"/>
        </w:rPr>
        <w:t> </w:t>
      </w:r>
      <w:r w:rsidRPr="0015600B">
        <w:rPr>
          <w:rFonts w:cs="Georgia Pro"/>
        </w:rPr>
        <w:t>°</w:t>
      </w:r>
      <w:r w:rsidRPr="0015600B">
        <w:t>C and 80</w:t>
      </w:r>
      <w:r w:rsidRPr="0015600B">
        <w:rPr>
          <w:rFonts w:ascii="Times New Roman" w:hAnsi="Times New Roman" w:cs="Times New Roman"/>
        </w:rPr>
        <w:t> </w:t>
      </w:r>
      <w:r w:rsidRPr="0015600B">
        <w:rPr>
          <w:rFonts w:cs="Georgia Pro"/>
        </w:rPr>
        <w:t>°</w:t>
      </w:r>
      <w:r w:rsidRPr="0015600B">
        <w:t>C, respectively. The PCM melting temperature is 89</w:t>
      </w:r>
      <w:r w:rsidRPr="0015600B">
        <w:rPr>
          <w:rFonts w:cs="Georgia Pro"/>
        </w:rPr>
        <w:t>°</w:t>
      </w:r>
      <w:r w:rsidRPr="0015600B">
        <w:t xml:space="preserve">C </w:t>
      </w:r>
      <w:r w:rsidRPr="0015600B">
        <w:fldChar w:fldCharType="begin" w:fldLock="1"/>
      </w:r>
      <w:r w:rsidR="00D6331E">
        <w:instrText>ADDIN CSL_CITATION {"citationItems":[{"id":"ITEM-1","itemData":{"URL":"https://www.americanelements.com/magnesium-nitrate-hexahydrate-13446-18-9","accessed":{"date-parts":[["2020","6","4"]]},"id":"ITEM-1","issued":{"date-parts":[["0"]]},"title":"Magnesium Nitrate Hexahydrate | AMERICAN ELEMENTS ®","type":"webpage"},"uris":["http://www.mendeley.com/documents/?uuid=bba9712c-8c31-37df-972f-5835cd082377"]}],"mendeley":{"formattedCitation":"[67]","plainTextFormattedCitation":"[67]","previouslyFormattedCitation":"[67]"},"properties":{"noteIndex":0},"schema":"https://github.com/citation-style-language/schema/raw/master/csl-citation.json"}</w:instrText>
      </w:r>
      <w:r w:rsidRPr="0015600B">
        <w:fldChar w:fldCharType="separate"/>
      </w:r>
      <w:r w:rsidR="00D6331E" w:rsidRPr="00D6331E">
        <w:rPr>
          <w:noProof/>
        </w:rPr>
        <w:t>[67]</w:t>
      </w:r>
      <w:r w:rsidRPr="0015600B">
        <w:fldChar w:fldCharType="end"/>
      </w:r>
      <w:r w:rsidRPr="0015600B">
        <w:t>, density is 1550</w:t>
      </w:r>
      <w:r w:rsidRPr="0015600B">
        <w:rPr>
          <w:rFonts w:ascii="Times New Roman" w:hAnsi="Times New Roman" w:cs="Times New Roman"/>
        </w:rPr>
        <w:t> </w:t>
      </w:r>
      <w:r w:rsidRPr="0015600B">
        <w:t>kg/m</w:t>
      </w:r>
      <w:r w:rsidRPr="00026817">
        <w:rPr>
          <w:vertAlign w:val="superscript"/>
        </w:rPr>
        <w:t>3</w:t>
      </w:r>
      <w:r w:rsidRPr="0015600B">
        <w:t xml:space="preserve">, </w:t>
      </w:r>
      <w:r w:rsidR="003804E1">
        <w:t xml:space="preserve">the </w:t>
      </w:r>
      <w:r w:rsidRPr="0015600B">
        <w:t>heat of fusion is 162.8</w:t>
      </w:r>
      <w:r w:rsidRPr="0015600B">
        <w:rPr>
          <w:rFonts w:ascii="Times New Roman" w:hAnsi="Times New Roman" w:cs="Times New Roman"/>
        </w:rPr>
        <w:t> </w:t>
      </w:r>
      <w:r w:rsidRPr="0015600B">
        <w:t xml:space="preserve">kJ/kg, </w:t>
      </w:r>
      <w:r w:rsidR="003804E1">
        <w:t xml:space="preserve">the </w:t>
      </w:r>
      <w:r w:rsidRPr="0015600B">
        <w:t>thermal conductivity of 0.5</w:t>
      </w:r>
      <w:r w:rsidRPr="0015600B">
        <w:rPr>
          <w:rFonts w:ascii="Times New Roman" w:hAnsi="Times New Roman" w:cs="Times New Roman"/>
        </w:rPr>
        <w:t> </w:t>
      </w:r>
      <w:r w:rsidRPr="0015600B">
        <w:t>W/m</w:t>
      </w:r>
      <w:r w:rsidRPr="0015600B">
        <w:rPr>
          <w:rFonts w:ascii="Times New Roman" w:hAnsi="Times New Roman" w:cs="Times New Roman"/>
        </w:rPr>
        <w:t> </w:t>
      </w:r>
      <w:r w:rsidRPr="0015600B">
        <w:t xml:space="preserve">K </w:t>
      </w:r>
      <w:r w:rsidRPr="0015600B">
        <w:fldChar w:fldCharType="begin" w:fldLock="1"/>
      </w:r>
      <w:r w:rsidR="00D6331E">
        <w:instrText>ADDIN CSL_CITATION {"citationItems":[{"id":"ITEM-1","itemData":{"DOI":"10.1016/S1359-4311(02)00192-8","ISSN":"13594311","abstract":"Thermal energy storage in general, and phase change materials (PCMs) in particular, have been a main topic in research for the last 20 years, but although the information is quantitatively enormous, it is also spread widely in the literature, and difficult to find. In this work, a review has been carried out of the history of thermal energy storage with solid-liquid phase change. Three aspects have been the focus of this review: materials, heat transfer and applications. The paper contains listed over 150 materials used in research as PCMs, and about 45 commercially available PCMs. The paper lists over 230 references. © 2002 Elsevier Science Ltd. All rights reserved.","author":[{"dropping-particle":"","family":"Zalba","given":"Belén","non-dropping-particle":"","parse-names":false,"suffix":""},{"dropping-particle":"","family":"Marín","given":"José M.","non-dropping-particle":"","parse-names":false,"suffix":""},{"dropping-particle":"","family":"Cabeza","given":"Luisa F.","non-dropping-particle":"","parse-names":false,"suffix":""},{"dropping-particle":"","family":"Mehling","given":"Harald","non-dropping-particle":"","parse-names":false,"suffix":""}],"container-title":"Applied Thermal Engineering","id":"ITEM-1","issue":"3","issued":{"date-parts":[["2003","2","1"]]},"page":"251-283","publisher":"Pergamon","title":"Review on thermal energy storage with phase change: Materials, heat transfer analysis and applications","type":"article","volume":"23"},"uris":["http://www.mendeley.com/documents/?uuid=1aba87ea-7ffb-32b5-80fb-1b9c21fc130e"]}],"mendeley":{"formattedCitation":"[68]","plainTextFormattedCitation":"[68]","previouslyFormattedCitation":"[68]"},"properties":{"noteIndex":0},"schema":"https://github.com/citation-style-language/schema/raw/master/csl-citation.json"}</w:instrText>
      </w:r>
      <w:r w:rsidRPr="0015600B">
        <w:fldChar w:fldCharType="separate"/>
      </w:r>
      <w:r w:rsidR="00D6331E" w:rsidRPr="00D6331E">
        <w:rPr>
          <w:noProof/>
        </w:rPr>
        <w:t>[68]</w:t>
      </w:r>
      <w:r w:rsidRPr="0015600B">
        <w:fldChar w:fldCharType="end"/>
      </w:r>
      <w:r w:rsidRPr="0015600B">
        <w:t>, and specific heat of 554</w:t>
      </w:r>
      <w:r w:rsidRPr="0015600B">
        <w:rPr>
          <w:rFonts w:ascii="Times New Roman" w:hAnsi="Times New Roman" w:cs="Times New Roman"/>
        </w:rPr>
        <w:t> </w:t>
      </w:r>
      <w:r w:rsidRPr="0015600B">
        <w:t>J/kg</w:t>
      </w:r>
      <w:r w:rsidRPr="0015600B">
        <w:rPr>
          <w:rFonts w:ascii="Times New Roman" w:hAnsi="Times New Roman" w:cs="Times New Roman"/>
        </w:rPr>
        <w:t> </w:t>
      </w:r>
      <w:r w:rsidRPr="0015600B">
        <w:t xml:space="preserve">K. The PCM is contained within an aluminum metal foam with a porosity of 98% </w:t>
      </w:r>
      <w:r w:rsidRPr="0015600B">
        <w:fldChar w:fldCharType="begin" w:fldLock="1"/>
      </w:r>
      <w:r w:rsidR="00D6331E">
        <w:instrText>ADDIN CSL_CITATION {"citationItems":[{"id":"ITEM-1","itemData":{"DOI":"10.1016/S0017-9310(01)00220-4","ISSN":"00179310","abstract":"In this paper, we present a comprehensive analytical and experimental investigation for the determination of the effective thermal conductivity (ke), permeability (K) and inertial coefficient (/) of high porosity metal foams. In the first part of the study, we provide an analysis for estimating the effective thermal conductivity (kc). Commercially available metal foams form a complex array of interconnected fibers with an irregular lump of metal at the intersection of two fibers. In our theoretical model, we represent this structure by a model consisting of a two-dimensional array of hexagonal cells where the fibers form the sides of the hexagons. The lump is taken into account by considering a circular blob of metal at the intersection. The analysis shows that kc depends strongly on the porosity and the ratio of the cross-sections of the fiber and the intersection. However, it has no systematic dependence on pore density. Experimental data with aluminum and reticulated vitreous carbon (RVC) foams, using air and water as fluid media are used to validate the analytical predictions. The second part of our paper involves the determination of the permeability (K) and inertial coefficient (f) of these high porosity metal foams. Fluid flow experiments were conducted on a number of metal foam samples covering a wide range of porosities and pore densities in our in-house wind tunnel. The results show that K increases with pore diameter and porosity of the medium. The inertial coefficient, f, on the other hand, depends only on porosity. An analytical model is proposed to predict f based on the theory of flow over bluff bodies, and is found to be in excellent agreement with the experimental data. A modified permeability model is also presented in terms of the porosity, pore diameter and tortuosity of our metal foam samples, and is shown to be in reasonable agreement with measured data. © 2002 Published by Elsevier Science Ltd.","author":[{"dropping-particle":"","family":"Bhattacharya","given":"A.","non-dropping-particle":"","parse-names":false,"suffix":""},{"dropping-particle":"V.","family":"Calmidi","given":"V.","non-dropping-particle":"","parse-names":false,"suffix":""},{"dropping-particle":"","family":"Mahajan","given":"R. L.","non-dropping-particle":"","parse-names":false,"suffix":""}],"container-title":"International Journal of Heat and Mass Transfer","id":"ITEM-1","issue":"5","issued":{"date-parts":[["2002","1","8"]]},"page":"1017-1031","publisher":"Pergamon","title":"Thermophysical properties of high porosity metal foams","type":"article-journal","volume":"45"},"uris":["http://www.mendeley.com/documents/?uuid=3e29fd61-b6f6-332d-a723-605d7242a936"]}],"mendeley":{"formattedCitation":"[69]","plainTextFormattedCitation":"[69]","previouslyFormattedCitation":"[69]"},"properties":{"noteIndex":0},"schema":"https://github.com/citation-style-language/schema/raw/master/csl-citation.json"}</w:instrText>
      </w:r>
      <w:r w:rsidRPr="0015600B">
        <w:fldChar w:fldCharType="separate"/>
      </w:r>
      <w:r w:rsidR="00D6331E" w:rsidRPr="00D6331E">
        <w:rPr>
          <w:noProof/>
        </w:rPr>
        <w:t>[69]</w:t>
      </w:r>
      <w:r w:rsidRPr="0015600B">
        <w:fldChar w:fldCharType="end"/>
      </w:r>
      <w:r w:rsidRPr="0015600B">
        <w:t xml:space="preserve">. The </w:t>
      </w:r>
      <w:r w:rsidRPr="0015600B">
        <w:lastRenderedPageBreak/>
        <w:t xml:space="preserve">effective thermal conductivity of the PCM-metal foam is calculated using Equation </w:t>
      </w:r>
      <w:r w:rsidR="007F2B27">
        <w:t>3</w:t>
      </w:r>
      <w:r w:rsidRPr="0015600B">
        <w:t xml:space="preserve">.6 and is equal to </w:t>
      </w:r>
      <w:r w:rsidRPr="00026817">
        <w:rPr>
          <w:i/>
          <w:iCs/>
        </w:rPr>
        <w:t>k</w:t>
      </w:r>
      <w:r w:rsidRPr="0015600B">
        <w:rPr>
          <w:rFonts w:ascii="Times New Roman" w:hAnsi="Times New Roman" w:cs="Times New Roman"/>
        </w:rPr>
        <w:t> </w:t>
      </w:r>
      <w:r w:rsidRPr="0015600B">
        <w:t>=</w:t>
      </w:r>
      <w:r w:rsidRPr="0015600B">
        <w:rPr>
          <w:rFonts w:ascii="Times New Roman" w:hAnsi="Times New Roman" w:cs="Times New Roman"/>
        </w:rPr>
        <w:t> </w:t>
      </w:r>
      <w:r w:rsidRPr="0015600B">
        <w:t>2</w:t>
      </w:r>
      <w:r w:rsidRPr="0015600B">
        <w:rPr>
          <w:rFonts w:ascii="Times New Roman" w:hAnsi="Times New Roman" w:cs="Times New Roman"/>
        </w:rPr>
        <w:t> </w:t>
      </w:r>
      <w:r w:rsidRPr="0015600B">
        <w:t>W/m</w:t>
      </w:r>
      <w:r w:rsidRPr="0015600B">
        <w:rPr>
          <w:rFonts w:ascii="Times New Roman" w:hAnsi="Times New Roman" w:cs="Times New Roman"/>
        </w:rPr>
        <w:t> </w:t>
      </w:r>
      <w:r w:rsidRPr="0015600B">
        <w:t>K.</w:t>
      </w:r>
    </w:p>
    <w:p w14:paraId="63A9D16C" w14:textId="42345DF5" w:rsidR="007523BD" w:rsidRPr="0015600B" w:rsidRDefault="007523BD" w:rsidP="007523BD">
      <w:pPr>
        <w:spacing w:after="288"/>
      </w:pPr>
      <w:r w:rsidRPr="0015600B">
        <w:t xml:space="preserve">The model described in Section </w:t>
      </w:r>
      <w:r w:rsidR="007F2B27">
        <w:t>3</w:t>
      </w:r>
      <w:r w:rsidRPr="0015600B">
        <w:t>.1</w:t>
      </w:r>
      <w:r w:rsidR="008F0CF3">
        <w:t>,</w:t>
      </w:r>
      <w:r w:rsidRPr="0015600B">
        <w:t xml:space="preserve"> and </w:t>
      </w:r>
      <w:r w:rsidR="007F2B27">
        <w:t>3</w:t>
      </w:r>
      <w:r w:rsidRPr="0015600B">
        <w:t>.2 is programmed using MATLAB and the simulation results related to PCM melt volume fraction (</w:t>
      </w:r>
      <w:r w:rsidR="003B4109">
        <w:t>Vf</w:t>
      </w:r>
      <w:r w:rsidRPr="0015600B">
        <w:t>) and temperature at which thermal energy is delivered to the load (</w:t>
      </w:r>
      <m:oMath>
        <m:sSub>
          <m:sSubPr>
            <m:ctrlPr>
              <w:rPr>
                <w:rFonts w:ascii="Cambria Math" w:hAnsi="Cambria Math"/>
                <w:i/>
              </w:rPr>
            </m:ctrlPr>
          </m:sSubPr>
          <m:e>
            <m:r>
              <w:rPr>
                <w:rFonts w:ascii="Cambria Math" w:hAnsi="Cambria Math"/>
              </w:rPr>
              <m:t>T</m:t>
            </m:r>
          </m:e>
          <m:sub>
            <m:r>
              <w:rPr>
                <w:rFonts w:ascii="Cambria Math" w:hAnsi="Cambria Math"/>
              </w:rPr>
              <m:t>PCM</m:t>
            </m:r>
          </m:sub>
        </m:sSub>
      </m:oMath>
      <w:r w:rsidRPr="0015600B">
        <w:t>) are evaluated on the first day of every quarter (i.e.</w:t>
      </w:r>
      <w:r w:rsidR="008F0CF3">
        <w:t>,</w:t>
      </w:r>
      <w:r w:rsidRPr="0015600B">
        <w:t xml:space="preserve"> Jan 1</w:t>
      </w:r>
      <w:r w:rsidRPr="0015600B">
        <w:rPr>
          <w:vertAlign w:val="superscript"/>
        </w:rPr>
        <w:t>st</w:t>
      </w:r>
      <w:r w:rsidRPr="0015600B">
        <w:t>, April 1</w:t>
      </w:r>
      <w:r w:rsidRPr="0015600B">
        <w:rPr>
          <w:vertAlign w:val="superscript"/>
        </w:rPr>
        <w:t>st</w:t>
      </w:r>
      <w:r w:rsidRPr="0015600B">
        <w:t>, July 1</w:t>
      </w:r>
      <w:r w:rsidRPr="0015600B">
        <w:rPr>
          <w:vertAlign w:val="superscript"/>
        </w:rPr>
        <w:t>st</w:t>
      </w:r>
      <w:r w:rsidRPr="0015600B">
        <w:t>, and October 1</w:t>
      </w:r>
      <w:r w:rsidRPr="0015600B">
        <w:rPr>
          <w:vertAlign w:val="superscript"/>
        </w:rPr>
        <w:t>st</w:t>
      </w:r>
      <w:r w:rsidRPr="0015600B">
        <w:t xml:space="preserve"> </w:t>
      </w:r>
      <w:r w:rsidRPr="0015600B">
        <w:fldChar w:fldCharType="begin" w:fldLock="1"/>
      </w:r>
      <w:r w:rsidR="00D6331E">
        <w:instrText>ADDIN CSL_CITATION {"citationItems":[{"id":"ITEM-1","itemData":{"URL":"https://www.investopedia.com/terms/q/quarter.asp","accessed":{"date-parts":[["2020","6","2"]]},"id":"ITEM-1","issued":{"date-parts":[["0"]]},"title":"Quarter (Q1, Q2, Q3, Q4) Definition","type":"webpage"},"uris":["http://www.mendeley.com/documents/?uuid=84aa172e-a241-3e06-91b7-5bdeb1634b17"]}],"mendeley":{"formattedCitation":"[70]","plainTextFormattedCitation":"[70]","previouslyFormattedCitation":"[70]"},"properties":{"noteIndex":0},"schema":"https://github.com/citation-style-language/schema/raw/master/csl-citation.json"}</w:instrText>
      </w:r>
      <w:r w:rsidRPr="0015600B">
        <w:fldChar w:fldCharType="separate"/>
      </w:r>
      <w:r w:rsidR="00D6331E" w:rsidRPr="00D6331E">
        <w:rPr>
          <w:noProof/>
        </w:rPr>
        <w:t>[70]</w:t>
      </w:r>
      <w:r w:rsidRPr="0015600B">
        <w:fldChar w:fldCharType="end"/>
      </w:r>
      <w:r w:rsidRPr="0015600B">
        <w:t xml:space="preserve">) for a residential building in Los Angeles </w:t>
      </w:r>
      <w:r w:rsidR="00723466">
        <w:t>u</w:t>
      </w:r>
      <w:r w:rsidRPr="0015600B">
        <w:t>sing different sizes of equipment. In Figure 4.</w:t>
      </w:r>
      <w:r w:rsidR="00723466">
        <w:t>1</w:t>
      </w:r>
      <w:r w:rsidRPr="0015600B">
        <w:t>, the primary and secondary y-axes are used to represent the PCM melt volume fraction and temperature at which thermal energy is delivered to the load</w:t>
      </w:r>
      <w:r w:rsidR="008F0CF3">
        <w:t>,</w:t>
      </w:r>
      <w:r w:rsidRPr="0015600B">
        <w:t xml:space="preserve"> respectively. At first, the model is simulated using equipment size (see details in Section 3.</w:t>
      </w:r>
      <w:r w:rsidR="00AF2F94">
        <w:t>3</w:t>
      </w:r>
      <w:r w:rsidRPr="0015600B">
        <w:t>), then the model is simulated by decreasing and increasing equipment by 50%.</w:t>
      </w:r>
    </w:p>
    <w:p w14:paraId="04D3F661" w14:textId="407FB369" w:rsidR="007523BD" w:rsidRDefault="0022746F" w:rsidP="007523BD">
      <w:pPr>
        <w:spacing w:after="288"/>
        <w:ind w:firstLine="0"/>
        <w:jc w:val="center"/>
      </w:pPr>
      <w:r>
        <w:rPr>
          <w:noProof/>
        </w:rPr>
        <w:drawing>
          <wp:inline distT="0" distB="0" distL="0" distR="0" wp14:anchorId="769A24DD" wp14:editId="61F50789">
            <wp:extent cx="5486400" cy="30143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486400" cy="3014345"/>
                    </a:xfrm>
                    <a:prstGeom prst="rect">
                      <a:avLst/>
                    </a:prstGeom>
                  </pic:spPr>
                </pic:pic>
              </a:graphicData>
            </a:graphic>
          </wp:inline>
        </w:drawing>
      </w:r>
    </w:p>
    <w:p w14:paraId="7E12A15D" w14:textId="3C8FA9FE" w:rsidR="0022746F" w:rsidRPr="0015600B" w:rsidRDefault="0022746F" w:rsidP="007523BD">
      <w:pPr>
        <w:spacing w:after="288"/>
        <w:ind w:firstLine="0"/>
        <w:jc w:val="center"/>
      </w:pPr>
      <w:r>
        <w:rPr>
          <w:noProof/>
        </w:rPr>
        <w:lastRenderedPageBreak/>
        <w:drawing>
          <wp:inline distT="0" distB="0" distL="0" distR="0" wp14:anchorId="6E79557B" wp14:editId="208BD686">
            <wp:extent cx="5486400" cy="302069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486400" cy="3020695"/>
                    </a:xfrm>
                    <a:prstGeom prst="rect">
                      <a:avLst/>
                    </a:prstGeom>
                  </pic:spPr>
                </pic:pic>
              </a:graphicData>
            </a:graphic>
          </wp:inline>
        </w:drawing>
      </w:r>
    </w:p>
    <w:p w14:paraId="529F880E" w14:textId="79B7E771" w:rsidR="007523BD" w:rsidRDefault="0022746F" w:rsidP="007523BD">
      <w:pPr>
        <w:spacing w:after="288"/>
        <w:ind w:firstLine="0"/>
        <w:jc w:val="center"/>
      </w:pPr>
      <w:r>
        <w:rPr>
          <w:noProof/>
        </w:rPr>
        <w:drawing>
          <wp:inline distT="0" distB="0" distL="0" distR="0" wp14:anchorId="373C9D8E" wp14:editId="7568990F">
            <wp:extent cx="5486400" cy="3020695"/>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86400" cy="3020695"/>
                    </a:xfrm>
                    <a:prstGeom prst="rect">
                      <a:avLst/>
                    </a:prstGeom>
                  </pic:spPr>
                </pic:pic>
              </a:graphicData>
            </a:graphic>
          </wp:inline>
        </w:drawing>
      </w:r>
    </w:p>
    <w:p w14:paraId="3EB83D31" w14:textId="25FDC5B9" w:rsidR="00961B56" w:rsidRDefault="0022746F" w:rsidP="0022746F">
      <w:pPr>
        <w:spacing w:after="288"/>
        <w:ind w:firstLine="0"/>
        <w:jc w:val="center"/>
      </w:pPr>
      <w:r>
        <w:rPr>
          <w:noProof/>
        </w:rPr>
        <w:lastRenderedPageBreak/>
        <w:drawing>
          <wp:inline distT="0" distB="0" distL="0" distR="0" wp14:anchorId="1201F340" wp14:editId="44C7D116">
            <wp:extent cx="5486400" cy="302069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86400" cy="3020695"/>
                    </a:xfrm>
                    <a:prstGeom prst="rect">
                      <a:avLst/>
                    </a:prstGeom>
                  </pic:spPr>
                </pic:pic>
              </a:graphicData>
            </a:graphic>
          </wp:inline>
        </w:drawing>
      </w:r>
    </w:p>
    <w:p w14:paraId="07C536B0" w14:textId="726B5397" w:rsidR="007523BD" w:rsidRPr="0015600B" w:rsidRDefault="00961B56" w:rsidP="00037B41">
      <w:pPr>
        <w:pStyle w:val="Caption"/>
      </w:pPr>
      <w:bookmarkStart w:id="154" w:name="_Toc47467758"/>
      <w:r>
        <w:t xml:space="preserve">Figure </w:t>
      </w:r>
      <w:fldSimple w:instr=" STYLEREF 1 \s ">
        <w:r w:rsidR="00D979B8">
          <w:rPr>
            <w:noProof/>
          </w:rPr>
          <w:t>4</w:t>
        </w:r>
      </w:fldSimple>
      <w:r>
        <w:t>.</w:t>
      </w:r>
      <w:fldSimple w:instr=" SEQ Figure \* ARABIC \s 1 ">
        <w:r w:rsidR="00D979B8">
          <w:rPr>
            <w:noProof/>
          </w:rPr>
          <w:t>1</w:t>
        </w:r>
      </w:fldSimple>
      <w:r>
        <w:t xml:space="preserve">. </w:t>
      </w:r>
      <w:r w:rsidR="007523BD" w:rsidRPr="0015600B">
        <w:t>Time variation of the melt volume fraction and the temperature at which thermal energy is delivered to the load. (a) Jan 1</w:t>
      </w:r>
      <w:r w:rsidR="007523BD" w:rsidRPr="0015600B">
        <w:rPr>
          <w:vertAlign w:val="superscript"/>
        </w:rPr>
        <w:t>st</w:t>
      </w:r>
      <w:r w:rsidR="007523BD" w:rsidRPr="0015600B">
        <w:t>, (b)April 1</w:t>
      </w:r>
      <w:r w:rsidR="007523BD" w:rsidRPr="0015600B">
        <w:rPr>
          <w:vertAlign w:val="superscript"/>
        </w:rPr>
        <w:t>st</w:t>
      </w:r>
      <w:r w:rsidR="007523BD" w:rsidRPr="0015600B">
        <w:t xml:space="preserve"> (c) July 1</w:t>
      </w:r>
      <w:r w:rsidR="007523BD" w:rsidRPr="0015600B">
        <w:rPr>
          <w:vertAlign w:val="superscript"/>
        </w:rPr>
        <w:t>st</w:t>
      </w:r>
      <w:r w:rsidR="007523BD" w:rsidRPr="0015600B">
        <w:t xml:space="preserve"> and (d) October 1</w:t>
      </w:r>
      <w:r w:rsidR="007523BD" w:rsidRPr="0015600B">
        <w:rPr>
          <w:vertAlign w:val="superscript"/>
        </w:rPr>
        <w:t>st</w:t>
      </w:r>
      <w:r w:rsidR="007523BD" w:rsidRPr="0015600B">
        <w:t>.</w:t>
      </w:r>
      <w:bookmarkEnd w:id="154"/>
    </w:p>
    <w:p w14:paraId="33CFC439" w14:textId="1C6191C3" w:rsidR="007523BD" w:rsidRPr="0015600B" w:rsidRDefault="007523BD" w:rsidP="007523BD">
      <w:pPr>
        <w:spacing w:after="288"/>
      </w:pPr>
      <w:r w:rsidRPr="0015600B">
        <w:t xml:space="preserve">Increasing (decreasing) the solar collector, increases (decreases) the amount of solar energy absorbed by evacuated glass tube solar collector and increasing (decreasing) thermal energy storage results increasing (decreasing) heat transfer surface area, number of </w:t>
      </w:r>
      <w:r w:rsidR="003804E1">
        <w:t xml:space="preserve">the </w:t>
      </w:r>
      <w:r w:rsidRPr="0015600B">
        <w:t xml:space="preserve">heat pipe and overall PCM volume. Regardless of the amount of thermal energy, the temperature fluctuation in both input and output heat pipes decreases with increasing thermal energy storage size throughout </w:t>
      </w:r>
      <w:r w:rsidR="003804E1">
        <w:t xml:space="preserve">the </w:t>
      </w:r>
      <w:r w:rsidRPr="0015600B">
        <w:t>entire year. On the other hand, the PCM melt volume fraction increases with increasing solar collector area.</w:t>
      </w:r>
    </w:p>
    <w:p w14:paraId="44A780B8" w14:textId="41FE92CA" w:rsidR="007523BD" w:rsidRPr="0015600B" w:rsidRDefault="007523BD" w:rsidP="007523BD">
      <w:r w:rsidRPr="0015600B">
        <w:t>Shown in Figure 4.</w:t>
      </w:r>
      <w:r w:rsidR="00B27EE3">
        <w:t>2</w:t>
      </w:r>
      <w:r w:rsidRPr="0015600B">
        <w:t xml:space="preserve"> is the end of the month exergy efficiency </w:t>
      </w:r>
      <w:r w:rsidR="00B27EE3">
        <w:t xml:space="preserve">in Los Angeles representing warm climate </w:t>
      </w:r>
      <w:r w:rsidR="00176792">
        <w:t>zone</w:t>
      </w:r>
      <w:r w:rsidRPr="0015600B">
        <w:t xml:space="preserve">. It is shown that increasing equipment size increases the exergy efficiency </w:t>
      </w:r>
      <w:r w:rsidR="003804E1">
        <w:t xml:space="preserve">of </w:t>
      </w:r>
      <w:r w:rsidRPr="0015600B">
        <w:t>the thermal storage through</w:t>
      </w:r>
      <w:r w:rsidR="003804E1">
        <w:t>out</w:t>
      </w:r>
      <w:r w:rsidRPr="0015600B">
        <w:t xml:space="preserve"> the whole year. </w:t>
      </w:r>
      <w:r w:rsidRPr="0015600B">
        <w:lastRenderedPageBreak/>
        <w:t>Similar to the temperature, increasing equipment size exergy efficiency of the system due to increased surface area, PCM melt volume</w:t>
      </w:r>
      <w:r w:rsidR="003804E1">
        <w:t>,</w:t>
      </w:r>
      <w:r w:rsidRPr="0015600B">
        <w:t xml:space="preserve"> and reduced temperature fluctuation of the system. </w:t>
      </w:r>
    </w:p>
    <w:p w14:paraId="140FE3DE" w14:textId="2C10D6CF" w:rsidR="00961B56" w:rsidRDefault="00053343" w:rsidP="00723466">
      <w:pPr>
        <w:keepNext/>
        <w:spacing w:after="288"/>
        <w:ind w:firstLine="0"/>
        <w:jc w:val="center"/>
      </w:pPr>
      <w:r>
        <w:rPr>
          <w:noProof/>
        </w:rPr>
        <w:drawing>
          <wp:inline distT="0" distB="0" distL="0" distR="0" wp14:anchorId="40693B7B" wp14:editId="619C8994">
            <wp:extent cx="5486400" cy="2727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86400" cy="2727960"/>
                    </a:xfrm>
                    <a:prstGeom prst="rect">
                      <a:avLst/>
                    </a:prstGeom>
                  </pic:spPr>
                </pic:pic>
              </a:graphicData>
            </a:graphic>
          </wp:inline>
        </w:drawing>
      </w:r>
    </w:p>
    <w:p w14:paraId="0A072592" w14:textId="3476152D" w:rsidR="007523BD" w:rsidRPr="0015600B" w:rsidRDefault="00961B56" w:rsidP="00037B41">
      <w:pPr>
        <w:pStyle w:val="Caption"/>
      </w:pPr>
      <w:bookmarkStart w:id="155" w:name="_Toc47467759"/>
      <w:r>
        <w:t xml:space="preserve">Figure </w:t>
      </w:r>
      <w:fldSimple w:instr=" STYLEREF 1 \s ">
        <w:r w:rsidR="00D979B8">
          <w:rPr>
            <w:noProof/>
          </w:rPr>
          <w:t>4</w:t>
        </w:r>
      </w:fldSimple>
      <w:r>
        <w:t>.</w:t>
      </w:r>
      <w:fldSimple w:instr=" SEQ Figure \* ARABIC \s 1 ">
        <w:r w:rsidR="00D979B8">
          <w:rPr>
            <w:noProof/>
          </w:rPr>
          <w:t>2</w:t>
        </w:r>
      </w:fldSimple>
      <w:r w:rsidR="004F4B9A">
        <w:t>. E</w:t>
      </w:r>
      <w:r w:rsidR="007523BD" w:rsidRPr="0015600B">
        <w:t xml:space="preserve">nd of month exergy </w:t>
      </w:r>
      <w:r w:rsidR="007523BD" w:rsidRPr="00723466">
        <w:t>efficiency</w:t>
      </w:r>
      <w:r w:rsidR="007523BD" w:rsidRPr="0015600B">
        <w:t xml:space="preserve"> of the </w:t>
      </w:r>
      <w:r w:rsidR="00BD087B">
        <w:t>l</w:t>
      </w:r>
      <w:r w:rsidR="007523BD" w:rsidRPr="0015600B">
        <w:t xml:space="preserve">atent </w:t>
      </w:r>
      <w:r w:rsidR="00BD087B">
        <w:t>h</w:t>
      </w:r>
      <w:r w:rsidR="007523BD" w:rsidRPr="0015600B">
        <w:t xml:space="preserve">eat </w:t>
      </w:r>
      <w:r w:rsidR="00BD087B">
        <w:t>t</w:t>
      </w:r>
      <w:r w:rsidR="007523BD" w:rsidRPr="0015600B">
        <w:t xml:space="preserve">hermal </w:t>
      </w:r>
      <w:r w:rsidR="00BD087B">
        <w:t>e</w:t>
      </w:r>
      <w:r w:rsidR="007523BD" w:rsidRPr="0015600B">
        <w:t xml:space="preserve">nergy </w:t>
      </w:r>
      <w:r w:rsidR="00BD087B">
        <w:t>s</w:t>
      </w:r>
      <w:r w:rsidR="007523BD" w:rsidRPr="0015600B">
        <w:t>torage system in Los Angeles, CA</w:t>
      </w:r>
      <w:r w:rsidR="0001654E">
        <w:t>.</w:t>
      </w:r>
      <w:bookmarkEnd w:id="155"/>
    </w:p>
    <w:p w14:paraId="0D27CE77" w14:textId="0BF2B7AD" w:rsidR="00DB3DC6" w:rsidRPr="0015600B" w:rsidRDefault="00DB3DC6" w:rsidP="00C764BF">
      <w:pPr>
        <w:pStyle w:val="Heading2"/>
        <w:numPr>
          <w:ilvl w:val="1"/>
          <w:numId w:val="15"/>
        </w:numPr>
      </w:pPr>
      <w:bookmarkStart w:id="156" w:name="_Toc46318967"/>
      <w:bookmarkStart w:id="157" w:name="_Toc41033626"/>
      <w:bookmarkStart w:id="158" w:name="_Toc41044659"/>
      <w:bookmarkStart w:id="159" w:name="_Toc41075486"/>
      <w:bookmarkStart w:id="160" w:name="_Toc41299314"/>
      <w:bookmarkStart w:id="161" w:name="_Toc43877987"/>
      <w:bookmarkStart w:id="162" w:name="_Toc47467737"/>
      <w:bookmarkEnd w:id="156"/>
      <w:r w:rsidRPr="0015600B">
        <w:t>Auxiliary Energy Demand</w:t>
      </w:r>
      <w:bookmarkEnd w:id="157"/>
      <w:bookmarkEnd w:id="158"/>
      <w:bookmarkEnd w:id="159"/>
      <w:bookmarkEnd w:id="160"/>
      <w:bookmarkEnd w:id="161"/>
      <w:bookmarkEnd w:id="162"/>
    </w:p>
    <w:p w14:paraId="7E8048F6" w14:textId="70E1B52E" w:rsidR="00AD5231" w:rsidRDefault="00DB3DC6" w:rsidP="00916607">
      <w:r w:rsidRPr="0015600B">
        <w:t xml:space="preserve">The auxiliary energy demand is evaluated at both solar collector level (assuming building load is directly supplied by </w:t>
      </w:r>
      <w:r w:rsidR="003804E1">
        <w:t xml:space="preserve">the </w:t>
      </w:r>
      <w:r w:rsidRPr="0015600B">
        <w:t xml:space="preserve">solar collector) and at the thermal energy storage unit level (by using </w:t>
      </w:r>
      <w:r w:rsidR="003804E1">
        <w:t xml:space="preserve">the </w:t>
      </w:r>
      <w:r w:rsidRPr="0015600B">
        <w:t>LHTES unit to supply the load). The auxiliary energy demand former is termed as energy demand minus solar (</w:t>
      </w:r>
      <m:oMath>
        <m:sSub>
          <m:sSubPr>
            <m:ctrlPr>
              <w:rPr>
                <w:rFonts w:ascii="Cambria Math" w:hAnsi="Cambria Math"/>
              </w:rPr>
            </m:ctrlPr>
          </m:sSubPr>
          <m:e>
            <m:r>
              <w:rPr>
                <w:rFonts w:ascii="Cambria Math" w:hAnsi="Cambria Math"/>
              </w:rPr>
              <m:t>Q</m:t>
            </m:r>
          </m:e>
          <m:sub>
            <m:r>
              <w:rPr>
                <w:rFonts w:ascii="Cambria Math" w:hAnsi="Cambria Math"/>
              </w:rPr>
              <m:t>dms</m:t>
            </m:r>
          </m:sub>
        </m:sSub>
      </m:oMath>
      <w:r w:rsidRPr="0015600B">
        <w:t>) and energy the auxiliary energy demand at the thermal energy storage level is called auxiliary heater energy demand i.e. (</w:t>
      </w:r>
      <m:oMath>
        <m:sSub>
          <m:sSubPr>
            <m:ctrlPr>
              <w:rPr>
                <w:rFonts w:ascii="Cambria Math" w:hAnsi="Cambria Math"/>
              </w:rPr>
            </m:ctrlPr>
          </m:sSubPr>
          <m:e>
            <m:r>
              <w:rPr>
                <w:rFonts w:ascii="Cambria Math" w:hAnsi="Cambria Math"/>
              </w:rPr>
              <m:t>Q</m:t>
            </m:r>
          </m:e>
          <m:sub>
            <m:r>
              <m:rPr>
                <m:sty m:val="p"/>
              </m:rPr>
              <w:rPr>
                <w:rFonts w:ascii="Cambria Math" w:hAnsi="Cambria Math"/>
              </w:rPr>
              <m:t>aux</m:t>
            </m:r>
          </m:sub>
        </m:sSub>
      </m:oMath>
      <w:r w:rsidRPr="0015600B">
        <w:t>). The energy demand with a solar collector and no thermal energy storage is calculated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3"/>
        <w:gridCol w:w="1517"/>
      </w:tblGrid>
      <w:tr w:rsidR="00DB3DC6" w:rsidRPr="0015600B" w14:paraId="7A64E737" w14:textId="77777777" w:rsidTr="009924B9">
        <w:tc>
          <w:tcPr>
            <w:tcW w:w="7113" w:type="dxa"/>
            <w:vAlign w:val="center"/>
          </w:tcPr>
          <w:p w14:paraId="64AC8F9C" w14:textId="76C71623" w:rsidR="00DB3DC6" w:rsidRPr="0015600B" w:rsidRDefault="003A0B43" w:rsidP="00981710">
            <w:pPr>
              <w:spacing w:after="288"/>
              <w:ind w:firstLine="0"/>
              <w:jc w:val="left"/>
            </w:pPr>
            <m:oMathPara>
              <m:oMath>
                <m:sSub>
                  <m:sSubPr>
                    <m:ctrlPr>
                      <w:rPr>
                        <w:rFonts w:ascii="Cambria Math" w:hAnsi="Cambria Math"/>
                      </w:rPr>
                    </m:ctrlPr>
                  </m:sSubPr>
                  <m:e>
                    <m:r>
                      <w:rPr>
                        <w:rFonts w:ascii="Cambria Math" w:hAnsi="Cambria Math"/>
                      </w:rPr>
                      <m:t>Q</m:t>
                    </m:r>
                  </m:e>
                  <m:sub>
                    <m:r>
                      <w:rPr>
                        <w:rFonts w:ascii="Cambria Math" w:hAnsi="Cambria Math"/>
                      </w:rPr>
                      <m:t>d</m:t>
                    </m:r>
                    <m:r>
                      <m:rPr>
                        <m:sty m:val="p"/>
                      </m:rPr>
                      <w:rPr>
                        <w:rFonts w:ascii="Cambria Math" w:hAnsi="Cambria Math"/>
                      </w:rPr>
                      <m:t xml:space="preserve">, </m:t>
                    </m:r>
                    <m:r>
                      <w:rPr>
                        <w:rFonts w:ascii="Cambria Math" w:hAnsi="Cambria Math"/>
                      </w:rPr>
                      <m:t>dms</m:t>
                    </m:r>
                  </m:sub>
                </m:sSub>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0</m:t>
                    </m:r>
                  </m:sub>
                  <m:sup>
                    <m:r>
                      <m:rPr>
                        <m:sty m:val="p"/>
                      </m:rPr>
                      <w:rPr>
                        <w:rFonts w:ascii="Cambria Math" w:hAnsi="Cambria Math"/>
                      </w:rPr>
                      <m:t>24</m:t>
                    </m:r>
                  </m:sup>
                  <m:e>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m:rPr>
                                <m:sty m:val="p"/>
                              </m:rPr>
                              <w:rPr>
                                <w:rFonts w:ascii="Cambria Math" w:hAnsi="Cambria Math"/>
                              </w:rPr>
                              <m:t>0,</m:t>
                            </m:r>
                            <m:sSub>
                              <m:sSubPr>
                                <m:ctrlPr>
                                  <w:rPr>
                                    <w:rFonts w:ascii="Cambria Math" w:hAnsi="Cambria Math"/>
                                  </w:rPr>
                                </m:ctrlPr>
                              </m:sSubPr>
                              <m:e>
                                <m:r>
                                  <w:rPr>
                                    <w:rFonts w:ascii="Cambria Math" w:hAnsi="Cambria Math"/>
                                  </w:rPr>
                                  <m:t>load</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h</m:t>
                                </m:r>
                                <m:r>
                                  <m:rPr>
                                    <m:sty m:val="p"/>
                                  </m:rPr>
                                  <w:rPr>
                                    <w:rFonts w:ascii="Cambria Math" w:hAnsi="Cambria Math"/>
                                  </w:rPr>
                                  <m:t>,</m:t>
                                </m:r>
                                <m:r>
                                  <w:rPr>
                                    <w:rFonts w:ascii="Cambria Math" w:hAnsi="Cambria Math"/>
                                  </w:rPr>
                                  <m:t>solar</m:t>
                                </m:r>
                              </m:sub>
                            </m:sSub>
                          </m:e>
                        </m:d>
                      </m:e>
                    </m:func>
                    <m:r>
                      <w:rPr>
                        <w:rFonts w:ascii="Cambria Math" w:hAnsi="Cambria Math"/>
                      </w:rPr>
                      <m:t>dh</m:t>
                    </m:r>
                  </m:e>
                </m:nary>
              </m:oMath>
            </m:oMathPara>
          </w:p>
        </w:tc>
        <w:tc>
          <w:tcPr>
            <w:tcW w:w="1517" w:type="dxa"/>
            <w:vAlign w:val="center"/>
          </w:tcPr>
          <w:p w14:paraId="4B0E306F" w14:textId="21B4DDD7" w:rsidR="00DB3DC6" w:rsidRPr="00723466" w:rsidRDefault="00AD5231" w:rsidP="008F0CF3">
            <w:pPr>
              <w:pStyle w:val="Caption"/>
              <w:jc w:val="right"/>
            </w:pPr>
            <w:r w:rsidRPr="00723466">
              <w:t>(</w:t>
            </w:r>
            <w:fldSimple w:instr=" STYLEREF 1 \s ">
              <w:r w:rsidR="00D979B8">
                <w:rPr>
                  <w:noProof/>
                </w:rPr>
                <w:t>4</w:t>
              </w:r>
            </w:fldSimple>
            <w:r w:rsidRPr="00723466">
              <w:t>.</w:t>
            </w:r>
            <w:fldSimple w:instr=" SEQ Equation \* ARABIC \s 1 ">
              <w:r w:rsidR="00D979B8">
                <w:rPr>
                  <w:noProof/>
                </w:rPr>
                <w:t>1</w:t>
              </w:r>
            </w:fldSimple>
            <w:r w:rsidRPr="00723466">
              <w:t>)</w:t>
            </w:r>
          </w:p>
        </w:tc>
      </w:tr>
    </w:tbl>
    <w:p w14:paraId="0C072178" w14:textId="1FA65C7D" w:rsidR="00DB3DC6" w:rsidRPr="0015600B" w:rsidRDefault="00DB3DC6" w:rsidP="00026817">
      <w:pPr>
        <w:spacing w:after="288"/>
      </w:pPr>
      <w:r w:rsidRPr="0015600B">
        <w:t xml:space="preserve">The subscript </w:t>
      </w:r>
      <m:oMath>
        <m:r>
          <w:rPr>
            <w:rFonts w:ascii="Cambria Math" w:hAnsi="Cambria Math"/>
          </w:rPr>
          <m:t>d</m:t>
        </m:r>
      </m:oMath>
      <w:r w:rsidRPr="0015600B">
        <w:t xml:space="preserve"> represents a day</w:t>
      </w:r>
      <w:r w:rsidR="008F0CF3">
        <w:t>,</w:t>
      </w:r>
      <w:r w:rsidRPr="0015600B">
        <w:t xml:space="preserve"> and </w:t>
      </w:r>
      <m:oMath>
        <m:r>
          <w:rPr>
            <w:rFonts w:ascii="Cambria Math" w:hAnsi="Cambria Math"/>
          </w:rPr>
          <m:t>h</m:t>
        </m:r>
      </m:oMath>
      <w:r w:rsidR="00AD1773" w:rsidRPr="0015600B">
        <w:t xml:space="preserve"> </w:t>
      </w:r>
      <w:r w:rsidRPr="0015600B">
        <w:t>represents hours. Energy demand with both solar collector and thermal energy storage is calculated as</w:t>
      </w:r>
    </w:p>
    <w:tbl>
      <w:tblPr>
        <w:tblStyle w:val="TableGrid"/>
        <w:tblpPr w:leftFromText="180" w:rightFromText="180" w:vertAnchor="text" w:horzAnchor="margin" w:tblpXSpec="center"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9"/>
        <w:gridCol w:w="1501"/>
      </w:tblGrid>
      <w:tr w:rsidR="00DB3DC6" w:rsidRPr="0015600B" w14:paraId="7C867CA1" w14:textId="77777777" w:rsidTr="00A03C9E">
        <w:tc>
          <w:tcPr>
            <w:tcW w:w="7139" w:type="dxa"/>
            <w:vAlign w:val="center"/>
          </w:tcPr>
          <w:p w14:paraId="089BAF12" w14:textId="2CC33938" w:rsidR="00DB3DC6" w:rsidRPr="0015600B" w:rsidRDefault="003A0B43" w:rsidP="00981710">
            <w:pPr>
              <w:spacing w:after="288"/>
              <w:ind w:firstLine="0"/>
              <w:jc w:val="left"/>
            </w:pPr>
            <m:oMathPara>
              <m:oMath>
                <m:sSub>
                  <m:sSubPr>
                    <m:ctrlPr>
                      <w:rPr>
                        <w:rFonts w:ascii="Cambria Math" w:hAnsi="Cambria Math"/>
                      </w:rPr>
                    </m:ctrlPr>
                  </m:sSubPr>
                  <m:e>
                    <m:r>
                      <w:rPr>
                        <w:rFonts w:ascii="Cambria Math" w:hAnsi="Cambria Math"/>
                      </w:rPr>
                      <m:t>Q</m:t>
                    </m:r>
                  </m:e>
                  <m:sub>
                    <m:r>
                      <w:rPr>
                        <w:rFonts w:ascii="Cambria Math" w:hAnsi="Cambria Math"/>
                      </w:rPr>
                      <m:t>aux</m:t>
                    </m:r>
                  </m:sub>
                </m:sSub>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sSub>
                          <m:sSubPr>
                            <m:ctrlPr>
                              <w:rPr>
                                <w:rFonts w:ascii="Cambria Math" w:hAnsi="Cambria Math"/>
                              </w:rPr>
                            </m:ctrlPr>
                          </m:sSubPr>
                          <m:e>
                            <m:r>
                              <w:rPr>
                                <w:rFonts w:ascii="Cambria Math" w:hAnsi="Cambria Math"/>
                              </w:rPr>
                              <m:t>load</m:t>
                            </m:r>
                          </m:e>
                          <m:sub>
                            <m:r>
                              <w:rPr>
                                <w:rFonts w:ascii="Cambria Math" w:hAnsi="Cambria Math"/>
                              </w:rPr>
                              <m:t>h</m:t>
                            </m:r>
                          </m:sub>
                        </m:sSub>
                        <m:r>
                          <m:rPr>
                            <m:sty m:val="p"/>
                          </m:rPr>
                          <w:rPr>
                            <w:rFonts w:ascii="Cambria Math" w:hAnsi="Cambria Math"/>
                          </w:rPr>
                          <m:t xml:space="preserve">     </m:t>
                        </m:r>
                        <m:r>
                          <w:rPr>
                            <w:rFonts w:ascii="Cambria Math" w:hAnsi="Cambria Math"/>
                          </w:rPr>
                          <m:t>if</m:t>
                        </m:r>
                        <m:r>
                          <m:rPr>
                            <m:sty m:val="p"/>
                          </m:rPr>
                          <w:rPr>
                            <w:rFonts w:ascii="Cambria Math" w:hAnsi="Cambria Math"/>
                          </w:rPr>
                          <m:t xml:space="preserve"> </m:t>
                        </m:r>
                        <m:sSub>
                          <m:sSubPr>
                            <m:ctrlPr>
                              <w:rPr>
                                <w:rFonts w:ascii="Cambria Math" w:hAnsi="Cambria Math"/>
                              </w:rPr>
                            </m:ctrlPr>
                          </m:sSubPr>
                          <m:e>
                            <m:r>
                              <w:rPr>
                                <w:rFonts w:ascii="Cambria Math" w:hAnsi="Cambria Math"/>
                              </w:rPr>
                              <m:t>T</m:t>
                            </m:r>
                          </m:e>
                          <m:sub>
                            <m:r>
                              <w:rPr>
                                <w:rFonts w:ascii="Cambria Math" w:hAnsi="Cambria Math"/>
                              </w:rPr>
                              <m:t>PCM</m:t>
                            </m:r>
                          </m:sub>
                        </m:sSub>
                        <m:r>
                          <m:rPr>
                            <m:sty m:val="p"/>
                          </m:rPr>
                          <w:rPr>
                            <w:rFonts w:ascii="Cambria Math" w:hAnsi="Cambria Math"/>
                          </w:rPr>
                          <m:t xml:space="preserve">≤300 </m:t>
                        </m:r>
                        <m:r>
                          <w:rPr>
                            <w:rFonts w:ascii="Cambria Math" w:hAnsi="Cambria Math"/>
                          </w:rPr>
                          <m:t>K</m:t>
                        </m:r>
                      </m:e>
                      <m:e>
                        <m:r>
                          <m:rPr>
                            <m:sty m:val="p"/>
                          </m:rPr>
                          <w:rPr>
                            <w:rFonts w:ascii="Cambria Math" w:hAnsi="Cambria Math"/>
                          </w:rPr>
                          <m:t xml:space="preserve">0             </m:t>
                        </m:r>
                        <m:r>
                          <w:rPr>
                            <w:rFonts w:ascii="Cambria Math" w:hAnsi="Cambria Math"/>
                          </w:rPr>
                          <m:t xml:space="preserve">Otherwise          </m:t>
                        </m:r>
                      </m:e>
                    </m:eqArr>
                  </m:e>
                </m:d>
              </m:oMath>
            </m:oMathPara>
          </w:p>
        </w:tc>
        <w:tc>
          <w:tcPr>
            <w:tcW w:w="1501" w:type="dxa"/>
            <w:vAlign w:val="center"/>
          </w:tcPr>
          <w:p w14:paraId="5797FB09" w14:textId="3433F961" w:rsidR="00DB3DC6" w:rsidRPr="0015600B" w:rsidRDefault="00AD5231" w:rsidP="009924B9">
            <w:pPr>
              <w:spacing w:after="288"/>
              <w:ind w:firstLine="0"/>
              <w:jc w:val="right"/>
            </w:pPr>
            <w:r>
              <w:t>(</w:t>
            </w:r>
            <w:fldSimple w:instr=" STYLEREF 1 \s ">
              <w:r w:rsidR="00D979B8">
                <w:rPr>
                  <w:noProof/>
                </w:rPr>
                <w:t>4</w:t>
              </w:r>
            </w:fldSimple>
            <w:r>
              <w:t>.</w:t>
            </w:r>
            <w:fldSimple w:instr=" SEQ Equation \* ARABIC \s 1 ">
              <w:r w:rsidR="00D979B8">
                <w:rPr>
                  <w:noProof/>
                </w:rPr>
                <w:t>2</w:t>
              </w:r>
            </w:fldSimple>
            <w:r>
              <w:t>)</w:t>
            </w:r>
          </w:p>
        </w:tc>
      </w:tr>
    </w:tbl>
    <w:p w14:paraId="4E683010" w14:textId="0CDE7F8B" w:rsidR="00DB3DC6" w:rsidRPr="0015600B" w:rsidRDefault="00A03C9E" w:rsidP="00DB3DC6">
      <w:pPr>
        <w:spacing w:after="288"/>
        <w:rPr>
          <w:b/>
          <w:bCs/>
        </w:rPr>
      </w:pPr>
      <w:r w:rsidRPr="0015600B">
        <w:t>The lowest allowable discharging PCM temperature occurs at about 300K (26°C). Below this temperature, the auxiliary heater supplies the total energy required for residential building cooling, heating</w:t>
      </w:r>
      <w:r>
        <w:t>,</w:t>
      </w:r>
      <w:r w:rsidRPr="0015600B">
        <w:t xml:space="preserve"> and hot water loads. </w:t>
      </w:r>
      <w:r w:rsidR="00DB3DC6" w:rsidRPr="0015600B">
        <w:t xml:space="preserve">When </w:t>
      </w:r>
      <m:oMath>
        <m:sSub>
          <m:sSubPr>
            <m:ctrlPr>
              <w:rPr>
                <w:rFonts w:ascii="Cambria Math" w:hAnsi="Cambria Math"/>
                <w:i/>
              </w:rPr>
            </m:ctrlPr>
          </m:sSubPr>
          <m:e>
            <m:r>
              <w:rPr>
                <w:rFonts w:ascii="Cambria Math" w:hAnsi="Cambria Math"/>
              </w:rPr>
              <m:t>T</m:t>
            </m:r>
          </m:e>
          <m:sub>
            <m:r>
              <w:rPr>
                <w:rFonts w:ascii="Cambria Math" w:hAnsi="Cambria Math"/>
              </w:rPr>
              <m:t>PCM</m:t>
            </m:r>
          </m:sub>
        </m:sSub>
      </m:oMath>
      <w:r w:rsidR="00DB3DC6" w:rsidRPr="0015600B">
        <w:t xml:space="preserve"> drops below 300 K, it implies that all PCM solidifies and therefore does not contain sufficient thermal energy. The energy profiles for energy demand with or without solar collector</w:t>
      </w:r>
      <w:r w:rsidR="003804E1">
        <w:t>s</w:t>
      </w:r>
      <w:r w:rsidR="00DB3DC6" w:rsidRPr="0015600B">
        <w:t xml:space="preserve"> and thermal energy storage are reported. The results are </w:t>
      </w:r>
      <w:r w:rsidR="008F0CF3">
        <w:t>publish</w:t>
      </w:r>
      <w:r w:rsidR="00DB3DC6" w:rsidRPr="0015600B">
        <w:t xml:space="preserve">ed </w:t>
      </w:r>
      <w:r w:rsidR="008F0CF3">
        <w:t xml:space="preserve">city </w:t>
      </w:r>
      <w:r w:rsidR="00DB3DC6" w:rsidRPr="0015600B">
        <w:t>by cit</w:t>
      </w:r>
      <w:r w:rsidR="008F0CF3">
        <w:t>y</w:t>
      </w:r>
      <w:r w:rsidR="00DB3DC6" w:rsidRPr="0015600B">
        <w:t xml:space="preserve"> in the order: Miami, Duluth, Oklahoma City, Albuquerque, Los Angeles, Reno</w:t>
      </w:r>
      <w:r w:rsidR="003804E1">
        <w:t>,</w:t>
      </w:r>
      <w:r w:rsidR="00DB3DC6" w:rsidRPr="0015600B">
        <w:t xml:space="preserve"> and Portland. </w:t>
      </w:r>
    </w:p>
    <w:p w14:paraId="0E08AE28" w14:textId="356662A4" w:rsidR="00DB3DC6" w:rsidRPr="007523BD" w:rsidRDefault="00DB3DC6" w:rsidP="00C764BF">
      <w:pPr>
        <w:pStyle w:val="Heading3"/>
        <w:numPr>
          <w:ilvl w:val="2"/>
          <w:numId w:val="15"/>
        </w:numPr>
      </w:pPr>
      <w:bookmarkStart w:id="163" w:name="_Toc43877988"/>
      <w:r w:rsidRPr="007523BD">
        <w:t>Miami, FL</w:t>
      </w:r>
      <w:bookmarkEnd w:id="163"/>
    </w:p>
    <w:p w14:paraId="7E0DEDEC" w14:textId="3AD61A2C" w:rsidR="00DB3DC6" w:rsidRPr="0015600B" w:rsidRDefault="00DB3DC6" w:rsidP="00DB3DC6">
      <w:pPr>
        <w:spacing w:after="288"/>
      </w:pPr>
      <w:r w:rsidRPr="0015600B">
        <w:t>Miami, FL</w:t>
      </w:r>
      <w:r w:rsidR="008F0CF3">
        <w:t>,</w:t>
      </w:r>
      <w:r w:rsidRPr="0015600B">
        <w:t xml:space="preserve"> is in hot-humid climate zones. On average, a residential building in Miami requires a total of 15.01MWh of energy and receives about 1.72MWh/m</w:t>
      </w:r>
      <w:r w:rsidRPr="0015600B">
        <w:rPr>
          <w:vertAlign w:val="superscript"/>
        </w:rPr>
        <w:t xml:space="preserve">2 </w:t>
      </w:r>
      <w:r w:rsidRPr="0015600B">
        <w:t xml:space="preserve">of solar radiation annually. The simulation results presented in Figure </w:t>
      </w:r>
      <w:r w:rsidR="0020725A">
        <w:t>4</w:t>
      </w:r>
      <w:r w:rsidRPr="0015600B">
        <w:t>.</w:t>
      </w:r>
      <w:r w:rsidR="0020725A">
        <w:t>3</w:t>
      </w:r>
      <w:r w:rsidRPr="0015600B">
        <w:t xml:space="preserve"> was performed using a 16.0</w:t>
      </w:r>
      <w:r w:rsidR="005D274C">
        <w:t>7</w:t>
      </w:r>
      <w:r w:rsidRPr="0015600B">
        <w:t xml:space="preserve"> m</w:t>
      </w:r>
      <w:r w:rsidRPr="0015600B">
        <w:rPr>
          <w:vertAlign w:val="superscript"/>
        </w:rPr>
        <w:t xml:space="preserve">2 </w:t>
      </w:r>
      <w:r w:rsidRPr="0015600B">
        <w:t xml:space="preserve">solar collector coupled with 14.91kWh. </w:t>
      </w:r>
    </w:p>
    <w:p w14:paraId="2BE5A60D" w14:textId="5E7EF780" w:rsidR="00406D69" w:rsidRPr="0015600B" w:rsidRDefault="003B2083" w:rsidP="004C1B4B">
      <w:pPr>
        <w:keepNext/>
        <w:spacing w:after="288"/>
        <w:ind w:firstLine="0"/>
        <w:jc w:val="center"/>
      </w:pPr>
      <w:r>
        <w:rPr>
          <w:noProof/>
        </w:rPr>
        <w:lastRenderedPageBreak/>
        <w:drawing>
          <wp:inline distT="0" distB="0" distL="0" distR="0" wp14:anchorId="4AC025C6" wp14:editId="4AA2F3FF">
            <wp:extent cx="5486400" cy="2952115"/>
            <wp:effectExtent l="0" t="0" r="0" b="635"/>
            <wp:docPr id="621847112" name="Picture 62184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86400" cy="2952115"/>
                    </a:xfrm>
                    <a:prstGeom prst="rect">
                      <a:avLst/>
                    </a:prstGeom>
                  </pic:spPr>
                </pic:pic>
              </a:graphicData>
            </a:graphic>
          </wp:inline>
        </w:drawing>
      </w:r>
    </w:p>
    <w:p w14:paraId="3E41DDE2" w14:textId="5BD2733E" w:rsidR="00DB3DC6" w:rsidRPr="0015600B" w:rsidRDefault="00DB3DC6" w:rsidP="00037B41">
      <w:pPr>
        <w:pStyle w:val="Caption"/>
      </w:pPr>
      <w:bookmarkStart w:id="164" w:name="_Toc47467760"/>
      <w:r w:rsidRPr="0015600B">
        <w:t xml:space="preserve">Figure </w:t>
      </w:r>
      <w:fldSimple w:instr=" STYLEREF 1 \s ">
        <w:r w:rsidR="00D979B8">
          <w:rPr>
            <w:noProof/>
          </w:rPr>
          <w:t>4</w:t>
        </w:r>
      </w:fldSimple>
      <w:r w:rsidR="00961B56">
        <w:t>.</w:t>
      </w:r>
      <w:fldSimple w:instr=" SEQ Figure \* ARABIC \s 1 ">
        <w:r w:rsidR="00D979B8">
          <w:rPr>
            <w:noProof/>
          </w:rPr>
          <w:t>3</w:t>
        </w:r>
      </w:fldSimple>
      <w:bookmarkStart w:id="165" w:name="_Toc41049735"/>
      <w:bookmarkStart w:id="166" w:name="_Toc41072085"/>
      <w:bookmarkStart w:id="167" w:name="_Toc41206826"/>
      <w:bookmarkStart w:id="168" w:name="_Toc41579999"/>
      <w:bookmarkStart w:id="169" w:name="_Toc41601487"/>
      <w:r w:rsidRPr="0015600B">
        <w:t xml:space="preserve">. Miami - Daily energy demand for residential heating, cooling, and hot water during the typical meteorological year with and without </w:t>
      </w:r>
      <w:r w:rsidR="003804E1">
        <w:t xml:space="preserve">a </w:t>
      </w:r>
      <w:r w:rsidRPr="0015600B">
        <w:t>solar collector.</w:t>
      </w:r>
      <w:bookmarkEnd w:id="164"/>
      <w:bookmarkEnd w:id="165"/>
      <w:bookmarkEnd w:id="166"/>
      <w:bookmarkEnd w:id="167"/>
      <w:bookmarkEnd w:id="168"/>
      <w:bookmarkEnd w:id="169"/>
    </w:p>
    <w:p w14:paraId="36CA8486" w14:textId="584DEED1" w:rsidR="00264144" w:rsidRPr="0015600B" w:rsidRDefault="00DB3DC6" w:rsidP="00F060E7">
      <w:r w:rsidRPr="0015600B">
        <w:t>The gold line is used to represent the energy demand with no solar collector and no thermal energy storage. The crimson long dash</w:t>
      </w:r>
      <w:r w:rsidR="003804E1">
        <w:t>-</w:t>
      </w:r>
      <w:r w:rsidRPr="0015600B">
        <w:t>dotted line is used to represent the energy demand with base size minus 50%, the green long dashed line is used to represent energy demand with base size</w:t>
      </w:r>
      <w:r w:rsidR="008F0CF3">
        <w:t>,</w:t>
      </w:r>
      <w:r w:rsidRPr="0015600B">
        <w:t xml:space="preserve"> and the </w:t>
      </w:r>
      <w:r w:rsidR="008F0CF3">
        <w:t>solid blue</w:t>
      </w:r>
      <w:r w:rsidRPr="0015600B">
        <w:t xml:space="preserve"> line is used to represent energy demand with base size plus 50%. The same color coding is used through this chapter in all seven cities. The monthly energy demand is presented in Figure </w:t>
      </w:r>
      <w:r w:rsidR="00FB685D">
        <w:t>4</w:t>
      </w:r>
      <w:r w:rsidRPr="0015600B">
        <w:t>.</w:t>
      </w:r>
      <w:r w:rsidR="00FB685D">
        <w:t>4</w:t>
      </w:r>
      <w:r w:rsidRPr="0015600B">
        <w:t xml:space="preserve"> using a column chart to display energy demand with only solar collector</w:t>
      </w:r>
      <w:r w:rsidR="003804E1">
        <w:t>s</w:t>
      </w:r>
      <w:r w:rsidRPr="0015600B">
        <w:t xml:space="preserve"> and energy demand with both solar collector</w:t>
      </w:r>
      <w:r w:rsidR="003804E1">
        <w:t>s</w:t>
      </w:r>
      <w:r w:rsidRPr="0015600B">
        <w:t xml:space="preserve"> and thermal energy </w:t>
      </w:r>
      <w:r w:rsidRPr="0015600B">
        <w:lastRenderedPageBreak/>
        <w:t xml:space="preserve">storage. </w:t>
      </w:r>
      <w:r w:rsidR="00264144">
        <w:rPr>
          <w:noProof/>
        </w:rPr>
        <w:drawing>
          <wp:inline distT="0" distB="0" distL="0" distR="0" wp14:anchorId="4B980EDC" wp14:editId="4B2ADE65">
            <wp:extent cx="5486400" cy="280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6400" cy="2806700"/>
                    </a:xfrm>
                    <a:prstGeom prst="rect">
                      <a:avLst/>
                    </a:prstGeom>
                  </pic:spPr>
                </pic:pic>
              </a:graphicData>
            </a:graphic>
          </wp:inline>
        </w:drawing>
      </w:r>
    </w:p>
    <w:p w14:paraId="6E0EC436" w14:textId="3D0841F4" w:rsidR="00DB3DC6" w:rsidRPr="0015600B" w:rsidRDefault="00DB3DC6" w:rsidP="00037B41">
      <w:pPr>
        <w:pStyle w:val="Caption"/>
      </w:pPr>
      <w:bookmarkStart w:id="170" w:name="_Toc47467761"/>
      <w:r w:rsidRPr="0015600B">
        <w:t xml:space="preserve">Figure </w:t>
      </w:r>
      <w:fldSimple w:instr=" STYLEREF 1 \s ">
        <w:r w:rsidR="00D979B8">
          <w:rPr>
            <w:noProof/>
          </w:rPr>
          <w:t>4</w:t>
        </w:r>
      </w:fldSimple>
      <w:r w:rsidR="00961B56">
        <w:t>.</w:t>
      </w:r>
      <w:fldSimple w:instr=" SEQ Figure \* ARABIC \s 1 ">
        <w:r w:rsidR="00D979B8">
          <w:rPr>
            <w:noProof/>
          </w:rPr>
          <w:t>4</w:t>
        </w:r>
      </w:fldSimple>
      <w:bookmarkStart w:id="171" w:name="_Toc41049736"/>
      <w:bookmarkStart w:id="172" w:name="_Toc41072086"/>
      <w:bookmarkStart w:id="173" w:name="_Toc41206827"/>
      <w:bookmarkStart w:id="174" w:name="_Toc41580000"/>
      <w:bookmarkStart w:id="175" w:name="_Toc41601488"/>
      <w:r w:rsidRPr="0015600B">
        <w:t xml:space="preserve">. Miami - Monthly energy demand for residential heating, cooling, and hot water during the typical meteorological year with and without </w:t>
      </w:r>
      <w:r w:rsidR="00690F6A" w:rsidRPr="0015600B">
        <w:t xml:space="preserve">a </w:t>
      </w:r>
      <w:r w:rsidRPr="0015600B">
        <w:t>solar collector.</w:t>
      </w:r>
      <w:bookmarkEnd w:id="170"/>
      <w:bookmarkEnd w:id="171"/>
      <w:bookmarkEnd w:id="172"/>
      <w:bookmarkEnd w:id="173"/>
      <w:bookmarkEnd w:id="174"/>
      <w:bookmarkEnd w:id="175"/>
    </w:p>
    <w:p w14:paraId="478A4AC5" w14:textId="5225D912" w:rsidR="00DB3DC6" w:rsidRPr="0015600B" w:rsidRDefault="00CB059C" w:rsidP="00DB3DC6">
      <w:pPr>
        <w:spacing w:after="288"/>
      </w:pPr>
      <w:r>
        <w:t>T</w:t>
      </w:r>
      <w:r w:rsidR="00DB3DC6" w:rsidRPr="0015600B">
        <w:t xml:space="preserve">he gold bars are used to the monthly energy demand with no solar collector and no thermal energy storage. The green bars are used to represent monthly energy demand with </w:t>
      </w:r>
      <w:r w:rsidR="00690F6A" w:rsidRPr="0015600B">
        <w:t xml:space="preserve">the </w:t>
      </w:r>
      <w:r w:rsidR="00DB3DC6" w:rsidRPr="0015600B">
        <w:t xml:space="preserve">base size of the equipment. Red bars and blue bars are used to stand for the energy demand with base size minus </w:t>
      </w:r>
      <w:r w:rsidR="00690F6A" w:rsidRPr="0015600B">
        <w:t xml:space="preserve">(add) </w:t>
      </w:r>
      <w:r w:rsidR="00DB3DC6" w:rsidRPr="0015600B">
        <w:t>50% of the base sizes, respectively. The solid filled bars are used to represent monthly energy demand with only solar collector</w:t>
      </w:r>
      <w:r w:rsidR="00690F6A" w:rsidRPr="0015600B">
        <w:t>s</w:t>
      </w:r>
      <w:r w:rsidR="008F0CF3">
        <w:t>,</w:t>
      </w:r>
      <w:r w:rsidR="00DB3DC6" w:rsidRPr="0015600B">
        <w:t xml:space="preserve"> and the empty</w:t>
      </w:r>
      <w:r w:rsidR="008F0CF3">
        <w:t>,</w:t>
      </w:r>
      <w:r w:rsidR="00DB3DC6" w:rsidRPr="0015600B">
        <w:t xml:space="preserve"> filled bars are used to represent energy demand with both solar collector</w:t>
      </w:r>
      <w:r w:rsidR="003804E1">
        <w:t>s</w:t>
      </w:r>
      <w:r w:rsidR="00DB3DC6" w:rsidRPr="0015600B">
        <w:t xml:space="preserve"> and thermal energy storage. The same color coding is observed through the rest of the column charts in this chapter. </w:t>
      </w:r>
    </w:p>
    <w:p w14:paraId="1F634AD9" w14:textId="504E3583" w:rsidR="00DB3DC6" w:rsidRPr="0015600B" w:rsidRDefault="00DB3DC6" w:rsidP="00DB3DC6">
      <w:pPr>
        <w:spacing w:after="288"/>
      </w:pPr>
      <w:r w:rsidRPr="0015600B">
        <w:t xml:space="preserve">Generally, increasing </w:t>
      </w:r>
      <w:r w:rsidR="003804E1">
        <w:t xml:space="preserve">the </w:t>
      </w:r>
      <w:r w:rsidRPr="0015600B">
        <w:t>solar collector area reduces energy saving</w:t>
      </w:r>
      <w:r w:rsidR="008F0CF3">
        <w:t>s</w:t>
      </w:r>
      <w:r w:rsidRPr="0015600B">
        <w:t xml:space="preserve"> and increasing both solar collectors and thermal energy storage energy saving</w:t>
      </w:r>
      <w:r w:rsidR="008F0CF3">
        <w:t>s</w:t>
      </w:r>
      <w:r w:rsidRPr="0015600B">
        <w:t xml:space="preserve"> a lot more. Annually, the energy saving</w:t>
      </w:r>
      <w:r w:rsidR="00B140E4">
        <w:t>s</w:t>
      </w:r>
      <w:r w:rsidRPr="0015600B">
        <w:t xml:space="preserve"> with base sizes</w:t>
      </w:r>
      <w:r w:rsidR="008F0CF3">
        <w:t>,</w:t>
      </w:r>
      <w:r w:rsidRPr="0015600B">
        <w:t xml:space="preserve"> i.e.</w:t>
      </w:r>
      <w:r w:rsidR="008F0CF3">
        <w:t>,</w:t>
      </w:r>
      <w:r w:rsidRPr="0015600B">
        <w:t xml:space="preserve"> using </w:t>
      </w:r>
      <w:r w:rsidR="003804E1">
        <w:t xml:space="preserve">a </w:t>
      </w:r>
      <w:r w:rsidRPr="0015600B">
        <w:t>16.07m</w:t>
      </w:r>
      <w:r w:rsidRPr="0015600B">
        <w:rPr>
          <w:vertAlign w:val="superscript"/>
        </w:rPr>
        <w:t>2</w:t>
      </w:r>
      <w:r w:rsidRPr="0015600B">
        <w:t xml:space="preserve"> solar </w:t>
      </w:r>
      <w:r w:rsidRPr="0015600B">
        <w:lastRenderedPageBreak/>
        <w:t>collector with no thermal energy storage</w:t>
      </w:r>
      <w:r w:rsidR="008F0CF3">
        <w:t>,</w:t>
      </w:r>
      <w:r w:rsidRPr="0015600B">
        <w:t xml:space="preserve"> yields about </w:t>
      </w:r>
      <w:r w:rsidR="003804E1">
        <w:t xml:space="preserve">a </w:t>
      </w:r>
      <w:r w:rsidRPr="0015600B">
        <w:t>46% reduction in the annual conventional consumption. Using the same solar thermal collector coupled with a 14.9</w:t>
      </w:r>
      <w:r w:rsidR="00FE2A6C">
        <w:t>0</w:t>
      </w:r>
      <w:r w:rsidRPr="0015600B">
        <w:t xml:space="preserve">kWh LHTES unit results in about 69% annual energy saving. Increasing (decreasing) solar collector and thermal energy storage size by 50% increases (decreases) energy saving with </w:t>
      </w:r>
      <w:r w:rsidR="003804E1">
        <w:t xml:space="preserve">the </w:t>
      </w:r>
      <w:r w:rsidRPr="0015600B">
        <w:t>only solar collector to 50% (37%) respectively and by using both solar collector and thermal energy, the energy saving</w:t>
      </w:r>
      <w:r w:rsidR="00B140E4">
        <w:t>s</w:t>
      </w:r>
      <w:r w:rsidRPr="0015600B">
        <w:t xml:space="preserve"> increasing(decreases) to about 86% (44%) respectively.  </w:t>
      </w:r>
    </w:p>
    <w:p w14:paraId="3F3B3429" w14:textId="358A1F9B" w:rsidR="00DB3DC6" w:rsidRPr="0015600B" w:rsidRDefault="00DB3DC6" w:rsidP="00C764BF">
      <w:pPr>
        <w:pStyle w:val="Heading3"/>
        <w:numPr>
          <w:ilvl w:val="2"/>
          <w:numId w:val="15"/>
        </w:numPr>
      </w:pPr>
      <w:bookmarkStart w:id="176" w:name="_Toc43877989"/>
      <w:r w:rsidRPr="0015600B">
        <w:t>Duluth, MN</w:t>
      </w:r>
      <w:bookmarkEnd w:id="176"/>
      <w:r w:rsidRPr="0015600B">
        <w:t xml:space="preserve"> </w:t>
      </w:r>
    </w:p>
    <w:p w14:paraId="5D4CCDC1" w14:textId="01EC04B7" w:rsidR="00DB3DC6" w:rsidRPr="0015600B" w:rsidRDefault="00DB3DC6" w:rsidP="00DB3DC6">
      <w:pPr>
        <w:spacing w:after="288"/>
      </w:pPr>
      <w:r w:rsidRPr="0015600B">
        <w:t xml:space="preserve">A residential building in Duluth is located in a very cold climate zone. A very cold climate zone is characterized by a region that </w:t>
      </w:r>
      <w:r w:rsidR="005E6B1E" w:rsidRPr="0015600B">
        <w:t>has</w:t>
      </w:r>
      <w:r w:rsidRPr="0015600B">
        <w:t xml:space="preserve"> more than 9000 heating degree days but less than 12000 (see Section 3.2). A residential building in Duluth requires about 54.2</w:t>
      </w:r>
      <w:r w:rsidR="00FE2A6C">
        <w:t>9</w:t>
      </w:r>
      <w:r w:rsidRPr="0015600B">
        <w:t>MWh and receives only 1.32MWh/m</w:t>
      </w:r>
      <w:r w:rsidRPr="0015600B">
        <w:rPr>
          <w:vertAlign w:val="superscript"/>
        </w:rPr>
        <w:t>2</w:t>
      </w:r>
      <w:r w:rsidRPr="0015600B">
        <w:t xml:space="preserve"> of solar radiation</w:t>
      </w:r>
      <w:r w:rsidR="008F0CF3">
        <w:t>;</w:t>
      </w:r>
      <w:r w:rsidRPr="0015600B">
        <w:t xml:space="preserve"> thus</w:t>
      </w:r>
      <w:r w:rsidR="008F0CF3">
        <w:t>,</w:t>
      </w:r>
      <w:r w:rsidRPr="0015600B">
        <w:t xml:space="preserve"> a solar collector of about 156.6</w:t>
      </w:r>
      <w:r w:rsidR="00FE2A6C">
        <w:t>8</w:t>
      </w:r>
      <w:r w:rsidRPr="0015600B">
        <w:t>m</w:t>
      </w:r>
      <w:r w:rsidRPr="0015600B">
        <w:rPr>
          <w:vertAlign w:val="superscript"/>
        </w:rPr>
        <w:t>2</w:t>
      </w:r>
      <w:r w:rsidRPr="0015600B">
        <w:t xml:space="preserve"> and 53.59kWh are required. In Figure </w:t>
      </w:r>
      <w:r w:rsidR="00AD1773">
        <w:t>4.5</w:t>
      </w:r>
      <w:r w:rsidRPr="0015600B">
        <w:t xml:space="preserve">, the daily energy demand with and without solar collector and thermal energy storage for Duluth is presented. </w:t>
      </w:r>
    </w:p>
    <w:p w14:paraId="667E3C2E" w14:textId="49445F99" w:rsidR="00DB3DC6" w:rsidRDefault="00DB3DC6" w:rsidP="00DB3DC6">
      <w:pPr>
        <w:keepNext/>
        <w:spacing w:after="288"/>
        <w:ind w:firstLine="0"/>
      </w:pPr>
    </w:p>
    <w:p w14:paraId="5A44AC27" w14:textId="46C1323B" w:rsidR="008820E2" w:rsidRPr="0015600B" w:rsidRDefault="000F7802" w:rsidP="00DB3DC6">
      <w:pPr>
        <w:keepNext/>
        <w:spacing w:after="288"/>
        <w:ind w:firstLine="0"/>
      </w:pPr>
      <w:r>
        <w:rPr>
          <w:noProof/>
        </w:rPr>
        <w:drawing>
          <wp:inline distT="0" distB="0" distL="0" distR="0" wp14:anchorId="36FBA4F6" wp14:editId="3996C37C">
            <wp:extent cx="5486400" cy="2538730"/>
            <wp:effectExtent l="0" t="0" r="0" b="0"/>
            <wp:docPr id="621847108" name="Picture 62184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6400" cy="2538730"/>
                    </a:xfrm>
                    <a:prstGeom prst="rect">
                      <a:avLst/>
                    </a:prstGeom>
                  </pic:spPr>
                </pic:pic>
              </a:graphicData>
            </a:graphic>
          </wp:inline>
        </w:drawing>
      </w:r>
    </w:p>
    <w:p w14:paraId="13D78D1A" w14:textId="53903A17" w:rsidR="00DB3DC6" w:rsidRPr="0015600B" w:rsidRDefault="00DB3DC6" w:rsidP="00037B41">
      <w:pPr>
        <w:pStyle w:val="Caption"/>
      </w:pPr>
      <w:bookmarkStart w:id="177" w:name="_Toc47467762"/>
      <w:r w:rsidRPr="0015600B">
        <w:t xml:space="preserve">Figure </w:t>
      </w:r>
      <w:fldSimple w:instr=" STYLEREF 1 \s ">
        <w:r w:rsidR="00D979B8">
          <w:rPr>
            <w:noProof/>
          </w:rPr>
          <w:t>4</w:t>
        </w:r>
      </w:fldSimple>
      <w:r w:rsidR="00961B56">
        <w:t>.</w:t>
      </w:r>
      <w:fldSimple w:instr=" SEQ Figure \* ARABIC \s 1 ">
        <w:r w:rsidR="00D979B8">
          <w:rPr>
            <w:noProof/>
          </w:rPr>
          <w:t>5</w:t>
        </w:r>
      </w:fldSimple>
      <w:bookmarkStart w:id="178" w:name="_Toc41049737"/>
      <w:bookmarkStart w:id="179" w:name="_Toc41072087"/>
      <w:bookmarkStart w:id="180" w:name="_Toc41206828"/>
      <w:bookmarkStart w:id="181" w:name="_Toc41580001"/>
      <w:bookmarkStart w:id="182" w:name="_Toc41601489"/>
      <w:r w:rsidRPr="0015600B">
        <w:t xml:space="preserve">. Duluth - Daily energy demand for residential heating, cooling, and hot water during the typical meteorological year with and without </w:t>
      </w:r>
      <w:r w:rsidR="003804E1">
        <w:t xml:space="preserve">a </w:t>
      </w:r>
      <w:r w:rsidRPr="0015600B">
        <w:t>solar collector.</w:t>
      </w:r>
      <w:bookmarkEnd w:id="177"/>
      <w:bookmarkEnd w:id="178"/>
      <w:bookmarkEnd w:id="179"/>
      <w:bookmarkEnd w:id="180"/>
      <w:bookmarkEnd w:id="181"/>
      <w:bookmarkEnd w:id="182"/>
    </w:p>
    <w:p w14:paraId="4F4CD07F" w14:textId="3F0685B6" w:rsidR="00DB3DC6" w:rsidRPr="0015600B" w:rsidRDefault="00DB3DC6" w:rsidP="00DB3DC6">
      <w:pPr>
        <w:spacing w:after="288"/>
      </w:pPr>
      <w:r w:rsidRPr="0015600B">
        <w:t>In Figure 4</w:t>
      </w:r>
      <w:r w:rsidR="00AD1773">
        <w:t>.6</w:t>
      </w:r>
      <w:r w:rsidRPr="0015600B">
        <w:t xml:space="preserve">, a monthly energy demand with and without solar collector and thermal energy storage </w:t>
      </w:r>
      <w:r w:rsidR="003804E1">
        <w:t>is</w:t>
      </w:r>
      <w:r w:rsidRPr="0015600B">
        <w:t xml:space="preserve"> reported</w:t>
      </w:r>
      <w:r w:rsidR="008F0CF3">
        <w:t xml:space="preserve"> f</w:t>
      </w:r>
      <w:r w:rsidRPr="0015600B">
        <w:t xml:space="preserve">or a residential building located in Duluth, using </w:t>
      </w:r>
      <w:r w:rsidR="003804E1">
        <w:t xml:space="preserve">a </w:t>
      </w:r>
      <w:r w:rsidRPr="0015600B">
        <w:t>156.96m</w:t>
      </w:r>
      <w:r w:rsidRPr="0015600B">
        <w:rPr>
          <w:vertAlign w:val="superscript"/>
        </w:rPr>
        <w:t>2</w:t>
      </w:r>
      <w:r w:rsidRPr="0015600B">
        <w:t xml:space="preserve"> solar collector with no thermal energy storage yields about </w:t>
      </w:r>
      <w:r w:rsidR="003804E1">
        <w:t xml:space="preserve">a </w:t>
      </w:r>
      <w:r w:rsidRPr="0015600B">
        <w:t xml:space="preserve">36% reduction in the annual conventional consumption. Using the same solar thermal collector coupled with a 53.88kWh LHTES unit results in about 59% annual energy saving. Increasing (decreasing) solar collector and thermal energy storage size by 50% increases(decreases) energy saving with </w:t>
      </w:r>
      <w:r w:rsidR="00E93FFE">
        <w:t xml:space="preserve">the </w:t>
      </w:r>
      <w:r w:rsidRPr="0015600B">
        <w:t>only solar collector to 38% (30%) respectively and by using both solar collector and thermal energy, the energy saving</w:t>
      </w:r>
      <w:r w:rsidR="00B140E4">
        <w:t>s</w:t>
      </w:r>
      <w:r w:rsidRPr="0015600B">
        <w:t xml:space="preserve"> increasing(decreases) to about 72% (39%) respectively.</w:t>
      </w:r>
    </w:p>
    <w:p w14:paraId="50E77EDD" w14:textId="24ADB114" w:rsidR="00DB3DC6" w:rsidRPr="0015600B" w:rsidRDefault="008820E2" w:rsidP="004C1B4B">
      <w:pPr>
        <w:keepNext/>
        <w:spacing w:after="288"/>
        <w:ind w:firstLine="0"/>
        <w:jc w:val="center"/>
      </w:pPr>
      <w:r w:rsidRPr="008820E2">
        <w:rPr>
          <w:noProof/>
        </w:rPr>
        <w:lastRenderedPageBreak/>
        <w:t xml:space="preserve"> </w:t>
      </w:r>
      <w:r>
        <w:rPr>
          <w:noProof/>
        </w:rPr>
        <w:drawing>
          <wp:inline distT="0" distB="0" distL="0" distR="0" wp14:anchorId="0A410061" wp14:editId="260A363A">
            <wp:extent cx="5486400" cy="28168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86400" cy="2816860"/>
                    </a:xfrm>
                    <a:prstGeom prst="rect">
                      <a:avLst/>
                    </a:prstGeom>
                  </pic:spPr>
                </pic:pic>
              </a:graphicData>
            </a:graphic>
          </wp:inline>
        </w:drawing>
      </w:r>
    </w:p>
    <w:p w14:paraId="5BFABF3F" w14:textId="6F6D34D2" w:rsidR="00DB3DC6" w:rsidRPr="0015600B" w:rsidRDefault="00DB3DC6" w:rsidP="00037B41">
      <w:pPr>
        <w:pStyle w:val="Caption"/>
      </w:pPr>
      <w:bookmarkStart w:id="183" w:name="_Toc47467763"/>
      <w:r w:rsidRPr="0015600B">
        <w:t xml:space="preserve">Figure </w:t>
      </w:r>
      <w:fldSimple w:instr=" STYLEREF 1 \s ">
        <w:r w:rsidR="00D979B8">
          <w:rPr>
            <w:noProof/>
          </w:rPr>
          <w:t>4</w:t>
        </w:r>
      </w:fldSimple>
      <w:r w:rsidR="00961B56">
        <w:t>.</w:t>
      </w:r>
      <w:fldSimple w:instr=" SEQ Figure \* ARABIC \s 1 ">
        <w:r w:rsidR="00D979B8">
          <w:rPr>
            <w:noProof/>
          </w:rPr>
          <w:t>6</w:t>
        </w:r>
      </w:fldSimple>
      <w:bookmarkStart w:id="184" w:name="_Toc41072088"/>
      <w:bookmarkStart w:id="185" w:name="_Toc41206829"/>
      <w:bookmarkStart w:id="186" w:name="_Toc41580002"/>
      <w:bookmarkStart w:id="187" w:name="_Toc41601490"/>
      <w:r w:rsidRPr="0015600B">
        <w:t xml:space="preserve">. Duluth - Monthly energy demand for residential heating, cooling, and hot water during the typical meteorological year with and without </w:t>
      </w:r>
      <w:r w:rsidR="00E93FFE">
        <w:t xml:space="preserve">a </w:t>
      </w:r>
      <w:r w:rsidRPr="0015600B">
        <w:t>solar collector.</w:t>
      </w:r>
      <w:bookmarkEnd w:id="183"/>
      <w:bookmarkEnd w:id="184"/>
      <w:bookmarkEnd w:id="185"/>
      <w:bookmarkEnd w:id="186"/>
      <w:bookmarkEnd w:id="187"/>
    </w:p>
    <w:p w14:paraId="3D87C15C" w14:textId="3C50B50F" w:rsidR="00DB3DC6" w:rsidRPr="0015600B" w:rsidRDefault="00DB3DC6" w:rsidP="00C764BF">
      <w:pPr>
        <w:pStyle w:val="Heading3"/>
        <w:numPr>
          <w:ilvl w:val="2"/>
          <w:numId w:val="15"/>
        </w:numPr>
      </w:pPr>
      <w:bookmarkStart w:id="188" w:name="_Toc43877990"/>
      <w:r w:rsidRPr="0015600B">
        <w:t>Oklahoma City, OK</w:t>
      </w:r>
      <w:bookmarkEnd w:id="188"/>
    </w:p>
    <w:p w14:paraId="1C11A85C" w14:textId="3565F6E2" w:rsidR="00DB3DC6" w:rsidRPr="0015600B" w:rsidRDefault="00DB3DC6" w:rsidP="00DB3DC6">
      <w:pPr>
        <w:spacing w:after="288"/>
      </w:pPr>
      <w:r w:rsidRPr="0015600B">
        <w:t>A residential building in Oklahoma City experience a mixed-humid climate zone indicating that it receives more than 20 in (50 cm) of annual precipitation and has approximately 5400 heating degree days</w:t>
      </w:r>
      <w:r w:rsidR="008F0CF3">
        <w:t>,</w:t>
      </w:r>
      <w:r w:rsidRPr="0015600B">
        <w:t xml:space="preserve"> and the monthly average outdoor air temperature drops below 45</w:t>
      </w:r>
      <w:r w:rsidRPr="0015600B">
        <w:rPr>
          <w:vertAlign w:val="superscript"/>
        </w:rPr>
        <w:t>0</w:t>
      </w:r>
      <w:r w:rsidRPr="0015600B">
        <w:t>F. Generally, a residential building in Oklahoma City requires about 23.63 MWh of energy and the 1.72MWh/m</w:t>
      </w:r>
      <w:r w:rsidRPr="0015600B">
        <w:rPr>
          <w:vertAlign w:val="superscript"/>
        </w:rPr>
        <w:t xml:space="preserve">2 </w:t>
      </w:r>
      <w:r w:rsidRPr="0015600B">
        <w:t>of solar radiation annually</w:t>
      </w:r>
      <w:r w:rsidR="008F0CF3">
        <w:t>;</w:t>
      </w:r>
      <w:r w:rsidRPr="0015600B">
        <w:t xml:space="preserve"> thus</w:t>
      </w:r>
      <w:r w:rsidR="008F0CF3">
        <w:t>,</w:t>
      </w:r>
      <w:r w:rsidRPr="0015600B">
        <w:t xml:space="preserve"> a 39.1</w:t>
      </w:r>
      <w:r w:rsidR="005D274C">
        <w:t>7</w:t>
      </w:r>
      <w:r w:rsidRPr="0015600B">
        <w:t>m</w:t>
      </w:r>
      <w:r w:rsidRPr="0015600B">
        <w:rPr>
          <w:vertAlign w:val="superscript"/>
        </w:rPr>
        <w:t>2</w:t>
      </w:r>
      <w:r w:rsidRPr="0015600B">
        <w:t xml:space="preserve"> solar collector and 21.59kWh thermal energy storage are required to meet average daily energy demand. The daily building energy demand and reduced energy due to deploying solar collector</w:t>
      </w:r>
      <w:r w:rsidR="00E93FFE">
        <w:t>s</w:t>
      </w:r>
      <w:r w:rsidRPr="0015600B">
        <w:t xml:space="preserve"> and thermal energy storage are shown in Figure </w:t>
      </w:r>
      <w:r w:rsidR="006C1B57">
        <w:t>4</w:t>
      </w:r>
      <w:r w:rsidRPr="0015600B">
        <w:t>.</w:t>
      </w:r>
      <w:r w:rsidR="006C1B57">
        <w:t>7</w:t>
      </w:r>
      <w:r w:rsidRPr="0015600B">
        <w:t xml:space="preserve">. </w:t>
      </w:r>
    </w:p>
    <w:p w14:paraId="6C74A544" w14:textId="0CEBA98C" w:rsidR="00DB3DC6" w:rsidRDefault="00DB3DC6" w:rsidP="00AC75B2">
      <w:pPr>
        <w:keepNext/>
        <w:spacing w:after="288"/>
        <w:ind w:firstLine="0"/>
      </w:pPr>
    </w:p>
    <w:p w14:paraId="66B9C48F" w14:textId="47562F26" w:rsidR="008820E2" w:rsidRPr="0015600B" w:rsidRDefault="003B2083" w:rsidP="004C1B4B">
      <w:pPr>
        <w:keepNext/>
        <w:spacing w:after="288"/>
        <w:ind w:firstLine="0"/>
        <w:jc w:val="center"/>
      </w:pPr>
      <w:r>
        <w:rPr>
          <w:noProof/>
        </w:rPr>
        <w:drawing>
          <wp:inline distT="0" distB="0" distL="0" distR="0" wp14:anchorId="3B026CA0" wp14:editId="74EEC736">
            <wp:extent cx="5486400" cy="3083560"/>
            <wp:effectExtent l="0" t="0" r="0" b="2540"/>
            <wp:docPr id="621847114" name="Picture 62184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86400" cy="3083560"/>
                    </a:xfrm>
                    <a:prstGeom prst="rect">
                      <a:avLst/>
                    </a:prstGeom>
                  </pic:spPr>
                </pic:pic>
              </a:graphicData>
            </a:graphic>
          </wp:inline>
        </w:drawing>
      </w:r>
    </w:p>
    <w:p w14:paraId="51F5055B" w14:textId="6F84EFCA" w:rsidR="00DB3DC6" w:rsidRPr="0015600B" w:rsidRDefault="00DB3DC6" w:rsidP="00037B41">
      <w:pPr>
        <w:pStyle w:val="Caption"/>
      </w:pPr>
      <w:bookmarkStart w:id="189" w:name="_Toc47467764"/>
      <w:r w:rsidRPr="0015600B">
        <w:t xml:space="preserve">Figure </w:t>
      </w:r>
      <w:fldSimple w:instr=" STYLEREF 1 \s ">
        <w:r w:rsidR="00D979B8">
          <w:rPr>
            <w:noProof/>
          </w:rPr>
          <w:t>4</w:t>
        </w:r>
      </w:fldSimple>
      <w:r w:rsidR="00961B56">
        <w:t>.</w:t>
      </w:r>
      <w:fldSimple w:instr=" SEQ Figure \* ARABIC \s 1 ">
        <w:r w:rsidR="00D979B8">
          <w:rPr>
            <w:noProof/>
          </w:rPr>
          <w:t>7</w:t>
        </w:r>
      </w:fldSimple>
      <w:bookmarkStart w:id="190" w:name="_Toc41072089"/>
      <w:bookmarkStart w:id="191" w:name="_Toc41206830"/>
      <w:bookmarkStart w:id="192" w:name="_Toc41580003"/>
      <w:bookmarkStart w:id="193" w:name="_Toc41601491"/>
      <w:r w:rsidRPr="0015600B">
        <w:t xml:space="preserve">. Oklahoma City - Daily energy demand for residential heating, cooling, and hot water during the typical meteorological year with and without </w:t>
      </w:r>
      <w:r w:rsidR="00E93FFE">
        <w:t xml:space="preserve">a </w:t>
      </w:r>
      <w:r w:rsidRPr="0015600B">
        <w:t>solar collector.</w:t>
      </w:r>
      <w:bookmarkEnd w:id="189"/>
      <w:bookmarkEnd w:id="190"/>
      <w:bookmarkEnd w:id="191"/>
      <w:bookmarkEnd w:id="192"/>
      <w:bookmarkEnd w:id="193"/>
    </w:p>
    <w:p w14:paraId="3FDB6460" w14:textId="3CC5970C" w:rsidR="00DB3DC6" w:rsidRPr="0015600B" w:rsidRDefault="00E377BD" w:rsidP="00DB3DC6">
      <w:pPr>
        <w:spacing w:after="288"/>
      </w:pPr>
      <w:r>
        <w:t>A</w:t>
      </w:r>
      <w:r w:rsidR="00DB3DC6" w:rsidRPr="0015600B">
        <w:t xml:space="preserve"> residential building in Oklahoma City, using </w:t>
      </w:r>
      <w:r w:rsidR="00E93FFE">
        <w:t xml:space="preserve">a </w:t>
      </w:r>
      <w:r w:rsidR="00DB3DC6" w:rsidRPr="0015600B">
        <w:t>39.17m</w:t>
      </w:r>
      <w:r w:rsidR="00DB3DC6" w:rsidRPr="0015600B">
        <w:rPr>
          <w:vertAlign w:val="superscript"/>
        </w:rPr>
        <w:t>2</w:t>
      </w:r>
      <w:r w:rsidR="00DB3DC6" w:rsidRPr="0015600B">
        <w:t xml:space="preserve"> solar collector with no thermal energy storage yields about 38% reduction in the annual conventional consumption while using the same solar thermal collector coupled with a 21.54kWh LHTES unit results in about 58% annual energy saving</w:t>
      </w:r>
      <w:r>
        <w:t xml:space="preserve"> (shown in Figure </w:t>
      </w:r>
      <w:r w:rsidR="006C1B57">
        <w:t>4.8</w:t>
      </w:r>
      <w:r>
        <w:t>)</w:t>
      </w:r>
      <w:r w:rsidR="00DB3DC6" w:rsidRPr="0015600B">
        <w:t xml:space="preserve">. Increasing (decreasing) solar collector and thermal energy storage size by 50% increases(decreases) energy saving with </w:t>
      </w:r>
      <w:r w:rsidR="00E93FFE">
        <w:t xml:space="preserve">the </w:t>
      </w:r>
      <w:r w:rsidR="00DB3DC6" w:rsidRPr="0015600B">
        <w:t>only solar collector to 41% (31%) respectively and by using both solar collector and thermal energy, the energy saving</w:t>
      </w:r>
      <w:r w:rsidR="00B140E4">
        <w:t>s</w:t>
      </w:r>
      <w:r w:rsidR="00DB3DC6" w:rsidRPr="0015600B">
        <w:t xml:space="preserve"> increasing(decreases) to about 71% (39%) respectively.</w:t>
      </w:r>
    </w:p>
    <w:p w14:paraId="5EA69B6D" w14:textId="4B03A36D" w:rsidR="00DB3DC6" w:rsidRDefault="00DB3DC6" w:rsidP="004C1B4B">
      <w:pPr>
        <w:keepNext/>
        <w:spacing w:after="288"/>
        <w:ind w:firstLine="0"/>
        <w:jc w:val="center"/>
      </w:pPr>
    </w:p>
    <w:p w14:paraId="3382ADAE" w14:textId="4E488580" w:rsidR="008820E2" w:rsidRPr="0015600B" w:rsidRDefault="008820E2" w:rsidP="004C1B4B">
      <w:pPr>
        <w:keepNext/>
        <w:spacing w:after="288"/>
        <w:ind w:firstLine="0"/>
        <w:jc w:val="center"/>
      </w:pPr>
      <w:r>
        <w:rPr>
          <w:noProof/>
        </w:rPr>
        <w:drawing>
          <wp:inline distT="0" distB="0" distL="0" distR="0" wp14:anchorId="4F366E9E" wp14:editId="5D3CEDD0">
            <wp:extent cx="5486400" cy="292862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86400" cy="2928620"/>
                    </a:xfrm>
                    <a:prstGeom prst="rect">
                      <a:avLst/>
                    </a:prstGeom>
                  </pic:spPr>
                </pic:pic>
              </a:graphicData>
            </a:graphic>
          </wp:inline>
        </w:drawing>
      </w:r>
    </w:p>
    <w:p w14:paraId="38A59BA9" w14:textId="3F190022" w:rsidR="00DB3DC6" w:rsidRPr="0015600B" w:rsidRDefault="00DB3DC6" w:rsidP="00037B41">
      <w:pPr>
        <w:pStyle w:val="Caption"/>
      </w:pPr>
      <w:bookmarkStart w:id="194" w:name="_Toc47467765"/>
      <w:r w:rsidRPr="0015600B">
        <w:t xml:space="preserve">Figure </w:t>
      </w:r>
      <w:fldSimple w:instr=" STYLEREF 1 \s ">
        <w:r w:rsidR="00D979B8">
          <w:rPr>
            <w:noProof/>
          </w:rPr>
          <w:t>4</w:t>
        </w:r>
      </w:fldSimple>
      <w:r w:rsidR="00961B56">
        <w:t>.</w:t>
      </w:r>
      <w:fldSimple w:instr=" SEQ Figure \* ARABIC \s 1 ">
        <w:r w:rsidR="00D979B8">
          <w:rPr>
            <w:noProof/>
          </w:rPr>
          <w:t>8</w:t>
        </w:r>
      </w:fldSimple>
      <w:bookmarkStart w:id="195" w:name="_Toc41072090"/>
      <w:bookmarkStart w:id="196" w:name="_Toc41206831"/>
      <w:bookmarkStart w:id="197" w:name="_Toc41580004"/>
      <w:bookmarkStart w:id="198" w:name="_Toc41601492"/>
      <w:r w:rsidRPr="0015600B">
        <w:t xml:space="preserve">. Oklahoma City - Monthly energy demand for residential heating, cooling, and hot water during the typical meteorological year with and without </w:t>
      </w:r>
      <w:r w:rsidR="00E93FFE">
        <w:t xml:space="preserve">a </w:t>
      </w:r>
      <w:r w:rsidRPr="0015600B">
        <w:t>solar collector.</w:t>
      </w:r>
      <w:bookmarkEnd w:id="194"/>
      <w:bookmarkEnd w:id="195"/>
      <w:bookmarkEnd w:id="196"/>
      <w:bookmarkEnd w:id="197"/>
      <w:bookmarkEnd w:id="198"/>
    </w:p>
    <w:p w14:paraId="44516DEC" w14:textId="3E9C28ED" w:rsidR="00DB3DC6" w:rsidRPr="0015600B" w:rsidRDefault="00DB3DC6" w:rsidP="00C764BF">
      <w:pPr>
        <w:pStyle w:val="Heading3"/>
        <w:numPr>
          <w:ilvl w:val="2"/>
          <w:numId w:val="15"/>
        </w:numPr>
      </w:pPr>
      <w:bookmarkStart w:id="199" w:name="_Toc43877991"/>
      <w:r w:rsidRPr="0015600B">
        <w:t>Albuquerque, NM</w:t>
      </w:r>
      <w:bookmarkEnd w:id="199"/>
    </w:p>
    <w:p w14:paraId="02F2D42D" w14:textId="760DF11D" w:rsidR="00DB3DC6" w:rsidRPr="0015600B" w:rsidRDefault="00DB3DC6" w:rsidP="00DB3DC6">
      <w:pPr>
        <w:spacing w:after="288"/>
      </w:pPr>
      <w:r w:rsidRPr="0015600B">
        <w:t>A residential building in Albuquerque experiences a mixed-dry climate condition. The total energy demand is about 19.37MWh</w:t>
      </w:r>
      <w:r w:rsidR="008F0CF3">
        <w:t>,</w:t>
      </w:r>
      <w:r w:rsidRPr="0015600B">
        <w:t xml:space="preserve"> and about 2.05</w:t>
      </w:r>
      <w:r w:rsidR="002B6530">
        <w:t>6</w:t>
      </w:r>
      <w:r w:rsidRPr="0015600B">
        <w:t>MWh/m</w:t>
      </w:r>
      <w:r w:rsidRPr="0015600B">
        <w:rPr>
          <w:vertAlign w:val="superscript"/>
        </w:rPr>
        <w:t xml:space="preserve">2 </w:t>
      </w:r>
      <w:r w:rsidRPr="0015600B">
        <w:t>solar radiation is available for harvest. The base equipment sizes are 22.7</w:t>
      </w:r>
      <w:r w:rsidR="002B6530">
        <w:t>1</w:t>
      </w:r>
      <w:r w:rsidRPr="0015600B">
        <w:t>m</w:t>
      </w:r>
      <w:r w:rsidRPr="0015600B">
        <w:rPr>
          <w:vertAlign w:val="superscript"/>
        </w:rPr>
        <w:t>2</w:t>
      </w:r>
      <w:r w:rsidRPr="0015600B">
        <w:t xml:space="preserve"> collector and 19.62kWh thermal storage. The daily building energy demand and reduced energy due to deploying solar collector</w:t>
      </w:r>
      <w:r w:rsidR="00E93FFE">
        <w:t>s</w:t>
      </w:r>
      <w:r w:rsidRPr="0015600B">
        <w:t xml:space="preserve"> and thermal energy storage are shown in Figure </w:t>
      </w:r>
      <w:r w:rsidR="006C1B57">
        <w:t>4.9</w:t>
      </w:r>
      <w:r w:rsidRPr="0015600B">
        <w:t xml:space="preserve">. </w:t>
      </w:r>
    </w:p>
    <w:p w14:paraId="38C262DE" w14:textId="65A15F9E" w:rsidR="00DB3DC6" w:rsidRDefault="00DB3DC6" w:rsidP="004C1B4B">
      <w:pPr>
        <w:keepNext/>
        <w:spacing w:after="288"/>
        <w:ind w:firstLine="0"/>
        <w:jc w:val="center"/>
      </w:pPr>
    </w:p>
    <w:p w14:paraId="2FA021FF" w14:textId="4ADBE81A" w:rsidR="004252B0" w:rsidRPr="0015600B" w:rsidRDefault="00BD4A2E" w:rsidP="004C1B4B">
      <w:pPr>
        <w:keepNext/>
        <w:spacing w:after="288"/>
        <w:ind w:firstLine="0"/>
        <w:jc w:val="center"/>
      </w:pPr>
      <w:r>
        <w:rPr>
          <w:noProof/>
        </w:rPr>
        <w:drawing>
          <wp:inline distT="0" distB="0" distL="0" distR="0" wp14:anchorId="1B181FD5" wp14:editId="30E091FD">
            <wp:extent cx="5486400" cy="3023870"/>
            <wp:effectExtent l="0" t="0" r="0" b="5080"/>
            <wp:docPr id="621847116" name="Picture 621847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86400" cy="3023870"/>
                    </a:xfrm>
                    <a:prstGeom prst="rect">
                      <a:avLst/>
                    </a:prstGeom>
                  </pic:spPr>
                </pic:pic>
              </a:graphicData>
            </a:graphic>
          </wp:inline>
        </w:drawing>
      </w:r>
    </w:p>
    <w:p w14:paraId="1457B20D" w14:textId="4214F09F" w:rsidR="00DB3DC6" w:rsidRPr="0015600B" w:rsidRDefault="00DB3DC6" w:rsidP="00037B41">
      <w:pPr>
        <w:pStyle w:val="Caption"/>
      </w:pPr>
      <w:bookmarkStart w:id="200" w:name="_Toc47467766"/>
      <w:r w:rsidRPr="0015600B">
        <w:t xml:space="preserve">Figure </w:t>
      </w:r>
      <w:fldSimple w:instr=" STYLEREF 1 \s ">
        <w:r w:rsidR="00D979B8">
          <w:rPr>
            <w:noProof/>
          </w:rPr>
          <w:t>4</w:t>
        </w:r>
      </w:fldSimple>
      <w:r w:rsidR="00961B56">
        <w:t>.</w:t>
      </w:r>
      <w:fldSimple w:instr=" SEQ Figure \* ARABIC \s 1 ">
        <w:r w:rsidR="00D979B8">
          <w:rPr>
            <w:noProof/>
          </w:rPr>
          <w:t>9</w:t>
        </w:r>
      </w:fldSimple>
      <w:r w:rsidRPr="0015600B">
        <w:t>.</w:t>
      </w:r>
      <w:bookmarkStart w:id="201" w:name="_Toc41072091"/>
      <w:bookmarkStart w:id="202" w:name="_Toc41206832"/>
      <w:bookmarkStart w:id="203" w:name="_Toc41580005"/>
      <w:bookmarkStart w:id="204" w:name="_Toc41601493"/>
      <w:r w:rsidRPr="0015600B">
        <w:t xml:space="preserve"> Albuquerque - Daily energy demand for residential heating, cooling, and hot water during the typical meteorological year with and without </w:t>
      </w:r>
      <w:r w:rsidR="00E93FFE">
        <w:t xml:space="preserve">a </w:t>
      </w:r>
      <w:r w:rsidRPr="0015600B">
        <w:t>solar collector.</w:t>
      </w:r>
      <w:bookmarkEnd w:id="200"/>
      <w:bookmarkEnd w:id="201"/>
      <w:bookmarkEnd w:id="202"/>
      <w:bookmarkEnd w:id="203"/>
      <w:bookmarkEnd w:id="204"/>
    </w:p>
    <w:p w14:paraId="03564736" w14:textId="22DEB45D" w:rsidR="00DB3DC6" w:rsidRPr="0015600B" w:rsidRDefault="00DB3DC6" w:rsidP="00DB3DC6">
      <w:pPr>
        <w:spacing w:after="288"/>
      </w:pPr>
      <w:r w:rsidRPr="0015600B">
        <w:rPr>
          <w:iCs/>
        </w:rPr>
        <w:t xml:space="preserve">The monthly energy demands are summarized in Figure </w:t>
      </w:r>
      <w:r w:rsidR="006C1B57">
        <w:rPr>
          <w:iCs/>
        </w:rPr>
        <w:t>4.10</w:t>
      </w:r>
      <w:r w:rsidRPr="0015600B">
        <w:rPr>
          <w:iCs/>
        </w:rPr>
        <w:t xml:space="preserve">.  </w:t>
      </w:r>
      <w:r w:rsidRPr="0015600B">
        <w:t xml:space="preserve">For a residential building in Albuquerque, using </w:t>
      </w:r>
      <w:r w:rsidR="00E93FFE">
        <w:t xml:space="preserve">a </w:t>
      </w:r>
      <w:r w:rsidRPr="0015600B">
        <w:t>22.71m</w:t>
      </w:r>
      <w:r w:rsidRPr="0015600B">
        <w:rPr>
          <w:vertAlign w:val="superscript"/>
        </w:rPr>
        <w:t>2</w:t>
      </w:r>
      <w:r w:rsidRPr="0015600B">
        <w:t xml:space="preserve"> solar collector with no thermal energy storage yields about 38% reduction in the annual conventional consumption. Using the same solar thermal collector coupled with a 19.62kWh LHTES unit results in about 66% annual energy saving. Increasing (decreasing) solar collector and thermal energy storage size by 50% increases(decreases) energy saving with </w:t>
      </w:r>
      <w:r w:rsidR="00E93FFE">
        <w:t xml:space="preserve">the </w:t>
      </w:r>
      <w:r w:rsidRPr="0015600B">
        <w:t>only solar collector to 40% (30%) respectively and by using both solar collector and thermal energy, the energy saving</w:t>
      </w:r>
      <w:r w:rsidR="00B140E4">
        <w:t>s</w:t>
      </w:r>
      <w:r w:rsidRPr="0015600B">
        <w:t xml:space="preserve"> increasing(decreases) to about 85% (52%) respectively.</w:t>
      </w:r>
    </w:p>
    <w:p w14:paraId="28841B11" w14:textId="7ADE1420" w:rsidR="003E2D43" w:rsidRDefault="003E2D43" w:rsidP="003E2D43">
      <w:pPr>
        <w:keepNext/>
        <w:spacing w:after="288"/>
        <w:ind w:firstLine="0"/>
        <w:jc w:val="center"/>
      </w:pPr>
    </w:p>
    <w:p w14:paraId="2E47808D" w14:textId="10B688DD" w:rsidR="004252B0" w:rsidRDefault="004252B0" w:rsidP="003E2D43">
      <w:pPr>
        <w:keepNext/>
        <w:spacing w:after="288"/>
        <w:ind w:firstLine="0"/>
        <w:jc w:val="center"/>
      </w:pPr>
      <w:r>
        <w:rPr>
          <w:noProof/>
        </w:rPr>
        <w:drawing>
          <wp:inline distT="0" distB="0" distL="0" distR="0" wp14:anchorId="45AD3D6F" wp14:editId="1C3A4DC0">
            <wp:extent cx="5486400" cy="29343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86400" cy="2934335"/>
                    </a:xfrm>
                    <a:prstGeom prst="rect">
                      <a:avLst/>
                    </a:prstGeom>
                  </pic:spPr>
                </pic:pic>
              </a:graphicData>
            </a:graphic>
          </wp:inline>
        </w:drawing>
      </w:r>
    </w:p>
    <w:p w14:paraId="51DA8909" w14:textId="25F3E319" w:rsidR="00DB3DC6" w:rsidRPr="0015600B" w:rsidRDefault="003E2D43" w:rsidP="00037B41">
      <w:pPr>
        <w:pStyle w:val="Caption"/>
      </w:pPr>
      <w:bookmarkStart w:id="205" w:name="_Toc47467767"/>
      <w:r>
        <w:t xml:space="preserve">Figure </w:t>
      </w:r>
      <w:fldSimple w:instr=" STYLEREF 1 \s ">
        <w:r w:rsidR="00D979B8">
          <w:rPr>
            <w:noProof/>
          </w:rPr>
          <w:t>4</w:t>
        </w:r>
      </w:fldSimple>
      <w:r w:rsidR="00961B56">
        <w:t>.</w:t>
      </w:r>
      <w:fldSimple w:instr=" SEQ Figure \* ARABIC \s 1 ">
        <w:r w:rsidR="00D979B8">
          <w:rPr>
            <w:noProof/>
          </w:rPr>
          <w:t>10</w:t>
        </w:r>
      </w:fldSimple>
      <w:r>
        <w:t>.</w:t>
      </w:r>
      <w:bookmarkStart w:id="206" w:name="_Toc41072092"/>
      <w:bookmarkStart w:id="207" w:name="_Toc41206833"/>
      <w:bookmarkStart w:id="208" w:name="_Toc41580006"/>
      <w:bookmarkStart w:id="209" w:name="_Toc41601494"/>
      <w:r w:rsidR="00DB3DC6" w:rsidRPr="0015600B">
        <w:t xml:space="preserve"> Albuquerque - Daily energy demand for residential heating, cooling, and hot water during the typical meteorological year with and without </w:t>
      </w:r>
      <w:r w:rsidR="00E93FFE">
        <w:t xml:space="preserve">a </w:t>
      </w:r>
      <w:r w:rsidR="00DB3DC6" w:rsidRPr="0015600B">
        <w:t>solar collector.</w:t>
      </w:r>
      <w:bookmarkEnd w:id="205"/>
      <w:bookmarkEnd w:id="206"/>
      <w:bookmarkEnd w:id="207"/>
      <w:bookmarkEnd w:id="208"/>
      <w:bookmarkEnd w:id="209"/>
    </w:p>
    <w:p w14:paraId="47C80C44" w14:textId="523DE598" w:rsidR="00DB3DC6" w:rsidRPr="0015600B" w:rsidRDefault="00DB3DC6" w:rsidP="00C764BF">
      <w:pPr>
        <w:pStyle w:val="Heading3"/>
        <w:numPr>
          <w:ilvl w:val="2"/>
          <w:numId w:val="15"/>
        </w:numPr>
      </w:pPr>
      <w:bookmarkStart w:id="210" w:name="_Toc43877992"/>
      <w:r w:rsidRPr="0015600B">
        <w:t>Los Angeles, CA</w:t>
      </w:r>
      <w:bookmarkEnd w:id="210"/>
    </w:p>
    <w:p w14:paraId="608B590E" w14:textId="699E915A" w:rsidR="00DB3DC6" w:rsidRPr="0015600B" w:rsidRDefault="00DB3DC6" w:rsidP="00472A05">
      <w:r w:rsidRPr="0015600B">
        <w:t>A residential building in Los Angeles is in a hot-dry climate zone</w:t>
      </w:r>
      <w:r w:rsidR="008F0CF3">
        <w:t>,</w:t>
      </w:r>
      <w:r w:rsidRPr="0015600B">
        <w:t xml:space="preserve"> i.e.</w:t>
      </w:r>
      <w:r w:rsidR="008F0CF3">
        <w:t>,</w:t>
      </w:r>
      <w:r w:rsidRPr="0015600B">
        <w:t xml:space="preserve"> it received less than 20 in (50cm) of annual precipitation</w:t>
      </w:r>
      <w:r w:rsidR="008F0CF3">
        <w:t>,</w:t>
      </w:r>
      <w:r w:rsidRPr="0015600B">
        <w:t xml:space="preserve"> and </w:t>
      </w:r>
      <w:r w:rsidR="00E93FFE">
        <w:t xml:space="preserve">the </w:t>
      </w:r>
      <w:r w:rsidRPr="0015600B">
        <w:t xml:space="preserve">monthly outdoor temperature remains above 45 </w:t>
      </w:r>
      <w:r w:rsidRPr="0015600B">
        <w:rPr>
          <w:vertAlign w:val="superscript"/>
        </w:rPr>
        <w:t>0</w:t>
      </w:r>
      <w:r w:rsidRPr="0015600B">
        <w:t>F (7</w:t>
      </w:r>
      <w:r w:rsidRPr="0015600B">
        <w:rPr>
          <w:vertAlign w:val="superscript"/>
        </w:rPr>
        <w:t>0</w:t>
      </w:r>
      <w:r w:rsidRPr="0015600B">
        <w:t>C). The annual energy demand is about 8.418MWh</w:t>
      </w:r>
      <w:r w:rsidR="008F0CF3">
        <w:t>,</w:t>
      </w:r>
      <w:r w:rsidRPr="0015600B">
        <w:t xml:space="preserve"> and the solar radiation index is about 1.76MWh/m</w:t>
      </w:r>
      <w:r w:rsidRPr="0015600B">
        <w:rPr>
          <w:vertAlign w:val="superscript"/>
        </w:rPr>
        <w:t>2</w:t>
      </w:r>
      <w:r w:rsidR="008F0CF3">
        <w:t xml:space="preserve">; </w:t>
      </w:r>
      <w:r w:rsidRPr="0015600B">
        <w:t>thus</w:t>
      </w:r>
      <w:r w:rsidR="008F0CF3">
        <w:t>,</w:t>
      </w:r>
      <w:r w:rsidRPr="0015600B">
        <w:t xml:space="preserve"> 11.0</w:t>
      </w:r>
      <w:r w:rsidR="00504FA8">
        <w:t>4</w:t>
      </w:r>
      <w:r w:rsidRPr="0015600B">
        <w:t>m</w:t>
      </w:r>
      <w:r w:rsidRPr="0015600B">
        <w:rPr>
          <w:vertAlign w:val="superscript"/>
        </w:rPr>
        <w:t>2</w:t>
      </w:r>
      <w:r w:rsidRPr="0015600B">
        <w:t xml:space="preserve"> solar collector</w:t>
      </w:r>
      <w:r w:rsidR="008F0CF3">
        <w:t>s</w:t>
      </w:r>
      <w:r w:rsidRPr="0015600B">
        <w:t xml:space="preserve"> can be used to meet daily energy demand. </w:t>
      </w:r>
      <w:r w:rsidR="00E93FFE">
        <w:t>The</w:t>
      </w:r>
      <w:r w:rsidRPr="0015600B">
        <w:t xml:space="preserve"> thermal energy storage needed is about 7.615kWh. The daily building energy demand and reduced energy due to deploying solar collector</w:t>
      </w:r>
      <w:r w:rsidR="00E93FFE">
        <w:t>s</w:t>
      </w:r>
      <w:r w:rsidRPr="0015600B">
        <w:t xml:space="preserve"> and thermal energy storage are shown in Figure </w:t>
      </w:r>
      <w:r w:rsidR="00CC25B6">
        <w:t>4.11</w:t>
      </w:r>
      <w:r w:rsidRPr="0015600B">
        <w:t>.</w:t>
      </w:r>
    </w:p>
    <w:p w14:paraId="5CE44B72" w14:textId="34B706C3" w:rsidR="00DB3DC6" w:rsidRDefault="00DB3DC6" w:rsidP="004C1B4B">
      <w:pPr>
        <w:keepNext/>
        <w:spacing w:after="288"/>
        <w:ind w:firstLine="0"/>
        <w:jc w:val="center"/>
      </w:pPr>
    </w:p>
    <w:p w14:paraId="50F769DE" w14:textId="724192E2" w:rsidR="00263B6E" w:rsidRPr="0015600B" w:rsidRDefault="00BD4A2E" w:rsidP="004C1B4B">
      <w:pPr>
        <w:keepNext/>
        <w:spacing w:after="288"/>
        <w:ind w:firstLine="0"/>
        <w:jc w:val="center"/>
      </w:pPr>
      <w:r>
        <w:rPr>
          <w:noProof/>
        </w:rPr>
        <w:drawing>
          <wp:inline distT="0" distB="0" distL="0" distR="0" wp14:anchorId="1434AE9C" wp14:editId="76F34B22">
            <wp:extent cx="5486400" cy="2320290"/>
            <wp:effectExtent l="0" t="0" r="0" b="3810"/>
            <wp:docPr id="621847120" name="Picture 62184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86400" cy="2320290"/>
                    </a:xfrm>
                    <a:prstGeom prst="rect">
                      <a:avLst/>
                    </a:prstGeom>
                  </pic:spPr>
                </pic:pic>
              </a:graphicData>
            </a:graphic>
          </wp:inline>
        </w:drawing>
      </w:r>
    </w:p>
    <w:p w14:paraId="3D2F3AB1" w14:textId="5B51323B" w:rsidR="00DB3DC6" w:rsidRPr="0015600B" w:rsidRDefault="00DB3DC6" w:rsidP="00037B41">
      <w:pPr>
        <w:pStyle w:val="Caption"/>
      </w:pPr>
      <w:bookmarkStart w:id="211" w:name="_Toc47467768"/>
      <w:r w:rsidRPr="0015600B">
        <w:t xml:space="preserve">Figure </w:t>
      </w:r>
      <w:fldSimple w:instr=" STYLEREF 1 \s ">
        <w:r w:rsidR="00D979B8">
          <w:rPr>
            <w:noProof/>
          </w:rPr>
          <w:t>4</w:t>
        </w:r>
      </w:fldSimple>
      <w:r w:rsidR="00961B56">
        <w:t>.</w:t>
      </w:r>
      <w:fldSimple w:instr=" SEQ Figure \* ARABIC \s 1 ">
        <w:r w:rsidR="00D979B8">
          <w:rPr>
            <w:noProof/>
          </w:rPr>
          <w:t>11</w:t>
        </w:r>
      </w:fldSimple>
      <w:r w:rsidRPr="0015600B">
        <w:t>.</w:t>
      </w:r>
      <w:bookmarkStart w:id="212" w:name="_Toc41072093"/>
      <w:bookmarkStart w:id="213" w:name="_Toc41206834"/>
      <w:bookmarkStart w:id="214" w:name="_Toc41580007"/>
      <w:bookmarkStart w:id="215" w:name="_Toc41601495"/>
      <w:r w:rsidRPr="0015600B">
        <w:t xml:space="preserve"> Los Angeles - Daily energy demand for residential heating, cooling, and hot water during the typical meteorological year with and without </w:t>
      </w:r>
      <w:r w:rsidR="00E93FFE">
        <w:t xml:space="preserve">a </w:t>
      </w:r>
      <w:r w:rsidRPr="0015600B">
        <w:t>solar collector.</w:t>
      </w:r>
      <w:bookmarkEnd w:id="211"/>
      <w:bookmarkEnd w:id="212"/>
      <w:bookmarkEnd w:id="213"/>
      <w:bookmarkEnd w:id="214"/>
      <w:bookmarkEnd w:id="215"/>
    </w:p>
    <w:p w14:paraId="57EB6FD1" w14:textId="7E729F46" w:rsidR="00DB3DC6" w:rsidRPr="0015600B" w:rsidRDefault="00DB3DC6" w:rsidP="00472A05">
      <w:r w:rsidRPr="0015600B">
        <w:rPr>
          <w:iCs/>
        </w:rPr>
        <w:t xml:space="preserve">The monthly energy demand </w:t>
      </w:r>
      <w:r w:rsidR="008E5274">
        <w:rPr>
          <w:iCs/>
        </w:rPr>
        <w:t xml:space="preserve">is </w:t>
      </w:r>
      <w:r w:rsidRPr="0015600B">
        <w:rPr>
          <w:iCs/>
        </w:rPr>
        <w:t xml:space="preserve">summarized in Figure </w:t>
      </w:r>
      <w:r w:rsidR="00CC25B6">
        <w:rPr>
          <w:iCs/>
        </w:rPr>
        <w:t>4.12</w:t>
      </w:r>
      <w:r w:rsidRPr="0015600B">
        <w:rPr>
          <w:iCs/>
        </w:rPr>
        <w:t xml:space="preserve">.  </w:t>
      </w:r>
      <w:r w:rsidRPr="0015600B">
        <w:t xml:space="preserve">For a residential building in Los Angeles, using </w:t>
      </w:r>
      <w:r w:rsidR="008F0CF3">
        <w:t xml:space="preserve">an </w:t>
      </w:r>
      <w:r w:rsidRPr="0015600B">
        <w:t>11.04m</w:t>
      </w:r>
      <w:r w:rsidRPr="0015600B">
        <w:rPr>
          <w:vertAlign w:val="superscript"/>
        </w:rPr>
        <w:t>2</w:t>
      </w:r>
      <w:r w:rsidRPr="0015600B">
        <w:t xml:space="preserve"> solar collector with no thermal energy storage yields about </w:t>
      </w:r>
      <w:r w:rsidR="008F0CF3">
        <w:t xml:space="preserve">a </w:t>
      </w:r>
      <w:r w:rsidRPr="0015600B">
        <w:t xml:space="preserve">43% reduction in the annual conventional consumption. Using the same solar thermal collector coupled with a 7.61kWh LHTES unit results in about 70% annual energy saving. Increasing (decreasing) solar collector and thermal energy storage size by 50% increases(decreases) energy saving with </w:t>
      </w:r>
      <w:r w:rsidR="00E93FFE">
        <w:t xml:space="preserve">the </w:t>
      </w:r>
      <w:r w:rsidRPr="0015600B">
        <w:t>only solar collector to 46% (36%) respectively and by using both solar collector and thermal energy, the energy saving</w:t>
      </w:r>
      <w:r w:rsidR="00B140E4">
        <w:t>s</w:t>
      </w:r>
      <w:r w:rsidRPr="0015600B">
        <w:t xml:space="preserve"> increasing(decreases) to about 86% (45%) respectively.</w:t>
      </w:r>
    </w:p>
    <w:p w14:paraId="7E2D84C1" w14:textId="6C8B397C" w:rsidR="00DB3DC6" w:rsidRDefault="00DB3DC6" w:rsidP="004C1B4B">
      <w:pPr>
        <w:keepNext/>
        <w:spacing w:after="288"/>
        <w:ind w:firstLine="0"/>
        <w:jc w:val="center"/>
      </w:pPr>
    </w:p>
    <w:p w14:paraId="293E757E" w14:textId="457DDD12" w:rsidR="00263B6E" w:rsidRPr="0015600B" w:rsidRDefault="00263B6E" w:rsidP="004C1B4B">
      <w:pPr>
        <w:keepNext/>
        <w:spacing w:after="288"/>
        <w:ind w:firstLine="0"/>
        <w:jc w:val="center"/>
      </w:pPr>
      <w:r>
        <w:rPr>
          <w:noProof/>
        </w:rPr>
        <w:drawing>
          <wp:inline distT="0" distB="0" distL="0" distR="0" wp14:anchorId="0896E69E" wp14:editId="4BF6523E">
            <wp:extent cx="5486400" cy="26644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86400" cy="2664460"/>
                    </a:xfrm>
                    <a:prstGeom prst="rect">
                      <a:avLst/>
                    </a:prstGeom>
                  </pic:spPr>
                </pic:pic>
              </a:graphicData>
            </a:graphic>
          </wp:inline>
        </w:drawing>
      </w:r>
    </w:p>
    <w:p w14:paraId="334AEC88" w14:textId="5F2CF617" w:rsidR="00DB3DC6" w:rsidRPr="0015600B" w:rsidRDefault="00DB3DC6" w:rsidP="00037B41">
      <w:pPr>
        <w:pStyle w:val="Caption"/>
      </w:pPr>
      <w:bookmarkStart w:id="216" w:name="_Toc47467769"/>
      <w:r w:rsidRPr="0015600B">
        <w:t xml:space="preserve">Figure </w:t>
      </w:r>
      <w:fldSimple w:instr=" STYLEREF 1 \s ">
        <w:r w:rsidR="00D979B8">
          <w:rPr>
            <w:noProof/>
          </w:rPr>
          <w:t>4</w:t>
        </w:r>
      </w:fldSimple>
      <w:r w:rsidR="00961B56">
        <w:t>.</w:t>
      </w:r>
      <w:fldSimple w:instr=" SEQ Figure \* ARABIC \s 1 ">
        <w:r w:rsidR="00D979B8">
          <w:rPr>
            <w:noProof/>
          </w:rPr>
          <w:t>12</w:t>
        </w:r>
      </w:fldSimple>
      <w:bookmarkStart w:id="217" w:name="_Toc41072094"/>
      <w:bookmarkStart w:id="218" w:name="_Toc41206835"/>
      <w:bookmarkStart w:id="219" w:name="_Toc41580008"/>
      <w:bookmarkStart w:id="220" w:name="_Toc41601496"/>
      <w:r w:rsidRPr="0015600B">
        <w:t xml:space="preserve">. Los Angeles - Monthly energy demand for residential heating, cooling, and hot water during the typical meteorological year with and without </w:t>
      </w:r>
      <w:r w:rsidR="00E93FFE">
        <w:t xml:space="preserve">a </w:t>
      </w:r>
      <w:r w:rsidRPr="0015600B">
        <w:t>solar collector.</w:t>
      </w:r>
      <w:bookmarkEnd w:id="216"/>
      <w:bookmarkEnd w:id="217"/>
      <w:bookmarkEnd w:id="218"/>
      <w:bookmarkEnd w:id="219"/>
      <w:bookmarkEnd w:id="220"/>
    </w:p>
    <w:p w14:paraId="5C60E02A" w14:textId="117F1377" w:rsidR="00DB3DC6" w:rsidRPr="0015600B" w:rsidRDefault="00DB3DC6" w:rsidP="00C764BF">
      <w:pPr>
        <w:pStyle w:val="Heading3"/>
        <w:numPr>
          <w:ilvl w:val="2"/>
          <w:numId w:val="15"/>
        </w:numPr>
      </w:pPr>
      <w:bookmarkStart w:id="221" w:name="_Toc43877993"/>
      <w:r w:rsidRPr="0015600B">
        <w:t>Reno, NV</w:t>
      </w:r>
      <w:bookmarkEnd w:id="221"/>
    </w:p>
    <w:p w14:paraId="0B84A565" w14:textId="689C942D" w:rsidR="00DB3DC6" w:rsidRPr="0015600B" w:rsidRDefault="00DB3DC6" w:rsidP="00472A05">
      <w:pPr>
        <w:rPr>
          <w:b/>
          <w:bCs/>
        </w:rPr>
      </w:pPr>
      <w:r w:rsidRPr="0015600B">
        <w:t>A residential building in Reno experiences a cold climate condition</w:t>
      </w:r>
      <w:r w:rsidR="008F0CF3">
        <w:t>,</w:t>
      </w:r>
      <w:r w:rsidRPr="0015600B">
        <w:t xml:space="preserve"> i.e.</w:t>
      </w:r>
      <w:r w:rsidR="008F0CF3">
        <w:t>,</w:t>
      </w:r>
      <w:r w:rsidRPr="0015600B">
        <w:t xml:space="preserve"> heating degree days range between 5400 and 9000. The energy demand to meet heating, cooling</w:t>
      </w:r>
      <w:r w:rsidR="008F0CF3">
        <w:t>,</w:t>
      </w:r>
      <w:r w:rsidRPr="0015600B">
        <w:t xml:space="preserve"> and hot water loads </w:t>
      </w:r>
      <w:r w:rsidR="008F0CF3">
        <w:t>are</w:t>
      </w:r>
      <w:r w:rsidRPr="0015600B">
        <w:t xml:space="preserve"> about 33.437MWh</w:t>
      </w:r>
      <w:r w:rsidR="008F0CF3">
        <w:t>,</w:t>
      </w:r>
      <w:r w:rsidRPr="0015600B">
        <w:t xml:space="preserve"> and the available solar radiation is 1.84MWh/m</w:t>
      </w:r>
      <w:r w:rsidRPr="0015600B">
        <w:rPr>
          <w:vertAlign w:val="superscript"/>
        </w:rPr>
        <w:t>2</w:t>
      </w:r>
      <w:r w:rsidRPr="0015600B">
        <w:t>. A 56.4 m</w:t>
      </w:r>
      <w:r w:rsidRPr="0015600B">
        <w:rPr>
          <w:vertAlign w:val="superscript"/>
        </w:rPr>
        <w:t>2</w:t>
      </w:r>
      <w:r w:rsidRPr="0015600B">
        <w:t xml:space="preserve"> solar collector and 36.39kWh thermal energy storage are required as base sizes. The daily building energy demand and reduced energy due to deploying solar collector</w:t>
      </w:r>
      <w:r w:rsidR="00E93FFE">
        <w:t>s</w:t>
      </w:r>
      <w:r w:rsidRPr="0015600B">
        <w:t xml:space="preserve"> and thermal energy storage are shown in Figure </w:t>
      </w:r>
      <w:r w:rsidR="00CC25B6">
        <w:t>4</w:t>
      </w:r>
      <w:r w:rsidRPr="0015600B">
        <w:t>.1</w:t>
      </w:r>
      <w:r w:rsidR="00CC25B6">
        <w:t>3</w:t>
      </w:r>
      <w:r w:rsidRPr="0015600B">
        <w:t>.</w:t>
      </w:r>
    </w:p>
    <w:p w14:paraId="6DF93449" w14:textId="47F93834" w:rsidR="00FF2658" w:rsidRPr="00FF2658" w:rsidRDefault="00BD4A2E" w:rsidP="00914219">
      <w:pPr>
        <w:ind w:firstLine="0"/>
      </w:pPr>
      <w:r>
        <w:rPr>
          <w:noProof/>
          <w:sz w:val="22"/>
        </w:rPr>
        <w:lastRenderedPageBreak/>
        <w:drawing>
          <wp:inline distT="0" distB="0" distL="0" distR="0" wp14:anchorId="5E10EB9A" wp14:editId="7BFD0387">
            <wp:extent cx="5486400" cy="2602865"/>
            <wp:effectExtent l="0" t="0" r="0" b="6985"/>
            <wp:docPr id="621847121" name="Picture 62184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86400" cy="2602865"/>
                    </a:xfrm>
                    <a:prstGeom prst="rect">
                      <a:avLst/>
                    </a:prstGeom>
                  </pic:spPr>
                </pic:pic>
              </a:graphicData>
            </a:graphic>
          </wp:inline>
        </w:drawing>
      </w:r>
    </w:p>
    <w:p w14:paraId="2A57C961" w14:textId="1F3FC506" w:rsidR="00DB3DC6" w:rsidRPr="0015600B" w:rsidRDefault="00DB3DC6" w:rsidP="00037B41">
      <w:pPr>
        <w:pStyle w:val="Caption"/>
      </w:pPr>
      <w:bookmarkStart w:id="222" w:name="_Toc47467770"/>
      <w:r w:rsidRPr="0015600B">
        <w:t xml:space="preserve">Figure </w:t>
      </w:r>
      <w:fldSimple w:instr=" STYLEREF 1 \s ">
        <w:r w:rsidR="00D979B8">
          <w:rPr>
            <w:noProof/>
          </w:rPr>
          <w:t>4</w:t>
        </w:r>
      </w:fldSimple>
      <w:r w:rsidR="00961B56">
        <w:t>.</w:t>
      </w:r>
      <w:fldSimple w:instr=" SEQ Figure \* ARABIC \s 1 ">
        <w:r w:rsidR="00D979B8">
          <w:rPr>
            <w:noProof/>
          </w:rPr>
          <w:t>13</w:t>
        </w:r>
      </w:fldSimple>
      <w:r w:rsidRPr="0015600B">
        <w:t>.</w:t>
      </w:r>
      <w:bookmarkStart w:id="223" w:name="_Toc41072095"/>
      <w:bookmarkStart w:id="224" w:name="_Toc41206836"/>
      <w:bookmarkStart w:id="225" w:name="_Toc41580009"/>
      <w:bookmarkStart w:id="226" w:name="_Toc41601497"/>
      <w:r w:rsidRPr="0015600B">
        <w:t xml:space="preserve"> Reno - Daily energy demand for residential heating, cooling, and hot water during the typical </w:t>
      </w:r>
      <w:r w:rsidRPr="00FF2658">
        <w:t>meteorological</w:t>
      </w:r>
      <w:r w:rsidRPr="0015600B">
        <w:t xml:space="preserve"> year with and without </w:t>
      </w:r>
      <w:r w:rsidR="00E93FFE">
        <w:t xml:space="preserve">a </w:t>
      </w:r>
      <w:r w:rsidRPr="0015600B">
        <w:t>solar collector.</w:t>
      </w:r>
      <w:bookmarkEnd w:id="222"/>
      <w:bookmarkEnd w:id="223"/>
      <w:bookmarkEnd w:id="224"/>
      <w:bookmarkEnd w:id="225"/>
      <w:bookmarkEnd w:id="226"/>
    </w:p>
    <w:p w14:paraId="04D5647C" w14:textId="15FD9058" w:rsidR="00DB3DC6" w:rsidRPr="0015600B" w:rsidRDefault="00DB3DC6" w:rsidP="00DB3DC6">
      <w:pPr>
        <w:spacing w:after="288"/>
        <w:rPr>
          <w:iCs/>
        </w:rPr>
      </w:pPr>
      <w:r w:rsidRPr="0015600B">
        <w:rPr>
          <w:iCs/>
        </w:rPr>
        <w:t xml:space="preserve">In Figure </w:t>
      </w:r>
      <w:r w:rsidR="00CC25B6">
        <w:rPr>
          <w:iCs/>
        </w:rPr>
        <w:t>4</w:t>
      </w:r>
      <w:r w:rsidRPr="0015600B">
        <w:rPr>
          <w:iCs/>
        </w:rPr>
        <w:t>.1</w:t>
      </w:r>
      <w:r w:rsidR="00CC25B6">
        <w:rPr>
          <w:iCs/>
        </w:rPr>
        <w:t>4</w:t>
      </w:r>
      <w:r w:rsidRPr="0015600B">
        <w:rPr>
          <w:iCs/>
        </w:rPr>
        <w:t xml:space="preserve">, a monthly energy demand with and without </w:t>
      </w:r>
      <w:r w:rsidR="00E93FFE">
        <w:rPr>
          <w:iCs/>
        </w:rPr>
        <w:t xml:space="preserve">a </w:t>
      </w:r>
      <w:r w:rsidRPr="0015600B">
        <w:rPr>
          <w:iCs/>
        </w:rPr>
        <w:t xml:space="preserve">solar collector is presented. </w:t>
      </w:r>
      <w:r w:rsidRPr="0015600B">
        <w:t xml:space="preserve">For a residential building in Reno, using </w:t>
      </w:r>
      <w:r w:rsidR="00E93FFE">
        <w:t xml:space="preserve">a </w:t>
      </w:r>
      <w:r w:rsidRPr="0015600B">
        <w:t>28.20 m</w:t>
      </w:r>
      <w:r w:rsidRPr="0015600B">
        <w:rPr>
          <w:vertAlign w:val="superscript"/>
        </w:rPr>
        <w:t>2</w:t>
      </w:r>
      <w:r w:rsidRPr="0015600B">
        <w:t xml:space="preserve"> solar collector with no thermal energy storage yields about </w:t>
      </w:r>
      <w:r w:rsidR="008F0CF3">
        <w:t xml:space="preserve">a </w:t>
      </w:r>
      <w:r w:rsidRPr="0015600B">
        <w:t xml:space="preserve">34% reduction in the annual conventional consumption. Using the same solar thermal collector coupled with a 36.39kWh LHTES unit results in about 63% annual energy saving. Increasing (decreasing) solar collector and thermal energy storage size by 50% increases(decreases) energy saving with </w:t>
      </w:r>
      <w:r w:rsidR="00E93FFE">
        <w:t xml:space="preserve">the </w:t>
      </w:r>
      <w:r w:rsidRPr="0015600B">
        <w:t>only solar collector to 36% (28%) respectively and by using both solar collector and thermal energy, the energy saving</w:t>
      </w:r>
      <w:r w:rsidR="00B140E4">
        <w:t>s</w:t>
      </w:r>
      <w:r w:rsidRPr="0015600B">
        <w:t xml:space="preserve"> increasing(decreases) to about 78% (42%) respectively.</w:t>
      </w:r>
      <w:r w:rsidRPr="0015600B">
        <w:rPr>
          <w:iCs/>
        </w:rPr>
        <w:t xml:space="preserve"> </w:t>
      </w:r>
    </w:p>
    <w:p w14:paraId="097C9F26" w14:textId="2B551624" w:rsidR="00DB3DC6" w:rsidRDefault="00DB3DC6" w:rsidP="004C1B4B">
      <w:pPr>
        <w:keepNext/>
        <w:spacing w:after="288"/>
        <w:ind w:firstLine="0"/>
        <w:jc w:val="center"/>
      </w:pPr>
    </w:p>
    <w:p w14:paraId="17F93B51" w14:textId="64D09F13" w:rsidR="00263B6E" w:rsidRPr="0015600B" w:rsidRDefault="00263B6E" w:rsidP="004C1B4B">
      <w:pPr>
        <w:keepNext/>
        <w:spacing w:after="288"/>
        <w:ind w:firstLine="0"/>
        <w:jc w:val="center"/>
      </w:pPr>
      <w:r>
        <w:rPr>
          <w:noProof/>
        </w:rPr>
        <w:drawing>
          <wp:inline distT="0" distB="0" distL="0" distR="0" wp14:anchorId="32738AF2" wp14:editId="0C6A5397">
            <wp:extent cx="5486400" cy="32404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86400" cy="3240405"/>
                    </a:xfrm>
                    <a:prstGeom prst="rect">
                      <a:avLst/>
                    </a:prstGeom>
                  </pic:spPr>
                </pic:pic>
              </a:graphicData>
            </a:graphic>
          </wp:inline>
        </w:drawing>
      </w:r>
    </w:p>
    <w:p w14:paraId="0CF22DD4" w14:textId="689A5363" w:rsidR="00DB3DC6" w:rsidRPr="0015600B" w:rsidRDefault="00DB3DC6" w:rsidP="00037B41">
      <w:pPr>
        <w:pStyle w:val="Caption"/>
      </w:pPr>
      <w:bookmarkStart w:id="227" w:name="_Toc47467771"/>
      <w:r w:rsidRPr="0015600B">
        <w:t xml:space="preserve">Figure </w:t>
      </w:r>
      <w:fldSimple w:instr=" STYLEREF 1 \s ">
        <w:r w:rsidR="00D979B8">
          <w:rPr>
            <w:noProof/>
          </w:rPr>
          <w:t>4</w:t>
        </w:r>
      </w:fldSimple>
      <w:r w:rsidR="00961B56">
        <w:t>.</w:t>
      </w:r>
      <w:fldSimple w:instr=" SEQ Figure \* ARABIC \s 1 ">
        <w:r w:rsidR="00D979B8">
          <w:rPr>
            <w:noProof/>
          </w:rPr>
          <w:t>14</w:t>
        </w:r>
      </w:fldSimple>
      <w:r w:rsidRPr="0015600B">
        <w:t>.</w:t>
      </w:r>
      <w:bookmarkStart w:id="228" w:name="_Toc41072096"/>
      <w:bookmarkStart w:id="229" w:name="_Toc41206837"/>
      <w:bookmarkStart w:id="230" w:name="_Toc41580010"/>
      <w:bookmarkStart w:id="231" w:name="_Toc41601498"/>
      <w:r w:rsidRPr="0015600B">
        <w:t xml:space="preserve"> Reno - Monthly energy demand for residential heating, cooling, and hot water during the typical meteorological year with and without </w:t>
      </w:r>
      <w:r w:rsidR="00E93FFE">
        <w:t xml:space="preserve">a </w:t>
      </w:r>
      <w:r w:rsidRPr="0015600B">
        <w:t>solar collector.</w:t>
      </w:r>
      <w:bookmarkEnd w:id="227"/>
      <w:bookmarkEnd w:id="228"/>
      <w:bookmarkEnd w:id="229"/>
      <w:bookmarkEnd w:id="230"/>
      <w:bookmarkEnd w:id="231"/>
    </w:p>
    <w:p w14:paraId="41D4DA42" w14:textId="29F66F57" w:rsidR="00DB3DC6" w:rsidRPr="0015600B" w:rsidRDefault="00DB3DC6" w:rsidP="00C764BF">
      <w:pPr>
        <w:pStyle w:val="Heading3"/>
        <w:numPr>
          <w:ilvl w:val="2"/>
          <w:numId w:val="15"/>
        </w:numPr>
      </w:pPr>
      <w:bookmarkStart w:id="232" w:name="_Toc43877994"/>
      <w:r w:rsidRPr="0015600B">
        <w:t>Portland, OR</w:t>
      </w:r>
      <w:bookmarkEnd w:id="232"/>
    </w:p>
    <w:p w14:paraId="1DC5F151" w14:textId="0D64EA0F" w:rsidR="00DB3DC6" w:rsidRPr="0015600B" w:rsidRDefault="00DB3DC6" w:rsidP="00472A05">
      <w:pPr>
        <w:rPr>
          <w:b/>
          <w:bCs/>
        </w:rPr>
      </w:pPr>
      <w:r w:rsidRPr="0015600B">
        <w:t>A residential building in Portland experiences a marine climate condition. The energy demand to meet heating, cooling</w:t>
      </w:r>
      <w:r w:rsidR="008F0CF3">
        <w:t>,</w:t>
      </w:r>
      <w:r w:rsidRPr="0015600B">
        <w:t xml:space="preserve"> and hot water loads </w:t>
      </w:r>
      <w:r w:rsidR="00E93FFE">
        <w:t>are</w:t>
      </w:r>
      <w:r w:rsidRPr="0015600B">
        <w:t xml:space="preserve"> about 24.</w:t>
      </w:r>
      <w:r w:rsidR="00CC25B6">
        <w:t>50</w:t>
      </w:r>
      <w:r w:rsidRPr="0015600B">
        <w:t xml:space="preserve"> MWh</w:t>
      </w:r>
      <w:r w:rsidR="008F0CF3">
        <w:t>,</w:t>
      </w:r>
      <w:r w:rsidRPr="0015600B">
        <w:t xml:space="preserve"> and the available solar radiation is 1.27MWh/m</w:t>
      </w:r>
      <w:r w:rsidRPr="0015600B">
        <w:rPr>
          <w:vertAlign w:val="superscript"/>
        </w:rPr>
        <w:t>2</w:t>
      </w:r>
      <w:r w:rsidRPr="0015600B">
        <w:t>. A solar collector of 86.2</w:t>
      </w:r>
      <w:r w:rsidR="008B554E">
        <w:t>8</w:t>
      </w:r>
      <w:r w:rsidRPr="0015600B">
        <w:t>m</w:t>
      </w:r>
      <w:r w:rsidRPr="0015600B">
        <w:rPr>
          <w:vertAlign w:val="superscript"/>
        </w:rPr>
        <w:t xml:space="preserve">2 </w:t>
      </w:r>
      <w:r w:rsidR="008F0CF3">
        <w:t>coupled with a</w:t>
      </w:r>
      <w:r w:rsidRPr="0015600B">
        <w:t xml:space="preserve"> 22.73kWh thermal energy storage </w:t>
      </w:r>
      <w:r w:rsidR="008F0CF3">
        <w:t>is</w:t>
      </w:r>
      <w:r w:rsidRPr="0015600B">
        <w:t xml:space="preserve"> required as base sizes. In Figure </w:t>
      </w:r>
      <w:r w:rsidR="00B271AB">
        <w:t>4.15</w:t>
      </w:r>
      <w:r w:rsidRPr="0015600B">
        <w:t>, daily energy with and without solar collector are presented. The daily building energy demand and reduced energy due to deploying solar collector</w:t>
      </w:r>
      <w:r w:rsidR="00E93FFE">
        <w:t>s</w:t>
      </w:r>
      <w:r w:rsidRPr="0015600B">
        <w:t xml:space="preserve"> and thermal energy storage</w:t>
      </w:r>
      <w:r w:rsidR="00B271AB">
        <w:t>.</w:t>
      </w:r>
    </w:p>
    <w:p w14:paraId="4DC77403" w14:textId="7A3F1B45" w:rsidR="00DB3DC6" w:rsidRDefault="00DB3DC6" w:rsidP="004C1B4B">
      <w:pPr>
        <w:keepNext/>
        <w:spacing w:after="288"/>
        <w:ind w:firstLine="0"/>
        <w:jc w:val="center"/>
      </w:pPr>
    </w:p>
    <w:p w14:paraId="51F1D8D1" w14:textId="2089B3E4" w:rsidR="00497494" w:rsidRPr="0015600B" w:rsidRDefault="006A3F50" w:rsidP="004C1B4B">
      <w:pPr>
        <w:keepNext/>
        <w:spacing w:after="288"/>
        <w:ind w:firstLine="0"/>
        <w:jc w:val="center"/>
      </w:pPr>
      <w:r>
        <w:rPr>
          <w:noProof/>
        </w:rPr>
        <w:drawing>
          <wp:inline distT="0" distB="0" distL="0" distR="0" wp14:anchorId="5DC6EBE5" wp14:editId="0736DA75">
            <wp:extent cx="5486400" cy="2397125"/>
            <wp:effectExtent l="0" t="0" r="0" b="3175"/>
            <wp:docPr id="621847122" name="Picture 62184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86400" cy="2397125"/>
                    </a:xfrm>
                    <a:prstGeom prst="rect">
                      <a:avLst/>
                    </a:prstGeom>
                  </pic:spPr>
                </pic:pic>
              </a:graphicData>
            </a:graphic>
          </wp:inline>
        </w:drawing>
      </w:r>
    </w:p>
    <w:p w14:paraId="77BA6AC8" w14:textId="35F9C13E" w:rsidR="00DB3DC6" w:rsidRPr="0015600B" w:rsidRDefault="00DB3DC6" w:rsidP="00037B41">
      <w:pPr>
        <w:pStyle w:val="Caption"/>
      </w:pPr>
      <w:bookmarkStart w:id="233" w:name="_Toc47467772"/>
      <w:r w:rsidRPr="0015600B">
        <w:t xml:space="preserve">Figure </w:t>
      </w:r>
      <w:fldSimple w:instr=" STYLEREF 1 \s ">
        <w:r w:rsidR="00D979B8">
          <w:rPr>
            <w:noProof/>
          </w:rPr>
          <w:t>4</w:t>
        </w:r>
      </w:fldSimple>
      <w:r w:rsidR="00961B56">
        <w:t>.</w:t>
      </w:r>
      <w:fldSimple w:instr=" SEQ Figure \* ARABIC \s 1 ">
        <w:r w:rsidR="00D979B8">
          <w:rPr>
            <w:noProof/>
          </w:rPr>
          <w:t>15</w:t>
        </w:r>
      </w:fldSimple>
      <w:bookmarkStart w:id="234" w:name="_Toc41072097"/>
      <w:bookmarkStart w:id="235" w:name="_Toc41206838"/>
      <w:bookmarkStart w:id="236" w:name="_Toc41580011"/>
      <w:bookmarkStart w:id="237" w:name="_Toc41601499"/>
      <w:r w:rsidRPr="0015600B">
        <w:t xml:space="preserve">. Portland - Daily energy demand for residential heating, cooling, and hot water during the typical meteorological year with and without </w:t>
      </w:r>
      <w:r w:rsidR="00E93FFE">
        <w:t xml:space="preserve">a </w:t>
      </w:r>
      <w:r w:rsidRPr="0015600B">
        <w:t>solar collector.</w:t>
      </w:r>
      <w:bookmarkEnd w:id="233"/>
      <w:bookmarkEnd w:id="234"/>
      <w:bookmarkEnd w:id="235"/>
      <w:bookmarkEnd w:id="236"/>
      <w:bookmarkEnd w:id="237"/>
    </w:p>
    <w:p w14:paraId="459F76BD" w14:textId="49E60A5C" w:rsidR="00DB3DC6" w:rsidRPr="0015600B" w:rsidRDefault="00DB3DC6" w:rsidP="00DB3DC6">
      <w:pPr>
        <w:spacing w:after="288"/>
        <w:rPr>
          <w:b/>
          <w:bCs/>
        </w:rPr>
      </w:pPr>
      <w:r w:rsidRPr="0015600B">
        <w:rPr>
          <w:iCs/>
        </w:rPr>
        <w:t xml:space="preserve">In </w:t>
      </w:r>
      <w:r w:rsidR="008265A4">
        <w:rPr>
          <w:iCs/>
        </w:rPr>
        <w:t>F</w:t>
      </w:r>
      <w:r w:rsidRPr="0015600B">
        <w:rPr>
          <w:iCs/>
        </w:rPr>
        <w:t xml:space="preserve">igure </w:t>
      </w:r>
      <w:r w:rsidR="00B271AB">
        <w:rPr>
          <w:iCs/>
        </w:rPr>
        <w:t>4</w:t>
      </w:r>
      <w:r w:rsidRPr="0015600B">
        <w:rPr>
          <w:iCs/>
        </w:rPr>
        <w:t>.1</w:t>
      </w:r>
      <w:r w:rsidR="00B271AB">
        <w:rPr>
          <w:iCs/>
        </w:rPr>
        <w:t>6</w:t>
      </w:r>
      <w:r w:rsidRPr="0015600B">
        <w:rPr>
          <w:iCs/>
        </w:rPr>
        <w:t xml:space="preserve">, a monthly energy demand with and without </w:t>
      </w:r>
      <w:r w:rsidR="00E93FFE">
        <w:rPr>
          <w:iCs/>
        </w:rPr>
        <w:t xml:space="preserve">a </w:t>
      </w:r>
      <w:r w:rsidRPr="0015600B">
        <w:rPr>
          <w:iCs/>
        </w:rPr>
        <w:t>solar collector is presented.</w:t>
      </w:r>
      <w:r w:rsidRPr="0015600B">
        <w:t xml:space="preserve"> For a residential building in Portland, using 86.28m</w:t>
      </w:r>
      <w:r w:rsidRPr="0015600B">
        <w:rPr>
          <w:vertAlign w:val="superscript"/>
        </w:rPr>
        <w:t>2</w:t>
      </w:r>
      <w:r w:rsidRPr="0015600B">
        <w:t xml:space="preserve"> solar collector</w:t>
      </w:r>
      <w:r w:rsidR="00E93FFE">
        <w:t>s</w:t>
      </w:r>
      <w:r w:rsidRPr="0015600B">
        <w:t xml:space="preserve"> with no thermal energy storage yields about 37% reduction in the annual conventional consumption. Using the same solar thermal collector coupled with a 22.73kWh LHTES unit results in about 58% annual energy saving. Increasing (decreasing) solar collector and thermal energy storage size by 50% increases(decreases) energy saving with </w:t>
      </w:r>
      <w:r w:rsidR="00E93FFE">
        <w:t xml:space="preserve">the </w:t>
      </w:r>
      <w:r w:rsidRPr="0015600B">
        <w:t>only solar collector to 40% (31%) respectively and by using both solar collector and thermal energy, the energy saving</w:t>
      </w:r>
      <w:r w:rsidR="00B140E4">
        <w:t>s</w:t>
      </w:r>
      <w:r w:rsidRPr="0015600B">
        <w:t xml:space="preserve"> increasing(decreases) to about 72% (40%) respectively.</w:t>
      </w:r>
    </w:p>
    <w:p w14:paraId="119B02B6" w14:textId="62062F1C" w:rsidR="00DB3DC6" w:rsidRDefault="00DB3DC6" w:rsidP="004C1B4B">
      <w:pPr>
        <w:spacing w:after="288"/>
        <w:ind w:firstLine="0"/>
        <w:jc w:val="center"/>
      </w:pPr>
    </w:p>
    <w:p w14:paraId="0D86E8B6" w14:textId="6369FD0C" w:rsidR="00497494" w:rsidRPr="0015600B" w:rsidRDefault="00497494" w:rsidP="004C1B4B">
      <w:pPr>
        <w:spacing w:after="288"/>
        <w:ind w:firstLine="0"/>
        <w:jc w:val="center"/>
      </w:pPr>
      <w:r>
        <w:rPr>
          <w:noProof/>
        </w:rPr>
        <w:lastRenderedPageBreak/>
        <w:drawing>
          <wp:inline distT="0" distB="0" distL="0" distR="0" wp14:anchorId="741DA11A" wp14:editId="7F8EB082">
            <wp:extent cx="5486400" cy="229044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486400" cy="2290445"/>
                    </a:xfrm>
                    <a:prstGeom prst="rect">
                      <a:avLst/>
                    </a:prstGeom>
                  </pic:spPr>
                </pic:pic>
              </a:graphicData>
            </a:graphic>
          </wp:inline>
        </w:drawing>
      </w:r>
    </w:p>
    <w:p w14:paraId="02C3AFA0" w14:textId="08A1690F" w:rsidR="00DB3DC6" w:rsidRPr="0015600B" w:rsidRDefault="00DB3DC6" w:rsidP="00037B41">
      <w:pPr>
        <w:pStyle w:val="Caption"/>
      </w:pPr>
      <w:bookmarkStart w:id="238" w:name="_Toc41072098"/>
      <w:bookmarkStart w:id="239" w:name="_Toc41206839"/>
      <w:bookmarkStart w:id="240" w:name="_Toc41580012"/>
      <w:bookmarkStart w:id="241" w:name="_Toc41601500"/>
      <w:bookmarkStart w:id="242" w:name="_Toc47467773"/>
      <w:r w:rsidRPr="0015600B">
        <w:t xml:space="preserve">Figure </w:t>
      </w:r>
      <w:fldSimple w:instr=" STYLEREF 1 \s ">
        <w:r w:rsidR="00D979B8">
          <w:rPr>
            <w:noProof/>
          </w:rPr>
          <w:t>4</w:t>
        </w:r>
      </w:fldSimple>
      <w:r w:rsidR="00961B56">
        <w:t>.</w:t>
      </w:r>
      <w:fldSimple w:instr=" SEQ Figure \* ARABIC \s 1 ">
        <w:r w:rsidR="00D979B8">
          <w:rPr>
            <w:noProof/>
          </w:rPr>
          <w:t>16</w:t>
        </w:r>
      </w:fldSimple>
      <w:r w:rsidRPr="0015600B">
        <w:t xml:space="preserve">. Portland - Monthly energy demand for residential heating, cooling, and hot water during the typical meteorological year with and without </w:t>
      </w:r>
      <w:r w:rsidR="00E93FFE">
        <w:t xml:space="preserve">a </w:t>
      </w:r>
      <w:r w:rsidRPr="0015600B">
        <w:t>solar collector.</w:t>
      </w:r>
      <w:bookmarkStart w:id="243" w:name="_Toc41033629"/>
      <w:bookmarkEnd w:id="238"/>
      <w:bookmarkEnd w:id="239"/>
      <w:bookmarkEnd w:id="240"/>
      <w:bookmarkEnd w:id="241"/>
      <w:bookmarkEnd w:id="242"/>
    </w:p>
    <w:p w14:paraId="283546BF" w14:textId="018D617B" w:rsidR="00DB3DC6" w:rsidRPr="0015600B" w:rsidRDefault="00DB3DC6" w:rsidP="00C764BF">
      <w:pPr>
        <w:pStyle w:val="Heading2"/>
        <w:numPr>
          <w:ilvl w:val="1"/>
          <w:numId w:val="15"/>
        </w:numPr>
      </w:pPr>
      <w:bookmarkStart w:id="244" w:name="_Toc41044663"/>
      <w:bookmarkStart w:id="245" w:name="_Toc41075490"/>
      <w:bookmarkStart w:id="246" w:name="_Toc41299318"/>
      <w:bookmarkStart w:id="247" w:name="_Toc43877995"/>
      <w:bookmarkStart w:id="248" w:name="_Toc41044662"/>
      <w:bookmarkStart w:id="249" w:name="_Toc41075489"/>
      <w:bookmarkStart w:id="250" w:name="_Toc41299317"/>
      <w:bookmarkStart w:id="251" w:name="_Toc47467738"/>
      <w:bookmarkEnd w:id="243"/>
      <w:r w:rsidRPr="0015600B">
        <w:t>Energy Cost Analysis</w:t>
      </w:r>
      <w:bookmarkEnd w:id="244"/>
      <w:bookmarkEnd w:id="245"/>
      <w:bookmarkEnd w:id="246"/>
      <w:bookmarkEnd w:id="247"/>
      <w:bookmarkEnd w:id="251"/>
    </w:p>
    <w:p w14:paraId="1EE7DB04" w14:textId="3EEDF024" w:rsidR="00DB3DC6" w:rsidRPr="0015600B" w:rsidRDefault="005825D1" w:rsidP="00472A05">
      <w:r>
        <w:t>The e</w:t>
      </w:r>
      <w:r w:rsidR="00DB3DC6" w:rsidRPr="0015600B">
        <w:t xml:space="preserve">nergy cost was evaluated using the residential utility rates listed in Table </w:t>
      </w:r>
      <w:r w:rsidR="00B271AB">
        <w:t>4</w:t>
      </w:r>
      <w:r w:rsidR="00DB3DC6" w:rsidRPr="0015600B">
        <w:t xml:space="preserve">.1. The utility rate is obtained from the U.S energy information administration website </w:t>
      </w:r>
      <w:r w:rsidR="00DB3DC6" w:rsidRPr="0015600B">
        <w:fldChar w:fldCharType="begin" w:fldLock="1"/>
      </w:r>
      <w:r w:rsidR="00D6331E">
        <w:instrText>ADDIN CSL_CITATION {"citationItems":[{"id":"ITEM-1","itemData":{"URL":"https://www.eia.gov/electricity/monthly/epm_table_grapher.php?t=epmt_5_6_a","accessed":{"date-parts":[["2020","6","2"]]},"id":"ITEM-1","issued":{"date-parts":[["0"]]},"title":"EIA - Electricity Data","type":"webpage"},"uris":["http://www.mendeley.com/documents/?uuid=77b8fd22-b956-36e0-b09e-d092c641c0de"]}],"mendeley":{"formattedCitation":"[71]","plainTextFormattedCitation":"[71]","previouslyFormattedCitation":"[71]"},"properties":{"noteIndex":0},"schema":"https://github.com/citation-style-language/schema/raw/master/csl-citation.json"}</w:instrText>
      </w:r>
      <w:r w:rsidR="00DB3DC6" w:rsidRPr="0015600B">
        <w:fldChar w:fldCharType="separate"/>
      </w:r>
      <w:r w:rsidR="00D6331E" w:rsidRPr="00D6331E">
        <w:rPr>
          <w:noProof/>
        </w:rPr>
        <w:t>[71]</w:t>
      </w:r>
      <w:r w:rsidR="00DB3DC6" w:rsidRPr="0015600B">
        <w:fldChar w:fldCharType="end"/>
      </w:r>
      <w:r w:rsidR="00DB3DC6" w:rsidRPr="0015600B">
        <w:t xml:space="preserve">. </w:t>
      </w:r>
      <w:r w:rsidR="004E1A99">
        <w:t>Natural gas price is prov</w:t>
      </w:r>
      <w:r>
        <w:t>id</w:t>
      </w:r>
      <w:r w:rsidR="004E1A99">
        <w:t xml:space="preserve">ed in </w:t>
      </w:r>
      <w:r w:rsidR="00DB3DC6" w:rsidRPr="0015600B">
        <w:t>$/Mcf (dollar per thousand cubic feet). The following conversion w</w:t>
      </w:r>
      <w:r w:rsidR="004E1A99">
        <w:t>as</w:t>
      </w:r>
      <w:r w:rsidR="00DB3DC6" w:rsidRPr="0015600B">
        <w:t xml:space="preserve"> implemented to obtain natural gas price </w:t>
      </w:r>
      <w:r w:rsidR="004E1A99">
        <w:t>in</w:t>
      </w:r>
      <w:r w:rsidR="00DB3DC6" w:rsidRPr="0015600B">
        <w:t xml:space="preserve"> </w:t>
      </w:r>
      <w:r w:rsidR="004E1A99">
        <w:t>$/</w:t>
      </w:r>
      <w:r w:rsidR="00DB3DC6" w:rsidRPr="0015600B">
        <w:t>kWh (</w:t>
      </w:r>
      <w:r w:rsidR="004E1A99">
        <w:t xml:space="preserve">dollar per </w:t>
      </w:r>
      <w:r w:rsidR="00DB3DC6" w:rsidRPr="0015600B">
        <w:t xml:space="preserve">kilowatt-hour) </w:t>
      </w:r>
      <w:r w:rsidR="00DB3DC6" w:rsidRPr="0015600B">
        <w:fldChar w:fldCharType="begin" w:fldLock="1"/>
      </w:r>
      <w:r w:rsidR="00D6331E">
        <w:instrText>ADDIN CSL_CITATION {"citationItems":[{"id":"ITEM-1","itemData":{"URL":"http://www.emsenergy.com/energy-tools/","accessed":{"date-parts":[["2020","6","2"]]},"id":"ITEM-1","issued":{"date-parts":[["0"]]},"title":"Calculate Energy Usage with EMS' Energy Tools","type":"webpage"},"uris":["http://www.mendeley.com/documents/?uuid=94fc5dca-3ee0-3727-a3b2-72ea9d5cd413"]}],"mendeley":{"formattedCitation":"[72]","plainTextFormattedCitation":"[72]","previouslyFormattedCitation":"[72]"},"properties":{"noteIndex":0},"schema":"https://github.com/citation-style-language/schema/raw/master/csl-citation.json"}</w:instrText>
      </w:r>
      <w:r w:rsidR="00DB3DC6" w:rsidRPr="0015600B">
        <w:fldChar w:fldCharType="separate"/>
      </w:r>
      <w:r w:rsidR="00D6331E" w:rsidRPr="00D6331E">
        <w:rPr>
          <w:noProof/>
        </w:rPr>
        <w:t>[72]</w:t>
      </w:r>
      <w:r w:rsidR="00DB3DC6" w:rsidRPr="0015600B">
        <w:fldChar w:fldCharType="end"/>
      </w:r>
      <w:r w:rsidR="00DB3DC6" w:rsidRPr="0015600B">
        <w:t>:</w:t>
      </w:r>
    </w:p>
    <w:p w14:paraId="3FC9F9D3" w14:textId="77777777" w:rsidR="00DB3DC6" w:rsidRPr="0015600B" w:rsidRDefault="00DB3DC6" w:rsidP="00A864AD">
      <w:pPr>
        <w:numPr>
          <w:ilvl w:val="0"/>
          <w:numId w:val="2"/>
        </w:numPr>
        <w:spacing w:after="288"/>
        <w:ind w:left="1080"/>
      </w:pPr>
      <w:r w:rsidRPr="0015600B">
        <w:t>Electricity: 1 kW = 3,413 Btu/hr</w:t>
      </w:r>
    </w:p>
    <w:p w14:paraId="4281F788" w14:textId="77777777" w:rsidR="00DB3DC6" w:rsidRPr="0015600B" w:rsidRDefault="00DB3DC6" w:rsidP="00A864AD">
      <w:pPr>
        <w:numPr>
          <w:ilvl w:val="0"/>
          <w:numId w:val="2"/>
        </w:numPr>
        <w:spacing w:after="288"/>
        <w:ind w:left="1080"/>
      </w:pPr>
      <w:r w:rsidRPr="0015600B">
        <w:t>Natural gas: 1 MCF = 1,000 cu ft = 10 therms = 1,034,000 Btu = 1.034 MMBtu</w:t>
      </w:r>
    </w:p>
    <w:p w14:paraId="3B513101" w14:textId="77777777" w:rsidR="00E12165" w:rsidRDefault="00E12165">
      <w:pPr>
        <w:pStyle w:val="Caption"/>
      </w:pPr>
      <w:bookmarkStart w:id="252" w:name="_Toc41047309"/>
      <w:bookmarkStart w:id="253" w:name="_Toc41574674"/>
      <w:bookmarkStart w:id="254" w:name="_Toc42383127"/>
      <w:bookmarkEnd w:id="248"/>
      <w:bookmarkEnd w:id="249"/>
      <w:bookmarkEnd w:id="250"/>
      <w:r>
        <w:br w:type="page"/>
      </w:r>
    </w:p>
    <w:p w14:paraId="141DD870" w14:textId="2D2CAD21" w:rsidR="008436A3" w:rsidRPr="0015600B" w:rsidRDefault="008436A3">
      <w:pPr>
        <w:pStyle w:val="Caption"/>
      </w:pPr>
      <w:bookmarkStart w:id="255" w:name="_Toc47467745"/>
      <w:r w:rsidRPr="0015600B">
        <w:lastRenderedPageBreak/>
        <w:t xml:space="preserve">Table </w:t>
      </w:r>
      <w:fldSimple w:instr=" STYLEREF 1 \s ">
        <w:r w:rsidR="00D979B8">
          <w:rPr>
            <w:noProof/>
          </w:rPr>
          <w:t>4</w:t>
        </w:r>
      </w:fldSimple>
      <w:r w:rsidR="003838C6">
        <w:t>.</w:t>
      </w:r>
      <w:fldSimple w:instr=" SEQ Table \* ARABIC \s 1 ">
        <w:r w:rsidR="00D979B8">
          <w:rPr>
            <w:noProof/>
          </w:rPr>
          <w:t>1</w:t>
        </w:r>
      </w:fldSimple>
      <w:r w:rsidRPr="0015600B">
        <w:t xml:space="preserve"> Utility rate for the candidate cities</w:t>
      </w:r>
      <w:bookmarkEnd w:id="252"/>
      <w:bookmarkEnd w:id="253"/>
      <w:bookmarkEnd w:id="254"/>
      <w:bookmarkEnd w:id="255"/>
      <w:r w:rsidRPr="0015600B">
        <w:t xml:space="preserve"> </w:t>
      </w:r>
    </w:p>
    <w:tbl>
      <w:tblPr>
        <w:tblW w:w="7961" w:type="dxa"/>
        <w:jc w:val="center"/>
        <w:tblLook w:val="04A0" w:firstRow="1" w:lastRow="0" w:firstColumn="1" w:lastColumn="0" w:noHBand="0" w:noVBand="1"/>
      </w:tblPr>
      <w:tblGrid>
        <w:gridCol w:w="2401"/>
        <w:gridCol w:w="1667"/>
        <w:gridCol w:w="1925"/>
        <w:gridCol w:w="1968"/>
      </w:tblGrid>
      <w:tr w:rsidR="008436A3" w:rsidRPr="0015600B" w14:paraId="12FC06BF" w14:textId="77777777" w:rsidTr="008436A3">
        <w:trPr>
          <w:trHeight w:val="308"/>
          <w:jc w:val="center"/>
        </w:trPr>
        <w:tc>
          <w:tcPr>
            <w:tcW w:w="2401" w:type="dxa"/>
            <w:tcBorders>
              <w:top w:val="single" w:sz="12" w:space="0" w:color="auto"/>
              <w:left w:val="nil"/>
              <w:bottom w:val="nil"/>
              <w:right w:val="nil"/>
            </w:tcBorders>
            <w:shd w:val="clear" w:color="auto" w:fill="auto"/>
            <w:noWrap/>
            <w:vAlign w:val="center"/>
            <w:hideMark/>
          </w:tcPr>
          <w:p w14:paraId="58050253" w14:textId="77777777" w:rsidR="008436A3" w:rsidRPr="0015600B" w:rsidRDefault="008436A3" w:rsidP="008436A3">
            <w:pPr>
              <w:spacing w:line="240" w:lineRule="auto"/>
              <w:ind w:firstLine="0"/>
            </w:pPr>
            <w:r w:rsidRPr="0015600B">
              <w:t> </w:t>
            </w:r>
          </w:p>
        </w:tc>
        <w:tc>
          <w:tcPr>
            <w:tcW w:w="3592" w:type="dxa"/>
            <w:gridSpan w:val="2"/>
            <w:tcBorders>
              <w:top w:val="single" w:sz="12" w:space="0" w:color="auto"/>
              <w:left w:val="nil"/>
              <w:bottom w:val="single" w:sz="4" w:space="0" w:color="auto"/>
              <w:right w:val="nil"/>
            </w:tcBorders>
            <w:shd w:val="clear" w:color="auto" w:fill="auto"/>
            <w:noWrap/>
            <w:vAlign w:val="center"/>
            <w:hideMark/>
          </w:tcPr>
          <w:p w14:paraId="5337087C" w14:textId="77777777" w:rsidR="008436A3" w:rsidRPr="0015600B" w:rsidRDefault="008436A3" w:rsidP="008436A3">
            <w:pPr>
              <w:spacing w:line="240" w:lineRule="auto"/>
              <w:ind w:firstLine="0"/>
            </w:pPr>
            <w:r w:rsidRPr="0015600B">
              <w:t>Natural gas</w:t>
            </w:r>
          </w:p>
        </w:tc>
        <w:tc>
          <w:tcPr>
            <w:tcW w:w="1968" w:type="dxa"/>
            <w:tcBorders>
              <w:top w:val="single" w:sz="12" w:space="0" w:color="auto"/>
              <w:left w:val="nil"/>
              <w:bottom w:val="nil"/>
              <w:right w:val="nil"/>
            </w:tcBorders>
            <w:shd w:val="clear" w:color="auto" w:fill="auto"/>
            <w:noWrap/>
            <w:vAlign w:val="center"/>
            <w:hideMark/>
          </w:tcPr>
          <w:p w14:paraId="014D7131" w14:textId="77777777" w:rsidR="008436A3" w:rsidRPr="0015600B" w:rsidRDefault="008436A3" w:rsidP="008436A3">
            <w:pPr>
              <w:spacing w:line="240" w:lineRule="auto"/>
              <w:ind w:firstLine="0"/>
            </w:pPr>
            <w:r w:rsidRPr="0015600B">
              <w:t>Electricity</w:t>
            </w:r>
          </w:p>
        </w:tc>
      </w:tr>
      <w:tr w:rsidR="008436A3" w:rsidRPr="0015600B" w14:paraId="5DC0B6C5" w14:textId="77777777" w:rsidTr="008436A3">
        <w:trPr>
          <w:trHeight w:val="308"/>
          <w:jc w:val="center"/>
        </w:trPr>
        <w:tc>
          <w:tcPr>
            <w:tcW w:w="2401" w:type="dxa"/>
            <w:tcBorders>
              <w:top w:val="nil"/>
              <w:left w:val="nil"/>
              <w:bottom w:val="single" w:sz="12" w:space="0" w:color="auto"/>
              <w:right w:val="nil"/>
            </w:tcBorders>
            <w:shd w:val="clear" w:color="auto" w:fill="auto"/>
            <w:noWrap/>
            <w:vAlign w:val="center"/>
            <w:hideMark/>
          </w:tcPr>
          <w:p w14:paraId="699B8BBA" w14:textId="77777777" w:rsidR="008436A3" w:rsidRPr="0015600B" w:rsidRDefault="008436A3" w:rsidP="008436A3">
            <w:pPr>
              <w:spacing w:line="240" w:lineRule="auto"/>
              <w:ind w:firstLine="0"/>
            </w:pPr>
            <w:r w:rsidRPr="0015600B">
              <w:t> </w:t>
            </w:r>
          </w:p>
        </w:tc>
        <w:tc>
          <w:tcPr>
            <w:tcW w:w="1667" w:type="dxa"/>
            <w:tcBorders>
              <w:top w:val="single" w:sz="4" w:space="0" w:color="auto"/>
              <w:left w:val="nil"/>
              <w:bottom w:val="single" w:sz="12" w:space="0" w:color="auto"/>
              <w:right w:val="nil"/>
            </w:tcBorders>
            <w:shd w:val="clear" w:color="auto" w:fill="auto"/>
            <w:noWrap/>
            <w:vAlign w:val="center"/>
            <w:hideMark/>
          </w:tcPr>
          <w:p w14:paraId="0F4C48B6" w14:textId="77777777" w:rsidR="008436A3" w:rsidRPr="0015600B" w:rsidRDefault="008436A3" w:rsidP="008436A3">
            <w:pPr>
              <w:spacing w:line="240" w:lineRule="auto"/>
              <w:ind w:firstLine="0"/>
            </w:pPr>
            <w:r w:rsidRPr="0015600B">
              <w:t>$/Mcf</w:t>
            </w:r>
          </w:p>
        </w:tc>
        <w:tc>
          <w:tcPr>
            <w:tcW w:w="1925" w:type="dxa"/>
            <w:tcBorders>
              <w:top w:val="single" w:sz="4" w:space="0" w:color="auto"/>
              <w:left w:val="nil"/>
              <w:bottom w:val="single" w:sz="12" w:space="0" w:color="auto"/>
              <w:right w:val="nil"/>
            </w:tcBorders>
            <w:shd w:val="clear" w:color="auto" w:fill="auto"/>
            <w:noWrap/>
            <w:vAlign w:val="center"/>
            <w:hideMark/>
          </w:tcPr>
          <w:p w14:paraId="7C8E19B9" w14:textId="77777777" w:rsidR="008436A3" w:rsidRPr="0015600B" w:rsidRDefault="008436A3" w:rsidP="008436A3">
            <w:pPr>
              <w:spacing w:line="240" w:lineRule="auto"/>
              <w:ind w:firstLine="0"/>
            </w:pPr>
            <w:r w:rsidRPr="0015600B">
              <w:t>$/kWh</w:t>
            </w:r>
          </w:p>
        </w:tc>
        <w:tc>
          <w:tcPr>
            <w:tcW w:w="1968" w:type="dxa"/>
            <w:tcBorders>
              <w:top w:val="nil"/>
              <w:left w:val="nil"/>
              <w:bottom w:val="single" w:sz="12" w:space="0" w:color="auto"/>
              <w:right w:val="nil"/>
            </w:tcBorders>
            <w:shd w:val="clear" w:color="auto" w:fill="auto"/>
            <w:noWrap/>
            <w:vAlign w:val="center"/>
            <w:hideMark/>
          </w:tcPr>
          <w:p w14:paraId="727DC378" w14:textId="77777777" w:rsidR="008436A3" w:rsidRPr="0015600B" w:rsidRDefault="008436A3" w:rsidP="008436A3">
            <w:pPr>
              <w:spacing w:line="240" w:lineRule="auto"/>
              <w:ind w:firstLine="0"/>
            </w:pPr>
            <w:r w:rsidRPr="0015600B">
              <w:t>$/kWh</w:t>
            </w:r>
          </w:p>
        </w:tc>
      </w:tr>
      <w:tr w:rsidR="008436A3" w:rsidRPr="0015600B" w14:paraId="1792E419" w14:textId="77777777" w:rsidTr="008436A3">
        <w:trPr>
          <w:trHeight w:val="308"/>
          <w:jc w:val="center"/>
        </w:trPr>
        <w:tc>
          <w:tcPr>
            <w:tcW w:w="2401" w:type="dxa"/>
            <w:tcBorders>
              <w:top w:val="single" w:sz="12" w:space="0" w:color="auto"/>
              <w:left w:val="nil"/>
              <w:bottom w:val="nil"/>
              <w:right w:val="nil"/>
            </w:tcBorders>
            <w:shd w:val="clear" w:color="auto" w:fill="auto"/>
            <w:noWrap/>
            <w:vAlign w:val="center"/>
            <w:hideMark/>
          </w:tcPr>
          <w:p w14:paraId="45309E39" w14:textId="77777777" w:rsidR="008436A3" w:rsidRPr="0015600B" w:rsidRDefault="008436A3" w:rsidP="008436A3">
            <w:pPr>
              <w:spacing w:line="240" w:lineRule="auto"/>
              <w:ind w:firstLine="0"/>
            </w:pPr>
            <w:r w:rsidRPr="0015600B">
              <w:t>Miami</w:t>
            </w:r>
          </w:p>
        </w:tc>
        <w:tc>
          <w:tcPr>
            <w:tcW w:w="1667" w:type="dxa"/>
            <w:tcBorders>
              <w:top w:val="single" w:sz="12" w:space="0" w:color="auto"/>
              <w:left w:val="nil"/>
              <w:bottom w:val="nil"/>
              <w:right w:val="nil"/>
            </w:tcBorders>
            <w:shd w:val="clear" w:color="auto" w:fill="auto"/>
            <w:noWrap/>
            <w:vAlign w:val="center"/>
            <w:hideMark/>
          </w:tcPr>
          <w:p w14:paraId="7532D7CE" w14:textId="77777777" w:rsidR="008436A3" w:rsidRPr="0015600B" w:rsidRDefault="008436A3" w:rsidP="008436A3">
            <w:pPr>
              <w:spacing w:line="240" w:lineRule="auto"/>
              <w:ind w:firstLine="0"/>
            </w:pPr>
            <w:r w:rsidRPr="0015600B">
              <w:t>17.89</w:t>
            </w:r>
          </w:p>
        </w:tc>
        <w:tc>
          <w:tcPr>
            <w:tcW w:w="1925" w:type="dxa"/>
            <w:tcBorders>
              <w:top w:val="single" w:sz="12" w:space="0" w:color="auto"/>
              <w:left w:val="nil"/>
              <w:bottom w:val="nil"/>
              <w:right w:val="nil"/>
            </w:tcBorders>
            <w:shd w:val="clear" w:color="auto" w:fill="auto"/>
            <w:noWrap/>
            <w:vAlign w:val="center"/>
            <w:hideMark/>
          </w:tcPr>
          <w:p w14:paraId="3A8DF7A4" w14:textId="77777777" w:rsidR="008436A3" w:rsidRPr="0015600B" w:rsidRDefault="008436A3" w:rsidP="008436A3">
            <w:pPr>
              <w:spacing w:line="240" w:lineRule="auto"/>
              <w:ind w:firstLine="0"/>
            </w:pPr>
            <w:r w:rsidRPr="0015600B">
              <w:t>0.059</w:t>
            </w:r>
          </w:p>
        </w:tc>
        <w:tc>
          <w:tcPr>
            <w:tcW w:w="1968" w:type="dxa"/>
            <w:tcBorders>
              <w:top w:val="single" w:sz="12" w:space="0" w:color="auto"/>
              <w:left w:val="nil"/>
              <w:bottom w:val="nil"/>
              <w:right w:val="nil"/>
            </w:tcBorders>
            <w:shd w:val="clear" w:color="auto" w:fill="auto"/>
            <w:noWrap/>
            <w:vAlign w:val="center"/>
            <w:hideMark/>
          </w:tcPr>
          <w:p w14:paraId="73622784" w14:textId="77777777" w:rsidR="008436A3" w:rsidRPr="0015600B" w:rsidRDefault="008436A3" w:rsidP="008436A3">
            <w:pPr>
              <w:spacing w:line="240" w:lineRule="auto"/>
              <w:ind w:firstLine="0"/>
            </w:pPr>
            <w:r w:rsidRPr="0015600B">
              <w:t>0.106</w:t>
            </w:r>
          </w:p>
        </w:tc>
      </w:tr>
      <w:tr w:rsidR="008436A3" w:rsidRPr="0015600B" w14:paraId="19AF4B3C" w14:textId="77777777" w:rsidTr="008436A3">
        <w:trPr>
          <w:trHeight w:val="308"/>
          <w:jc w:val="center"/>
        </w:trPr>
        <w:tc>
          <w:tcPr>
            <w:tcW w:w="2401" w:type="dxa"/>
            <w:tcBorders>
              <w:top w:val="nil"/>
              <w:left w:val="nil"/>
              <w:bottom w:val="nil"/>
              <w:right w:val="nil"/>
            </w:tcBorders>
            <w:shd w:val="clear" w:color="auto" w:fill="auto"/>
            <w:noWrap/>
            <w:vAlign w:val="center"/>
            <w:hideMark/>
          </w:tcPr>
          <w:p w14:paraId="79455158" w14:textId="77777777" w:rsidR="008436A3" w:rsidRPr="0015600B" w:rsidRDefault="008436A3" w:rsidP="008436A3">
            <w:pPr>
              <w:spacing w:line="240" w:lineRule="auto"/>
              <w:ind w:firstLine="0"/>
            </w:pPr>
            <w:r w:rsidRPr="0015600B">
              <w:t>Duluth</w:t>
            </w:r>
          </w:p>
        </w:tc>
        <w:tc>
          <w:tcPr>
            <w:tcW w:w="1667" w:type="dxa"/>
            <w:tcBorders>
              <w:top w:val="nil"/>
              <w:left w:val="nil"/>
              <w:bottom w:val="nil"/>
              <w:right w:val="nil"/>
            </w:tcBorders>
            <w:shd w:val="clear" w:color="auto" w:fill="auto"/>
            <w:noWrap/>
            <w:vAlign w:val="center"/>
            <w:hideMark/>
          </w:tcPr>
          <w:p w14:paraId="734E9AFF" w14:textId="59C44685" w:rsidR="008436A3" w:rsidRPr="0015600B" w:rsidRDefault="007C6AB8" w:rsidP="008436A3">
            <w:pPr>
              <w:spacing w:line="240" w:lineRule="auto"/>
              <w:ind w:firstLine="0"/>
            </w:pPr>
            <w:r>
              <w:t>0</w:t>
            </w:r>
            <w:r w:rsidR="008436A3" w:rsidRPr="0015600B">
              <w:t>8.76</w:t>
            </w:r>
          </w:p>
        </w:tc>
        <w:tc>
          <w:tcPr>
            <w:tcW w:w="1925" w:type="dxa"/>
            <w:tcBorders>
              <w:top w:val="nil"/>
              <w:left w:val="nil"/>
              <w:bottom w:val="nil"/>
              <w:right w:val="nil"/>
            </w:tcBorders>
            <w:shd w:val="clear" w:color="auto" w:fill="auto"/>
            <w:noWrap/>
            <w:vAlign w:val="center"/>
            <w:hideMark/>
          </w:tcPr>
          <w:p w14:paraId="299D168F" w14:textId="77777777" w:rsidR="008436A3" w:rsidRPr="0015600B" w:rsidRDefault="008436A3" w:rsidP="008436A3">
            <w:pPr>
              <w:spacing w:line="240" w:lineRule="auto"/>
              <w:ind w:firstLine="0"/>
            </w:pPr>
            <w:r w:rsidRPr="0015600B">
              <w:t>0.029</w:t>
            </w:r>
          </w:p>
        </w:tc>
        <w:tc>
          <w:tcPr>
            <w:tcW w:w="1968" w:type="dxa"/>
            <w:tcBorders>
              <w:top w:val="nil"/>
              <w:left w:val="nil"/>
              <w:bottom w:val="nil"/>
              <w:right w:val="nil"/>
            </w:tcBorders>
            <w:shd w:val="clear" w:color="auto" w:fill="auto"/>
            <w:noWrap/>
            <w:vAlign w:val="center"/>
            <w:hideMark/>
          </w:tcPr>
          <w:p w14:paraId="0A773169" w14:textId="77777777" w:rsidR="008436A3" w:rsidRPr="0015600B" w:rsidRDefault="008436A3" w:rsidP="008436A3">
            <w:pPr>
              <w:spacing w:line="240" w:lineRule="auto"/>
              <w:ind w:firstLine="0"/>
            </w:pPr>
            <w:r w:rsidRPr="0015600B">
              <w:t>0.084</w:t>
            </w:r>
          </w:p>
        </w:tc>
      </w:tr>
      <w:tr w:rsidR="008436A3" w:rsidRPr="0015600B" w14:paraId="0E12CEF7" w14:textId="77777777" w:rsidTr="008436A3">
        <w:trPr>
          <w:trHeight w:val="308"/>
          <w:jc w:val="center"/>
        </w:trPr>
        <w:tc>
          <w:tcPr>
            <w:tcW w:w="2401" w:type="dxa"/>
            <w:tcBorders>
              <w:top w:val="nil"/>
              <w:left w:val="nil"/>
              <w:bottom w:val="nil"/>
              <w:right w:val="nil"/>
            </w:tcBorders>
            <w:shd w:val="clear" w:color="auto" w:fill="auto"/>
            <w:noWrap/>
            <w:vAlign w:val="center"/>
            <w:hideMark/>
          </w:tcPr>
          <w:p w14:paraId="74E5F836" w14:textId="77777777" w:rsidR="008436A3" w:rsidRPr="0015600B" w:rsidRDefault="008436A3" w:rsidP="008436A3">
            <w:pPr>
              <w:spacing w:line="240" w:lineRule="auto"/>
              <w:ind w:firstLine="0"/>
            </w:pPr>
            <w:r w:rsidRPr="0015600B">
              <w:t>Oklahoma City</w:t>
            </w:r>
          </w:p>
        </w:tc>
        <w:tc>
          <w:tcPr>
            <w:tcW w:w="1667" w:type="dxa"/>
            <w:tcBorders>
              <w:top w:val="nil"/>
              <w:left w:val="nil"/>
              <w:bottom w:val="nil"/>
              <w:right w:val="nil"/>
            </w:tcBorders>
            <w:shd w:val="clear" w:color="auto" w:fill="auto"/>
            <w:noWrap/>
            <w:vAlign w:val="center"/>
            <w:hideMark/>
          </w:tcPr>
          <w:p w14:paraId="35703165" w14:textId="77777777" w:rsidR="008436A3" w:rsidRPr="0015600B" w:rsidRDefault="008436A3" w:rsidP="008436A3">
            <w:pPr>
              <w:spacing w:line="240" w:lineRule="auto"/>
              <w:ind w:firstLine="0"/>
            </w:pPr>
            <w:r w:rsidRPr="0015600B">
              <w:t>11.12</w:t>
            </w:r>
          </w:p>
        </w:tc>
        <w:tc>
          <w:tcPr>
            <w:tcW w:w="1925" w:type="dxa"/>
            <w:tcBorders>
              <w:top w:val="nil"/>
              <w:left w:val="nil"/>
              <w:bottom w:val="nil"/>
              <w:right w:val="nil"/>
            </w:tcBorders>
            <w:shd w:val="clear" w:color="auto" w:fill="auto"/>
            <w:noWrap/>
            <w:vAlign w:val="center"/>
            <w:hideMark/>
          </w:tcPr>
          <w:p w14:paraId="2C23BA3F" w14:textId="77777777" w:rsidR="008436A3" w:rsidRPr="0015600B" w:rsidRDefault="008436A3" w:rsidP="008436A3">
            <w:pPr>
              <w:spacing w:line="240" w:lineRule="auto"/>
              <w:ind w:firstLine="0"/>
            </w:pPr>
            <w:r w:rsidRPr="0015600B">
              <w:t>0.037</w:t>
            </w:r>
          </w:p>
        </w:tc>
        <w:tc>
          <w:tcPr>
            <w:tcW w:w="1968" w:type="dxa"/>
            <w:tcBorders>
              <w:top w:val="nil"/>
              <w:left w:val="nil"/>
              <w:bottom w:val="nil"/>
              <w:right w:val="nil"/>
            </w:tcBorders>
            <w:shd w:val="clear" w:color="auto" w:fill="auto"/>
            <w:noWrap/>
            <w:vAlign w:val="center"/>
            <w:hideMark/>
          </w:tcPr>
          <w:p w14:paraId="71ACD275" w14:textId="77777777" w:rsidR="008436A3" w:rsidRPr="0015600B" w:rsidRDefault="008436A3" w:rsidP="008436A3">
            <w:pPr>
              <w:spacing w:line="240" w:lineRule="auto"/>
              <w:ind w:firstLine="0"/>
            </w:pPr>
            <w:r w:rsidRPr="0015600B">
              <w:t>0.076</w:t>
            </w:r>
          </w:p>
        </w:tc>
      </w:tr>
      <w:tr w:rsidR="008436A3" w:rsidRPr="0015600B" w14:paraId="49A630EA" w14:textId="77777777" w:rsidTr="008436A3">
        <w:trPr>
          <w:trHeight w:val="308"/>
          <w:jc w:val="center"/>
        </w:trPr>
        <w:tc>
          <w:tcPr>
            <w:tcW w:w="2401" w:type="dxa"/>
            <w:tcBorders>
              <w:top w:val="nil"/>
              <w:left w:val="nil"/>
              <w:bottom w:val="nil"/>
              <w:right w:val="nil"/>
            </w:tcBorders>
            <w:shd w:val="clear" w:color="auto" w:fill="auto"/>
            <w:noWrap/>
            <w:vAlign w:val="center"/>
            <w:hideMark/>
          </w:tcPr>
          <w:p w14:paraId="029A81F9" w14:textId="77777777" w:rsidR="008436A3" w:rsidRPr="0015600B" w:rsidRDefault="008436A3" w:rsidP="008436A3">
            <w:pPr>
              <w:spacing w:line="240" w:lineRule="auto"/>
              <w:ind w:firstLine="0"/>
            </w:pPr>
            <w:r w:rsidRPr="0015600B">
              <w:t>Albuquerque</w:t>
            </w:r>
          </w:p>
        </w:tc>
        <w:tc>
          <w:tcPr>
            <w:tcW w:w="1667" w:type="dxa"/>
            <w:tcBorders>
              <w:top w:val="nil"/>
              <w:left w:val="nil"/>
              <w:bottom w:val="nil"/>
              <w:right w:val="nil"/>
            </w:tcBorders>
            <w:shd w:val="clear" w:color="auto" w:fill="auto"/>
            <w:noWrap/>
            <w:vAlign w:val="center"/>
            <w:hideMark/>
          </w:tcPr>
          <w:p w14:paraId="7C78CF52" w14:textId="2A6A5EF0" w:rsidR="008436A3" w:rsidRPr="0015600B" w:rsidRDefault="007C6AB8" w:rsidP="008436A3">
            <w:pPr>
              <w:spacing w:line="240" w:lineRule="auto"/>
              <w:ind w:firstLine="0"/>
            </w:pPr>
            <w:r>
              <w:t>0</w:t>
            </w:r>
            <w:r w:rsidR="008436A3" w:rsidRPr="0015600B">
              <w:t>9.63</w:t>
            </w:r>
          </w:p>
        </w:tc>
        <w:tc>
          <w:tcPr>
            <w:tcW w:w="1925" w:type="dxa"/>
            <w:tcBorders>
              <w:top w:val="nil"/>
              <w:left w:val="nil"/>
              <w:bottom w:val="nil"/>
              <w:right w:val="nil"/>
            </w:tcBorders>
            <w:shd w:val="clear" w:color="auto" w:fill="auto"/>
            <w:noWrap/>
            <w:vAlign w:val="center"/>
            <w:hideMark/>
          </w:tcPr>
          <w:p w14:paraId="41B680E4" w14:textId="77777777" w:rsidR="008436A3" w:rsidRPr="0015600B" w:rsidRDefault="008436A3" w:rsidP="008436A3">
            <w:pPr>
              <w:spacing w:line="240" w:lineRule="auto"/>
              <w:ind w:firstLine="0"/>
            </w:pPr>
            <w:r w:rsidRPr="0015600B">
              <w:t>0.032</w:t>
            </w:r>
          </w:p>
        </w:tc>
        <w:tc>
          <w:tcPr>
            <w:tcW w:w="1968" w:type="dxa"/>
            <w:tcBorders>
              <w:top w:val="nil"/>
              <w:left w:val="nil"/>
              <w:bottom w:val="nil"/>
              <w:right w:val="nil"/>
            </w:tcBorders>
            <w:shd w:val="clear" w:color="auto" w:fill="auto"/>
            <w:noWrap/>
            <w:vAlign w:val="center"/>
            <w:hideMark/>
          </w:tcPr>
          <w:p w14:paraId="117B7E3A" w14:textId="77777777" w:rsidR="008436A3" w:rsidRPr="0015600B" w:rsidRDefault="008436A3" w:rsidP="008436A3">
            <w:pPr>
              <w:spacing w:line="240" w:lineRule="auto"/>
              <w:ind w:firstLine="0"/>
            </w:pPr>
            <w:r w:rsidRPr="0015600B">
              <w:t>0.084</w:t>
            </w:r>
          </w:p>
        </w:tc>
      </w:tr>
      <w:tr w:rsidR="008436A3" w:rsidRPr="0015600B" w14:paraId="148F3F89" w14:textId="77777777" w:rsidTr="008436A3">
        <w:trPr>
          <w:trHeight w:val="308"/>
          <w:jc w:val="center"/>
        </w:trPr>
        <w:tc>
          <w:tcPr>
            <w:tcW w:w="2401" w:type="dxa"/>
            <w:tcBorders>
              <w:top w:val="nil"/>
              <w:left w:val="nil"/>
              <w:bottom w:val="nil"/>
              <w:right w:val="nil"/>
            </w:tcBorders>
            <w:shd w:val="clear" w:color="auto" w:fill="auto"/>
            <w:noWrap/>
            <w:vAlign w:val="center"/>
            <w:hideMark/>
          </w:tcPr>
          <w:p w14:paraId="07AF638B" w14:textId="77777777" w:rsidR="008436A3" w:rsidRPr="0015600B" w:rsidRDefault="008436A3" w:rsidP="008436A3">
            <w:pPr>
              <w:spacing w:line="240" w:lineRule="auto"/>
              <w:ind w:firstLine="0"/>
            </w:pPr>
            <w:r w:rsidRPr="0015600B">
              <w:t>Los Angeles</w:t>
            </w:r>
          </w:p>
        </w:tc>
        <w:tc>
          <w:tcPr>
            <w:tcW w:w="1667" w:type="dxa"/>
            <w:tcBorders>
              <w:top w:val="nil"/>
              <w:left w:val="nil"/>
              <w:bottom w:val="nil"/>
              <w:right w:val="nil"/>
            </w:tcBorders>
            <w:shd w:val="clear" w:color="auto" w:fill="auto"/>
            <w:noWrap/>
            <w:vAlign w:val="center"/>
            <w:hideMark/>
          </w:tcPr>
          <w:p w14:paraId="6E8A7980" w14:textId="2E1C40C3" w:rsidR="008436A3" w:rsidRPr="0015600B" w:rsidRDefault="007C6AB8" w:rsidP="008436A3">
            <w:pPr>
              <w:spacing w:line="240" w:lineRule="auto"/>
              <w:ind w:firstLine="0"/>
            </w:pPr>
            <w:r>
              <w:t>0</w:t>
            </w:r>
            <w:r w:rsidR="008436A3" w:rsidRPr="0015600B">
              <w:t>9.92</w:t>
            </w:r>
          </w:p>
        </w:tc>
        <w:tc>
          <w:tcPr>
            <w:tcW w:w="1925" w:type="dxa"/>
            <w:tcBorders>
              <w:top w:val="nil"/>
              <w:left w:val="nil"/>
              <w:bottom w:val="nil"/>
              <w:right w:val="nil"/>
            </w:tcBorders>
            <w:shd w:val="clear" w:color="auto" w:fill="auto"/>
            <w:noWrap/>
            <w:vAlign w:val="center"/>
            <w:hideMark/>
          </w:tcPr>
          <w:p w14:paraId="51641192" w14:textId="77777777" w:rsidR="008436A3" w:rsidRPr="0015600B" w:rsidRDefault="008436A3" w:rsidP="008436A3">
            <w:pPr>
              <w:spacing w:line="240" w:lineRule="auto"/>
              <w:ind w:firstLine="0"/>
            </w:pPr>
            <w:r w:rsidRPr="0015600B">
              <w:t>0.033</w:t>
            </w:r>
          </w:p>
        </w:tc>
        <w:tc>
          <w:tcPr>
            <w:tcW w:w="1968" w:type="dxa"/>
            <w:tcBorders>
              <w:top w:val="nil"/>
              <w:left w:val="nil"/>
              <w:bottom w:val="nil"/>
              <w:right w:val="nil"/>
            </w:tcBorders>
            <w:shd w:val="clear" w:color="auto" w:fill="auto"/>
            <w:noWrap/>
            <w:vAlign w:val="center"/>
            <w:hideMark/>
          </w:tcPr>
          <w:p w14:paraId="0702E170" w14:textId="77777777" w:rsidR="008436A3" w:rsidRPr="0015600B" w:rsidRDefault="008436A3" w:rsidP="008436A3">
            <w:pPr>
              <w:spacing w:line="240" w:lineRule="auto"/>
              <w:ind w:firstLine="0"/>
            </w:pPr>
            <w:r w:rsidRPr="0015600B">
              <w:t>0.130</w:t>
            </w:r>
          </w:p>
        </w:tc>
      </w:tr>
      <w:tr w:rsidR="008436A3" w:rsidRPr="0015600B" w14:paraId="226EEFF0" w14:textId="77777777" w:rsidTr="008436A3">
        <w:trPr>
          <w:trHeight w:val="308"/>
          <w:jc w:val="center"/>
        </w:trPr>
        <w:tc>
          <w:tcPr>
            <w:tcW w:w="2401" w:type="dxa"/>
            <w:tcBorders>
              <w:top w:val="nil"/>
              <w:left w:val="nil"/>
              <w:bottom w:val="nil"/>
              <w:right w:val="nil"/>
            </w:tcBorders>
            <w:shd w:val="clear" w:color="auto" w:fill="auto"/>
            <w:noWrap/>
            <w:vAlign w:val="center"/>
            <w:hideMark/>
          </w:tcPr>
          <w:p w14:paraId="568526F0" w14:textId="77777777" w:rsidR="008436A3" w:rsidRPr="0015600B" w:rsidRDefault="008436A3" w:rsidP="008436A3">
            <w:pPr>
              <w:spacing w:line="240" w:lineRule="auto"/>
              <w:ind w:firstLine="0"/>
            </w:pPr>
            <w:r w:rsidRPr="0015600B">
              <w:t>Reno</w:t>
            </w:r>
          </w:p>
        </w:tc>
        <w:tc>
          <w:tcPr>
            <w:tcW w:w="1667" w:type="dxa"/>
            <w:tcBorders>
              <w:top w:val="nil"/>
              <w:left w:val="nil"/>
              <w:bottom w:val="nil"/>
              <w:right w:val="nil"/>
            </w:tcBorders>
            <w:shd w:val="clear" w:color="auto" w:fill="auto"/>
            <w:noWrap/>
            <w:vAlign w:val="center"/>
            <w:hideMark/>
          </w:tcPr>
          <w:p w14:paraId="4D33998E" w14:textId="77777777" w:rsidR="008436A3" w:rsidRPr="0015600B" w:rsidRDefault="008436A3" w:rsidP="008436A3">
            <w:pPr>
              <w:spacing w:line="240" w:lineRule="auto"/>
              <w:ind w:firstLine="0"/>
            </w:pPr>
            <w:r w:rsidRPr="0015600B">
              <w:t>12.25</w:t>
            </w:r>
          </w:p>
        </w:tc>
        <w:tc>
          <w:tcPr>
            <w:tcW w:w="1925" w:type="dxa"/>
            <w:tcBorders>
              <w:top w:val="nil"/>
              <w:left w:val="nil"/>
              <w:bottom w:val="nil"/>
              <w:right w:val="nil"/>
            </w:tcBorders>
            <w:shd w:val="clear" w:color="auto" w:fill="auto"/>
            <w:noWrap/>
            <w:vAlign w:val="center"/>
            <w:hideMark/>
          </w:tcPr>
          <w:p w14:paraId="4F96CAA8" w14:textId="77777777" w:rsidR="008436A3" w:rsidRPr="0015600B" w:rsidRDefault="008436A3" w:rsidP="008436A3">
            <w:pPr>
              <w:spacing w:line="240" w:lineRule="auto"/>
              <w:ind w:firstLine="0"/>
            </w:pPr>
            <w:r w:rsidRPr="0015600B">
              <w:t>0.040</w:t>
            </w:r>
          </w:p>
        </w:tc>
        <w:tc>
          <w:tcPr>
            <w:tcW w:w="1968" w:type="dxa"/>
            <w:tcBorders>
              <w:top w:val="nil"/>
              <w:left w:val="nil"/>
              <w:bottom w:val="nil"/>
              <w:right w:val="nil"/>
            </w:tcBorders>
            <w:shd w:val="clear" w:color="auto" w:fill="auto"/>
            <w:noWrap/>
            <w:vAlign w:val="center"/>
            <w:hideMark/>
          </w:tcPr>
          <w:p w14:paraId="66E96259" w14:textId="77777777" w:rsidR="008436A3" w:rsidRPr="0015600B" w:rsidRDefault="008436A3" w:rsidP="008436A3">
            <w:pPr>
              <w:spacing w:line="240" w:lineRule="auto"/>
              <w:ind w:firstLine="0"/>
            </w:pPr>
            <w:r w:rsidRPr="0015600B">
              <w:t>0.097</w:t>
            </w:r>
          </w:p>
        </w:tc>
      </w:tr>
      <w:tr w:rsidR="008436A3" w:rsidRPr="0015600B" w14:paraId="39A12896" w14:textId="77777777" w:rsidTr="008436A3">
        <w:trPr>
          <w:trHeight w:val="324"/>
          <w:jc w:val="center"/>
        </w:trPr>
        <w:tc>
          <w:tcPr>
            <w:tcW w:w="2401" w:type="dxa"/>
            <w:tcBorders>
              <w:top w:val="nil"/>
              <w:left w:val="nil"/>
              <w:bottom w:val="single" w:sz="12" w:space="0" w:color="auto"/>
              <w:right w:val="nil"/>
            </w:tcBorders>
            <w:shd w:val="clear" w:color="auto" w:fill="auto"/>
            <w:noWrap/>
            <w:vAlign w:val="center"/>
            <w:hideMark/>
          </w:tcPr>
          <w:p w14:paraId="14F78A7B" w14:textId="77777777" w:rsidR="008436A3" w:rsidRPr="0015600B" w:rsidRDefault="008436A3" w:rsidP="008436A3">
            <w:pPr>
              <w:spacing w:line="240" w:lineRule="auto"/>
              <w:ind w:firstLine="0"/>
            </w:pPr>
            <w:r w:rsidRPr="0015600B">
              <w:t>Portland</w:t>
            </w:r>
          </w:p>
        </w:tc>
        <w:tc>
          <w:tcPr>
            <w:tcW w:w="1667" w:type="dxa"/>
            <w:tcBorders>
              <w:top w:val="nil"/>
              <w:left w:val="nil"/>
              <w:bottom w:val="single" w:sz="12" w:space="0" w:color="auto"/>
              <w:right w:val="nil"/>
            </w:tcBorders>
            <w:shd w:val="clear" w:color="auto" w:fill="auto"/>
            <w:noWrap/>
            <w:vAlign w:val="center"/>
            <w:hideMark/>
          </w:tcPr>
          <w:p w14:paraId="77883E50" w14:textId="77777777" w:rsidR="008436A3" w:rsidRPr="0015600B" w:rsidRDefault="008436A3" w:rsidP="008436A3">
            <w:pPr>
              <w:spacing w:line="240" w:lineRule="auto"/>
              <w:ind w:firstLine="0"/>
            </w:pPr>
            <w:r w:rsidRPr="0015600B">
              <w:t>12.49</w:t>
            </w:r>
          </w:p>
        </w:tc>
        <w:tc>
          <w:tcPr>
            <w:tcW w:w="1925" w:type="dxa"/>
            <w:tcBorders>
              <w:top w:val="nil"/>
              <w:left w:val="nil"/>
              <w:bottom w:val="single" w:sz="12" w:space="0" w:color="auto"/>
              <w:right w:val="nil"/>
            </w:tcBorders>
            <w:shd w:val="clear" w:color="auto" w:fill="auto"/>
            <w:noWrap/>
            <w:vAlign w:val="center"/>
            <w:hideMark/>
          </w:tcPr>
          <w:p w14:paraId="40CB74A7" w14:textId="77777777" w:rsidR="008436A3" w:rsidRPr="0015600B" w:rsidRDefault="008436A3" w:rsidP="008436A3">
            <w:pPr>
              <w:spacing w:line="240" w:lineRule="auto"/>
              <w:ind w:firstLine="0"/>
            </w:pPr>
            <w:r w:rsidRPr="0015600B">
              <w:t>0.041</w:t>
            </w:r>
          </w:p>
        </w:tc>
        <w:tc>
          <w:tcPr>
            <w:tcW w:w="1968" w:type="dxa"/>
            <w:tcBorders>
              <w:top w:val="nil"/>
              <w:left w:val="nil"/>
              <w:bottom w:val="single" w:sz="12" w:space="0" w:color="auto"/>
              <w:right w:val="nil"/>
            </w:tcBorders>
            <w:shd w:val="clear" w:color="auto" w:fill="auto"/>
            <w:noWrap/>
            <w:vAlign w:val="center"/>
            <w:hideMark/>
          </w:tcPr>
          <w:p w14:paraId="58471298" w14:textId="77777777" w:rsidR="008436A3" w:rsidRPr="0015600B" w:rsidRDefault="008436A3" w:rsidP="008436A3">
            <w:pPr>
              <w:spacing w:line="240" w:lineRule="auto"/>
              <w:ind w:firstLine="0"/>
            </w:pPr>
            <w:r w:rsidRPr="0015600B">
              <w:t>0.076</w:t>
            </w:r>
          </w:p>
        </w:tc>
      </w:tr>
    </w:tbl>
    <w:p w14:paraId="769ED463" w14:textId="77777777" w:rsidR="008436A3" w:rsidRPr="0015600B" w:rsidRDefault="008436A3" w:rsidP="008436A3">
      <w:pPr>
        <w:spacing w:after="288"/>
      </w:pPr>
      <w:bookmarkStart w:id="256" w:name="_Toc41047310"/>
    </w:p>
    <w:p w14:paraId="4646C842" w14:textId="22F43E6F" w:rsidR="008436A3" w:rsidRPr="0015600B" w:rsidRDefault="008436A3" w:rsidP="008436A3">
      <w:pPr>
        <w:spacing w:after="288"/>
      </w:pPr>
      <w:r w:rsidRPr="0015600B">
        <w:t xml:space="preserve">Presented in Table </w:t>
      </w:r>
      <w:r w:rsidR="00B271AB">
        <w:t>4</w:t>
      </w:r>
      <w:r w:rsidRPr="0015600B">
        <w:t>.</w:t>
      </w:r>
      <w:r>
        <w:t>2</w:t>
      </w:r>
      <w:r w:rsidRPr="0015600B">
        <w:t xml:space="preserve"> is the auxiliary energy cost, the total building energy cost for the candidate cities using different equipment sizes. The table records the annual building energy consumption with and without solar collector</w:t>
      </w:r>
      <w:r w:rsidR="00E93FFE">
        <w:t>s</w:t>
      </w:r>
      <w:r w:rsidRPr="0015600B">
        <w:t xml:space="preserve"> as well.</w:t>
      </w:r>
    </w:p>
    <w:p w14:paraId="257FE2F0" w14:textId="77777777" w:rsidR="00E12165" w:rsidRDefault="00E12165">
      <w:pPr>
        <w:pStyle w:val="Caption"/>
      </w:pPr>
      <w:bookmarkStart w:id="257" w:name="_Toc41574675"/>
      <w:bookmarkStart w:id="258" w:name="_Toc42383128"/>
      <w:r>
        <w:br w:type="page"/>
      </w:r>
    </w:p>
    <w:p w14:paraId="247D7434" w14:textId="6A0A267C" w:rsidR="008436A3" w:rsidRPr="0015600B" w:rsidRDefault="008436A3">
      <w:pPr>
        <w:pStyle w:val="Caption"/>
      </w:pPr>
      <w:bookmarkStart w:id="259" w:name="_Toc47467746"/>
      <w:r w:rsidRPr="0015600B">
        <w:lastRenderedPageBreak/>
        <w:t xml:space="preserve">Table </w:t>
      </w:r>
      <w:fldSimple w:instr=" STYLEREF 1 \s ">
        <w:r w:rsidR="00D979B8">
          <w:rPr>
            <w:noProof/>
          </w:rPr>
          <w:t>4</w:t>
        </w:r>
      </w:fldSimple>
      <w:r w:rsidR="003838C6">
        <w:t>.</w:t>
      </w:r>
      <w:fldSimple w:instr=" SEQ Table \* ARABIC \s 1 ">
        <w:r w:rsidR="00D979B8">
          <w:rPr>
            <w:noProof/>
          </w:rPr>
          <w:t>2</w:t>
        </w:r>
      </w:fldSimple>
      <w:r w:rsidRPr="0015600B">
        <w:t xml:space="preserve"> The annual energy cost saving</w:t>
      </w:r>
      <w:bookmarkEnd w:id="256"/>
      <w:bookmarkEnd w:id="257"/>
      <w:bookmarkEnd w:id="258"/>
      <w:r w:rsidR="0041368B">
        <w:t>s</w:t>
      </w:r>
      <w:bookmarkEnd w:id="259"/>
    </w:p>
    <w:tbl>
      <w:tblPr>
        <w:tblW w:w="7760" w:type="dxa"/>
        <w:jc w:val="center"/>
        <w:tblBorders>
          <w:top w:val="single" w:sz="4" w:space="0" w:color="auto"/>
        </w:tblBorders>
        <w:tblLook w:val="04A0" w:firstRow="1" w:lastRow="0" w:firstColumn="1" w:lastColumn="0" w:noHBand="0" w:noVBand="1"/>
      </w:tblPr>
      <w:tblGrid>
        <w:gridCol w:w="1659"/>
        <w:gridCol w:w="957"/>
        <w:gridCol w:w="1173"/>
        <w:gridCol w:w="1227"/>
        <w:gridCol w:w="1092"/>
        <w:gridCol w:w="1227"/>
        <w:gridCol w:w="1184"/>
      </w:tblGrid>
      <w:tr w:rsidR="008436A3" w:rsidRPr="0015600B" w14:paraId="718BC0F4" w14:textId="77777777" w:rsidTr="008436A3">
        <w:trPr>
          <w:trHeight w:val="1332"/>
          <w:jc w:val="center"/>
        </w:trPr>
        <w:tc>
          <w:tcPr>
            <w:tcW w:w="2000" w:type="dxa"/>
            <w:tcBorders>
              <w:top w:val="single" w:sz="12" w:space="0" w:color="auto"/>
              <w:bottom w:val="single" w:sz="12" w:space="0" w:color="auto"/>
            </w:tcBorders>
            <w:shd w:val="clear" w:color="auto" w:fill="auto"/>
            <w:vAlign w:val="bottom"/>
            <w:hideMark/>
          </w:tcPr>
          <w:p w14:paraId="7BDFBBC4" w14:textId="77777777" w:rsidR="008436A3" w:rsidRPr="0015600B" w:rsidRDefault="008436A3" w:rsidP="008436A3">
            <w:pPr>
              <w:spacing w:line="240" w:lineRule="auto"/>
              <w:ind w:firstLine="0"/>
            </w:pPr>
            <w:r w:rsidRPr="0015600B">
              <w:t>City</w:t>
            </w:r>
          </w:p>
        </w:tc>
        <w:tc>
          <w:tcPr>
            <w:tcW w:w="760" w:type="dxa"/>
            <w:tcBorders>
              <w:top w:val="single" w:sz="12" w:space="0" w:color="auto"/>
              <w:bottom w:val="single" w:sz="12" w:space="0" w:color="auto"/>
            </w:tcBorders>
            <w:shd w:val="clear" w:color="auto" w:fill="auto"/>
            <w:vAlign w:val="bottom"/>
            <w:hideMark/>
          </w:tcPr>
          <w:p w14:paraId="513335FA" w14:textId="77777777" w:rsidR="008436A3" w:rsidRPr="0015600B" w:rsidRDefault="008436A3" w:rsidP="008436A3">
            <w:pPr>
              <w:spacing w:line="240" w:lineRule="auto"/>
              <w:ind w:firstLine="0"/>
            </w:pPr>
            <w:r w:rsidRPr="0015600B">
              <w:t>TES (kWh)</w:t>
            </w:r>
          </w:p>
        </w:tc>
        <w:tc>
          <w:tcPr>
            <w:tcW w:w="1040" w:type="dxa"/>
            <w:tcBorders>
              <w:top w:val="single" w:sz="12" w:space="0" w:color="auto"/>
              <w:bottom w:val="single" w:sz="12" w:space="0" w:color="auto"/>
            </w:tcBorders>
            <w:shd w:val="clear" w:color="auto" w:fill="auto"/>
            <w:vAlign w:val="bottom"/>
            <w:hideMark/>
          </w:tcPr>
          <w:p w14:paraId="34AAA7B0" w14:textId="77777777" w:rsidR="008436A3" w:rsidRPr="0015600B" w:rsidRDefault="008436A3" w:rsidP="008436A3">
            <w:pPr>
              <w:spacing w:line="240" w:lineRule="auto"/>
              <w:ind w:firstLine="0"/>
            </w:pPr>
            <w:r w:rsidRPr="0015600B">
              <w:t>Collector area (m</w:t>
            </w:r>
            <w:r w:rsidRPr="0015600B">
              <w:rPr>
                <w:vertAlign w:val="superscript"/>
              </w:rPr>
              <w:t>2</w:t>
            </w:r>
            <w:r w:rsidRPr="0015600B">
              <w:t>)</w:t>
            </w:r>
          </w:p>
        </w:tc>
        <w:tc>
          <w:tcPr>
            <w:tcW w:w="1000" w:type="dxa"/>
            <w:tcBorders>
              <w:top w:val="single" w:sz="12" w:space="0" w:color="auto"/>
              <w:bottom w:val="single" w:sz="12" w:space="0" w:color="auto"/>
            </w:tcBorders>
            <w:shd w:val="clear" w:color="auto" w:fill="auto"/>
            <w:vAlign w:val="bottom"/>
            <w:hideMark/>
          </w:tcPr>
          <w:p w14:paraId="11EFEC0C" w14:textId="77777777" w:rsidR="008436A3" w:rsidRPr="0015600B" w:rsidRDefault="008436A3" w:rsidP="008436A3">
            <w:pPr>
              <w:spacing w:line="240" w:lineRule="auto"/>
              <w:ind w:firstLine="0"/>
            </w:pPr>
            <w:r w:rsidRPr="0015600B">
              <w:t>Annual total energy demand (kWh)</w:t>
            </w:r>
          </w:p>
        </w:tc>
        <w:tc>
          <w:tcPr>
            <w:tcW w:w="980" w:type="dxa"/>
            <w:tcBorders>
              <w:top w:val="single" w:sz="12" w:space="0" w:color="auto"/>
              <w:bottom w:val="single" w:sz="12" w:space="0" w:color="auto"/>
            </w:tcBorders>
            <w:shd w:val="clear" w:color="auto" w:fill="auto"/>
            <w:vAlign w:val="bottom"/>
            <w:hideMark/>
          </w:tcPr>
          <w:p w14:paraId="3C3F4B6C" w14:textId="77777777" w:rsidR="008436A3" w:rsidRPr="0015600B" w:rsidRDefault="008436A3" w:rsidP="008436A3">
            <w:pPr>
              <w:spacing w:line="240" w:lineRule="auto"/>
              <w:ind w:firstLine="0"/>
            </w:pPr>
            <w:r w:rsidRPr="0015600B">
              <w:t>Total energy demand cost ($)</w:t>
            </w:r>
          </w:p>
        </w:tc>
        <w:tc>
          <w:tcPr>
            <w:tcW w:w="1000" w:type="dxa"/>
            <w:tcBorders>
              <w:top w:val="single" w:sz="12" w:space="0" w:color="auto"/>
              <w:bottom w:val="single" w:sz="12" w:space="0" w:color="auto"/>
            </w:tcBorders>
            <w:shd w:val="clear" w:color="auto" w:fill="auto"/>
            <w:vAlign w:val="bottom"/>
            <w:hideMark/>
          </w:tcPr>
          <w:p w14:paraId="633D3783" w14:textId="77777777" w:rsidR="008436A3" w:rsidRPr="0015600B" w:rsidRDefault="008436A3" w:rsidP="008436A3">
            <w:pPr>
              <w:spacing w:line="240" w:lineRule="auto"/>
              <w:ind w:firstLine="0"/>
            </w:pPr>
            <w:r w:rsidRPr="0015600B">
              <w:t>Auxiliary energy demand (kWh)</w:t>
            </w:r>
          </w:p>
        </w:tc>
        <w:tc>
          <w:tcPr>
            <w:tcW w:w="980" w:type="dxa"/>
            <w:tcBorders>
              <w:top w:val="single" w:sz="12" w:space="0" w:color="auto"/>
              <w:bottom w:val="single" w:sz="12" w:space="0" w:color="auto"/>
            </w:tcBorders>
            <w:shd w:val="clear" w:color="auto" w:fill="auto"/>
            <w:vAlign w:val="bottom"/>
            <w:hideMark/>
          </w:tcPr>
          <w:p w14:paraId="3E878F28" w14:textId="77777777" w:rsidR="008436A3" w:rsidRPr="0015600B" w:rsidRDefault="008436A3" w:rsidP="008436A3">
            <w:pPr>
              <w:spacing w:line="240" w:lineRule="auto"/>
              <w:ind w:firstLine="0"/>
            </w:pPr>
            <w:r w:rsidRPr="0015600B">
              <w:t>Auxiliary energy cost ($)</w:t>
            </w:r>
          </w:p>
        </w:tc>
      </w:tr>
      <w:tr w:rsidR="008436A3" w:rsidRPr="0015600B" w14:paraId="4038CD6D" w14:textId="77777777" w:rsidTr="008436A3">
        <w:trPr>
          <w:trHeight w:val="288"/>
          <w:jc w:val="center"/>
        </w:trPr>
        <w:tc>
          <w:tcPr>
            <w:tcW w:w="2000" w:type="dxa"/>
            <w:vMerge w:val="restart"/>
            <w:tcBorders>
              <w:top w:val="single" w:sz="12" w:space="0" w:color="auto"/>
            </w:tcBorders>
            <w:shd w:val="clear" w:color="auto" w:fill="auto"/>
            <w:vAlign w:val="center"/>
            <w:hideMark/>
          </w:tcPr>
          <w:p w14:paraId="19763F2A" w14:textId="77777777" w:rsidR="008436A3" w:rsidRPr="0015600B" w:rsidRDefault="008436A3" w:rsidP="008436A3">
            <w:pPr>
              <w:spacing w:line="240" w:lineRule="auto"/>
              <w:ind w:firstLine="0"/>
            </w:pPr>
            <w:r w:rsidRPr="0015600B">
              <w:t>Miami, FL</w:t>
            </w:r>
          </w:p>
        </w:tc>
        <w:tc>
          <w:tcPr>
            <w:tcW w:w="760" w:type="dxa"/>
            <w:tcBorders>
              <w:top w:val="single" w:sz="12" w:space="0" w:color="auto"/>
            </w:tcBorders>
            <w:shd w:val="clear" w:color="auto" w:fill="auto"/>
            <w:noWrap/>
            <w:vAlign w:val="center"/>
            <w:hideMark/>
          </w:tcPr>
          <w:p w14:paraId="6861DEBC" w14:textId="77777777" w:rsidR="008436A3" w:rsidRPr="0015600B" w:rsidRDefault="008436A3" w:rsidP="008436A3">
            <w:pPr>
              <w:spacing w:line="240" w:lineRule="auto"/>
              <w:ind w:firstLine="0"/>
            </w:pPr>
            <w:r w:rsidRPr="0015600B">
              <w:t>07.46</w:t>
            </w:r>
          </w:p>
        </w:tc>
        <w:tc>
          <w:tcPr>
            <w:tcW w:w="1040" w:type="dxa"/>
            <w:tcBorders>
              <w:top w:val="single" w:sz="12" w:space="0" w:color="auto"/>
            </w:tcBorders>
            <w:shd w:val="clear" w:color="auto" w:fill="auto"/>
            <w:noWrap/>
            <w:vAlign w:val="center"/>
            <w:hideMark/>
          </w:tcPr>
          <w:p w14:paraId="0DAAC025" w14:textId="77777777" w:rsidR="008436A3" w:rsidRPr="0015600B" w:rsidRDefault="008436A3" w:rsidP="008436A3">
            <w:pPr>
              <w:spacing w:line="240" w:lineRule="auto"/>
              <w:ind w:firstLine="0"/>
            </w:pPr>
            <w:r w:rsidRPr="0015600B">
              <w:t>08.04</w:t>
            </w:r>
          </w:p>
        </w:tc>
        <w:tc>
          <w:tcPr>
            <w:tcW w:w="1000" w:type="dxa"/>
            <w:tcBorders>
              <w:top w:val="single" w:sz="12" w:space="0" w:color="auto"/>
            </w:tcBorders>
            <w:shd w:val="clear" w:color="auto" w:fill="auto"/>
            <w:noWrap/>
            <w:vAlign w:val="bottom"/>
            <w:hideMark/>
          </w:tcPr>
          <w:p w14:paraId="6A9A09DB" w14:textId="77777777" w:rsidR="008436A3" w:rsidRPr="0015600B" w:rsidRDefault="008436A3" w:rsidP="008436A3">
            <w:pPr>
              <w:spacing w:line="240" w:lineRule="auto"/>
              <w:ind w:firstLine="0"/>
            </w:pPr>
          </w:p>
        </w:tc>
        <w:tc>
          <w:tcPr>
            <w:tcW w:w="980" w:type="dxa"/>
            <w:tcBorders>
              <w:top w:val="single" w:sz="12" w:space="0" w:color="auto"/>
            </w:tcBorders>
            <w:shd w:val="clear" w:color="auto" w:fill="auto"/>
            <w:noWrap/>
            <w:vAlign w:val="bottom"/>
            <w:hideMark/>
          </w:tcPr>
          <w:p w14:paraId="3278FC2A" w14:textId="77777777" w:rsidR="008436A3" w:rsidRPr="0015600B" w:rsidRDefault="008436A3" w:rsidP="008436A3">
            <w:pPr>
              <w:spacing w:line="240" w:lineRule="auto"/>
              <w:ind w:firstLine="0"/>
            </w:pPr>
          </w:p>
        </w:tc>
        <w:tc>
          <w:tcPr>
            <w:tcW w:w="1000" w:type="dxa"/>
            <w:tcBorders>
              <w:top w:val="single" w:sz="12" w:space="0" w:color="auto"/>
            </w:tcBorders>
            <w:shd w:val="clear" w:color="auto" w:fill="auto"/>
            <w:noWrap/>
            <w:hideMark/>
          </w:tcPr>
          <w:p w14:paraId="666E966C" w14:textId="77777777" w:rsidR="008436A3" w:rsidRPr="0015600B" w:rsidRDefault="008436A3" w:rsidP="008436A3">
            <w:pPr>
              <w:spacing w:line="240" w:lineRule="auto"/>
              <w:ind w:firstLine="0"/>
            </w:pPr>
            <w:r w:rsidRPr="0015600B">
              <w:t>8353.17</w:t>
            </w:r>
          </w:p>
        </w:tc>
        <w:tc>
          <w:tcPr>
            <w:tcW w:w="980" w:type="dxa"/>
            <w:tcBorders>
              <w:top w:val="single" w:sz="12" w:space="0" w:color="auto"/>
            </w:tcBorders>
            <w:shd w:val="clear" w:color="auto" w:fill="auto"/>
            <w:noWrap/>
            <w:hideMark/>
          </w:tcPr>
          <w:p w14:paraId="3B8D8BCB" w14:textId="77777777" w:rsidR="008436A3" w:rsidRPr="0015600B" w:rsidRDefault="008436A3" w:rsidP="008436A3">
            <w:pPr>
              <w:spacing w:line="240" w:lineRule="auto"/>
              <w:ind w:firstLine="0"/>
            </w:pPr>
            <w:r w:rsidRPr="0015600B">
              <w:t>493.26</w:t>
            </w:r>
          </w:p>
        </w:tc>
      </w:tr>
      <w:tr w:rsidR="008436A3" w:rsidRPr="0015600B" w14:paraId="7494E30D" w14:textId="77777777" w:rsidTr="008436A3">
        <w:trPr>
          <w:trHeight w:val="288"/>
          <w:jc w:val="center"/>
        </w:trPr>
        <w:tc>
          <w:tcPr>
            <w:tcW w:w="2000" w:type="dxa"/>
            <w:vMerge/>
            <w:tcBorders>
              <w:top w:val="nil"/>
            </w:tcBorders>
            <w:vAlign w:val="center"/>
            <w:hideMark/>
          </w:tcPr>
          <w:p w14:paraId="5E2DB0E7" w14:textId="77777777" w:rsidR="008436A3" w:rsidRPr="0015600B" w:rsidRDefault="008436A3" w:rsidP="008436A3">
            <w:pPr>
              <w:spacing w:line="240" w:lineRule="auto"/>
              <w:ind w:firstLine="0"/>
            </w:pPr>
          </w:p>
        </w:tc>
        <w:tc>
          <w:tcPr>
            <w:tcW w:w="760" w:type="dxa"/>
            <w:tcBorders>
              <w:top w:val="nil"/>
            </w:tcBorders>
            <w:shd w:val="clear" w:color="auto" w:fill="auto"/>
            <w:noWrap/>
            <w:vAlign w:val="center"/>
            <w:hideMark/>
          </w:tcPr>
          <w:p w14:paraId="19E873C0" w14:textId="77777777" w:rsidR="008436A3" w:rsidRPr="0015600B" w:rsidRDefault="008436A3" w:rsidP="008436A3">
            <w:pPr>
              <w:spacing w:line="240" w:lineRule="auto"/>
              <w:ind w:firstLine="0"/>
            </w:pPr>
            <w:r w:rsidRPr="0015600B">
              <w:t>14.91</w:t>
            </w:r>
          </w:p>
        </w:tc>
        <w:tc>
          <w:tcPr>
            <w:tcW w:w="1040" w:type="dxa"/>
            <w:tcBorders>
              <w:top w:val="nil"/>
            </w:tcBorders>
            <w:shd w:val="clear" w:color="auto" w:fill="auto"/>
            <w:vAlign w:val="center"/>
            <w:hideMark/>
          </w:tcPr>
          <w:p w14:paraId="05AD3A76" w14:textId="77777777" w:rsidR="008436A3" w:rsidRPr="0015600B" w:rsidRDefault="008436A3" w:rsidP="008436A3">
            <w:pPr>
              <w:spacing w:line="240" w:lineRule="auto"/>
              <w:ind w:firstLine="0"/>
            </w:pPr>
            <w:r w:rsidRPr="0015600B">
              <w:t>16.07</w:t>
            </w:r>
          </w:p>
        </w:tc>
        <w:tc>
          <w:tcPr>
            <w:tcW w:w="1000" w:type="dxa"/>
            <w:tcBorders>
              <w:top w:val="nil"/>
            </w:tcBorders>
            <w:shd w:val="clear" w:color="auto" w:fill="auto"/>
            <w:vAlign w:val="center"/>
            <w:hideMark/>
          </w:tcPr>
          <w:p w14:paraId="61A86CB3" w14:textId="77777777" w:rsidR="008436A3" w:rsidRPr="0015600B" w:rsidRDefault="008436A3" w:rsidP="008436A3">
            <w:pPr>
              <w:spacing w:line="240" w:lineRule="auto"/>
              <w:ind w:firstLine="0"/>
            </w:pPr>
            <w:r w:rsidRPr="0015600B">
              <w:t>15010.49</w:t>
            </w:r>
          </w:p>
        </w:tc>
        <w:tc>
          <w:tcPr>
            <w:tcW w:w="980" w:type="dxa"/>
            <w:tcBorders>
              <w:top w:val="nil"/>
            </w:tcBorders>
            <w:shd w:val="clear" w:color="auto" w:fill="auto"/>
            <w:noWrap/>
            <w:vAlign w:val="bottom"/>
            <w:hideMark/>
          </w:tcPr>
          <w:p w14:paraId="155EF2D6" w14:textId="77777777" w:rsidR="008436A3" w:rsidRPr="0015600B" w:rsidRDefault="008436A3" w:rsidP="008436A3">
            <w:pPr>
              <w:spacing w:line="240" w:lineRule="auto"/>
              <w:ind w:firstLine="0"/>
            </w:pPr>
            <w:r w:rsidRPr="0015600B">
              <w:t>494.87</w:t>
            </w:r>
          </w:p>
        </w:tc>
        <w:tc>
          <w:tcPr>
            <w:tcW w:w="1000" w:type="dxa"/>
            <w:tcBorders>
              <w:top w:val="nil"/>
            </w:tcBorders>
            <w:shd w:val="clear" w:color="auto" w:fill="auto"/>
            <w:noWrap/>
            <w:hideMark/>
          </w:tcPr>
          <w:p w14:paraId="7696AD1E" w14:textId="77777777" w:rsidR="008436A3" w:rsidRPr="0015600B" w:rsidRDefault="008436A3" w:rsidP="008436A3">
            <w:pPr>
              <w:spacing w:line="240" w:lineRule="auto"/>
              <w:ind w:firstLine="0"/>
            </w:pPr>
            <w:r w:rsidRPr="0015600B">
              <w:t>4538.63</w:t>
            </w:r>
          </w:p>
        </w:tc>
        <w:tc>
          <w:tcPr>
            <w:tcW w:w="980" w:type="dxa"/>
            <w:tcBorders>
              <w:top w:val="nil"/>
            </w:tcBorders>
            <w:shd w:val="clear" w:color="auto" w:fill="auto"/>
            <w:noWrap/>
            <w:hideMark/>
          </w:tcPr>
          <w:p w14:paraId="0D7C4CA4" w14:textId="77777777" w:rsidR="008436A3" w:rsidRPr="0015600B" w:rsidRDefault="008436A3" w:rsidP="008436A3">
            <w:pPr>
              <w:spacing w:line="240" w:lineRule="auto"/>
              <w:ind w:firstLine="0"/>
            </w:pPr>
            <w:r w:rsidRPr="0015600B">
              <w:t>268.01</w:t>
            </w:r>
          </w:p>
        </w:tc>
      </w:tr>
      <w:tr w:rsidR="008436A3" w:rsidRPr="0015600B" w14:paraId="048A8F48" w14:textId="77777777" w:rsidTr="008436A3">
        <w:trPr>
          <w:trHeight w:val="288"/>
          <w:jc w:val="center"/>
        </w:trPr>
        <w:tc>
          <w:tcPr>
            <w:tcW w:w="2000" w:type="dxa"/>
            <w:vMerge/>
            <w:tcBorders>
              <w:top w:val="nil"/>
              <w:bottom w:val="single" w:sz="4" w:space="0" w:color="auto"/>
            </w:tcBorders>
            <w:vAlign w:val="center"/>
            <w:hideMark/>
          </w:tcPr>
          <w:p w14:paraId="0ED761C3" w14:textId="77777777" w:rsidR="008436A3" w:rsidRPr="0015600B" w:rsidRDefault="008436A3" w:rsidP="008436A3">
            <w:pPr>
              <w:spacing w:line="240" w:lineRule="auto"/>
              <w:ind w:firstLine="0"/>
            </w:pPr>
          </w:p>
        </w:tc>
        <w:tc>
          <w:tcPr>
            <w:tcW w:w="760" w:type="dxa"/>
            <w:tcBorders>
              <w:top w:val="nil"/>
              <w:bottom w:val="single" w:sz="4" w:space="0" w:color="auto"/>
            </w:tcBorders>
            <w:shd w:val="clear" w:color="auto" w:fill="auto"/>
            <w:noWrap/>
            <w:vAlign w:val="center"/>
            <w:hideMark/>
          </w:tcPr>
          <w:p w14:paraId="77CE2903" w14:textId="77777777" w:rsidR="008436A3" w:rsidRPr="0015600B" w:rsidRDefault="008436A3" w:rsidP="008436A3">
            <w:pPr>
              <w:spacing w:line="240" w:lineRule="auto"/>
              <w:ind w:firstLine="0"/>
            </w:pPr>
            <w:r w:rsidRPr="0015600B">
              <w:t>22.37</w:t>
            </w:r>
          </w:p>
        </w:tc>
        <w:tc>
          <w:tcPr>
            <w:tcW w:w="1040" w:type="dxa"/>
            <w:tcBorders>
              <w:top w:val="nil"/>
              <w:bottom w:val="single" w:sz="4" w:space="0" w:color="auto"/>
            </w:tcBorders>
            <w:shd w:val="clear" w:color="auto" w:fill="auto"/>
            <w:noWrap/>
            <w:vAlign w:val="center"/>
            <w:hideMark/>
          </w:tcPr>
          <w:p w14:paraId="3B085A9E" w14:textId="77777777" w:rsidR="008436A3" w:rsidRPr="0015600B" w:rsidRDefault="008436A3" w:rsidP="008436A3">
            <w:pPr>
              <w:spacing w:line="240" w:lineRule="auto"/>
              <w:ind w:firstLine="0"/>
            </w:pPr>
            <w:r w:rsidRPr="0015600B">
              <w:t>24.11</w:t>
            </w:r>
          </w:p>
        </w:tc>
        <w:tc>
          <w:tcPr>
            <w:tcW w:w="1000" w:type="dxa"/>
            <w:tcBorders>
              <w:top w:val="nil"/>
              <w:bottom w:val="single" w:sz="4" w:space="0" w:color="auto"/>
            </w:tcBorders>
            <w:shd w:val="clear" w:color="auto" w:fill="auto"/>
            <w:vAlign w:val="center"/>
            <w:hideMark/>
          </w:tcPr>
          <w:p w14:paraId="4A89230F" w14:textId="77777777" w:rsidR="008436A3" w:rsidRPr="0015600B" w:rsidRDefault="008436A3" w:rsidP="008436A3">
            <w:pPr>
              <w:spacing w:line="240" w:lineRule="auto"/>
              <w:ind w:firstLine="0"/>
            </w:pPr>
          </w:p>
        </w:tc>
        <w:tc>
          <w:tcPr>
            <w:tcW w:w="980" w:type="dxa"/>
            <w:tcBorders>
              <w:top w:val="nil"/>
              <w:bottom w:val="single" w:sz="4" w:space="0" w:color="auto"/>
            </w:tcBorders>
            <w:shd w:val="clear" w:color="auto" w:fill="auto"/>
            <w:vAlign w:val="center"/>
            <w:hideMark/>
          </w:tcPr>
          <w:p w14:paraId="0A12D11E" w14:textId="77777777" w:rsidR="008436A3" w:rsidRPr="0015600B" w:rsidRDefault="008436A3" w:rsidP="008436A3">
            <w:pPr>
              <w:spacing w:line="240" w:lineRule="auto"/>
              <w:ind w:firstLine="0"/>
            </w:pPr>
          </w:p>
        </w:tc>
        <w:tc>
          <w:tcPr>
            <w:tcW w:w="1000" w:type="dxa"/>
            <w:tcBorders>
              <w:top w:val="nil"/>
              <w:bottom w:val="single" w:sz="4" w:space="0" w:color="auto"/>
            </w:tcBorders>
            <w:shd w:val="clear" w:color="auto" w:fill="auto"/>
            <w:noWrap/>
            <w:hideMark/>
          </w:tcPr>
          <w:p w14:paraId="0EED1723" w14:textId="77777777" w:rsidR="008436A3" w:rsidRPr="0015600B" w:rsidRDefault="008436A3" w:rsidP="008436A3">
            <w:pPr>
              <w:spacing w:line="240" w:lineRule="auto"/>
              <w:ind w:firstLine="0"/>
            </w:pPr>
            <w:r w:rsidRPr="0015600B">
              <w:t>1976.71</w:t>
            </w:r>
          </w:p>
        </w:tc>
        <w:tc>
          <w:tcPr>
            <w:tcW w:w="980" w:type="dxa"/>
            <w:tcBorders>
              <w:top w:val="nil"/>
              <w:bottom w:val="single" w:sz="4" w:space="0" w:color="auto"/>
            </w:tcBorders>
            <w:shd w:val="clear" w:color="auto" w:fill="auto"/>
            <w:noWrap/>
            <w:hideMark/>
          </w:tcPr>
          <w:p w14:paraId="389D45C6" w14:textId="77777777" w:rsidR="008436A3" w:rsidRPr="0015600B" w:rsidRDefault="008436A3" w:rsidP="008436A3">
            <w:pPr>
              <w:spacing w:line="240" w:lineRule="auto"/>
              <w:ind w:firstLine="0"/>
            </w:pPr>
            <w:r w:rsidRPr="0015600B">
              <w:t>116.73</w:t>
            </w:r>
          </w:p>
        </w:tc>
      </w:tr>
      <w:tr w:rsidR="008436A3" w:rsidRPr="0015600B" w14:paraId="799D0A88" w14:textId="77777777" w:rsidTr="008436A3">
        <w:trPr>
          <w:trHeight w:val="288"/>
          <w:jc w:val="center"/>
        </w:trPr>
        <w:tc>
          <w:tcPr>
            <w:tcW w:w="2000" w:type="dxa"/>
            <w:vMerge w:val="restart"/>
            <w:tcBorders>
              <w:top w:val="single" w:sz="4" w:space="0" w:color="auto"/>
            </w:tcBorders>
            <w:shd w:val="clear" w:color="auto" w:fill="auto"/>
            <w:vAlign w:val="center"/>
            <w:hideMark/>
          </w:tcPr>
          <w:p w14:paraId="52A7622C" w14:textId="77777777" w:rsidR="008436A3" w:rsidRPr="0015600B" w:rsidRDefault="008436A3" w:rsidP="008436A3">
            <w:pPr>
              <w:spacing w:line="240" w:lineRule="auto"/>
              <w:ind w:firstLine="0"/>
            </w:pPr>
            <w:r w:rsidRPr="0015600B">
              <w:t>Duluth, MN</w:t>
            </w:r>
          </w:p>
        </w:tc>
        <w:tc>
          <w:tcPr>
            <w:tcW w:w="760" w:type="dxa"/>
            <w:tcBorders>
              <w:top w:val="single" w:sz="4" w:space="0" w:color="auto"/>
            </w:tcBorders>
            <w:shd w:val="clear" w:color="auto" w:fill="auto"/>
            <w:noWrap/>
            <w:vAlign w:val="center"/>
            <w:hideMark/>
          </w:tcPr>
          <w:p w14:paraId="7A6E017B" w14:textId="77777777" w:rsidR="008436A3" w:rsidRPr="0015600B" w:rsidRDefault="008436A3" w:rsidP="008436A3">
            <w:pPr>
              <w:spacing w:line="240" w:lineRule="auto"/>
              <w:ind w:firstLine="0"/>
            </w:pPr>
            <w:r w:rsidRPr="0015600B">
              <w:t>26.94</w:t>
            </w:r>
          </w:p>
        </w:tc>
        <w:tc>
          <w:tcPr>
            <w:tcW w:w="1040" w:type="dxa"/>
            <w:tcBorders>
              <w:top w:val="single" w:sz="4" w:space="0" w:color="auto"/>
            </w:tcBorders>
            <w:shd w:val="clear" w:color="auto" w:fill="auto"/>
            <w:noWrap/>
            <w:vAlign w:val="center"/>
            <w:hideMark/>
          </w:tcPr>
          <w:p w14:paraId="693BC12B" w14:textId="77777777" w:rsidR="008436A3" w:rsidRPr="0015600B" w:rsidRDefault="008436A3" w:rsidP="008436A3">
            <w:pPr>
              <w:spacing w:line="240" w:lineRule="auto"/>
              <w:ind w:firstLine="0"/>
            </w:pPr>
            <w:r w:rsidRPr="0015600B">
              <w:t>78.46</w:t>
            </w:r>
          </w:p>
        </w:tc>
        <w:tc>
          <w:tcPr>
            <w:tcW w:w="1000" w:type="dxa"/>
            <w:tcBorders>
              <w:top w:val="single" w:sz="4" w:space="0" w:color="auto"/>
            </w:tcBorders>
            <w:shd w:val="clear" w:color="auto" w:fill="auto"/>
            <w:noWrap/>
            <w:vAlign w:val="bottom"/>
            <w:hideMark/>
          </w:tcPr>
          <w:p w14:paraId="346E87A2"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0F5612BE"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7419C209" w14:textId="77777777" w:rsidR="008436A3" w:rsidRPr="0015600B" w:rsidRDefault="008436A3" w:rsidP="008436A3">
            <w:pPr>
              <w:spacing w:line="240" w:lineRule="auto"/>
              <w:ind w:firstLine="0"/>
            </w:pPr>
            <w:r w:rsidRPr="0015600B">
              <w:t>32591.49</w:t>
            </w:r>
          </w:p>
        </w:tc>
        <w:tc>
          <w:tcPr>
            <w:tcW w:w="980" w:type="dxa"/>
            <w:tcBorders>
              <w:top w:val="single" w:sz="4" w:space="0" w:color="auto"/>
            </w:tcBorders>
            <w:shd w:val="clear" w:color="auto" w:fill="auto"/>
            <w:noWrap/>
            <w:hideMark/>
          </w:tcPr>
          <w:p w14:paraId="1B35CA42" w14:textId="77777777" w:rsidR="008436A3" w:rsidRPr="0015600B" w:rsidRDefault="008436A3" w:rsidP="008436A3">
            <w:pPr>
              <w:spacing w:line="240" w:lineRule="auto"/>
              <w:ind w:firstLine="0"/>
            </w:pPr>
            <w:r w:rsidRPr="0015600B">
              <w:t>942.38</w:t>
            </w:r>
          </w:p>
        </w:tc>
      </w:tr>
      <w:tr w:rsidR="008436A3" w:rsidRPr="0015600B" w14:paraId="4A77B097" w14:textId="77777777" w:rsidTr="008436A3">
        <w:trPr>
          <w:trHeight w:val="288"/>
          <w:jc w:val="center"/>
        </w:trPr>
        <w:tc>
          <w:tcPr>
            <w:tcW w:w="2000" w:type="dxa"/>
            <w:vMerge/>
            <w:vAlign w:val="center"/>
            <w:hideMark/>
          </w:tcPr>
          <w:p w14:paraId="18AA0B54" w14:textId="77777777" w:rsidR="008436A3" w:rsidRPr="0015600B" w:rsidRDefault="008436A3" w:rsidP="008436A3">
            <w:pPr>
              <w:spacing w:line="240" w:lineRule="auto"/>
              <w:ind w:firstLine="0"/>
            </w:pPr>
          </w:p>
        </w:tc>
        <w:tc>
          <w:tcPr>
            <w:tcW w:w="760" w:type="dxa"/>
            <w:shd w:val="clear" w:color="auto" w:fill="auto"/>
            <w:noWrap/>
            <w:vAlign w:val="center"/>
            <w:hideMark/>
          </w:tcPr>
          <w:p w14:paraId="4E815C2C" w14:textId="77777777" w:rsidR="008436A3" w:rsidRPr="0015600B" w:rsidRDefault="008436A3" w:rsidP="008436A3">
            <w:pPr>
              <w:spacing w:line="240" w:lineRule="auto"/>
              <w:ind w:firstLine="0"/>
            </w:pPr>
            <w:r w:rsidRPr="0015600B">
              <w:t>53.88</w:t>
            </w:r>
          </w:p>
        </w:tc>
        <w:tc>
          <w:tcPr>
            <w:tcW w:w="1040" w:type="dxa"/>
            <w:shd w:val="clear" w:color="auto" w:fill="auto"/>
            <w:vAlign w:val="center"/>
            <w:hideMark/>
          </w:tcPr>
          <w:p w14:paraId="53B9E8D6" w14:textId="77777777" w:rsidR="008436A3" w:rsidRPr="0015600B" w:rsidRDefault="008436A3" w:rsidP="008436A3">
            <w:pPr>
              <w:spacing w:line="240" w:lineRule="auto"/>
              <w:ind w:firstLine="0"/>
            </w:pPr>
            <w:r w:rsidRPr="0015600B">
              <w:t>156.92</w:t>
            </w:r>
          </w:p>
        </w:tc>
        <w:tc>
          <w:tcPr>
            <w:tcW w:w="1000" w:type="dxa"/>
            <w:shd w:val="clear" w:color="auto" w:fill="auto"/>
            <w:vAlign w:val="center"/>
            <w:hideMark/>
          </w:tcPr>
          <w:p w14:paraId="1E264651" w14:textId="77777777" w:rsidR="008436A3" w:rsidRPr="0015600B" w:rsidRDefault="008436A3" w:rsidP="008436A3">
            <w:pPr>
              <w:spacing w:line="240" w:lineRule="auto"/>
              <w:ind w:firstLine="0"/>
            </w:pPr>
            <w:r w:rsidRPr="0015600B">
              <w:t>54288.39</w:t>
            </w:r>
          </w:p>
        </w:tc>
        <w:tc>
          <w:tcPr>
            <w:tcW w:w="980" w:type="dxa"/>
            <w:shd w:val="clear" w:color="auto" w:fill="auto"/>
            <w:noWrap/>
            <w:vAlign w:val="bottom"/>
            <w:hideMark/>
          </w:tcPr>
          <w:p w14:paraId="3D644C78" w14:textId="77777777" w:rsidR="008436A3" w:rsidRPr="0015600B" w:rsidRDefault="008436A3" w:rsidP="008436A3">
            <w:pPr>
              <w:spacing w:line="240" w:lineRule="auto"/>
              <w:ind w:firstLine="0"/>
            </w:pPr>
            <w:r w:rsidRPr="0015600B">
              <w:t>1568.41</w:t>
            </w:r>
          </w:p>
        </w:tc>
        <w:tc>
          <w:tcPr>
            <w:tcW w:w="1000" w:type="dxa"/>
            <w:shd w:val="clear" w:color="auto" w:fill="auto"/>
            <w:noWrap/>
            <w:hideMark/>
          </w:tcPr>
          <w:p w14:paraId="4BD67687" w14:textId="77777777" w:rsidR="008436A3" w:rsidRPr="0015600B" w:rsidRDefault="008436A3" w:rsidP="008436A3">
            <w:pPr>
              <w:spacing w:line="240" w:lineRule="auto"/>
              <w:ind w:firstLine="0"/>
            </w:pPr>
            <w:r w:rsidRPr="0015600B">
              <w:t>22228.05</w:t>
            </w:r>
          </w:p>
        </w:tc>
        <w:tc>
          <w:tcPr>
            <w:tcW w:w="980" w:type="dxa"/>
            <w:shd w:val="clear" w:color="auto" w:fill="auto"/>
            <w:noWrap/>
            <w:hideMark/>
          </w:tcPr>
          <w:p w14:paraId="7D8DF833" w14:textId="77777777" w:rsidR="008436A3" w:rsidRPr="0015600B" w:rsidRDefault="008436A3" w:rsidP="008436A3">
            <w:pPr>
              <w:spacing w:line="240" w:lineRule="auto"/>
              <w:ind w:firstLine="0"/>
            </w:pPr>
            <w:r w:rsidRPr="0015600B">
              <w:t>642.72</w:t>
            </w:r>
          </w:p>
        </w:tc>
      </w:tr>
      <w:tr w:rsidR="008436A3" w:rsidRPr="0015600B" w14:paraId="52EEC7CE" w14:textId="77777777" w:rsidTr="008436A3">
        <w:trPr>
          <w:trHeight w:val="288"/>
          <w:jc w:val="center"/>
        </w:trPr>
        <w:tc>
          <w:tcPr>
            <w:tcW w:w="2000" w:type="dxa"/>
            <w:vMerge/>
            <w:tcBorders>
              <w:bottom w:val="single" w:sz="4" w:space="0" w:color="auto"/>
            </w:tcBorders>
            <w:vAlign w:val="center"/>
            <w:hideMark/>
          </w:tcPr>
          <w:p w14:paraId="6CBE78A1" w14:textId="77777777" w:rsidR="008436A3" w:rsidRPr="0015600B" w:rsidRDefault="008436A3" w:rsidP="008436A3">
            <w:pPr>
              <w:spacing w:line="240" w:lineRule="auto"/>
              <w:ind w:firstLine="0"/>
            </w:pPr>
          </w:p>
        </w:tc>
        <w:tc>
          <w:tcPr>
            <w:tcW w:w="760" w:type="dxa"/>
            <w:tcBorders>
              <w:bottom w:val="single" w:sz="4" w:space="0" w:color="auto"/>
            </w:tcBorders>
            <w:shd w:val="clear" w:color="auto" w:fill="auto"/>
            <w:noWrap/>
            <w:vAlign w:val="center"/>
            <w:hideMark/>
          </w:tcPr>
          <w:p w14:paraId="6226A848" w14:textId="77777777" w:rsidR="008436A3" w:rsidRPr="0015600B" w:rsidRDefault="008436A3" w:rsidP="008436A3">
            <w:pPr>
              <w:spacing w:line="240" w:lineRule="auto"/>
              <w:ind w:firstLine="0"/>
            </w:pPr>
            <w:r w:rsidRPr="0015600B">
              <w:t>80.82</w:t>
            </w:r>
          </w:p>
        </w:tc>
        <w:tc>
          <w:tcPr>
            <w:tcW w:w="1040" w:type="dxa"/>
            <w:tcBorders>
              <w:bottom w:val="single" w:sz="4" w:space="0" w:color="auto"/>
            </w:tcBorders>
            <w:shd w:val="clear" w:color="auto" w:fill="auto"/>
            <w:noWrap/>
            <w:vAlign w:val="center"/>
            <w:hideMark/>
          </w:tcPr>
          <w:p w14:paraId="0012AC4D" w14:textId="77777777" w:rsidR="008436A3" w:rsidRPr="0015600B" w:rsidRDefault="008436A3" w:rsidP="008436A3">
            <w:pPr>
              <w:spacing w:line="240" w:lineRule="auto"/>
              <w:ind w:firstLine="0"/>
            </w:pPr>
            <w:r w:rsidRPr="0015600B">
              <w:t>235.38</w:t>
            </w:r>
          </w:p>
        </w:tc>
        <w:tc>
          <w:tcPr>
            <w:tcW w:w="1000" w:type="dxa"/>
            <w:tcBorders>
              <w:bottom w:val="single" w:sz="4" w:space="0" w:color="auto"/>
            </w:tcBorders>
            <w:shd w:val="clear" w:color="auto" w:fill="auto"/>
            <w:vAlign w:val="center"/>
            <w:hideMark/>
          </w:tcPr>
          <w:p w14:paraId="6768A6CA" w14:textId="77777777" w:rsidR="008436A3" w:rsidRPr="0015600B" w:rsidRDefault="008436A3" w:rsidP="008436A3">
            <w:pPr>
              <w:spacing w:line="240" w:lineRule="auto"/>
              <w:ind w:firstLine="0"/>
            </w:pPr>
          </w:p>
        </w:tc>
        <w:tc>
          <w:tcPr>
            <w:tcW w:w="980" w:type="dxa"/>
            <w:tcBorders>
              <w:bottom w:val="single" w:sz="4" w:space="0" w:color="auto"/>
            </w:tcBorders>
            <w:shd w:val="clear" w:color="auto" w:fill="auto"/>
            <w:vAlign w:val="center"/>
            <w:hideMark/>
          </w:tcPr>
          <w:p w14:paraId="34D382A7" w14:textId="77777777" w:rsidR="008436A3" w:rsidRPr="0015600B" w:rsidRDefault="008436A3" w:rsidP="008436A3">
            <w:pPr>
              <w:spacing w:line="240" w:lineRule="auto"/>
              <w:ind w:firstLine="0"/>
            </w:pPr>
          </w:p>
        </w:tc>
        <w:tc>
          <w:tcPr>
            <w:tcW w:w="1000" w:type="dxa"/>
            <w:tcBorders>
              <w:bottom w:val="single" w:sz="4" w:space="0" w:color="auto"/>
            </w:tcBorders>
            <w:shd w:val="clear" w:color="auto" w:fill="auto"/>
            <w:noWrap/>
            <w:hideMark/>
          </w:tcPr>
          <w:p w14:paraId="31481E08" w14:textId="77777777" w:rsidR="008436A3" w:rsidRPr="0015600B" w:rsidRDefault="008436A3" w:rsidP="008436A3">
            <w:pPr>
              <w:spacing w:line="240" w:lineRule="auto"/>
              <w:ind w:firstLine="0"/>
            </w:pPr>
            <w:r w:rsidRPr="0015600B">
              <w:t>14979.55</w:t>
            </w:r>
          </w:p>
        </w:tc>
        <w:tc>
          <w:tcPr>
            <w:tcW w:w="980" w:type="dxa"/>
            <w:tcBorders>
              <w:bottom w:val="single" w:sz="4" w:space="0" w:color="auto"/>
            </w:tcBorders>
            <w:shd w:val="clear" w:color="auto" w:fill="auto"/>
            <w:noWrap/>
            <w:hideMark/>
          </w:tcPr>
          <w:p w14:paraId="36B4D8D2" w14:textId="77777777" w:rsidR="008436A3" w:rsidRPr="0015600B" w:rsidRDefault="008436A3" w:rsidP="008436A3">
            <w:pPr>
              <w:spacing w:line="240" w:lineRule="auto"/>
              <w:ind w:firstLine="0"/>
            </w:pPr>
            <w:r w:rsidRPr="0015600B">
              <w:t>433.13</w:t>
            </w:r>
          </w:p>
        </w:tc>
      </w:tr>
      <w:tr w:rsidR="008436A3" w:rsidRPr="0015600B" w14:paraId="6202A72F" w14:textId="77777777" w:rsidTr="008436A3">
        <w:trPr>
          <w:trHeight w:val="288"/>
          <w:jc w:val="center"/>
        </w:trPr>
        <w:tc>
          <w:tcPr>
            <w:tcW w:w="2000" w:type="dxa"/>
            <w:vMerge w:val="restart"/>
            <w:tcBorders>
              <w:top w:val="single" w:sz="4" w:space="0" w:color="auto"/>
            </w:tcBorders>
            <w:shd w:val="clear" w:color="auto" w:fill="auto"/>
            <w:vAlign w:val="center"/>
            <w:hideMark/>
          </w:tcPr>
          <w:p w14:paraId="2D7409AC" w14:textId="77777777" w:rsidR="008436A3" w:rsidRPr="0015600B" w:rsidRDefault="008436A3" w:rsidP="008436A3">
            <w:pPr>
              <w:spacing w:line="240" w:lineRule="auto"/>
              <w:ind w:firstLine="0"/>
            </w:pPr>
            <w:r w:rsidRPr="0015600B">
              <w:t>Oklahoma City, OK</w:t>
            </w:r>
          </w:p>
        </w:tc>
        <w:tc>
          <w:tcPr>
            <w:tcW w:w="760" w:type="dxa"/>
            <w:tcBorders>
              <w:top w:val="single" w:sz="4" w:space="0" w:color="auto"/>
            </w:tcBorders>
            <w:shd w:val="clear" w:color="auto" w:fill="auto"/>
            <w:noWrap/>
            <w:vAlign w:val="center"/>
            <w:hideMark/>
          </w:tcPr>
          <w:p w14:paraId="57A3CB2C" w14:textId="77777777" w:rsidR="008436A3" w:rsidRPr="0015600B" w:rsidRDefault="008436A3" w:rsidP="008436A3">
            <w:pPr>
              <w:spacing w:line="240" w:lineRule="auto"/>
              <w:ind w:firstLine="0"/>
            </w:pPr>
            <w:r w:rsidRPr="0015600B">
              <w:t>10.77</w:t>
            </w:r>
          </w:p>
        </w:tc>
        <w:tc>
          <w:tcPr>
            <w:tcW w:w="1040" w:type="dxa"/>
            <w:tcBorders>
              <w:top w:val="single" w:sz="4" w:space="0" w:color="auto"/>
            </w:tcBorders>
            <w:shd w:val="clear" w:color="auto" w:fill="auto"/>
            <w:noWrap/>
            <w:vAlign w:val="center"/>
            <w:hideMark/>
          </w:tcPr>
          <w:p w14:paraId="41B63FF6" w14:textId="77777777" w:rsidR="008436A3" w:rsidRPr="0015600B" w:rsidRDefault="008436A3" w:rsidP="008436A3">
            <w:pPr>
              <w:spacing w:line="240" w:lineRule="auto"/>
              <w:ind w:firstLine="0"/>
            </w:pPr>
            <w:r w:rsidRPr="0015600B">
              <w:t>19.59</w:t>
            </w:r>
          </w:p>
        </w:tc>
        <w:tc>
          <w:tcPr>
            <w:tcW w:w="1000" w:type="dxa"/>
            <w:tcBorders>
              <w:top w:val="single" w:sz="4" w:space="0" w:color="auto"/>
            </w:tcBorders>
            <w:shd w:val="clear" w:color="auto" w:fill="auto"/>
            <w:noWrap/>
            <w:vAlign w:val="bottom"/>
            <w:hideMark/>
          </w:tcPr>
          <w:p w14:paraId="07C08634"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7FE93774"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310150AE" w14:textId="77777777" w:rsidR="008436A3" w:rsidRPr="0015600B" w:rsidRDefault="008436A3" w:rsidP="008436A3">
            <w:pPr>
              <w:spacing w:line="240" w:lineRule="auto"/>
              <w:ind w:firstLine="0"/>
            </w:pPr>
            <w:r w:rsidRPr="0015600B">
              <w:t>14250.17</w:t>
            </w:r>
          </w:p>
        </w:tc>
        <w:tc>
          <w:tcPr>
            <w:tcW w:w="980" w:type="dxa"/>
            <w:tcBorders>
              <w:top w:val="single" w:sz="4" w:space="0" w:color="auto"/>
            </w:tcBorders>
            <w:shd w:val="clear" w:color="auto" w:fill="auto"/>
            <w:noWrap/>
            <w:hideMark/>
          </w:tcPr>
          <w:p w14:paraId="1A8100A6" w14:textId="77777777" w:rsidR="008436A3" w:rsidRPr="0015600B" w:rsidRDefault="008436A3" w:rsidP="008436A3">
            <w:pPr>
              <w:spacing w:line="240" w:lineRule="auto"/>
              <w:ind w:firstLine="0"/>
            </w:pPr>
            <w:r w:rsidRPr="0015600B">
              <w:t>523.05</w:t>
            </w:r>
          </w:p>
        </w:tc>
      </w:tr>
      <w:tr w:rsidR="008436A3" w:rsidRPr="0015600B" w14:paraId="600F7DF0" w14:textId="77777777" w:rsidTr="008436A3">
        <w:trPr>
          <w:trHeight w:val="288"/>
          <w:jc w:val="center"/>
        </w:trPr>
        <w:tc>
          <w:tcPr>
            <w:tcW w:w="2000" w:type="dxa"/>
            <w:vMerge/>
            <w:tcBorders>
              <w:top w:val="nil"/>
            </w:tcBorders>
            <w:vAlign w:val="center"/>
            <w:hideMark/>
          </w:tcPr>
          <w:p w14:paraId="1AD4AFD6" w14:textId="77777777" w:rsidR="008436A3" w:rsidRPr="0015600B" w:rsidRDefault="008436A3" w:rsidP="008436A3">
            <w:pPr>
              <w:spacing w:line="240" w:lineRule="auto"/>
              <w:ind w:firstLine="0"/>
            </w:pPr>
          </w:p>
        </w:tc>
        <w:tc>
          <w:tcPr>
            <w:tcW w:w="760" w:type="dxa"/>
            <w:tcBorders>
              <w:top w:val="nil"/>
            </w:tcBorders>
            <w:shd w:val="clear" w:color="auto" w:fill="auto"/>
            <w:noWrap/>
            <w:vAlign w:val="center"/>
            <w:hideMark/>
          </w:tcPr>
          <w:p w14:paraId="6C6A5E96" w14:textId="77777777" w:rsidR="008436A3" w:rsidRPr="0015600B" w:rsidRDefault="008436A3" w:rsidP="008436A3">
            <w:pPr>
              <w:spacing w:line="240" w:lineRule="auto"/>
              <w:ind w:firstLine="0"/>
            </w:pPr>
            <w:r w:rsidRPr="0015600B">
              <w:t>21.54</w:t>
            </w:r>
          </w:p>
        </w:tc>
        <w:tc>
          <w:tcPr>
            <w:tcW w:w="1040" w:type="dxa"/>
            <w:tcBorders>
              <w:top w:val="nil"/>
            </w:tcBorders>
            <w:shd w:val="clear" w:color="auto" w:fill="auto"/>
            <w:vAlign w:val="center"/>
            <w:hideMark/>
          </w:tcPr>
          <w:p w14:paraId="47BB8306" w14:textId="77777777" w:rsidR="008436A3" w:rsidRPr="0015600B" w:rsidRDefault="008436A3" w:rsidP="008436A3">
            <w:pPr>
              <w:spacing w:line="240" w:lineRule="auto"/>
              <w:ind w:firstLine="0"/>
            </w:pPr>
            <w:r w:rsidRPr="0015600B">
              <w:t>39.17</w:t>
            </w:r>
          </w:p>
        </w:tc>
        <w:tc>
          <w:tcPr>
            <w:tcW w:w="1000" w:type="dxa"/>
            <w:tcBorders>
              <w:top w:val="nil"/>
            </w:tcBorders>
            <w:shd w:val="clear" w:color="auto" w:fill="auto"/>
            <w:vAlign w:val="center"/>
            <w:hideMark/>
          </w:tcPr>
          <w:p w14:paraId="7F9E519F" w14:textId="77777777" w:rsidR="008436A3" w:rsidRPr="0015600B" w:rsidRDefault="008436A3" w:rsidP="008436A3">
            <w:pPr>
              <w:spacing w:line="240" w:lineRule="auto"/>
              <w:ind w:firstLine="0"/>
            </w:pPr>
            <w:r w:rsidRPr="0015600B">
              <w:t>23632.19</w:t>
            </w:r>
          </w:p>
        </w:tc>
        <w:tc>
          <w:tcPr>
            <w:tcW w:w="980" w:type="dxa"/>
            <w:tcBorders>
              <w:top w:val="nil"/>
            </w:tcBorders>
            <w:shd w:val="clear" w:color="auto" w:fill="auto"/>
            <w:noWrap/>
            <w:vAlign w:val="bottom"/>
            <w:hideMark/>
          </w:tcPr>
          <w:p w14:paraId="77AE35CC" w14:textId="77777777" w:rsidR="008436A3" w:rsidRPr="0015600B" w:rsidRDefault="008436A3" w:rsidP="008436A3">
            <w:pPr>
              <w:spacing w:line="240" w:lineRule="auto"/>
              <w:ind w:firstLine="0"/>
            </w:pPr>
            <w:r w:rsidRPr="0015600B">
              <w:t>770.99</w:t>
            </w:r>
          </w:p>
        </w:tc>
        <w:tc>
          <w:tcPr>
            <w:tcW w:w="1000" w:type="dxa"/>
            <w:tcBorders>
              <w:top w:val="nil"/>
            </w:tcBorders>
            <w:shd w:val="clear" w:color="auto" w:fill="auto"/>
            <w:noWrap/>
            <w:hideMark/>
          </w:tcPr>
          <w:p w14:paraId="7152C8D2" w14:textId="77777777" w:rsidR="008436A3" w:rsidRPr="0015600B" w:rsidRDefault="008436A3" w:rsidP="008436A3">
            <w:pPr>
              <w:spacing w:line="240" w:lineRule="auto"/>
              <w:ind w:firstLine="0"/>
            </w:pPr>
            <w:r w:rsidRPr="0015600B">
              <w:t>9761.62</w:t>
            </w:r>
          </w:p>
        </w:tc>
        <w:tc>
          <w:tcPr>
            <w:tcW w:w="980" w:type="dxa"/>
            <w:tcBorders>
              <w:top w:val="nil"/>
            </w:tcBorders>
            <w:shd w:val="clear" w:color="auto" w:fill="auto"/>
            <w:noWrap/>
            <w:hideMark/>
          </w:tcPr>
          <w:p w14:paraId="0FEF07EB" w14:textId="77777777" w:rsidR="008436A3" w:rsidRPr="0015600B" w:rsidRDefault="008436A3" w:rsidP="008436A3">
            <w:pPr>
              <w:spacing w:line="240" w:lineRule="auto"/>
              <w:ind w:firstLine="0"/>
            </w:pPr>
            <w:r w:rsidRPr="0015600B">
              <w:t>358.30</w:t>
            </w:r>
          </w:p>
        </w:tc>
      </w:tr>
      <w:tr w:rsidR="008436A3" w:rsidRPr="0015600B" w14:paraId="6D213C43" w14:textId="77777777" w:rsidTr="008436A3">
        <w:trPr>
          <w:trHeight w:val="288"/>
          <w:jc w:val="center"/>
        </w:trPr>
        <w:tc>
          <w:tcPr>
            <w:tcW w:w="2000" w:type="dxa"/>
            <w:vMerge/>
            <w:tcBorders>
              <w:top w:val="nil"/>
              <w:bottom w:val="single" w:sz="4" w:space="0" w:color="auto"/>
            </w:tcBorders>
            <w:vAlign w:val="center"/>
            <w:hideMark/>
          </w:tcPr>
          <w:p w14:paraId="4D5F4989" w14:textId="77777777" w:rsidR="008436A3" w:rsidRPr="0015600B" w:rsidRDefault="008436A3" w:rsidP="008436A3">
            <w:pPr>
              <w:spacing w:line="240" w:lineRule="auto"/>
              <w:ind w:firstLine="0"/>
            </w:pPr>
          </w:p>
        </w:tc>
        <w:tc>
          <w:tcPr>
            <w:tcW w:w="760" w:type="dxa"/>
            <w:tcBorders>
              <w:top w:val="nil"/>
              <w:bottom w:val="single" w:sz="4" w:space="0" w:color="auto"/>
            </w:tcBorders>
            <w:shd w:val="clear" w:color="auto" w:fill="auto"/>
            <w:noWrap/>
            <w:vAlign w:val="center"/>
            <w:hideMark/>
          </w:tcPr>
          <w:p w14:paraId="5B94F571" w14:textId="77777777" w:rsidR="008436A3" w:rsidRPr="0015600B" w:rsidRDefault="008436A3" w:rsidP="008436A3">
            <w:pPr>
              <w:spacing w:line="240" w:lineRule="auto"/>
              <w:ind w:firstLine="0"/>
            </w:pPr>
            <w:r w:rsidRPr="0015600B">
              <w:t>32.31</w:t>
            </w:r>
          </w:p>
        </w:tc>
        <w:tc>
          <w:tcPr>
            <w:tcW w:w="1040" w:type="dxa"/>
            <w:tcBorders>
              <w:top w:val="nil"/>
              <w:bottom w:val="single" w:sz="4" w:space="0" w:color="auto"/>
            </w:tcBorders>
            <w:shd w:val="clear" w:color="auto" w:fill="auto"/>
            <w:noWrap/>
            <w:vAlign w:val="center"/>
            <w:hideMark/>
          </w:tcPr>
          <w:p w14:paraId="7C98E6BC" w14:textId="77777777" w:rsidR="008436A3" w:rsidRPr="0015600B" w:rsidRDefault="008436A3" w:rsidP="008436A3">
            <w:pPr>
              <w:spacing w:line="240" w:lineRule="auto"/>
              <w:ind w:firstLine="0"/>
            </w:pPr>
            <w:r w:rsidRPr="0015600B">
              <w:t>58.76</w:t>
            </w:r>
          </w:p>
        </w:tc>
        <w:tc>
          <w:tcPr>
            <w:tcW w:w="1000" w:type="dxa"/>
            <w:tcBorders>
              <w:top w:val="nil"/>
              <w:bottom w:val="single" w:sz="4" w:space="0" w:color="auto"/>
            </w:tcBorders>
            <w:shd w:val="clear" w:color="auto" w:fill="auto"/>
            <w:vAlign w:val="center"/>
            <w:hideMark/>
          </w:tcPr>
          <w:p w14:paraId="10D8AFB6" w14:textId="77777777" w:rsidR="008436A3" w:rsidRPr="0015600B" w:rsidRDefault="008436A3" w:rsidP="008436A3">
            <w:pPr>
              <w:spacing w:line="240" w:lineRule="auto"/>
              <w:ind w:firstLine="0"/>
            </w:pPr>
          </w:p>
        </w:tc>
        <w:tc>
          <w:tcPr>
            <w:tcW w:w="980" w:type="dxa"/>
            <w:tcBorders>
              <w:top w:val="nil"/>
              <w:bottom w:val="single" w:sz="4" w:space="0" w:color="auto"/>
            </w:tcBorders>
            <w:shd w:val="clear" w:color="auto" w:fill="auto"/>
            <w:vAlign w:val="center"/>
            <w:hideMark/>
          </w:tcPr>
          <w:p w14:paraId="63D9A4DE" w14:textId="77777777" w:rsidR="008436A3" w:rsidRPr="0015600B" w:rsidRDefault="008436A3" w:rsidP="008436A3">
            <w:pPr>
              <w:spacing w:line="240" w:lineRule="auto"/>
              <w:ind w:firstLine="0"/>
            </w:pPr>
          </w:p>
        </w:tc>
        <w:tc>
          <w:tcPr>
            <w:tcW w:w="1000" w:type="dxa"/>
            <w:tcBorders>
              <w:top w:val="nil"/>
              <w:bottom w:val="single" w:sz="4" w:space="0" w:color="auto"/>
            </w:tcBorders>
            <w:shd w:val="clear" w:color="auto" w:fill="auto"/>
            <w:noWrap/>
            <w:hideMark/>
          </w:tcPr>
          <w:p w14:paraId="2F96CAFE" w14:textId="77777777" w:rsidR="008436A3" w:rsidRPr="0015600B" w:rsidRDefault="008436A3" w:rsidP="008436A3">
            <w:pPr>
              <w:spacing w:line="240" w:lineRule="auto"/>
              <w:ind w:firstLine="0"/>
            </w:pPr>
            <w:r w:rsidRPr="0015600B">
              <w:t>6782.26</w:t>
            </w:r>
          </w:p>
        </w:tc>
        <w:tc>
          <w:tcPr>
            <w:tcW w:w="980" w:type="dxa"/>
            <w:tcBorders>
              <w:top w:val="nil"/>
              <w:bottom w:val="single" w:sz="4" w:space="0" w:color="auto"/>
            </w:tcBorders>
            <w:shd w:val="clear" w:color="auto" w:fill="auto"/>
            <w:noWrap/>
            <w:hideMark/>
          </w:tcPr>
          <w:p w14:paraId="46F62CCB" w14:textId="77777777" w:rsidR="008436A3" w:rsidRPr="0015600B" w:rsidRDefault="008436A3" w:rsidP="008436A3">
            <w:pPr>
              <w:spacing w:line="240" w:lineRule="auto"/>
              <w:ind w:firstLine="0"/>
            </w:pPr>
            <w:r w:rsidRPr="0015600B">
              <w:t>248.94</w:t>
            </w:r>
          </w:p>
        </w:tc>
      </w:tr>
      <w:tr w:rsidR="008436A3" w:rsidRPr="0015600B" w14:paraId="4FC29845" w14:textId="77777777" w:rsidTr="008436A3">
        <w:trPr>
          <w:trHeight w:val="288"/>
          <w:jc w:val="center"/>
        </w:trPr>
        <w:tc>
          <w:tcPr>
            <w:tcW w:w="2000" w:type="dxa"/>
            <w:vMerge w:val="restart"/>
            <w:tcBorders>
              <w:top w:val="single" w:sz="4" w:space="0" w:color="auto"/>
            </w:tcBorders>
            <w:shd w:val="clear" w:color="auto" w:fill="auto"/>
            <w:vAlign w:val="center"/>
            <w:hideMark/>
          </w:tcPr>
          <w:p w14:paraId="2F11D259" w14:textId="77777777" w:rsidR="008436A3" w:rsidRPr="0015600B" w:rsidRDefault="008436A3" w:rsidP="008436A3">
            <w:pPr>
              <w:spacing w:line="240" w:lineRule="auto"/>
              <w:ind w:firstLine="0"/>
            </w:pPr>
            <w:r w:rsidRPr="0015600B">
              <w:t>Albuquerque, NM</w:t>
            </w:r>
          </w:p>
        </w:tc>
        <w:tc>
          <w:tcPr>
            <w:tcW w:w="760" w:type="dxa"/>
            <w:tcBorders>
              <w:top w:val="single" w:sz="4" w:space="0" w:color="auto"/>
            </w:tcBorders>
            <w:shd w:val="clear" w:color="auto" w:fill="auto"/>
            <w:noWrap/>
            <w:vAlign w:val="center"/>
            <w:hideMark/>
          </w:tcPr>
          <w:p w14:paraId="59BF6B7C" w14:textId="77777777" w:rsidR="008436A3" w:rsidRPr="0015600B" w:rsidRDefault="008436A3" w:rsidP="008436A3">
            <w:pPr>
              <w:spacing w:line="240" w:lineRule="auto"/>
              <w:ind w:firstLine="0"/>
            </w:pPr>
            <w:r w:rsidRPr="0015600B">
              <w:t>09.81</w:t>
            </w:r>
          </w:p>
        </w:tc>
        <w:tc>
          <w:tcPr>
            <w:tcW w:w="1040" w:type="dxa"/>
            <w:tcBorders>
              <w:top w:val="single" w:sz="4" w:space="0" w:color="auto"/>
            </w:tcBorders>
            <w:shd w:val="clear" w:color="auto" w:fill="auto"/>
            <w:noWrap/>
            <w:vAlign w:val="center"/>
            <w:hideMark/>
          </w:tcPr>
          <w:p w14:paraId="1F8B5502" w14:textId="77777777" w:rsidR="008436A3" w:rsidRPr="0015600B" w:rsidRDefault="008436A3" w:rsidP="008436A3">
            <w:pPr>
              <w:spacing w:line="240" w:lineRule="auto"/>
              <w:ind w:firstLine="0"/>
            </w:pPr>
            <w:r w:rsidRPr="0015600B">
              <w:t>11.36</w:t>
            </w:r>
          </w:p>
        </w:tc>
        <w:tc>
          <w:tcPr>
            <w:tcW w:w="1000" w:type="dxa"/>
            <w:tcBorders>
              <w:top w:val="single" w:sz="4" w:space="0" w:color="auto"/>
            </w:tcBorders>
            <w:shd w:val="clear" w:color="auto" w:fill="auto"/>
            <w:noWrap/>
            <w:vAlign w:val="bottom"/>
            <w:hideMark/>
          </w:tcPr>
          <w:p w14:paraId="3F48E2DA"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6A3396B7"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5829DC4C" w14:textId="77777777" w:rsidR="008436A3" w:rsidRPr="0015600B" w:rsidRDefault="008436A3" w:rsidP="008436A3">
            <w:pPr>
              <w:spacing w:line="240" w:lineRule="auto"/>
              <w:ind w:firstLine="0"/>
            </w:pPr>
            <w:r w:rsidRPr="0015600B">
              <w:t>9213.49</w:t>
            </w:r>
          </w:p>
        </w:tc>
        <w:tc>
          <w:tcPr>
            <w:tcW w:w="980" w:type="dxa"/>
            <w:tcBorders>
              <w:top w:val="single" w:sz="4" w:space="0" w:color="auto"/>
            </w:tcBorders>
            <w:shd w:val="clear" w:color="auto" w:fill="auto"/>
            <w:noWrap/>
            <w:hideMark/>
          </w:tcPr>
          <w:p w14:paraId="58F52613" w14:textId="77777777" w:rsidR="008436A3" w:rsidRPr="0015600B" w:rsidRDefault="008436A3" w:rsidP="008436A3">
            <w:pPr>
              <w:spacing w:line="240" w:lineRule="auto"/>
              <w:ind w:firstLine="0"/>
            </w:pPr>
            <w:r w:rsidRPr="0015600B">
              <w:t>292.86</w:t>
            </w:r>
          </w:p>
        </w:tc>
      </w:tr>
      <w:tr w:rsidR="008436A3" w:rsidRPr="0015600B" w14:paraId="22642B58" w14:textId="77777777" w:rsidTr="008436A3">
        <w:trPr>
          <w:trHeight w:val="288"/>
          <w:jc w:val="center"/>
        </w:trPr>
        <w:tc>
          <w:tcPr>
            <w:tcW w:w="2000" w:type="dxa"/>
            <w:vMerge/>
            <w:vAlign w:val="center"/>
            <w:hideMark/>
          </w:tcPr>
          <w:p w14:paraId="77586215" w14:textId="77777777" w:rsidR="008436A3" w:rsidRPr="0015600B" w:rsidRDefault="008436A3" w:rsidP="008436A3">
            <w:pPr>
              <w:spacing w:line="240" w:lineRule="auto"/>
              <w:ind w:firstLine="0"/>
            </w:pPr>
          </w:p>
        </w:tc>
        <w:tc>
          <w:tcPr>
            <w:tcW w:w="760" w:type="dxa"/>
            <w:shd w:val="clear" w:color="auto" w:fill="auto"/>
            <w:noWrap/>
            <w:vAlign w:val="center"/>
            <w:hideMark/>
          </w:tcPr>
          <w:p w14:paraId="14B7C9BA" w14:textId="77777777" w:rsidR="008436A3" w:rsidRPr="0015600B" w:rsidRDefault="008436A3" w:rsidP="008436A3">
            <w:pPr>
              <w:spacing w:line="240" w:lineRule="auto"/>
              <w:ind w:firstLine="0"/>
            </w:pPr>
            <w:r w:rsidRPr="0015600B">
              <w:t>19.62</w:t>
            </w:r>
          </w:p>
        </w:tc>
        <w:tc>
          <w:tcPr>
            <w:tcW w:w="1040" w:type="dxa"/>
            <w:shd w:val="clear" w:color="auto" w:fill="auto"/>
            <w:vAlign w:val="center"/>
            <w:hideMark/>
          </w:tcPr>
          <w:p w14:paraId="69C28F0D" w14:textId="77777777" w:rsidR="008436A3" w:rsidRPr="0015600B" w:rsidRDefault="008436A3" w:rsidP="008436A3">
            <w:pPr>
              <w:spacing w:line="240" w:lineRule="auto"/>
              <w:ind w:firstLine="0"/>
            </w:pPr>
            <w:r w:rsidRPr="0015600B">
              <w:t>22.71</w:t>
            </w:r>
          </w:p>
        </w:tc>
        <w:tc>
          <w:tcPr>
            <w:tcW w:w="1000" w:type="dxa"/>
            <w:shd w:val="clear" w:color="auto" w:fill="auto"/>
            <w:vAlign w:val="center"/>
            <w:hideMark/>
          </w:tcPr>
          <w:p w14:paraId="67F6E58C" w14:textId="77777777" w:rsidR="008436A3" w:rsidRPr="0015600B" w:rsidRDefault="008436A3" w:rsidP="008436A3">
            <w:pPr>
              <w:spacing w:line="240" w:lineRule="auto"/>
              <w:ind w:firstLine="0"/>
            </w:pPr>
            <w:r w:rsidRPr="0015600B">
              <w:t>19370.82</w:t>
            </w:r>
          </w:p>
        </w:tc>
        <w:tc>
          <w:tcPr>
            <w:tcW w:w="980" w:type="dxa"/>
            <w:shd w:val="clear" w:color="auto" w:fill="auto"/>
            <w:noWrap/>
            <w:vAlign w:val="bottom"/>
            <w:hideMark/>
          </w:tcPr>
          <w:p w14:paraId="05D1276C" w14:textId="77777777" w:rsidR="008436A3" w:rsidRPr="0015600B" w:rsidRDefault="008436A3" w:rsidP="008436A3">
            <w:pPr>
              <w:spacing w:line="240" w:lineRule="auto"/>
              <w:ind w:firstLine="0"/>
            </w:pPr>
            <w:r w:rsidRPr="0015600B">
              <w:t>579.32</w:t>
            </w:r>
          </w:p>
        </w:tc>
        <w:tc>
          <w:tcPr>
            <w:tcW w:w="1000" w:type="dxa"/>
            <w:shd w:val="clear" w:color="auto" w:fill="auto"/>
            <w:noWrap/>
            <w:hideMark/>
          </w:tcPr>
          <w:p w14:paraId="43E1FB81" w14:textId="77777777" w:rsidR="008436A3" w:rsidRPr="0015600B" w:rsidRDefault="008436A3" w:rsidP="008436A3">
            <w:pPr>
              <w:spacing w:line="240" w:lineRule="auto"/>
              <w:ind w:firstLine="0"/>
            </w:pPr>
            <w:r w:rsidRPr="0015600B">
              <w:t>6572.86</w:t>
            </w:r>
          </w:p>
        </w:tc>
        <w:tc>
          <w:tcPr>
            <w:tcW w:w="980" w:type="dxa"/>
            <w:shd w:val="clear" w:color="auto" w:fill="auto"/>
            <w:noWrap/>
            <w:hideMark/>
          </w:tcPr>
          <w:p w14:paraId="4F7A5037" w14:textId="77777777" w:rsidR="008436A3" w:rsidRPr="0015600B" w:rsidRDefault="008436A3" w:rsidP="008436A3">
            <w:pPr>
              <w:spacing w:line="240" w:lineRule="auto"/>
              <w:ind w:firstLine="0"/>
            </w:pPr>
            <w:r w:rsidRPr="0015600B">
              <w:t>208.93</w:t>
            </w:r>
          </w:p>
        </w:tc>
      </w:tr>
      <w:tr w:rsidR="008436A3" w:rsidRPr="0015600B" w14:paraId="4FB12FFE" w14:textId="77777777" w:rsidTr="008436A3">
        <w:trPr>
          <w:trHeight w:val="288"/>
          <w:jc w:val="center"/>
        </w:trPr>
        <w:tc>
          <w:tcPr>
            <w:tcW w:w="2000" w:type="dxa"/>
            <w:vMerge/>
            <w:tcBorders>
              <w:bottom w:val="single" w:sz="4" w:space="0" w:color="auto"/>
            </w:tcBorders>
            <w:vAlign w:val="center"/>
            <w:hideMark/>
          </w:tcPr>
          <w:p w14:paraId="77DF8EE1" w14:textId="77777777" w:rsidR="008436A3" w:rsidRPr="0015600B" w:rsidRDefault="008436A3" w:rsidP="008436A3">
            <w:pPr>
              <w:spacing w:line="240" w:lineRule="auto"/>
              <w:ind w:firstLine="0"/>
            </w:pPr>
          </w:p>
        </w:tc>
        <w:tc>
          <w:tcPr>
            <w:tcW w:w="760" w:type="dxa"/>
            <w:tcBorders>
              <w:bottom w:val="single" w:sz="4" w:space="0" w:color="auto"/>
            </w:tcBorders>
            <w:shd w:val="clear" w:color="auto" w:fill="auto"/>
            <w:noWrap/>
            <w:vAlign w:val="center"/>
            <w:hideMark/>
          </w:tcPr>
          <w:p w14:paraId="56794B9E" w14:textId="77777777" w:rsidR="008436A3" w:rsidRPr="0015600B" w:rsidRDefault="008436A3" w:rsidP="008436A3">
            <w:pPr>
              <w:spacing w:line="240" w:lineRule="auto"/>
              <w:ind w:firstLine="0"/>
            </w:pPr>
            <w:r w:rsidRPr="0015600B">
              <w:t>29.43</w:t>
            </w:r>
          </w:p>
        </w:tc>
        <w:tc>
          <w:tcPr>
            <w:tcW w:w="1040" w:type="dxa"/>
            <w:tcBorders>
              <w:bottom w:val="single" w:sz="4" w:space="0" w:color="auto"/>
            </w:tcBorders>
            <w:shd w:val="clear" w:color="auto" w:fill="auto"/>
            <w:noWrap/>
            <w:vAlign w:val="center"/>
            <w:hideMark/>
          </w:tcPr>
          <w:p w14:paraId="0656CC3C" w14:textId="77777777" w:rsidR="008436A3" w:rsidRPr="0015600B" w:rsidRDefault="008436A3" w:rsidP="008436A3">
            <w:pPr>
              <w:spacing w:line="240" w:lineRule="auto"/>
              <w:ind w:firstLine="0"/>
            </w:pPr>
            <w:r w:rsidRPr="0015600B">
              <w:t>34.07</w:t>
            </w:r>
          </w:p>
        </w:tc>
        <w:tc>
          <w:tcPr>
            <w:tcW w:w="1000" w:type="dxa"/>
            <w:tcBorders>
              <w:bottom w:val="single" w:sz="4" w:space="0" w:color="auto"/>
            </w:tcBorders>
            <w:shd w:val="clear" w:color="auto" w:fill="auto"/>
            <w:vAlign w:val="center"/>
            <w:hideMark/>
          </w:tcPr>
          <w:p w14:paraId="4AE5D97C" w14:textId="77777777" w:rsidR="008436A3" w:rsidRPr="0015600B" w:rsidRDefault="008436A3" w:rsidP="008436A3">
            <w:pPr>
              <w:spacing w:line="240" w:lineRule="auto"/>
              <w:ind w:firstLine="0"/>
            </w:pPr>
          </w:p>
        </w:tc>
        <w:tc>
          <w:tcPr>
            <w:tcW w:w="980" w:type="dxa"/>
            <w:tcBorders>
              <w:bottom w:val="single" w:sz="4" w:space="0" w:color="auto"/>
            </w:tcBorders>
            <w:shd w:val="clear" w:color="auto" w:fill="auto"/>
            <w:vAlign w:val="center"/>
            <w:hideMark/>
          </w:tcPr>
          <w:p w14:paraId="6ED55305" w14:textId="77777777" w:rsidR="008436A3" w:rsidRPr="0015600B" w:rsidRDefault="008436A3" w:rsidP="008436A3">
            <w:pPr>
              <w:spacing w:line="240" w:lineRule="auto"/>
              <w:ind w:firstLine="0"/>
            </w:pPr>
          </w:p>
        </w:tc>
        <w:tc>
          <w:tcPr>
            <w:tcW w:w="1000" w:type="dxa"/>
            <w:tcBorders>
              <w:bottom w:val="single" w:sz="4" w:space="0" w:color="auto"/>
            </w:tcBorders>
            <w:shd w:val="clear" w:color="auto" w:fill="auto"/>
            <w:noWrap/>
            <w:hideMark/>
          </w:tcPr>
          <w:p w14:paraId="08DED304" w14:textId="77777777" w:rsidR="008436A3" w:rsidRPr="0015600B" w:rsidRDefault="008436A3" w:rsidP="008436A3">
            <w:pPr>
              <w:spacing w:line="240" w:lineRule="auto"/>
              <w:ind w:firstLine="0"/>
            </w:pPr>
            <w:r w:rsidRPr="0015600B">
              <w:t>2853.49</w:t>
            </w:r>
          </w:p>
        </w:tc>
        <w:tc>
          <w:tcPr>
            <w:tcW w:w="980" w:type="dxa"/>
            <w:tcBorders>
              <w:bottom w:val="single" w:sz="4" w:space="0" w:color="auto"/>
            </w:tcBorders>
            <w:shd w:val="clear" w:color="auto" w:fill="auto"/>
            <w:noWrap/>
            <w:hideMark/>
          </w:tcPr>
          <w:p w14:paraId="6751FF04" w14:textId="77777777" w:rsidR="008436A3" w:rsidRPr="0015600B" w:rsidRDefault="008436A3" w:rsidP="008436A3">
            <w:pPr>
              <w:spacing w:line="240" w:lineRule="auto"/>
              <w:ind w:firstLine="0"/>
            </w:pPr>
            <w:r w:rsidRPr="0015600B">
              <w:t>90.70</w:t>
            </w:r>
          </w:p>
        </w:tc>
      </w:tr>
      <w:tr w:rsidR="008436A3" w:rsidRPr="0015600B" w14:paraId="7764CD9D" w14:textId="77777777" w:rsidTr="008436A3">
        <w:trPr>
          <w:trHeight w:val="288"/>
          <w:jc w:val="center"/>
        </w:trPr>
        <w:tc>
          <w:tcPr>
            <w:tcW w:w="2000" w:type="dxa"/>
            <w:vMerge w:val="restart"/>
            <w:tcBorders>
              <w:top w:val="single" w:sz="4" w:space="0" w:color="auto"/>
            </w:tcBorders>
            <w:shd w:val="clear" w:color="auto" w:fill="auto"/>
            <w:vAlign w:val="center"/>
            <w:hideMark/>
          </w:tcPr>
          <w:p w14:paraId="5B8B008F" w14:textId="77777777" w:rsidR="008436A3" w:rsidRPr="0015600B" w:rsidRDefault="008436A3" w:rsidP="008436A3">
            <w:pPr>
              <w:spacing w:line="240" w:lineRule="auto"/>
              <w:ind w:firstLine="0"/>
            </w:pPr>
            <w:r w:rsidRPr="0015600B">
              <w:t>Los Angeles, CA</w:t>
            </w:r>
          </w:p>
        </w:tc>
        <w:tc>
          <w:tcPr>
            <w:tcW w:w="760" w:type="dxa"/>
            <w:tcBorders>
              <w:top w:val="single" w:sz="4" w:space="0" w:color="auto"/>
            </w:tcBorders>
            <w:shd w:val="clear" w:color="auto" w:fill="auto"/>
            <w:noWrap/>
            <w:vAlign w:val="center"/>
            <w:hideMark/>
          </w:tcPr>
          <w:p w14:paraId="7EA14D41" w14:textId="77777777" w:rsidR="008436A3" w:rsidRPr="0015600B" w:rsidRDefault="008436A3" w:rsidP="008436A3">
            <w:pPr>
              <w:spacing w:line="240" w:lineRule="auto"/>
              <w:ind w:firstLine="0"/>
            </w:pPr>
            <w:r w:rsidRPr="0015600B">
              <w:t>03.81</w:t>
            </w:r>
          </w:p>
        </w:tc>
        <w:tc>
          <w:tcPr>
            <w:tcW w:w="1040" w:type="dxa"/>
            <w:tcBorders>
              <w:top w:val="single" w:sz="4" w:space="0" w:color="auto"/>
            </w:tcBorders>
            <w:shd w:val="clear" w:color="auto" w:fill="auto"/>
            <w:noWrap/>
            <w:vAlign w:val="center"/>
            <w:hideMark/>
          </w:tcPr>
          <w:p w14:paraId="0D1DB89E" w14:textId="77777777" w:rsidR="008436A3" w:rsidRPr="0015600B" w:rsidRDefault="008436A3" w:rsidP="008436A3">
            <w:pPr>
              <w:spacing w:line="240" w:lineRule="auto"/>
              <w:ind w:firstLine="0"/>
            </w:pPr>
            <w:r w:rsidRPr="0015600B">
              <w:t>05.52</w:t>
            </w:r>
          </w:p>
        </w:tc>
        <w:tc>
          <w:tcPr>
            <w:tcW w:w="1000" w:type="dxa"/>
            <w:tcBorders>
              <w:top w:val="single" w:sz="4" w:space="0" w:color="auto"/>
            </w:tcBorders>
            <w:shd w:val="clear" w:color="auto" w:fill="auto"/>
            <w:noWrap/>
            <w:vAlign w:val="bottom"/>
            <w:hideMark/>
          </w:tcPr>
          <w:p w14:paraId="48403E92"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63AD3137"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06460471" w14:textId="77777777" w:rsidR="008436A3" w:rsidRPr="0015600B" w:rsidRDefault="008436A3" w:rsidP="008436A3">
            <w:pPr>
              <w:spacing w:line="240" w:lineRule="auto"/>
              <w:ind w:firstLine="0"/>
            </w:pPr>
            <w:r w:rsidRPr="0015600B">
              <w:t>4655.95</w:t>
            </w:r>
          </w:p>
        </w:tc>
        <w:tc>
          <w:tcPr>
            <w:tcW w:w="980" w:type="dxa"/>
            <w:tcBorders>
              <w:top w:val="single" w:sz="4" w:space="0" w:color="auto"/>
            </w:tcBorders>
            <w:shd w:val="clear" w:color="auto" w:fill="auto"/>
            <w:noWrap/>
            <w:hideMark/>
          </w:tcPr>
          <w:p w14:paraId="47252763" w14:textId="77777777" w:rsidR="008436A3" w:rsidRPr="0015600B" w:rsidRDefault="008436A3" w:rsidP="008436A3">
            <w:pPr>
              <w:spacing w:line="240" w:lineRule="auto"/>
              <w:ind w:firstLine="0"/>
            </w:pPr>
            <w:r w:rsidRPr="0015600B">
              <w:t>152.45</w:t>
            </w:r>
          </w:p>
        </w:tc>
      </w:tr>
      <w:tr w:rsidR="008436A3" w:rsidRPr="0015600B" w14:paraId="2606CE26" w14:textId="77777777" w:rsidTr="008436A3">
        <w:trPr>
          <w:trHeight w:val="288"/>
          <w:jc w:val="center"/>
        </w:trPr>
        <w:tc>
          <w:tcPr>
            <w:tcW w:w="2000" w:type="dxa"/>
            <w:vMerge/>
            <w:tcBorders>
              <w:top w:val="nil"/>
            </w:tcBorders>
            <w:vAlign w:val="center"/>
            <w:hideMark/>
          </w:tcPr>
          <w:p w14:paraId="7130F944" w14:textId="77777777" w:rsidR="008436A3" w:rsidRPr="0015600B" w:rsidRDefault="008436A3" w:rsidP="008436A3">
            <w:pPr>
              <w:spacing w:line="240" w:lineRule="auto"/>
              <w:ind w:firstLine="0"/>
            </w:pPr>
          </w:p>
        </w:tc>
        <w:tc>
          <w:tcPr>
            <w:tcW w:w="760" w:type="dxa"/>
            <w:tcBorders>
              <w:top w:val="nil"/>
            </w:tcBorders>
            <w:shd w:val="clear" w:color="auto" w:fill="auto"/>
            <w:noWrap/>
            <w:vAlign w:val="center"/>
            <w:hideMark/>
          </w:tcPr>
          <w:p w14:paraId="7ED7A201" w14:textId="77777777" w:rsidR="008436A3" w:rsidRPr="0015600B" w:rsidRDefault="008436A3" w:rsidP="008436A3">
            <w:pPr>
              <w:spacing w:line="240" w:lineRule="auto"/>
              <w:ind w:firstLine="0"/>
            </w:pPr>
            <w:r w:rsidRPr="0015600B">
              <w:t>07.61</w:t>
            </w:r>
          </w:p>
        </w:tc>
        <w:tc>
          <w:tcPr>
            <w:tcW w:w="1040" w:type="dxa"/>
            <w:tcBorders>
              <w:top w:val="nil"/>
            </w:tcBorders>
            <w:shd w:val="clear" w:color="auto" w:fill="auto"/>
            <w:vAlign w:val="center"/>
            <w:hideMark/>
          </w:tcPr>
          <w:p w14:paraId="316F0DC1" w14:textId="77777777" w:rsidR="008436A3" w:rsidRPr="0015600B" w:rsidRDefault="008436A3" w:rsidP="008436A3">
            <w:pPr>
              <w:spacing w:line="240" w:lineRule="auto"/>
              <w:ind w:firstLine="0"/>
            </w:pPr>
            <w:r w:rsidRPr="0015600B">
              <w:t>11.04</w:t>
            </w:r>
          </w:p>
        </w:tc>
        <w:tc>
          <w:tcPr>
            <w:tcW w:w="1000" w:type="dxa"/>
            <w:tcBorders>
              <w:top w:val="nil"/>
            </w:tcBorders>
            <w:shd w:val="clear" w:color="auto" w:fill="auto"/>
            <w:vAlign w:val="center"/>
            <w:hideMark/>
          </w:tcPr>
          <w:p w14:paraId="0C6F75AA" w14:textId="77777777" w:rsidR="008436A3" w:rsidRPr="0015600B" w:rsidRDefault="008436A3" w:rsidP="008436A3">
            <w:pPr>
              <w:spacing w:line="240" w:lineRule="auto"/>
              <w:ind w:firstLine="0"/>
            </w:pPr>
            <w:r w:rsidRPr="0015600B">
              <w:t>8417.77</w:t>
            </w:r>
          </w:p>
        </w:tc>
        <w:tc>
          <w:tcPr>
            <w:tcW w:w="980" w:type="dxa"/>
            <w:tcBorders>
              <w:top w:val="nil"/>
            </w:tcBorders>
            <w:shd w:val="clear" w:color="auto" w:fill="auto"/>
            <w:noWrap/>
            <w:vAlign w:val="bottom"/>
            <w:hideMark/>
          </w:tcPr>
          <w:p w14:paraId="2B01B85A" w14:textId="77777777" w:rsidR="008436A3" w:rsidRPr="0015600B" w:rsidRDefault="008436A3" w:rsidP="008436A3">
            <w:pPr>
              <w:spacing w:line="240" w:lineRule="auto"/>
              <w:ind w:firstLine="0"/>
            </w:pPr>
            <w:r w:rsidRPr="0015600B">
              <w:t>278.78</w:t>
            </w:r>
          </w:p>
        </w:tc>
        <w:tc>
          <w:tcPr>
            <w:tcW w:w="1000" w:type="dxa"/>
            <w:tcBorders>
              <w:top w:val="nil"/>
            </w:tcBorders>
            <w:shd w:val="clear" w:color="auto" w:fill="auto"/>
            <w:noWrap/>
            <w:hideMark/>
          </w:tcPr>
          <w:p w14:paraId="7C0A1402" w14:textId="77777777" w:rsidR="008436A3" w:rsidRPr="0015600B" w:rsidRDefault="008436A3" w:rsidP="008436A3">
            <w:pPr>
              <w:spacing w:line="240" w:lineRule="auto"/>
              <w:ind w:firstLine="0"/>
            </w:pPr>
            <w:r w:rsidRPr="0015600B">
              <w:t>2473.08</w:t>
            </w:r>
          </w:p>
        </w:tc>
        <w:tc>
          <w:tcPr>
            <w:tcW w:w="980" w:type="dxa"/>
            <w:tcBorders>
              <w:top w:val="nil"/>
            </w:tcBorders>
            <w:shd w:val="clear" w:color="auto" w:fill="auto"/>
            <w:noWrap/>
            <w:hideMark/>
          </w:tcPr>
          <w:p w14:paraId="29AE7D39" w14:textId="77777777" w:rsidR="008436A3" w:rsidRPr="0015600B" w:rsidRDefault="008436A3" w:rsidP="008436A3">
            <w:pPr>
              <w:spacing w:line="240" w:lineRule="auto"/>
              <w:ind w:firstLine="0"/>
            </w:pPr>
            <w:r w:rsidRPr="0015600B">
              <w:t>80.98</w:t>
            </w:r>
          </w:p>
        </w:tc>
      </w:tr>
      <w:tr w:rsidR="008436A3" w:rsidRPr="0015600B" w14:paraId="0AB9B1C4" w14:textId="77777777" w:rsidTr="008436A3">
        <w:trPr>
          <w:trHeight w:val="288"/>
          <w:jc w:val="center"/>
        </w:trPr>
        <w:tc>
          <w:tcPr>
            <w:tcW w:w="2000" w:type="dxa"/>
            <w:vMerge/>
            <w:tcBorders>
              <w:top w:val="nil"/>
              <w:bottom w:val="single" w:sz="4" w:space="0" w:color="auto"/>
            </w:tcBorders>
            <w:vAlign w:val="center"/>
            <w:hideMark/>
          </w:tcPr>
          <w:p w14:paraId="6E1F447E" w14:textId="77777777" w:rsidR="008436A3" w:rsidRPr="0015600B" w:rsidRDefault="008436A3" w:rsidP="008436A3">
            <w:pPr>
              <w:spacing w:line="240" w:lineRule="auto"/>
              <w:ind w:firstLine="0"/>
            </w:pPr>
          </w:p>
        </w:tc>
        <w:tc>
          <w:tcPr>
            <w:tcW w:w="760" w:type="dxa"/>
            <w:tcBorders>
              <w:top w:val="nil"/>
              <w:bottom w:val="single" w:sz="4" w:space="0" w:color="auto"/>
            </w:tcBorders>
            <w:shd w:val="clear" w:color="auto" w:fill="auto"/>
            <w:noWrap/>
            <w:vAlign w:val="center"/>
            <w:hideMark/>
          </w:tcPr>
          <w:p w14:paraId="40939AEC" w14:textId="77777777" w:rsidR="008436A3" w:rsidRPr="0015600B" w:rsidRDefault="008436A3" w:rsidP="008436A3">
            <w:pPr>
              <w:spacing w:line="240" w:lineRule="auto"/>
              <w:ind w:firstLine="0"/>
            </w:pPr>
            <w:r w:rsidRPr="0015600B">
              <w:t>11.42</w:t>
            </w:r>
          </w:p>
        </w:tc>
        <w:tc>
          <w:tcPr>
            <w:tcW w:w="1040" w:type="dxa"/>
            <w:tcBorders>
              <w:top w:val="nil"/>
              <w:bottom w:val="single" w:sz="4" w:space="0" w:color="auto"/>
            </w:tcBorders>
            <w:shd w:val="clear" w:color="auto" w:fill="auto"/>
            <w:noWrap/>
            <w:vAlign w:val="center"/>
            <w:hideMark/>
          </w:tcPr>
          <w:p w14:paraId="79AB2107" w14:textId="77777777" w:rsidR="008436A3" w:rsidRPr="0015600B" w:rsidRDefault="008436A3" w:rsidP="008436A3">
            <w:pPr>
              <w:spacing w:line="240" w:lineRule="auto"/>
              <w:ind w:firstLine="0"/>
            </w:pPr>
            <w:r w:rsidRPr="0015600B">
              <w:t>16.56</w:t>
            </w:r>
          </w:p>
        </w:tc>
        <w:tc>
          <w:tcPr>
            <w:tcW w:w="1000" w:type="dxa"/>
            <w:tcBorders>
              <w:top w:val="nil"/>
              <w:bottom w:val="single" w:sz="4" w:space="0" w:color="auto"/>
            </w:tcBorders>
            <w:shd w:val="clear" w:color="auto" w:fill="auto"/>
            <w:vAlign w:val="center"/>
            <w:hideMark/>
          </w:tcPr>
          <w:p w14:paraId="351F0CD1" w14:textId="77777777" w:rsidR="008436A3" w:rsidRPr="0015600B" w:rsidRDefault="008436A3" w:rsidP="008436A3">
            <w:pPr>
              <w:spacing w:line="240" w:lineRule="auto"/>
              <w:ind w:firstLine="0"/>
            </w:pPr>
          </w:p>
        </w:tc>
        <w:tc>
          <w:tcPr>
            <w:tcW w:w="980" w:type="dxa"/>
            <w:tcBorders>
              <w:top w:val="nil"/>
              <w:bottom w:val="single" w:sz="4" w:space="0" w:color="auto"/>
            </w:tcBorders>
            <w:shd w:val="clear" w:color="auto" w:fill="auto"/>
            <w:vAlign w:val="center"/>
            <w:hideMark/>
          </w:tcPr>
          <w:p w14:paraId="033B90C3" w14:textId="77777777" w:rsidR="008436A3" w:rsidRPr="0015600B" w:rsidRDefault="008436A3" w:rsidP="008436A3">
            <w:pPr>
              <w:spacing w:line="240" w:lineRule="auto"/>
              <w:ind w:firstLine="0"/>
            </w:pPr>
          </w:p>
        </w:tc>
        <w:tc>
          <w:tcPr>
            <w:tcW w:w="1000" w:type="dxa"/>
            <w:tcBorders>
              <w:top w:val="nil"/>
              <w:bottom w:val="single" w:sz="4" w:space="0" w:color="auto"/>
            </w:tcBorders>
            <w:shd w:val="clear" w:color="auto" w:fill="auto"/>
            <w:noWrap/>
            <w:hideMark/>
          </w:tcPr>
          <w:p w14:paraId="1F2D2C5C" w14:textId="77777777" w:rsidR="008436A3" w:rsidRPr="0015600B" w:rsidRDefault="008436A3" w:rsidP="008436A3">
            <w:pPr>
              <w:spacing w:line="240" w:lineRule="auto"/>
              <w:ind w:firstLine="0"/>
            </w:pPr>
            <w:r w:rsidRPr="0015600B">
              <w:t>1217.47</w:t>
            </w:r>
          </w:p>
        </w:tc>
        <w:tc>
          <w:tcPr>
            <w:tcW w:w="980" w:type="dxa"/>
            <w:tcBorders>
              <w:top w:val="nil"/>
              <w:bottom w:val="single" w:sz="4" w:space="0" w:color="auto"/>
            </w:tcBorders>
            <w:shd w:val="clear" w:color="auto" w:fill="auto"/>
            <w:noWrap/>
            <w:hideMark/>
          </w:tcPr>
          <w:p w14:paraId="230B7CA6" w14:textId="77777777" w:rsidR="008436A3" w:rsidRPr="0015600B" w:rsidRDefault="008436A3" w:rsidP="008436A3">
            <w:pPr>
              <w:spacing w:line="240" w:lineRule="auto"/>
              <w:ind w:firstLine="0"/>
            </w:pPr>
            <w:r w:rsidRPr="0015600B">
              <w:t>39.86</w:t>
            </w:r>
          </w:p>
        </w:tc>
      </w:tr>
      <w:tr w:rsidR="008436A3" w:rsidRPr="0015600B" w14:paraId="673870AF" w14:textId="77777777" w:rsidTr="008436A3">
        <w:trPr>
          <w:trHeight w:val="288"/>
          <w:jc w:val="center"/>
        </w:trPr>
        <w:tc>
          <w:tcPr>
            <w:tcW w:w="2000" w:type="dxa"/>
            <w:vMerge w:val="restart"/>
            <w:tcBorders>
              <w:top w:val="single" w:sz="4" w:space="0" w:color="auto"/>
            </w:tcBorders>
            <w:shd w:val="clear" w:color="auto" w:fill="auto"/>
            <w:vAlign w:val="center"/>
            <w:hideMark/>
          </w:tcPr>
          <w:p w14:paraId="10E56E4B" w14:textId="77777777" w:rsidR="008436A3" w:rsidRPr="0015600B" w:rsidRDefault="008436A3" w:rsidP="008436A3">
            <w:pPr>
              <w:spacing w:line="240" w:lineRule="auto"/>
              <w:ind w:firstLine="0"/>
            </w:pPr>
            <w:r w:rsidRPr="0015600B">
              <w:t>Reno, NV</w:t>
            </w:r>
          </w:p>
        </w:tc>
        <w:tc>
          <w:tcPr>
            <w:tcW w:w="760" w:type="dxa"/>
            <w:tcBorders>
              <w:top w:val="single" w:sz="4" w:space="0" w:color="auto"/>
            </w:tcBorders>
            <w:shd w:val="clear" w:color="auto" w:fill="auto"/>
            <w:noWrap/>
            <w:vAlign w:val="center"/>
            <w:hideMark/>
          </w:tcPr>
          <w:p w14:paraId="4CC4EEAA" w14:textId="77777777" w:rsidR="008436A3" w:rsidRPr="0015600B" w:rsidRDefault="008436A3" w:rsidP="008436A3">
            <w:pPr>
              <w:spacing w:line="240" w:lineRule="auto"/>
              <w:ind w:firstLine="0"/>
            </w:pPr>
            <w:r w:rsidRPr="0015600B">
              <w:t>18.195</w:t>
            </w:r>
          </w:p>
        </w:tc>
        <w:tc>
          <w:tcPr>
            <w:tcW w:w="1040" w:type="dxa"/>
            <w:tcBorders>
              <w:top w:val="single" w:sz="4" w:space="0" w:color="auto"/>
            </w:tcBorders>
            <w:shd w:val="clear" w:color="auto" w:fill="auto"/>
            <w:noWrap/>
            <w:vAlign w:val="center"/>
            <w:hideMark/>
          </w:tcPr>
          <w:p w14:paraId="3A04CB2C" w14:textId="77777777" w:rsidR="008436A3" w:rsidRPr="0015600B" w:rsidRDefault="008436A3" w:rsidP="008436A3">
            <w:pPr>
              <w:spacing w:line="240" w:lineRule="auto"/>
              <w:ind w:firstLine="0"/>
            </w:pPr>
            <w:r w:rsidRPr="0015600B">
              <w:t>28.200</w:t>
            </w:r>
          </w:p>
        </w:tc>
        <w:tc>
          <w:tcPr>
            <w:tcW w:w="1000" w:type="dxa"/>
            <w:tcBorders>
              <w:top w:val="single" w:sz="4" w:space="0" w:color="auto"/>
            </w:tcBorders>
            <w:shd w:val="clear" w:color="auto" w:fill="auto"/>
            <w:noWrap/>
            <w:vAlign w:val="bottom"/>
            <w:hideMark/>
          </w:tcPr>
          <w:p w14:paraId="64F32189"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5E5A7AB5"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502247D9" w14:textId="77777777" w:rsidR="008436A3" w:rsidRPr="0015600B" w:rsidRDefault="008436A3" w:rsidP="008436A3">
            <w:pPr>
              <w:spacing w:line="240" w:lineRule="auto"/>
              <w:ind w:firstLine="0"/>
            </w:pPr>
            <w:r w:rsidRPr="0015600B">
              <w:t>19558.15</w:t>
            </w:r>
          </w:p>
        </w:tc>
        <w:tc>
          <w:tcPr>
            <w:tcW w:w="980" w:type="dxa"/>
            <w:tcBorders>
              <w:top w:val="single" w:sz="4" w:space="0" w:color="auto"/>
            </w:tcBorders>
            <w:shd w:val="clear" w:color="auto" w:fill="auto"/>
            <w:noWrap/>
            <w:hideMark/>
          </w:tcPr>
          <w:p w14:paraId="4E2B1E5B" w14:textId="77777777" w:rsidR="008436A3" w:rsidRPr="0015600B" w:rsidRDefault="008436A3" w:rsidP="008436A3">
            <w:pPr>
              <w:spacing w:line="240" w:lineRule="auto"/>
              <w:ind w:firstLine="0"/>
            </w:pPr>
            <w:r w:rsidRPr="0015600B">
              <w:t>790.82</w:t>
            </w:r>
          </w:p>
        </w:tc>
      </w:tr>
      <w:tr w:rsidR="008436A3" w:rsidRPr="0015600B" w14:paraId="731A3485" w14:textId="77777777" w:rsidTr="008436A3">
        <w:trPr>
          <w:trHeight w:val="288"/>
          <w:jc w:val="center"/>
        </w:trPr>
        <w:tc>
          <w:tcPr>
            <w:tcW w:w="2000" w:type="dxa"/>
            <w:vMerge/>
            <w:tcBorders>
              <w:top w:val="nil"/>
            </w:tcBorders>
            <w:vAlign w:val="center"/>
            <w:hideMark/>
          </w:tcPr>
          <w:p w14:paraId="7B47CB6D" w14:textId="77777777" w:rsidR="008436A3" w:rsidRPr="0015600B" w:rsidRDefault="008436A3" w:rsidP="008436A3">
            <w:pPr>
              <w:spacing w:line="240" w:lineRule="auto"/>
              <w:ind w:firstLine="0"/>
            </w:pPr>
          </w:p>
        </w:tc>
        <w:tc>
          <w:tcPr>
            <w:tcW w:w="760" w:type="dxa"/>
            <w:tcBorders>
              <w:top w:val="nil"/>
            </w:tcBorders>
            <w:shd w:val="clear" w:color="auto" w:fill="auto"/>
            <w:noWrap/>
            <w:vAlign w:val="center"/>
            <w:hideMark/>
          </w:tcPr>
          <w:p w14:paraId="0C541D58" w14:textId="77777777" w:rsidR="008436A3" w:rsidRPr="0015600B" w:rsidRDefault="008436A3" w:rsidP="008436A3">
            <w:pPr>
              <w:spacing w:line="240" w:lineRule="auto"/>
              <w:ind w:firstLine="0"/>
            </w:pPr>
            <w:r w:rsidRPr="0015600B">
              <w:t>36.39</w:t>
            </w:r>
          </w:p>
        </w:tc>
        <w:tc>
          <w:tcPr>
            <w:tcW w:w="1040" w:type="dxa"/>
            <w:tcBorders>
              <w:top w:val="nil"/>
            </w:tcBorders>
            <w:shd w:val="clear" w:color="auto" w:fill="auto"/>
            <w:vAlign w:val="center"/>
            <w:hideMark/>
          </w:tcPr>
          <w:p w14:paraId="11F67F7B" w14:textId="77777777" w:rsidR="008436A3" w:rsidRPr="0015600B" w:rsidRDefault="008436A3" w:rsidP="008436A3">
            <w:pPr>
              <w:spacing w:line="240" w:lineRule="auto"/>
              <w:ind w:firstLine="0"/>
            </w:pPr>
            <w:r w:rsidRPr="0015600B">
              <w:t>56.40</w:t>
            </w:r>
          </w:p>
        </w:tc>
        <w:tc>
          <w:tcPr>
            <w:tcW w:w="1000" w:type="dxa"/>
            <w:tcBorders>
              <w:top w:val="nil"/>
            </w:tcBorders>
            <w:shd w:val="clear" w:color="auto" w:fill="auto"/>
            <w:vAlign w:val="center"/>
            <w:hideMark/>
          </w:tcPr>
          <w:p w14:paraId="3885423D" w14:textId="77777777" w:rsidR="008436A3" w:rsidRPr="0015600B" w:rsidRDefault="008436A3" w:rsidP="008436A3">
            <w:pPr>
              <w:spacing w:line="240" w:lineRule="auto"/>
              <w:ind w:firstLine="0"/>
            </w:pPr>
            <w:r w:rsidRPr="0015600B">
              <w:t>33437.25</w:t>
            </w:r>
          </w:p>
        </w:tc>
        <w:tc>
          <w:tcPr>
            <w:tcW w:w="980" w:type="dxa"/>
            <w:tcBorders>
              <w:top w:val="nil"/>
            </w:tcBorders>
            <w:shd w:val="clear" w:color="auto" w:fill="auto"/>
            <w:noWrap/>
            <w:vAlign w:val="bottom"/>
            <w:hideMark/>
          </w:tcPr>
          <w:p w14:paraId="6B4AEC9C" w14:textId="77777777" w:rsidR="008436A3" w:rsidRPr="0015600B" w:rsidRDefault="008436A3" w:rsidP="008436A3">
            <w:pPr>
              <w:spacing w:line="240" w:lineRule="auto"/>
              <w:ind w:firstLine="0"/>
            </w:pPr>
            <w:r w:rsidRPr="0015600B">
              <w:t>1344.33</w:t>
            </w:r>
          </w:p>
        </w:tc>
        <w:tc>
          <w:tcPr>
            <w:tcW w:w="1000" w:type="dxa"/>
            <w:tcBorders>
              <w:top w:val="nil"/>
            </w:tcBorders>
            <w:shd w:val="clear" w:color="auto" w:fill="auto"/>
            <w:noWrap/>
            <w:hideMark/>
          </w:tcPr>
          <w:p w14:paraId="3463FD55" w14:textId="77777777" w:rsidR="008436A3" w:rsidRPr="0015600B" w:rsidRDefault="008436A3" w:rsidP="008436A3">
            <w:pPr>
              <w:spacing w:line="240" w:lineRule="auto"/>
              <w:ind w:firstLine="0"/>
            </w:pPr>
            <w:r w:rsidRPr="0015600B">
              <w:t>12234.57</w:t>
            </w:r>
          </w:p>
        </w:tc>
        <w:tc>
          <w:tcPr>
            <w:tcW w:w="980" w:type="dxa"/>
            <w:tcBorders>
              <w:top w:val="nil"/>
            </w:tcBorders>
            <w:shd w:val="clear" w:color="auto" w:fill="auto"/>
            <w:noWrap/>
            <w:hideMark/>
          </w:tcPr>
          <w:p w14:paraId="7AFA65A4" w14:textId="77777777" w:rsidR="008436A3" w:rsidRPr="0015600B" w:rsidRDefault="008436A3" w:rsidP="008436A3">
            <w:pPr>
              <w:spacing w:line="240" w:lineRule="auto"/>
              <w:ind w:firstLine="0"/>
            </w:pPr>
            <w:r w:rsidRPr="0015600B">
              <w:t>494.70</w:t>
            </w:r>
          </w:p>
        </w:tc>
      </w:tr>
      <w:tr w:rsidR="008436A3" w:rsidRPr="0015600B" w14:paraId="0798F5F4" w14:textId="77777777" w:rsidTr="008436A3">
        <w:trPr>
          <w:trHeight w:val="288"/>
          <w:jc w:val="center"/>
        </w:trPr>
        <w:tc>
          <w:tcPr>
            <w:tcW w:w="2000" w:type="dxa"/>
            <w:vMerge/>
            <w:tcBorders>
              <w:top w:val="nil"/>
              <w:bottom w:val="single" w:sz="4" w:space="0" w:color="auto"/>
            </w:tcBorders>
            <w:vAlign w:val="center"/>
            <w:hideMark/>
          </w:tcPr>
          <w:p w14:paraId="4F5DBA8B" w14:textId="77777777" w:rsidR="008436A3" w:rsidRPr="0015600B" w:rsidRDefault="008436A3" w:rsidP="008436A3">
            <w:pPr>
              <w:spacing w:line="240" w:lineRule="auto"/>
              <w:ind w:firstLine="0"/>
            </w:pPr>
          </w:p>
        </w:tc>
        <w:tc>
          <w:tcPr>
            <w:tcW w:w="760" w:type="dxa"/>
            <w:tcBorders>
              <w:top w:val="nil"/>
              <w:bottom w:val="single" w:sz="4" w:space="0" w:color="auto"/>
            </w:tcBorders>
            <w:shd w:val="clear" w:color="auto" w:fill="auto"/>
            <w:noWrap/>
            <w:vAlign w:val="center"/>
            <w:hideMark/>
          </w:tcPr>
          <w:p w14:paraId="59CA3372" w14:textId="77777777" w:rsidR="008436A3" w:rsidRPr="0015600B" w:rsidRDefault="008436A3" w:rsidP="008436A3">
            <w:pPr>
              <w:spacing w:line="240" w:lineRule="auto"/>
              <w:ind w:firstLine="0"/>
            </w:pPr>
            <w:r w:rsidRPr="0015600B">
              <w:t>54.59</w:t>
            </w:r>
          </w:p>
        </w:tc>
        <w:tc>
          <w:tcPr>
            <w:tcW w:w="1040" w:type="dxa"/>
            <w:tcBorders>
              <w:top w:val="nil"/>
              <w:bottom w:val="single" w:sz="4" w:space="0" w:color="auto"/>
            </w:tcBorders>
            <w:shd w:val="clear" w:color="auto" w:fill="auto"/>
            <w:noWrap/>
            <w:vAlign w:val="center"/>
            <w:hideMark/>
          </w:tcPr>
          <w:p w14:paraId="3D248B29" w14:textId="77777777" w:rsidR="008436A3" w:rsidRPr="0015600B" w:rsidRDefault="008436A3" w:rsidP="008436A3">
            <w:pPr>
              <w:spacing w:line="240" w:lineRule="auto"/>
              <w:ind w:firstLine="0"/>
            </w:pPr>
            <w:r w:rsidRPr="0015600B">
              <w:t>84.60</w:t>
            </w:r>
          </w:p>
        </w:tc>
        <w:tc>
          <w:tcPr>
            <w:tcW w:w="1000" w:type="dxa"/>
            <w:tcBorders>
              <w:top w:val="nil"/>
              <w:bottom w:val="single" w:sz="4" w:space="0" w:color="auto"/>
            </w:tcBorders>
            <w:shd w:val="clear" w:color="auto" w:fill="auto"/>
            <w:vAlign w:val="center"/>
            <w:hideMark/>
          </w:tcPr>
          <w:p w14:paraId="3DFB6934" w14:textId="77777777" w:rsidR="008436A3" w:rsidRPr="0015600B" w:rsidRDefault="008436A3" w:rsidP="008436A3">
            <w:pPr>
              <w:spacing w:line="240" w:lineRule="auto"/>
              <w:ind w:firstLine="0"/>
            </w:pPr>
          </w:p>
        </w:tc>
        <w:tc>
          <w:tcPr>
            <w:tcW w:w="980" w:type="dxa"/>
            <w:tcBorders>
              <w:top w:val="nil"/>
              <w:bottom w:val="single" w:sz="4" w:space="0" w:color="auto"/>
            </w:tcBorders>
            <w:shd w:val="clear" w:color="auto" w:fill="auto"/>
            <w:vAlign w:val="center"/>
            <w:hideMark/>
          </w:tcPr>
          <w:p w14:paraId="70FFCA67" w14:textId="77777777" w:rsidR="008436A3" w:rsidRPr="0015600B" w:rsidRDefault="008436A3" w:rsidP="008436A3">
            <w:pPr>
              <w:spacing w:line="240" w:lineRule="auto"/>
              <w:ind w:firstLine="0"/>
            </w:pPr>
          </w:p>
        </w:tc>
        <w:tc>
          <w:tcPr>
            <w:tcW w:w="1000" w:type="dxa"/>
            <w:tcBorders>
              <w:top w:val="nil"/>
              <w:bottom w:val="single" w:sz="4" w:space="0" w:color="auto"/>
            </w:tcBorders>
            <w:shd w:val="clear" w:color="auto" w:fill="auto"/>
            <w:noWrap/>
            <w:hideMark/>
          </w:tcPr>
          <w:p w14:paraId="2004BB72" w14:textId="77777777" w:rsidR="008436A3" w:rsidRPr="0015600B" w:rsidRDefault="008436A3" w:rsidP="008436A3">
            <w:pPr>
              <w:spacing w:line="240" w:lineRule="auto"/>
              <w:ind w:firstLine="0"/>
            </w:pPr>
            <w:r w:rsidRPr="0015600B">
              <w:t>7453.70</w:t>
            </w:r>
          </w:p>
        </w:tc>
        <w:tc>
          <w:tcPr>
            <w:tcW w:w="980" w:type="dxa"/>
            <w:tcBorders>
              <w:top w:val="nil"/>
              <w:bottom w:val="single" w:sz="4" w:space="0" w:color="auto"/>
            </w:tcBorders>
            <w:shd w:val="clear" w:color="auto" w:fill="auto"/>
            <w:noWrap/>
            <w:hideMark/>
          </w:tcPr>
          <w:p w14:paraId="7097B8C9" w14:textId="77777777" w:rsidR="008436A3" w:rsidRPr="0015600B" w:rsidRDefault="008436A3" w:rsidP="008436A3">
            <w:pPr>
              <w:spacing w:line="240" w:lineRule="auto"/>
              <w:ind w:firstLine="0"/>
            </w:pPr>
            <w:r w:rsidRPr="0015600B">
              <w:t>301.39</w:t>
            </w:r>
          </w:p>
        </w:tc>
      </w:tr>
      <w:tr w:rsidR="008436A3" w:rsidRPr="0015600B" w14:paraId="1E3F25CC" w14:textId="77777777" w:rsidTr="008436A3">
        <w:trPr>
          <w:trHeight w:val="288"/>
          <w:jc w:val="center"/>
        </w:trPr>
        <w:tc>
          <w:tcPr>
            <w:tcW w:w="2000" w:type="dxa"/>
            <w:vMerge w:val="restart"/>
            <w:tcBorders>
              <w:top w:val="single" w:sz="4" w:space="0" w:color="auto"/>
            </w:tcBorders>
            <w:shd w:val="clear" w:color="auto" w:fill="auto"/>
            <w:vAlign w:val="center"/>
            <w:hideMark/>
          </w:tcPr>
          <w:p w14:paraId="122039BB" w14:textId="77777777" w:rsidR="008436A3" w:rsidRPr="0015600B" w:rsidRDefault="008436A3" w:rsidP="008436A3">
            <w:pPr>
              <w:spacing w:line="240" w:lineRule="auto"/>
              <w:ind w:firstLine="0"/>
            </w:pPr>
            <w:r w:rsidRPr="0015600B">
              <w:t>Portland, OR</w:t>
            </w:r>
          </w:p>
        </w:tc>
        <w:tc>
          <w:tcPr>
            <w:tcW w:w="760" w:type="dxa"/>
            <w:tcBorders>
              <w:top w:val="single" w:sz="4" w:space="0" w:color="auto"/>
            </w:tcBorders>
            <w:shd w:val="clear" w:color="auto" w:fill="auto"/>
            <w:noWrap/>
            <w:vAlign w:val="center"/>
            <w:hideMark/>
          </w:tcPr>
          <w:p w14:paraId="7953753A" w14:textId="77777777" w:rsidR="008436A3" w:rsidRPr="0015600B" w:rsidRDefault="008436A3" w:rsidP="008436A3">
            <w:pPr>
              <w:spacing w:line="240" w:lineRule="auto"/>
              <w:ind w:firstLine="0"/>
            </w:pPr>
            <w:r w:rsidRPr="0015600B">
              <w:t>11.37</w:t>
            </w:r>
          </w:p>
        </w:tc>
        <w:tc>
          <w:tcPr>
            <w:tcW w:w="1040" w:type="dxa"/>
            <w:tcBorders>
              <w:top w:val="single" w:sz="4" w:space="0" w:color="auto"/>
            </w:tcBorders>
            <w:shd w:val="clear" w:color="auto" w:fill="auto"/>
            <w:noWrap/>
            <w:vAlign w:val="center"/>
            <w:hideMark/>
          </w:tcPr>
          <w:p w14:paraId="11C5180D" w14:textId="77777777" w:rsidR="008436A3" w:rsidRPr="0015600B" w:rsidRDefault="008436A3" w:rsidP="008436A3">
            <w:pPr>
              <w:spacing w:line="240" w:lineRule="auto"/>
              <w:ind w:firstLine="0"/>
            </w:pPr>
            <w:r w:rsidRPr="0015600B">
              <w:t>43.14</w:t>
            </w:r>
          </w:p>
        </w:tc>
        <w:tc>
          <w:tcPr>
            <w:tcW w:w="1000" w:type="dxa"/>
            <w:tcBorders>
              <w:top w:val="single" w:sz="4" w:space="0" w:color="auto"/>
            </w:tcBorders>
            <w:shd w:val="clear" w:color="auto" w:fill="auto"/>
            <w:noWrap/>
            <w:vAlign w:val="bottom"/>
            <w:hideMark/>
          </w:tcPr>
          <w:p w14:paraId="51386671" w14:textId="77777777" w:rsidR="008436A3" w:rsidRPr="0015600B" w:rsidRDefault="008436A3" w:rsidP="008436A3">
            <w:pPr>
              <w:spacing w:line="240" w:lineRule="auto"/>
              <w:ind w:firstLine="0"/>
            </w:pPr>
          </w:p>
        </w:tc>
        <w:tc>
          <w:tcPr>
            <w:tcW w:w="980" w:type="dxa"/>
            <w:tcBorders>
              <w:top w:val="single" w:sz="4" w:space="0" w:color="auto"/>
            </w:tcBorders>
            <w:shd w:val="clear" w:color="auto" w:fill="auto"/>
            <w:noWrap/>
            <w:vAlign w:val="bottom"/>
            <w:hideMark/>
          </w:tcPr>
          <w:p w14:paraId="7BBECDF8" w14:textId="77777777" w:rsidR="008436A3" w:rsidRPr="0015600B" w:rsidRDefault="008436A3" w:rsidP="008436A3">
            <w:pPr>
              <w:spacing w:line="240" w:lineRule="auto"/>
              <w:ind w:firstLine="0"/>
            </w:pPr>
          </w:p>
        </w:tc>
        <w:tc>
          <w:tcPr>
            <w:tcW w:w="1000" w:type="dxa"/>
            <w:tcBorders>
              <w:top w:val="single" w:sz="4" w:space="0" w:color="auto"/>
            </w:tcBorders>
            <w:shd w:val="clear" w:color="auto" w:fill="auto"/>
            <w:noWrap/>
            <w:hideMark/>
          </w:tcPr>
          <w:p w14:paraId="61F0A9E3" w14:textId="77777777" w:rsidR="008436A3" w:rsidRPr="0015600B" w:rsidRDefault="008436A3" w:rsidP="008436A3">
            <w:pPr>
              <w:spacing w:line="240" w:lineRule="auto"/>
              <w:ind w:firstLine="0"/>
            </w:pPr>
            <w:r w:rsidRPr="0015600B">
              <w:t>14782.37</w:t>
            </w:r>
          </w:p>
        </w:tc>
        <w:tc>
          <w:tcPr>
            <w:tcW w:w="980" w:type="dxa"/>
            <w:tcBorders>
              <w:top w:val="single" w:sz="4" w:space="0" w:color="auto"/>
            </w:tcBorders>
            <w:shd w:val="clear" w:color="auto" w:fill="auto"/>
            <w:noWrap/>
            <w:hideMark/>
          </w:tcPr>
          <w:p w14:paraId="68B260F9" w14:textId="77777777" w:rsidR="008436A3" w:rsidRPr="0015600B" w:rsidRDefault="008436A3" w:rsidP="008436A3">
            <w:pPr>
              <w:spacing w:line="240" w:lineRule="auto"/>
              <w:ind w:firstLine="0"/>
            </w:pPr>
            <w:r w:rsidRPr="0015600B">
              <w:t>609.43</w:t>
            </w:r>
          </w:p>
        </w:tc>
      </w:tr>
      <w:tr w:rsidR="008436A3" w:rsidRPr="0015600B" w14:paraId="60926E6E" w14:textId="77777777" w:rsidTr="008436A3">
        <w:trPr>
          <w:trHeight w:val="288"/>
          <w:jc w:val="center"/>
        </w:trPr>
        <w:tc>
          <w:tcPr>
            <w:tcW w:w="2000" w:type="dxa"/>
            <w:vMerge/>
            <w:tcBorders>
              <w:top w:val="nil"/>
            </w:tcBorders>
            <w:vAlign w:val="center"/>
            <w:hideMark/>
          </w:tcPr>
          <w:p w14:paraId="7799C7D1" w14:textId="77777777" w:rsidR="008436A3" w:rsidRPr="0015600B" w:rsidRDefault="008436A3" w:rsidP="008436A3">
            <w:pPr>
              <w:spacing w:line="240" w:lineRule="auto"/>
              <w:ind w:firstLine="0"/>
            </w:pPr>
          </w:p>
        </w:tc>
        <w:tc>
          <w:tcPr>
            <w:tcW w:w="760" w:type="dxa"/>
            <w:tcBorders>
              <w:top w:val="nil"/>
            </w:tcBorders>
            <w:shd w:val="clear" w:color="auto" w:fill="auto"/>
            <w:noWrap/>
            <w:vAlign w:val="center"/>
            <w:hideMark/>
          </w:tcPr>
          <w:p w14:paraId="61938C6B" w14:textId="77777777" w:rsidR="008436A3" w:rsidRPr="0015600B" w:rsidRDefault="008436A3" w:rsidP="008436A3">
            <w:pPr>
              <w:spacing w:line="240" w:lineRule="auto"/>
              <w:ind w:firstLine="0"/>
            </w:pPr>
            <w:r w:rsidRPr="0015600B">
              <w:t>22.73</w:t>
            </w:r>
          </w:p>
        </w:tc>
        <w:tc>
          <w:tcPr>
            <w:tcW w:w="1040" w:type="dxa"/>
            <w:tcBorders>
              <w:top w:val="nil"/>
            </w:tcBorders>
            <w:shd w:val="clear" w:color="auto" w:fill="auto"/>
            <w:vAlign w:val="center"/>
            <w:hideMark/>
          </w:tcPr>
          <w:p w14:paraId="747EC97F" w14:textId="77777777" w:rsidR="008436A3" w:rsidRPr="0015600B" w:rsidRDefault="008436A3" w:rsidP="008436A3">
            <w:pPr>
              <w:spacing w:line="240" w:lineRule="auto"/>
              <w:ind w:firstLine="0"/>
            </w:pPr>
            <w:r w:rsidRPr="0015600B">
              <w:t>86.28</w:t>
            </w:r>
          </w:p>
        </w:tc>
        <w:tc>
          <w:tcPr>
            <w:tcW w:w="1000" w:type="dxa"/>
            <w:tcBorders>
              <w:top w:val="nil"/>
            </w:tcBorders>
            <w:shd w:val="clear" w:color="auto" w:fill="auto"/>
            <w:vAlign w:val="center"/>
            <w:hideMark/>
          </w:tcPr>
          <w:p w14:paraId="3F050B2B" w14:textId="77777777" w:rsidR="008436A3" w:rsidRPr="0015600B" w:rsidRDefault="008436A3" w:rsidP="008436A3">
            <w:pPr>
              <w:spacing w:line="240" w:lineRule="auto"/>
              <w:ind w:firstLine="0"/>
            </w:pPr>
            <w:r w:rsidRPr="0015600B">
              <w:t>24498.81</w:t>
            </w:r>
          </w:p>
        </w:tc>
        <w:tc>
          <w:tcPr>
            <w:tcW w:w="980" w:type="dxa"/>
            <w:tcBorders>
              <w:top w:val="nil"/>
            </w:tcBorders>
            <w:shd w:val="clear" w:color="auto" w:fill="auto"/>
            <w:noWrap/>
            <w:vAlign w:val="bottom"/>
            <w:hideMark/>
          </w:tcPr>
          <w:p w14:paraId="3F8A382E" w14:textId="77777777" w:rsidR="008436A3" w:rsidRPr="0015600B" w:rsidRDefault="008436A3" w:rsidP="008436A3">
            <w:pPr>
              <w:spacing w:line="240" w:lineRule="auto"/>
              <w:ind w:firstLine="0"/>
            </w:pPr>
            <w:r w:rsidRPr="0015600B">
              <w:t>1010.00</w:t>
            </w:r>
          </w:p>
        </w:tc>
        <w:tc>
          <w:tcPr>
            <w:tcW w:w="1000" w:type="dxa"/>
            <w:tcBorders>
              <w:top w:val="nil"/>
            </w:tcBorders>
            <w:shd w:val="clear" w:color="auto" w:fill="auto"/>
            <w:noWrap/>
            <w:hideMark/>
          </w:tcPr>
          <w:p w14:paraId="349A0218" w14:textId="77777777" w:rsidR="008436A3" w:rsidRPr="0015600B" w:rsidRDefault="008436A3" w:rsidP="008436A3">
            <w:pPr>
              <w:spacing w:line="240" w:lineRule="auto"/>
              <w:ind w:firstLine="0"/>
            </w:pPr>
            <w:r w:rsidRPr="0015600B">
              <w:t>10261.98</w:t>
            </w:r>
          </w:p>
        </w:tc>
        <w:tc>
          <w:tcPr>
            <w:tcW w:w="980" w:type="dxa"/>
            <w:tcBorders>
              <w:top w:val="nil"/>
            </w:tcBorders>
            <w:shd w:val="clear" w:color="auto" w:fill="auto"/>
            <w:noWrap/>
            <w:hideMark/>
          </w:tcPr>
          <w:p w14:paraId="134F3434" w14:textId="77777777" w:rsidR="008436A3" w:rsidRPr="0015600B" w:rsidRDefault="008436A3" w:rsidP="008436A3">
            <w:pPr>
              <w:spacing w:line="240" w:lineRule="auto"/>
              <w:ind w:firstLine="0"/>
            </w:pPr>
            <w:r w:rsidRPr="0015600B">
              <w:t>423.07</w:t>
            </w:r>
          </w:p>
        </w:tc>
      </w:tr>
      <w:tr w:rsidR="008436A3" w:rsidRPr="0015600B" w14:paraId="2500FCE2" w14:textId="77777777" w:rsidTr="008436A3">
        <w:trPr>
          <w:trHeight w:val="288"/>
          <w:jc w:val="center"/>
        </w:trPr>
        <w:tc>
          <w:tcPr>
            <w:tcW w:w="2000" w:type="dxa"/>
            <w:vMerge/>
            <w:tcBorders>
              <w:top w:val="nil"/>
              <w:bottom w:val="single" w:sz="12" w:space="0" w:color="auto"/>
            </w:tcBorders>
            <w:vAlign w:val="center"/>
            <w:hideMark/>
          </w:tcPr>
          <w:p w14:paraId="6CA34CFF" w14:textId="77777777" w:rsidR="008436A3" w:rsidRPr="0015600B" w:rsidRDefault="008436A3" w:rsidP="008436A3">
            <w:pPr>
              <w:spacing w:line="240" w:lineRule="auto"/>
              <w:ind w:firstLine="0"/>
            </w:pPr>
          </w:p>
        </w:tc>
        <w:tc>
          <w:tcPr>
            <w:tcW w:w="760" w:type="dxa"/>
            <w:tcBorders>
              <w:top w:val="nil"/>
              <w:bottom w:val="single" w:sz="12" w:space="0" w:color="auto"/>
            </w:tcBorders>
            <w:shd w:val="clear" w:color="auto" w:fill="auto"/>
            <w:noWrap/>
            <w:vAlign w:val="center"/>
            <w:hideMark/>
          </w:tcPr>
          <w:p w14:paraId="4FCDC713" w14:textId="77777777" w:rsidR="008436A3" w:rsidRPr="0015600B" w:rsidRDefault="008436A3" w:rsidP="008436A3">
            <w:pPr>
              <w:spacing w:line="240" w:lineRule="auto"/>
              <w:ind w:firstLine="0"/>
            </w:pPr>
            <w:r w:rsidRPr="0015600B">
              <w:t>34.10</w:t>
            </w:r>
          </w:p>
        </w:tc>
        <w:tc>
          <w:tcPr>
            <w:tcW w:w="1040" w:type="dxa"/>
            <w:tcBorders>
              <w:top w:val="nil"/>
              <w:bottom w:val="single" w:sz="12" w:space="0" w:color="auto"/>
            </w:tcBorders>
            <w:shd w:val="clear" w:color="auto" w:fill="auto"/>
            <w:noWrap/>
            <w:vAlign w:val="center"/>
            <w:hideMark/>
          </w:tcPr>
          <w:p w14:paraId="245B083C" w14:textId="77777777" w:rsidR="008436A3" w:rsidRPr="0015600B" w:rsidRDefault="008436A3" w:rsidP="008436A3">
            <w:pPr>
              <w:spacing w:line="240" w:lineRule="auto"/>
              <w:ind w:firstLine="0"/>
            </w:pPr>
            <w:r w:rsidRPr="0015600B">
              <w:t>129.42</w:t>
            </w:r>
          </w:p>
        </w:tc>
        <w:tc>
          <w:tcPr>
            <w:tcW w:w="1000" w:type="dxa"/>
            <w:tcBorders>
              <w:top w:val="nil"/>
              <w:bottom w:val="single" w:sz="12" w:space="0" w:color="auto"/>
            </w:tcBorders>
            <w:shd w:val="clear" w:color="auto" w:fill="auto"/>
            <w:vAlign w:val="center"/>
            <w:hideMark/>
          </w:tcPr>
          <w:p w14:paraId="5357A197" w14:textId="77777777" w:rsidR="008436A3" w:rsidRPr="0015600B" w:rsidRDefault="008436A3" w:rsidP="008436A3">
            <w:pPr>
              <w:spacing w:line="240" w:lineRule="auto"/>
              <w:ind w:firstLine="0"/>
            </w:pPr>
          </w:p>
        </w:tc>
        <w:tc>
          <w:tcPr>
            <w:tcW w:w="980" w:type="dxa"/>
            <w:tcBorders>
              <w:top w:val="nil"/>
              <w:bottom w:val="single" w:sz="12" w:space="0" w:color="auto"/>
            </w:tcBorders>
            <w:shd w:val="clear" w:color="auto" w:fill="auto"/>
            <w:vAlign w:val="center"/>
            <w:hideMark/>
          </w:tcPr>
          <w:p w14:paraId="63DEF5BF" w14:textId="77777777" w:rsidR="008436A3" w:rsidRPr="0015600B" w:rsidRDefault="008436A3" w:rsidP="008436A3">
            <w:pPr>
              <w:spacing w:line="240" w:lineRule="auto"/>
              <w:ind w:firstLine="0"/>
            </w:pPr>
          </w:p>
        </w:tc>
        <w:tc>
          <w:tcPr>
            <w:tcW w:w="1000" w:type="dxa"/>
            <w:tcBorders>
              <w:top w:val="nil"/>
              <w:bottom w:val="single" w:sz="12" w:space="0" w:color="auto"/>
            </w:tcBorders>
            <w:shd w:val="clear" w:color="auto" w:fill="auto"/>
            <w:noWrap/>
            <w:hideMark/>
          </w:tcPr>
          <w:p w14:paraId="7B867CB2" w14:textId="77777777" w:rsidR="008436A3" w:rsidRPr="0015600B" w:rsidRDefault="008436A3" w:rsidP="008436A3">
            <w:pPr>
              <w:spacing w:line="240" w:lineRule="auto"/>
              <w:ind w:firstLine="0"/>
            </w:pPr>
            <w:r w:rsidRPr="0015600B">
              <w:t>6854.15</w:t>
            </w:r>
          </w:p>
        </w:tc>
        <w:tc>
          <w:tcPr>
            <w:tcW w:w="980" w:type="dxa"/>
            <w:tcBorders>
              <w:top w:val="nil"/>
              <w:bottom w:val="single" w:sz="12" w:space="0" w:color="auto"/>
            </w:tcBorders>
            <w:shd w:val="clear" w:color="auto" w:fill="auto"/>
            <w:noWrap/>
            <w:hideMark/>
          </w:tcPr>
          <w:p w14:paraId="716AB079" w14:textId="77777777" w:rsidR="008436A3" w:rsidRPr="0015600B" w:rsidRDefault="008436A3" w:rsidP="008436A3">
            <w:pPr>
              <w:spacing w:line="240" w:lineRule="auto"/>
              <w:ind w:firstLine="0"/>
            </w:pPr>
            <w:r w:rsidRPr="0015600B">
              <w:t>282.57</w:t>
            </w:r>
          </w:p>
        </w:tc>
      </w:tr>
    </w:tbl>
    <w:p w14:paraId="31F2255F" w14:textId="77777777" w:rsidR="008436A3" w:rsidRPr="0015600B" w:rsidRDefault="008436A3" w:rsidP="008436A3">
      <w:pPr>
        <w:spacing w:after="288"/>
        <w:ind w:firstLine="0"/>
      </w:pPr>
    </w:p>
    <w:p w14:paraId="31907AFD" w14:textId="387CE9EB" w:rsidR="008436A3" w:rsidRPr="0015600B" w:rsidRDefault="008436A3" w:rsidP="008436A3">
      <w:pPr>
        <w:spacing w:after="288"/>
      </w:pPr>
      <w:r w:rsidRPr="0015600B">
        <w:t xml:space="preserve">The energy cost and energy saving in </w:t>
      </w:r>
      <w:r w:rsidR="00E93FFE">
        <w:t xml:space="preserve">the </w:t>
      </w:r>
      <w:r w:rsidRPr="0015600B">
        <w:t xml:space="preserve">residential building make up a </w:t>
      </w:r>
      <w:r w:rsidR="008F0CF3">
        <w:t>huge</w:t>
      </w:r>
      <w:r w:rsidRPr="0015600B">
        <w:t xml:space="preserve"> role in determining </w:t>
      </w:r>
      <w:r w:rsidR="00E93FFE">
        <w:t>the</w:t>
      </w:r>
      <w:r w:rsidRPr="0015600B">
        <w:t xml:space="preserve"> benefit</w:t>
      </w:r>
      <w:r w:rsidR="00E93FFE">
        <w:t xml:space="preserve">s </w:t>
      </w:r>
      <w:r w:rsidRPr="0015600B">
        <w:t>of the LHTES system in residential building</w:t>
      </w:r>
      <w:r w:rsidR="00E93FFE">
        <w:t>s</w:t>
      </w:r>
      <w:r w:rsidRPr="0015600B">
        <w:t>. Energy saving</w:t>
      </w:r>
      <w:r w:rsidR="00B140E4">
        <w:t>s</w:t>
      </w:r>
      <w:r w:rsidRPr="0015600B">
        <w:t xml:space="preserve"> not only depend</w:t>
      </w:r>
      <w:r w:rsidR="00E93FFE">
        <w:t>s</w:t>
      </w:r>
      <w:r w:rsidRPr="0015600B">
        <w:t xml:space="preserve"> on the size of the equipment utilized but also </w:t>
      </w:r>
      <w:r w:rsidR="004E1A99">
        <w:t>on</w:t>
      </w:r>
      <w:r w:rsidRPr="0015600B">
        <w:t xml:space="preserve"> the rate at which energy is supplied and drawn from the thermal energy storage unit. </w:t>
      </w:r>
    </w:p>
    <w:p w14:paraId="0ECB0EB6" w14:textId="5BEB678D" w:rsidR="008436A3" w:rsidRPr="0015600B" w:rsidRDefault="008436A3" w:rsidP="008436A3">
      <w:pPr>
        <w:spacing w:after="288"/>
      </w:pPr>
      <w:r w:rsidRPr="0015600B">
        <w:lastRenderedPageBreak/>
        <w:t xml:space="preserve">First, examining the energy cost and saving by size, </w:t>
      </w:r>
      <w:r w:rsidR="008F0CF3">
        <w:t>larg</w:t>
      </w:r>
      <w:r w:rsidRPr="0015600B">
        <w:t xml:space="preserve">er sizes result </w:t>
      </w:r>
      <w:r w:rsidR="00E93FFE">
        <w:t xml:space="preserve">in </w:t>
      </w:r>
      <w:r w:rsidRPr="0015600B">
        <w:t>higher energy savings in all the seven climate zone</w:t>
      </w:r>
      <w:r w:rsidR="008F0CF3">
        <w:t>;</w:t>
      </w:r>
      <w:r w:rsidRPr="0015600B">
        <w:t xml:space="preserve"> therefore, </w:t>
      </w:r>
      <w:r w:rsidR="005825D1">
        <w:t>larger equipment</w:t>
      </w:r>
      <w:r w:rsidRPr="0015600B">
        <w:t xml:space="preserve"> size </w:t>
      </w:r>
      <w:r w:rsidR="005825D1">
        <w:t>can</w:t>
      </w:r>
      <w:r w:rsidRPr="0015600B">
        <w:t xml:space="preserve"> contribute to </w:t>
      </w:r>
      <w:r w:rsidR="004E1A99">
        <w:t>higher</w:t>
      </w:r>
      <w:r w:rsidRPr="0015600B">
        <w:t xml:space="preserve"> </w:t>
      </w:r>
      <w:r w:rsidR="005825D1">
        <w:t xml:space="preserve">energy cost </w:t>
      </w:r>
      <w:r w:rsidRPr="0015600B">
        <w:t>saving</w:t>
      </w:r>
      <w:r w:rsidR="005825D1">
        <w:t>s</w:t>
      </w:r>
      <w:r w:rsidRPr="0015600B">
        <w:t xml:space="preserve">. However, </w:t>
      </w:r>
      <w:r w:rsidR="005825D1">
        <w:t>larger equipment size can result</w:t>
      </w:r>
      <w:r w:rsidRPr="0015600B">
        <w:t xml:space="preserve"> </w:t>
      </w:r>
      <w:r w:rsidR="008F0CF3">
        <w:t xml:space="preserve">in </w:t>
      </w:r>
      <w:r w:rsidRPr="0015600B">
        <w:t xml:space="preserve">higher </w:t>
      </w:r>
      <w:r w:rsidR="004E1A99">
        <w:t xml:space="preserve">equipment </w:t>
      </w:r>
      <w:r w:rsidRPr="0015600B">
        <w:t>cost</w:t>
      </w:r>
      <w:r w:rsidR="00E93FFE">
        <w:t>s</w:t>
      </w:r>
      <w:r w:rsidR="005825D1">
        <w:t xml:space="preserve"> (equipment cost analysis is beyond the scope of this study</w:t>
      </w:r>
      <w:r w:rsidR="008F0CF3">
        <w:t>,</w:t>
      </w:r>
      <w:r w:rsidR="005825D1">
        <w:t xml:space="preserve"> thus left out for the next phase of research)</w:t>
      </w:r>
      <w:r w:rsidRPr="0015600B">
        <w:t xml:space="preserve">. </w:t>
      </w:r>
    </w:p>
    <w:p w14:paraId="1F000495" w14:textId="476F0873" w:rsidR="008436A3" w:rsidRPr="0015600B" w:rsidRDefault="008436A3" w:rsidP="008436A3">
      <w:pPr>
        <w:spacing w:after="288"/>
      </w:pPr>
      <w:r w:rsidRPr="0015600B">
        <w:t>Second, the rate at which solar energy is supplied to and drawn from the system emulates better energy saving</w:t>
      </w:r>
      <w:r w:rsidR="00E3194B">
        <w:t>s</w:t>
      </w:r>
      <w:r w:rsidRPr="0015600B">
        <w:t xml:space="preserve">. For example, </w:t>
      </w:r>
      <w:r w:rsidR="00E93FFE">
        <w:t xml:space="preserve">a </w:t>
      </w:r>
      <w:r w:rsidRPr="0015600B">
        <w:t xml:space="preserve">residential building in warmer climate zones such </w:t>
      </w:r>
      <w:r w:rsidR="002C384D">
        <w:t xml:space="preserve">as </w:t>
      </w:r>
      <w:r w:rsidR="00E93FFE">
        <w:t xml:space="preserve">the </w:t>
      </w:r>
      <w:r w:rsidRPr="0015600B">
        <w:t>hot</w:t>
      </w:r>
      <w:r w:rsidR="008F0CF3">
        <w:t>,</w:t>
      </w:r>
      <w:r w:rsidRPr="0015600B">
        <w:t xml:space="preserve"> dry climate of Los Angeles experience</w:t>
      </w:r>
      <w:r w:rsidR="00E93FFE">
        <w:t>s</w:t>
      </w:r>
      <w:r w:rsidRPr="0015600B">
        <w:t xml:space="preserve"> a vast amount of solar energy through the year</w:t>
      </w:r>
      <w:r w:rsidR="008F0CF3">
        <w:t>,</w:t>
      </w:r>
      <w:r w:rsidRPr="0015600B">
        <w:t xml:space="preserve"> thus grant the constant supply of thermal energy required to meet the building </w:t>
      </w:r>
      <w:r w:rsidR="00980620">
        <w:t>energy demand</w:t>
      </w:r>
      <w:r w:rsidRPr="0015600B">
        <w:t xml:space="preserve"> throughout the year. In that regard, a quite </w:t>
      </w:r>
      <w:r w:rsidR="00980620">
        <w:t xml:space="preserve">large </w:t>
      </w:r>
      <w:r w:rsidRPr="0015600B">
        <w:t xml:space="preserve">amount </w:t>
      </w:r>
      <w:r w:rsidR="002C384D">
        <w:t xml:space="preserve">of energy </w:t>
      </w:r>
      <w:r w:rsidRPr="0015600B">
        <w:t>reduction is observed</w:t>
      </w:r>
      <w:r w:rsidR="008F0CF3">
        <w:t>,</w:t>
      </w:r>
      <w:r w:rsidRPr="0015600B">
        <w:t xml:space="preserve"> leading to a significant cut in energy cost annually. On the other hand, a building located in Duluth experience</w:t>
      </w:r>
      <w:r w:rsidR="00E93FFE">
        <w:t>s</w:t>
      </w:r>
      <w:r w:rsidRPr="0015600B">
        <w:t xml:space="preserve"> a l</w:t>
      </w:r>
      <w:r w:rsidR="00E93FFE">
        <w:t>ong</w:t>
      </w:r>
      <w:r w:rsidRPr="0015600B">
        <w:t xml:space="preserve"> winter period with insufficien</w:t>
      </w:r>
      <w:r w:rsidR="002C384D">
        <w:t>cy</w:t>
      </w:r>
      <w:r w:rsidRPr="0015600B">
        <w:t xml:space="preserve"> o</w:t>
      </w:r>
      <w:r w:rsidR="002C384D">
        <w:t>r</w:t>
      </w:r>
      <w:r w:rsidRPr="0015600B">
        <w:t xml:space="preserve"> no solar</w:t>
      </w:r>
      <w:r w:rsidR="002C384D">
        <w:t xml:space="preserve"> energy</w:t>
      </w:r>
      <w:r w:rsidR="008F0CF3">
        <w:t>,</w:t>
      </w:r>
      <w:r w:rsidRPr="0015600B">
        <w:t xml:space="preserve"> thus </w:t>
      </w:r>
      <w:r w:rsidR="008F0CF3">
        <w:t>fewer</w:t>
      </w:r>
      <w:r w:rsidRPr="0015600B">
        <w:t xml:space="preserve"> energy saving</w:t>
      </w:r>
      <w:r w:rsidR="00980620">
        <w:t>s</w:t>
      </w:r>
      <w:r w:rsidRPr="0015600B">
        <w:t xml:space="preserve">. The </w:t>
      </w:r>
      <w:r w:rsidR="008F0CF3">
        <w:t>reduced</w:t>
      </w:r>
      <w:r w:rsidRPr="0015600B">
        <w:t xml:space="preserve"> energy saving could be reversed by increasing the size</w:t>
      </w:r>
      <w:r w:rsidR="008F0CF3">
        <w:t>,</w:t>
      </w:r>
      <w:r w:rsidRPr="0015600B">
        <w:t xml:space="preserve"> which results</w:t>
      </w:r>
      <w:r w:rsidR="00980620">
        <w:t xml:space="preserve"> </w:t>
      </w:r>
      <w:r w:rsidR="008F0CF3">
        <w:t xml:space="preserve">in </w:t>
      </w:r>
      <w:r w:rsidRPr="0015600B">
        <w:t xml:space="preserve">a non-economic system. </w:t>
      </w:r>
    </w:p>
    <w:p w14:paraId="5EBC7EE6" w14:textId="2A1563AB" w:rsidR="008436A3" w:rsidRPr="0015600B" w:rsidRDefault="008436A3" w:rsidP="00C764BF">
      <w:pPr>
        <w:pStyle w:val="Heading2"/>
        <w:numPr>
          <w:ilvl w:val="1"/>
          <w:numId w:val="15"/>
        </w:numPr>
      </w:pPr>
      <w:bookmarkStart w:id="260" w:name="_Toc43877996"/>
      <w:bookmarkStart w:id="261" w:name="_Hlk46145160"/>
      <w:bookmarkStart w:id="262" w:name="_Toc47467739"/>
      <w:r w:rsidRPr="0015600B">
        <w:t>Energy Performance Evaluation</w:t>
      </w:r>
      <w:bookmarkEnd w:id="260"/>
      <w:bookmarkEnd w:id="262"/>
    </w:p>
    <w:p w14:paraId="09D74E72" w14:textId="4E294D52" w:rsidR="00044C63" w:rsidRPr="0015600B" w:rsidRDefault="00044C63" w:rsidP="00044C63">
      <w:r w:rsidRPr="0015600B">
        <w:t>The energy performance evaluation indices</w:t>
      </w:r>
      <w:r w:rsidR="008F0CF3">
        <w:t>,</w:t>
      </w:r>
      <w:r w:rsidRPr="0015600B">
        <w:t xml:space="preserve"> i.e.</w:t>
      </w:r>
      <w:r w:rsidR="008F0CF3">
        <w:t>,</w:t>
      </w:r>
      <w:r w:rsidRPr="0015600B">
        <w:t xml:space="preserve"> solar utilization index, annual saving per unit PCM mass, and annual energy saving results</w:t>
      </w:r>
      <w:r>
        <w:t xml:space="preserve"> in</w:t>
      </w:r>
      <w:r w:rsidRPr="0015600B">
        <w:t xml:space="preserve"> a guide to selecting the optimal size of the equipment by determining the </w:t>
      </w:r>
      <w:r>
        <w:t xml:space="preserve">energy </w:t>
      </w:r>
      <w:r w:rsidRPr="0015600B">
        <w:t xml:space="preserve">benefit of </w:t>
      </w:r>
      <w:r>
        <w:t>dep</w:t>
      </w:r>
      <w:r w:rsidRPr="0015600B">
        <w:t xml:space="preserve">loying the LHTES system in different climate zones. The </w:t>
      </w:r>
      <w:r>
        <w:t>energy evaluation indices employed</w:t>
      </w:r>
      <w:r w:rsidRPr="0015600B">
        <w:t xml:space="preserve"> </w:t>
      </w:r>
      <w:r>
        <w:t>are:</w:t>
      </w:r>
    </w:p>
    <w:p w14:paraId="23E91FA4" w14:textId="77777777" w:rsidR="00044C63" w:rsidRPr="0015600B" w:rsidRDefault="00044C63" w:rsidP="00044C63">
      <w:pPr>
        <w:numPr>
          <w:ilvl w:val="0"/>
          <w:numId w:val="7"/>
        </w:numPr>
        <w:spacing w:after="288"/>
      </w:pPr>
      <w:r w:rsidRPr="0015600B">
        <w:lastRenderedPageBreak/>
        <w:t>The annual</w:t>
      </w:r>
      <w:r>
        <w:t xml:space="preserve"> energy savings</w:t>
      </w:r>
      <w:r w:rsidRPr="0015600B">
        <w:t xml:space="preserve"> per unit mass of thermal energy storage (</w:t>
      </w:r>
      <m:oMath>
        <m:sSub>
          <m:sSubPr>
            <m:ctrlPr>
              <w:rPr>
                <w:rFonts w:ascii="Cambria Math" w:hAnsi="Cambria Math"/>
                <w:i/>
              </w:rPr>
            </m:ctrlPr>
          </m:sSubPr>
          <m:e>
            <m:r>
              <w:rPr>
                <w:rFonts w:ascii="Cambria Math" w:hAnsi="Cambria Math"/>
              </w:rPr>
              <m:t>α</m:t>
            </m:r>
          </m:e>
          <m:sub>
            <m:r>
              <w:rPr>
                <w:rFonts w:ascii="Cambria Math" w:hAnsi="Cambria Math"/>
              </w:rPr>
              <m:t>spm</m:t>
            </m:r>
          </m:sub>
        </m:sSub>
      </m:oMath>
      <w:r w:rsidRPr="0015600B">
        <w:t>) is calculated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5"/>
        <w:gridCol w:w="1495"/>
      </w:tblGrid>
      <w:tr w:rsidR="00044C63" w:rsidRPr="0015600B" w14:paraId="70C41814" w14:textId="77777777" w:rsidTr="00B96996">
        <w:tc>
          <w:tcPr>
            <w:tcW w:w="7735" w:type="dxa"/>
            <w:vAlign w:val="center"/>
          </w:tcPr>
          <w:p w14:paraId="416FA135" w14:textId="77777777" w:rsidR="00044C63" w:rsidRPr="0015600B" w:rsidRDefault="003A0B43" w:rsidP="00B96996">
            <w:pPr>
              <w:spacing w:after="288"/>
              <w:ind w:firstLine="0"/>
              <w:jc w:val="left"/>
            </w:pPr>
            <m:oMathPara>
              <m:oMath>
                <m:sSub>
                  <m:sSubPr>
                    <m:ctrlPr>
                      <w:rPr>
                        <w:rFonts w:ascii="Cambria Math" w:hAnsi="Cambria Math"/>
                      </w:rPr>
                    </m:ctrlPr>
                  </m:sSubPr>
                  <m:e>
                    <m:r>
                      <w:rPr>
                        <w:rFonts w:ascii="Cambria Math" w:hAnsi="Cambria Math"/>
                      </w:rPr>
                      <m:t>α</m:t>
                    </m:r>
                  </m:e>
                  <m:sub>
                    <m:r>
                      <w:rPr>
                        <w:rFonts w:ascii="Cambria Math" w:hAnsi="Cambria Math"/>
                      </w:rPr>
                      <m:t>spm</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demand</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aux</m:t>
                        </m:r>
                      </m:sub>
                    </m:sSub>
                  </m:num>
                  <m:den>
                    <m:sSub>
                      <m:sSubPr>
                        <m:ctrlPr>
                          <w:rPr>
                            <w:rFonts w:ascii="Cambria Math" w:hAnsi="Cambria Math"/>
                          </w:rPr>
                        </m:ctrlPr>
                      </m:sSubPr>
                      <m:e>
                        <m:r>
                          <w:rPr>
                            <w:rFonts w:ascii="Cambria Math" w:hAnsi="Cambria Math"/>
                          </w:rPr>
                          <m:t>m</m:t>
                        </m:r>
                      </m:e>
                      <m:sub>
                        <m:r>
                          <w:rPr>
                            <w:rFonts w:ascii="Cambria Math" w:hAnsi="Cambria Math"/>
                          </w:rPr>
                          <m:t>PCM</m:t>
                        </m:r>
                      </m:sub>
                    </m:sSub>
                  </m:den>
                </m:f>
              </m:oMath>
            </m:oMathPara>
          </w:p>
        </w:tc>
        <w:tc>
          <w:tcPr>
            <w:tcW w:w="1615" w:type="dxa"/>
            <w:vAlign w:val="center"/>
          </w:tcPr>
          <w:p w14:paraId="728844CB" w14:textId="40CAAF9D" w:rsidR="00044C63" w:rsidRPr="0015600B" w:rsidRDefault="00044C63" w:rsidP="00B96996">
            <w:pPr>
              <w:spacing w:after="288"/>
              <w:ind w:firstLine="0"/>
              <w:jc w:val="right"/>
            </w:pPr>
            <w:r>
              <w:t>(</w:t>
            </w:r>
            <w:fldSimple w:instr=" STYLEREF 1 \s ">
              <w:r w:rsidR="00D979B8">
                <w:rPr>
                  <w:noProof/>
                </w:rPr>
                <w:t>4</w:t>
              </w:r>
            </w:fldSimple>
            <w:r>
              <w:t>.</w:t>
            </w:r>
            <w:fldSimple w:instr=" SEQ Equation \* ARABIC \s 1 ">
              <w:r w:rsidR="00D979B8">
                <w:rPr>
                  <w:noProof/>
                </w:rPr>
                <w:t>3</w:t>
              </w:r>
            </w:fldSimple>
            <w:r>
              <w:t>)</w:t>
            </w:r>
          </w:p>
        </w:tc>
      </w:tr>
    </w:tbl>
    <w:p w14:paraId="2DDCACAE" w14:textId="77777777" w:rsidR="00044C63" w:rsidRPr="0015600B" w:rsidRDefault="00044C63" w:rsidP="00044C63">
      <w:pPr>
        <w:numPr>
          <w:ilvl w:val="0"/>
          <w:numId w:val="7"/>
        </w:numPr>
        <w:spacing w:after="288"/>
      </w:pPr>
      <w:r w:rsidRPr="0015600B">
        <w:t xml:space="preserve">The </w:t>
      </w:r>
      <w:r>
        <w:t xml:space="preserve">annual energy savings </w:t>
      </w:r>
      <w:r w:rsidRPr="0015600B">
        <w:t>per unit area (</w:t>
      </w:r>
      <m:oMath>
        <m:sSub>
          <m:sSubPr>
            <m:ctrlPr>
              <w:rPr>
                <w:rFonts w:ascii="Cambria Math" w:hAnsi="Cambria Math"/>
                <w:i/>
              </w:rPr>
            </m:ctrlPr>
          </m:sSubPr>
          <m:e>
            <m:r>
              <w:rPr>
                <w:rFonts w:ascii="Cambria Math" w:hAnsi="Cambria Math"/>
              </w:rPr>
              <m:t>α</m:t>
            </m:r>
          </m:e>
          <m:sub>
            <m:r>
              <w:rPr>
                <w:rFonts w:ascii="Cambria Math" w:hAnsi="Cambria Math"/>
              </w:rPr>
              <m:t>spa</m:t>
            </m:r>
          </m:sub>
        </m:sSub>
      </m:oMath>
      <w:r w:rsidRPr="0015600B">
        <w:t>) is evaluated as</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1"/>
        <w:gridCol w:w="1589"/>
      </w:tblGrid>
      <w:tr w:rsidR="00044C63" w:rsidRPr="0015600B" w14:paraId="1613DDA4" w14:textId="77777777" w:rsidTr="00B96996">
        <w:tc>
          <w:tcPr>
            <w:tcW w:w="7041" w:type="dxa"/>
            <w:vAlign w:val="center"/>
          </w:tcPr>
          <w:p w14:paraId="05D95AF8" w14:textId="77777777" w:rsidR="00044C63" w:rsidRPr="0015600B" w:rsidRDefault="003A0B43" w:rsidP="00B96996">
            <w:pPr>
              <w:spacing w:after="288"/>
              <w:ind w:firstLine="0"/>
            </w:pPr>
            <m:oMathPara>
              <m:oMath>
                <m:sSub>
                  <m:sSubPr>
                    <m:ctrlPr>
                      <w:rPr>
                        <w:rFonts w:ascii="Cambria Math" w:hAnsi="Cambria Math"/>
                      </w:rPr>
                    </m:ctrlPr>
                  </m:sSubPr>
                  <m:e>
                    <m:r>
                      <w:rPr>
                        <w:rFonts w:ascii="Cambria Math" w:hAnsi="Cambria Math"/>
                      </w:rPr>
                      <m:t>α</m:t>
                    </m:r>
                  </m:e>
                  <m:sub>
                    <m:r>
                      <w:rPr>
                        <w:rFonts w:ascii="Cambria Math" w:hAnsi="Cambria Math"/>
                      </w:rPr>
                      <m:t>spa</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demand</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 xml:space="preserve">,  </m:t>
                        </m:r>
                        <m:r>
                          <w:rPr>
                            <w:rFonts w:ascii="Cambria Math" w:hAnsi="Cambria Math"/>
                          </w:rPr>
                          <m:t>aux</m:t>
                        </m:r>
                      </m:sub>
                    </m:sSub>
                  </m:num>
                  <m:den>
                    <m:sSub>
                      <m:sSubPr>
                        <m:ctrlPr>
                          <w:rPr>
                            <w:rFonts w:ascii="Cambria Math" w:hAnsi="Cambria Math"/>
                          </w:rPr>
                        </m:ctrlPr>
                      </m:sSubPr>
                      <m:e>
                        <m:r>
                          <w:rPr>
                            <w:rFonts w:ascii="Cambria Math" w:hAnsi="Cambria Math"/>
                          </w:rPr>
                          <m:t>A</m:t>
                        </m:r>
                      </m:e>
                      <m:sub>
                        <m:r>
                          <w:rPr>
                            <w:rFonts w:ascii="Cambria Math" w:hAnsi="Cambria Math"/>
                          </w:rPr>
                          <m:t>collector</m:t>
                        </m:r>
                      </m:sub>
                    </m:sSub>
                  </m:den>
                </m:f>
              </m:oMath>
            </m:oMathPara>
          </w:p>
        </w:tc>
        <w:tc>
          <w:tcPr>
            <w:tcW w:w="1589" w:type="dxa"/>
            <w:vAlign w:val="center"/>
          </w:tcPr>
          <w:p w14:paraId="7E8381B4" w14:textId="0A3D996A" w:rsidR="00044C63" w:rsidRPr="0015600B" w:rsidRDefault="00044C63" w:rsidP="00B96996">
            <w:pPr>
              <w:spacing w:after="288"/>
              <w:ind w:firstLine="0"/>
              <w:jc w:val="right"/>
            </w:pPr>
            <w:r>
              <w:t>(</w:t>
            </w:r>
            <w:fldSimple w:instr=" STYLEREF 1 \s ">
              <w:r w:rsidR="00D979B8">
                <w:rPr>
                  <w:noProof/>
                </w:rPr>
                <w:t>4</w:t>
              </w:r>
            </w:fldSimple>
            <w:r>
              <w:t>.</w:t>
            </w:r>
            <w:fldSimple w:instr=" SEQ Equation \* ARABIC \s 1 ">
              <w:r w:rsidR="00D979B8">
                <w:rPr>
                  <w:noProof/>
                </w:rPr>
                <w:t>4</w:t>
              </w:r>
            </w:fldSimple>
            <w:r>
              <w:t>)</w:t>
            </w:r>
          </w:p>
        </w:tc>
      </w:tr>
    </w:tbl>
    <w:p w14:paraId="132A8AD0" w14:textId="77777777" w:rsidR="00044C63" w:rsidRPr="0015600B" w:rsidRDefault="00044C63" w:rsidP="00044C63">
      <w:pPr>
        <w:numPr>
          <w:ilvl w:val="0"/>
          <w:numId w:val="7"/>
        </w:numPr>
        <w:spacing w:after="288"/>
      </w:pPr>
      <w:r w:rsidRPr="0015600B">
        <w:t>The solar energy utilization ratio is evaluated as (</w:t>
      </w:r>
      <m:oMath>
        <m:sSub>
          <m:sSubPr>
            <m:ctrlPr>
              <w:rPr>
                <w:rFonts w:ascii="Cambria Math" w:hAnsi="Cambria Math"/>
                <w:i/>
              </w:rPr>
            </m:ctrlPr>
          </m:sSubPr>
          <m:e>
            <m:r>
              <w:rPr>
                <w:rFonts w:ascii="Cambria Math" w:hAnsi="Cambria Math"/>
              </w:rPr>
              <m:t>β</m:t>
            </m:r>
          </m:e>
          <m:sub>
            <m:r>
              <w:rPr>
                <w:rFonts w:ascii="Cambria Math" w:hAnsi="Cambria Math"/>
              </w:rPr>
              <m:t>solar</m:t>
            </m:r>
          </m:sub>
        </m:sSub>
      </m:oMath>
      <w:r w:rsidRPr="0015600B">
        <w:t>)</w:t>
      </w:r>
    </w:p>
    <w:tbl>
      <w:tblPr>
        <w:tblStyle w:val="TableGrid"/>
        <w:tblpPr w:leftFromText="180" w:rightFromText="180" w:vertAnchor="text" w:horzAnchor="margin" w:tblpY="19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0"/>
        <w:gridCol w:w="1480"/>
      </w:tblGrid>
      <w:tr w:rsidR="00044C63" w:rsidRPr="0015600B" w14:paraId="73390DAD" w14:textId="77777777" w:rsidTr="00B96996">
        <w:tc>
          <w:tcPr>
            <w:tcW w:w="7735" w:type="dxa"/>
            <w:vAlign w:val="center"/>
          </w:tcPr>
          <w:p w14:paraId="621C03CF" w14:textId="77777777" w:rsidR="00044C63" w:rsidRPr="0015600B" w:rsidRDefault="003A0B43" w:rsidP="00B96996">
            <w:pPr>
              <w:spacing w:after="288"/>
              <w:ind w:firstLine="0"/>
              <w:jc w:val="left"/>
            </w:pPr>
            <m:oMathPara>
              <m:oMath>
                <m:sSub>
                  <m:sSubPr>
                    <m:ctrlPr>
                      <w:rPr>
                        <w:rFonts w:ascii="Cambria Math" w:hAnsi="Cambria Math"/>
                        <w:i/>
                      </w:rPr>
                    </m:ctrlPr>
                  </m:sSubPr>
                  <m:e>
                    <m:r>
                      <w:rPr>
                        <w:rFonts w:ascii="Cambria Math" w:hAnsi="Cambria Math"/>
                      </w:rPr>
                      <m:t>β</m:t>
                    </m:r>
                  </m:e>
                  <m:sub>
                    <m:r>
                      <w:rPr>
                        <w:rFonts w:ascii="Cambria Math" w:hAnsi="Cambria Math"/>
                      </w:rPr>
                      <m:t>solar</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demand</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aux</m:t>
                        </m:r>
                      </m:sub>
                    </m:sSub>
                  </m:num>
                  <m:den>
                    <m:sSub>
                      <m:sSubPr>
                        <m:ctrlPr>
                          <w:rPr>
                            <w:rFonts w:ascii="Cambria Math" w:hAnsi="Cambria Math"/>
                          </w:rPr>
                        </m:ctrlPr>
                      </m:sSubPr>
                      <m:e>
                        <m:r>
                          <w:rPr>
                            <w:rFonts w:ascii="Cambria Math" w:hAnsi="Cambria Math"/>
                          </w:rPr>
                          <m:t>Q</m:t>
                        </m:r>
                      </m:e>
                      <m:sub>
                        <m:r>
                          <w:rPr>
                            <w:rFonts w:ascii="Cambria Math" w:hAnsi="Cambria Math"/>
                          </w:rPr>
                          <m:t>annual</m:t>
                        </m:r>
                        <m:r>
                          <m:rPr>
                            <m:sty m:val="p"/>
                          </m:rPr>
                          <w:rPr>
                            <w:rFonts w:ascii="Cambria Math" w:hAnsi="Cambria Math"/>
                          </w:rPr>
                          <m:t>,</m:t>
                        </m:r>
                        <m:r>
                          <w:rPr>
                            <w:rFonts w:ascii="Cambria Math" w:hAnsi="Cambria Math"/>
                          </w:rPr>
                          <m:t>solar</m:t>
                        </m:r>
                      </m:sub>
                    </m:sSub>
                  </m:den>
                </m:f>
              </m:oMath>
            </m:oMathPara>
          </w:p>
        </w:tc>
        <w:tc>
          <w:tcPr>
            <w:tcW w:w="1615" w:type="dxa"/>
            <w:vAlign w:val="center"/>
          </w:tcPr>
          <w:p w14:paraId="67CB0984" w14:textId="6EE9EA3A" w:rsidR="00044C63" w:rsidRPr="0015600B" w:rsidRDefault="00044C63" w:rsidP="00B96996">
            <w:pPr>
              <w:spacing w:after="288"/>
              <w:ind w:left="-138" w:firstLine="0"/>
              <w:jc w:val="right"/>
            </w:pPr>
            <w:r>
              <w:t xml:space="preserve"> (</w:t>
            </w:r>
            <w:fldSimple w:instr=" STYLEREF 1 \s ">
              <w:r w:rsidR="00D979B8">
                <w:rPr>
                  <w:noProof/>
                </w:rPr>
                <w:t>4</w:t>
              </w:r>
            </w:fldSimple>
            <w:r>
              <w:t>.</w:t>
            </w:r>
            <w:fldSimple w:instr=" SEQ Equation \* ARABIC \s 1 ">
              <w:r w:rsidR="00D979B8">
                <w:rPr>
                  <w:noProof/>
                </w:rPr>
                <w:t>5</w:t>
              </w:r>
            </w:fldSimple>
            <w:r>
              <w:t>)</w:t>
            </w:r>
          </w:p>
        </w:tc>
      </w:tr>
    </w:tbl>
    <w:p w14:paraId="6ECEA84C" w14:textId="7B78966D" w:rsidR="00044C63" w:rsidRPr="0015600B" w:rsidRDefault="00044C63" w:rsidP="00044C63">
      <w:r w:rsidRPr="0015600B">
        <w:t>Energy performance evaluation indices were</w:t>
      </w:r>
      <w:r>
        <w:t xml:space="preserve"> </w:t>
      </w:r>
      <w:r w:rsidRPr="0015600B">
        <w:t xml:space="preserve">calculated using Excel. </w:t>
      </w:r>
      <w:r>
        <w:t xml:space="preserve">In Figure 4.17, </w:t>
      </w:r>
      <m:oMath>
        <m:sSub>
          <m:sSubPr>
            <m:ctrlPr>
              <w:rPr>
                <w:rFonts w:ascii="Cambria Math" w:hAnsi="Cambria Math"/>
              </w:rPr>
            </m:ctrlPr>
          </m:sSubPr>
          <m:e>
            <m:r>
              <w:rPr>
                <w:rFonts w:ascii="Cambria Math" w:hAnsi="Cambria Math"/>
              </w:rPr>
              <m:t>α</m:t>
            </m:r>
          </m:e>
          <m:sub>
            <m:r>
              <w:rPr>
                <w:rFonts w:ascii="Cambria Math" w:hAnsi="Cambria Math"/>
              </w:rPr>
              <m:t>spm</m:t>
            </m:r>
          </m:sub>
        </m:sSub>
      </m:oMath>
      <w:r>
        <w:rPr>
          <w:rFonts w:eastAsiaTheme="minorEastAsia"/>
        </w:rPr>
        <w:t xml:space="preserve"> versus </w:t>
      </w:r>
      <m:oMath>
        <m:sSub>
          <m:sSubPr>
            <m:ctrlPr>
              <w:rPr>
                <w:rFonts w:ascii="Cambria Math" w:hAnsi="Cambria Math"/>
              </w:rPr>
            </m:ctrlPr>
          </m:sSubPr>
          <m:e>
            <m:r>
              <w:rPr>
                <w:rFonts w:ascii="Cambria Math" w:hAnsi="Cambria Math"/>
              </w:rPr>
              <m:t>α</m:t>
            </m:r>
          </m:e>
          <m:sub>
            <m:r>
              <w:rPr>
                <w:rFonts w:ascii="Cambria Math" w:hAnsi="Cambria Math"/>
              </w:rPr>
              <m:t>spa</m:t>
            </m:r>
          </m:sub>
        </m:sSub>
      </m:oMath>
      <w:r>
        <w:rPr>
          <w:rFonts w:eastAsiaTheme="minorEastAsia"/>
        </w:rPr>
        <w:t xml:space="preserve"> are plotted. The black long dashed-dotted circles enclose the results obtained using equipment base size (see Table 3.2). Solid blue and red dashed circles are using to enclose the results obtained by decreasing and increasing the equipment base size by 50%</w:t>
      </w:r>
      <w:r w:rsidR="008F0CF3">
        <w:rPr>
          <w:rFonts w:eastAsiaTheme="minorEastAsia"/>
        </w:rPr>
        <w:t>,</w:t>
      </w:r>
      <w:r>
        <w:rPr>
          <w:rFonts w:eastAsiaTheme="minorEastAsia"/>
        </w:rPr>
        <w:t xml:space="preserve"> respectively. As such, three sets of results are identified, and each set contains three groups. Set 1 is marked with a numeric with no subscript, Set 2 is marked with a numeric and minus (-) subscript and Set 3 with a numeric and a plus (+) sign. </w:t>
      </w:r>
    </w:p>
    <w:p w14:paraId="091B4E98" w14:textId="77777777" w:rsidR="00044C63" w:rsidRPr="00637C6F" w:rsidRDefault="00044C63" w:rsidP="00044C63"/>
    <w:p w14:paraId="77A2CEBE" w14:textId="77777777" w:rsidR="00044C63" w:rsidRPr="00637C6F" w:rsidRDefault="00044C63" w:rsidP="00044C63">
      <w:pPr>
        <w:ind w:firstLine="0"/>
        <w:jc w:val="center"/>
      </w:pPr>
      <w:r>
        <w:rPr>
          <w:noProof/>
        </w:rPr>
        <w:lastRenderedPageBreak/>
        <w:drawing>
          <wp:inline distT="0" distB="0" distL="0" distR="0" wp14:anchorId="61D7AAAC" wp14:editId="29BB7BCD">
            <wp:extent cx="5486400" cy="36741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86400" cy="3674110"/>
                    </a:xfrm>
                    <a:prstGeom prst="rect">
                      <a:avLst/>
                    </a:prstGeom>
                  </pic:spPr>
                </pic:pic>
              </a:graphicData>
            </a:graphic>
          </wp:inline>
        </w:drawing>
      </w:r>
    </w:p>
    <w:p w14:paraId="3BE251B3" w14:textId="4F118876" w:rsidR="00044C63" w:rsidRPr="0015600B" w:rsidRDefault="00044C63" w:rsidP="00044C63">
      <w:pPr>
        <w:pStyle w:val="Caption"/>
      </w:pPr>
      <w:bookmarkStart w:id="263" w:name="_Toc47467774"/>
      <w:r w:rsidRPr="0015600B">
        <w:t xml:space="preserve">Figure </w:t>
      </w:r>
      <w:fldSimple w:instr=" STYLEREF 1 \s ">
        <w:r w:rsidR="00D979B8">
          <w:rPr>
            <w:noProof/>
          </w:rPr>
          <w:t>4</w:t>
        </w:r>
      </w:fldSimple>
      <w:r>
        <w:t>.</w:t>
      </w:r>
      <w:fldSimple w:instr=" SEQ Figure \* ARABIC \s 1 ">
        <w:r w:rsidR="00D979B8">
          <w:rPr>
            <w:noProof/>
          </w:rPr>
          <w:t>17</w:t>
        </w:r>
      </w:fldSimple>
      <w:r w:rsidRPr="0015600B">
        <w:t>. Energy savings per collector size versus energy saving per PCM mass.</w:t>
      </w:r>
      <w:bookmarkEnd w:id="263"/>
    </w:p>
    <w:p w14:paraId="74651179" w14:textId="599688E3" w:rsidR="00044C63" w:rsidRDefault="00044C63" w:rsidP="00044C63">
      <w:r>
        <w:t xml:space="preserve">Set 1 </w:t>
      </w:r>
      <w:r w:rsidRPr="0015600B">
        <w:t>Group 1 constitutes residential buildings from cities in cold climate zones (i.e.</w:t>
      </w:r>
      <w:r w:rsidR="008F0CF3">
        <w:t>,</w:t>
      </w:r>
      <w:r w:rsidRPr="0015600B">
        <w:t xml:space="preserve"> Portland and Duluth) </w:t>
      </w:r>
      <w:r>
        <w:t xml:space="preserve">results using equipment base size.  These cities reflect </w:t>
      </w:r>
      <w:r w:rsidRPr="0015600B">
        <w:t>the largest equipment sizes compared to the rest of the cities. The larger equipment sizes are due to high energy heating, cooling</w:t>
      </w:r>
      <w:r>
        <w:t>,</w:t>
      </w:r>
      <w:r w:rsidRPr="0015600B">
        <w:t xml:space="preserve"> and hot water energy demand</w:t>
      </w:r>
      <w:r>
        <w:t>,</w:t>
      </w:r>
      <w:r w:rsidRPr="0015600B">
        <w:t xml:space="preserve"> and low solar radiation. Cities in this group have the </w:t>
      </w:r>
      <w:r w:rsidR="008F0CF3">
        <w:t>small</w:t>
      </w:r>
      <w:r w:rsidRPr="0015600B">
        <w:t>est energy saving per unit PCM mass and energy saving</w:t>
      </w:r>
      <w:r>
        <w:t>s</w:t>
      </w:r>
      <w:r w:rsidRPr="0015600B">
        <w:t xml:space="preserve"> per unit area. The solar utilization ratios, using base sizes, are 0.21 and 0.25 for Portland and Duluth</w:t>
      </w:r>
      <w:r w:rsidR="008F0CF3">
        <w:t>,</w:t>
      </w:r>
      <w:r w:rsidRPr="0015600B">
        <w:t xml:space="preserve"> indicating that about 80% and 85% of absorbed solar is not used to supply heating, cooling, and hot water energy demand. </w:t>
      </w:r>
      <w:r>
        <w:t xml:space="preserve">Decreasing (increasing) equipment size by 50%, results Set </w:t>
      </w:r>
      <w:r w:rsidRPr="00F524A9">
        <w:t>1</w:t>
      </w:r>
      <w:r>
        <w:rPr>
          <w:vertAlign w:val="superscript"/>
        </w:rPr>
        <w:t xml:space="preserve">- </w:t>
      </w:r>
      <w:r>
        <w:t>(Set 1</w:t>
      </w:r>
      <w:r>
        <w:rPr>
          <w:vertAlign w:val="superscript"/>
        </w:rPr>
        <w:t>+</w:t>
      </w:r>
      <w:r>
        <w:t xml:space="preserve">), </w:t>
      </w:r>
      <w:r w:rsidRPr="00F524A9">
        <w:t>reduces</w:t>
      </w:r>
      <w:r>
        <w:t xml:space="preserve"> (increases) how much solar energy captured and distributed </w:t>
      </w:r>
      <w:r>
        <w:lastRenderedPageBreak/>
        <w:t>in the system.  Less (more) than needed solar energy is captured</w:t>
      </w:r>
      <w:r w:rsidR="008F0CF3">
        <w:t>,</w:t>
      </w:r>
      <w:r>
        <w:t xml:space="preserve"> leading to increased (decreased) solar utilization ratio. In Figure 4.18, Daily total building energy and the absorbed solar energy for Duluth, Oklahoma City, and Los Angeles (scaled for better visualization) are presented. Note that, three cities are displayed each to represent each group from which it belongs (shown in Figure 4.17)</w:t>
      </w:r>
    </w:p>
    <w:p w14:paraId="645C39CE" w14:textId="77777777" w:rsidR="00044C63" w:rsidRDefault="00044C63" w:rsidP="00044C63">
      <w:pPr>
        <w:ind w:firstLine="0"/>
        <w:rPr>
          <w:noProof/>
        </w:rPr>
      </w:pPr>
      <w:r w:rsidRPr="00AA728B">
        <w:rPr>
          <w:noProof/>
        </w:rPr>
        <w:t xml:space="preserve"> </w:t>
      </w:r>
      <w:r>
        <w:rPr>
          <w:noProof/>
        </w:rPr>
        <w:drawing>
          <wp:inline distT="0" distB="0" distL="0" distR="0" wp14:anchorId="18892FDB" wp14:editId="61FDA9DE">
            <wp:extent cx="5486400" cy="27260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86400" cy="2726055"/>
                    </a:xfrm>
                    <a:prstGeom prst="rect">
                      <a:avLst/>
                    </a:prstGeom>
                  </pic:spPr>
                </pic:pic>
              </a:graphicData>
            </a:graphic>
          </wp:inline>
        </w:drawing>
      </w:r>
    </w:p>
    <w:p w14:paraId="41226E93" w14:textId="77777777" w:rsidR="00044C63" w:rsidRDefault="00044C63" w:rsidP="00044C63">
      <w:pPr>
        <w:ind w:firstLine="0"/>
      </w:pPr>
      <w:r>
        <w:rPr>
          <w:noProof/>
        </w:rPr>
        <w:drawing>
          <wp:inline distT="0" distB="0" distL="0" distR="0" wp14:anchorId="5B6A8429" wp14:editId="205D02EC">
            <wp:extent cx="5486400" cy="25939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86400" cy="2593975"/>
                    </a:xfrm>
                    <a:prstGeom prst="rect">
                      <a:avLst/>
                    </a:prstGeom>
                  </pic:spPr>
                </pic:pic>
              </a:graphicData>
            </a:graphic>
          </wp:inline>
        </w:drawing>
      </w:r>
    </w:p>
    <w:p w14:paraId="60F8D5F7" w14:textId="77777777" w:rsidR="00044C63" w:rsidRDefault="00044C63" w:rsidP="00044C63">
      <w:pPr>
        <w:pStyle w:val="Caption"/>
      </w:pPr>
      <w:r>
        <w:rPr>
          <w:noProof/>
        </w:rPr>
        <w:lastRenderedPageBreak/>
        <w:drawing>
          <wp:inline distT="0" distB="0" distL="0" distR="0" wp14:anchorId="2B45CC09" wp14:editId="2FB146DE">
            <wp:extent cx="5486400" cy="2628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86400" cy="2628900"/>
                    </a:xfrm>
                    <a:prstGeom prst="rect">
                      <a:avLst/>
                    </a:prstGeom>
                  </pic:spPr>
                </pic:pic>
              </a:graphicData>
            </a:graphic>
          </wp:inline>
        </w:drawing>
      </w:r>
    </w:p>
    <w:p w14:paraId="45355965" w14:textId="392BDA81" w:rsidR="00044C63" w:rsidRDefault="00044C63" w:rsidP="00044C63">
      <w:pPr>
        <w:pStyle w:val="Caption"/>
      </w:pPr>
      <w:bookmarkStart w:id="264" w:name="_Toc47467775"/>
      <w:r w:rsidRPr="0015600B">
        <w:t xml:space="preserve">Figure </w:t>
      </w:r>
      <w:fldSimple w:instr=" STYLEREF 1 \s ">
        <w:r w:rsidR="00D979B8">
          <w:rPr>
            <w:noProof/>
          </w:rPr>
          <w:t>4</w:t>
        </w:r>
      </w:fldSimple>
      <w:r>
        <w:t>.</w:t>
      </w:r>
      <w:fldSimple w:instr=" SEQ Figure \* ARABIC \s 1 ">
        <w:r w:rsidR="00D979B8">
          <w:rPr>
            <w:noProof/>
          </w:rPr>
          <w:t>18</w:t>
        </w:r>
      </w:fldSimple>
      <w:r w:rsidRPr="0015600B">
        <w:t xml:space="preserve">. </w:t>
      </w:r>
      <w:r>
        <w:t>Daily total building energy and the absorbed solar energy (1) Duluth, (2) Oklahoma City, and (3) Los Angeles</w:t>
      </w:r>
      <w:bookmarkEnd w:id="264"/>
    </w:p>
    <w:p w14:paraId="2AB34A6A" w14:textId="7EE1404B" w:rsidR="00044C63" w:rsidRPr="0015600B" w:rsidRDefault="00044C63" w:rsidP="00044C63">
      <w:r>
        <w:t>A larger solar collector of 156.92m</w:t>
      </w:r>
      <w:r>
        <w:rPr>
          <w:vertAlign w:val="superscript"/>
        </w:rPr>
        <w:t>2</w:t>
      </w:r>
      <w:r>
        <w:t xml:space="preserve"> absorbed much higher solar energy than needed (especially in February through November)</w:t>
      </w:r>
      <w:r w:rsidR="008F0CF3">
        <w:t>,</w:t>
      </w:r>
      <w:r>
        <w:t xml:space="preserve"> leading to a lower solar utilization ratio. The same results are observed in all the three presented and the rest of the cities</w:t>
      </w:r>
      <w:r w:rsidR="008F0CF3">
        <w:t>,</w:t>
      </w:r>
      <w:r>
        <w:t xml:space="preserve"> thus not shown here (presented in Appendix). The solar utilization decreases (increases) upon increasing (decreasing) equipment sizes (especially solar collector). The resulting solar utilization is 0.35 (0.21) for Duluth and 0.30 (0.17) for Portland at decreasing (increasing) equipment size. </w:t>
      </w:r>
      <w:r w:rsidRPr="0015600B">
        <w:t xml:space="preserve">As a result, it is not beneficial </w:t>
      </w:r>
      <w:r>
        <w:t>to run</w:t>
      </w:r>
      <w:r w:rsidRPr="0015600B">
        <w:t xml:space="preserve"> </w:t>
      </w:r>
      <w:r>
        <w:t xml:space="preserve">the </w:t>
      </w:r>
      <w:r w:rsidRPr="0015600B">
        <w:t xml:space="preserve">LHTES system in colder climate zones. </w:t>
      </w:r>
      <w:r>
        <w:t xml:space="preserve">It is noted from 4.18 that the equipment </w:t>
      </w:r>
      <w:r w:rsidR="008F0CF3">
        <w:t>is</w:t>
      </w:r>
      <w:r>
        <w:t xml:space="preserve"> oversized (for Duluth and Portland)</w:t>
      </w:r>
      <w:r w:rsidR="008F0CF3">
        <w:t>,</w:t>
      </w:r>
      <w:r>
        <w:t xml:space="preserve"> leading to the smallest solar utilization ratios. </w:t>
      </w:r>
      <w:r w:rsidRPr="0015600B">
        <w:t xml:space="preserve">Upon completing equipment and installation cost and experimentation (which are beyond the scope of this thesis), the decision to deploy </w:t>
      </w:r>
      <w:r>
        <w:t xml:space="preserve">or not to deploy the </w:t>
      </w:r>
      <w:r w:rsidRPr="0015600B">
        <w:t xml:space="preserve">LHTES system in colder climate zones could be </w:t>
      </w:r>
      <w:r>
        <w:t>strengthened</w:t>
      </w:r>
      <w:r w:rsidRPr="0015600B">
        <w:t xml:space="preserve">. </w:t>
      </w:r>
    </w:p>
    <w:p w14:paraId="3B3A8C5D" w14:textId="29CE6FE5" w:rsidR="00044C63" w:rsidRDefault="00044C63" w:rsidP="00044C63">
      <w:r w:rsidRPr="0015600B">
        <w:lastRenderedPageBreak/>
        <w:t>Group 2 consists of residential buildings in cities belonging to mild climate zones</w:t>
      </w:r>
      <w:r w:rsidR="008F0CF3">
        <w:t>,</w:t>
      </w:r>
      <w:r w:rsidRPr="0015600B">
        <w:t xml:space="preserve"> i.e.</w:t>
      </w:r>
      <w:r w:rsidR="008F0CF3">
        <w:t>,</w:t>
      </w:r>
      <w:r w:rsidRPr="0015600B">
        <w:t xml:space="preserve"> Oklahoma City and Reno. The solar utilization ratios are moderate. For example, using base sizes, the solar utilization ratio for Oklahoma City and Reno are 0.35 and 0.34, respectively. The equipment sizes for Oklahoma City are much smaller compared to that of Reno</w:t>
      </w:r>
      <w:r w:rsidR="008F0CF3">
        <w:t>;</w:t>
      </w:r>
      <w:r w:rsidRPr="0015600B">
        <w:t xml:space="preserve"> thus, </w:t>
      </w:r>
      <w:r>
        <w:t>the energy benefit</w:t>
      </w:r>
      <w:r w:rsidRPr="0015600B">
        <w:t xml:space="preserve"> </w:t>
      </w:r>
      <w:r>
        <w:t xml:space="preserve">is better </w:t>
      </w:r>
      <w:r w:rsidRPr="0015600B">
        <w:t>in Oklahoma City</w:t>
      </w:r>
      <w:r>
        <w:t xml:space="preserve"> </w:t>
      </w:r>
      <w:r w:rsidRPr="0015600B">
        <w:t xml:space="preserve">than in Reno. </w:t>
      </w:r>
      <w:r>
        <w:t>Decreasing (increasing) equipment base size results in an increased (decreased) solar utilization. The resulting solar utilization ratio is increased (decreases) to 0.47 (0.28) and 0.43 (0.28) for Oklahoma City and Reno</w:t>
      </w:r>
      <w:r w:rsidR="008F0CF3">
        <w:t>,</w:t>
      </w:r>
      <w:r>
        <w:t xml:space="preserve"> respectively. It is recommended to deploy the LHTES system in these two cities using the smallest possible equipment sizes (i.e.</w:t>
      </w:r>
      <w:r w:rsidR="008F0CF3">
        <w:t>,</w:t>
      </w:r>
      <w:r>
        <w:t xml:space="preserve"> 50% of equipment base size) because they reflect a better solar utilization ratio. Like mentioned for Group 1, capital cost should be assessed first before deciding the deployment. </w:t>
      </w:r>
    </w:p>
    <w:p w14:paraId="5027AD0B" w14:textId="07214F39" w:rsidR="00044C63" w:rsidRPr="0015600B" w:rsidRDefault="00044C63" w:rsidP="00044C63">
      <w:r w:rsidRPr="0015600B">
        <w:t>Group 3 is composed of cities from warmer climate zone</w:t>
      </w:r>
      <w:r w:rsidR="008F0CF3">
        <w:t>,</w:t>
      </w:r>
      <w:r w:rsidRPr="0015600B">
        <w:t xml:space="preserve"> i.e.</w:t>
      </w:r>
      <w:r w:rsidR="008F0CF3">
        <w:t>,</w:t>
      </w:r>
      <w:r w:rsidRPr="0015600B">
        <w:t xml:space="preserve"> Miami from hot-humid, Albuquerque from mixed-dry</w:t>
      </w:r>
      <w:r>
        <w:t>,</w:t>
      </w:r>
      <w:r w:rsidRPr="0015600B">
        <w:t xml:space="preserve"> and Los Angeles from hot-dry. The energy saving</w:t>
      </w:r>
      <w:r>
        <w:t>s</w:t>
      </w:r>
      <w:r w:rsidRPr="0015600B">
        <w:t xml:space="preserve"> per unit PCM mass and energy saving</w:t>
      </w:r>
      <w:r>
        <w:t>s</w:t>
      </w:r>
      <w:r w:rsidRPr="0015600B">
        <w:t xml:space="preserve"> per unit area reflect the highest among all the groups. Considering </w:t>
      </w:r>
      <w:r>
        <w:t xml:space="preserve">the </w:t>
      </w:r>
      <w:r w:rsidRPr="0015600B">
        <w:t>base size, the solar utilization ratio is 0.63, 0.51</w:t>
      </w:r>
      <w:r>
        <w:t>,</w:t>
      </w:r>
      <w:r w:rsidRPr="0015600B">
        <w:t xml:space="preserve"> and 0.46 for Miami, Albuquerque, and Los Angeles, respectively. </w:t>
      </w:r>
      <w:r>
        <w:t xml:space="preserve">Decreasing (increasing) equipment sizes increases (decreases) energy savings per solar utilization ratio to 0.80 (0.52), 0.73 (0.39) and 0.64 (0.41) for Miami, Albuquerque and Los Angeles respectively. It is </w:t>
      </w:r>
      <w:r w:rsidRPr="0015600B">
        <w:t xml:space="preserve">recommended </w:t>
      </w:r>
      <w:r>
        <w:t>employing</w:t>
      </w:r>
      <w:r w:rsidRPr="0015600B">
        <w:t xml:space="preserve"> equipment with base size</w:t>
      </w:r>
      <w:r>
        <w:t xml:space="preserve">s for cities belong to this group. </w:t>
      </w:r>
    </w:p>
    <w:p w14:paraId="1D264FFF" w14:textId="7CA36B37" w:rsidR="00044C63" w:rsidRDefault="00044C63" w:rsidP="00044C63">
      <w:pPr>
        <w:spacing w:after="288"/>
      </w:pPr>
      <w:r>
        <w:lastRenderedPageBreak/>
        <w:t xml:space="preserve">Generally, decreasing the equipment sizes increases the energy benefit in all the cities and all in about the same range. In </w:t>
      </w:r>
      <w:r w:rsidR="008F0CF3">
        <w:t xml:space="preserve">the </w:t>
      </w:r>
      <w:r>
        <w:t>Warmer climate zone, the energy benefit is smaller than in colder climate zones.  In warmer climate zones such as hot-dry (Los Angeles), hot-humid (Miami) and Mixed-humid, decreasing (increasing)  the equipment base size increases (decreases) both the annual energy savings per collector area and energy savings per PCM mass by 1.27 (0.80), 1.27 (0.83), and 1.59(0.86) respectively. Decreasing (increasing) equipment size in Mild and cold climate zones such as mixed-humid (Oklahoma City), cold (Reno), very cold (Duluth) and marine (Portland)  increases (decreases) equipment base size increases (decreases)  both the annual energy savings per collector area and energy savings per PCM mass by   1.35 (0.80), 1.31 (0.82), 1.37 (0.83),  and 1.35 (0.82) respectively.</w:t>
      </w:r>
    </w:p>
    <w:p w14:paraId="48E52294" w14:textId="77777777" w:rsidR="00044C63" w:rsidRDefault="00044C63" w:rsidP="00C764BF">
      <w:pPr>
        <w:pStyle w:val="Heading1"/>
        <w:sectPr w:rsidR="00044C63" w:rsidSect="004F2C5B">
          <w:headerReference w:type="default" r:id="rId57"/>
          <w:pgSz w:w="12240" w:h="15840"/>
          <w:pgMar w:top="1440" w:right="1440" w:bottom="1440" w:left="2160" w:header="720" w:footer="720" w:gutter="0"/>
          <w:cols w:space="720"/>
          <w:docGrid w:linePitch="360"/>
        </w:sectPr>
      </w:pPr>
      <w:bookmarkStart w:id="265" w:name="_Toc43877997"/>
      <w:bookmarkEnd w:id="261"/>
    </w:p>
    <w:p w14:paraId="045F0C78" w14:textId="0C703D1C" w:rsidR="00DB3DC6" w:rsidRPr="0015600B" w:rsidRDefault="00DB3DC6" w:rsidP="00C764BF">
      <w:pPr>
        <w:pStyle w:val="Heading1"/>
      </w:pPr>
      <w:bookmarkStart w:id="266" w:name="_Toc47467740"/>
      <w:r w:rsidRPr="0015600B">
        <w:lastRenderedPageBreak/>
        <w:t>CLOSING REMARKS</w:t>
      </w:r>
      <w:bookmarkEnd w:id="265"/>
      <w:bookmarkEnd w:id="266"/>
      <w:r w:rsidRPr="0015600B">
        <w:t xml:space="preserve"> </w:t>
      </w:r>
      <w:bookmarkEnd w:id="146"/>
    </w:p>
    <w:p w14:paraId="4D6E1B2E" w14:textId="20FE6E83" w:rsidR="00DB3DC6" w:rsidRPr="0015600B" w:rsidRDefault="00DB3DC6" w:rsidP="00DB3DC6">
      <w:pPr>
        <w:spacing w:beforeLines="120" w:before="288" w:afterLines="120" w:after="288"/>
        <w:rPr>
          <w:szCs w:val="24"/>
        </w:rPr>
      </w:pPr>
      <w:r w:rsidRPr="0015600B">
        <w:rPr>
          <w:szCs w:val="24"/>
        </w:rPr>
        <w:t xml:space="preserve">In this thesis, </w:t>
      </w:r>
      <w:r w:rsidR="008F0CF3">
        <w:rPr>
          <w:szCs w:val="24"/>
        </w:rPr>
        <w:t>state of the</w:t>
      </w:r>
      <w:r w:rsidRPr="0015600B">
        <w:rPr>
          <w:szCs w:val="24"/>
        </w:rPr>
        <w:t xml:space="preserve"> art in modeling, simulation of heating</w:t>
      </w:r>
      <w:r w:rsidR="00225EBB">
        <w:rPr>
          <w:szCs w:val="24"/>
        </w:rPr>
        <w:t>, cooling,</w:t>
      </w:r>
      <w:r w:rsidRPr="0015600B">
        <w:rPr>
          <w:szCs w:val="24"/>
        </w:rPr>
        <w:t xml:space="preserve"> and hot water system integrated with latent heat thermal energy </w:t>
      </w:r>
      <w:r w:rsidR="00AD1FAE">
        <w:rPr>
          <w:szCs w:val="24"/>
        </w:rPr>
        <w:t>storage</w:t>
      </w:r>
      <w:r w:rsidR="00225EBB">
        <w:rPr>
          <w:szCs w:val="24"/>
        </w:rPr>
        <w:t xml:space="preserve"> </w:t>
      </w:r>
      <w:r w:rsidRPr="0015600B">
        <w:rPr>
          <w:szCs w:val="24"/>
        </w:rPr>
        <w:t>in residential buildings</w:t>
      </w:r>
      <w:r w:rsidR="0018521E">
        <w:rPr>
          <w:szCs w:val="24"/>
        </w:rPr>
        <w:t xml:space="preserve"> was reviewed. Next, a thermal network heat transfer model was employed to quantify the energy performance of the solar HVAC and hot water system integrated with LHTES for residential applications. The model was extended for continuous annual energy analysis of the system</w:t>
      </w:r>
      <w:r w:rsidRPr="0015600B">
        <w:rPr>
          <w:szCs w:val="24"/>
        </w:rPr>
        <w:t>.</w:t>
      </w:r>
      <w:r w:rsidR="0018521E">
        <w:rPr>
          <w:szCs w:val="24"/>
        </w:rPr>
        <w:t xml:space="preserve"> The extended model was employed to investigate the potential of the present system in </w:t>
      </w:r>
      <w:r w:rsidR="007C6AB8">
        <w:rPr>
          <w:szCs w:val="24"/>
        </w:rPr>
        <w:t xml:space="preserve">decreasing </w:t>
      </w:r>
      <w:r w:rsidR="0018521E">
        <w:rPr>
          <w:szCs w:val="24"/>
        </w:rPr>
        <w:t xml:space="preserve">the building energy costs in various climate zones. </w:t>
      </w:r>
      <w:r w:rsidRPr="0015600B">
        <w:rPr>
          <w:szCs w:val="24"/>
        </w:rPr>
        <w:t xml:space="preserve"> In the end, an energy performance analysis resulted</w:t>
      </w:r>
      <w:r w:rsidR="00AD1FAE">
        <w:rPr>
          <w:szCs w:val="24"/>
        </w:rPr>
        <w:t xml:space="preserve"> </w:t>
      </w:r>
      <w:r w:rsidR="00EE1CD8">
        <w:rPr>
          <w:szCs w:val="24"/>
        </w:rPr>
        <w:t>in</w:t>
      </w:r>
      <w:r w:rsidR="00EE1CD8" w:rsidRPr="0015600B">
        <w:rPr>
          <w:szCs w:val="24"/>
        </w:rPr>
        <w:t xml:space="preserve"> </w:t>
      </w:r>
      <w:r w:rsidRPr="0015600B">
        <w:rPr>
          <w:szCs w:val="24"/>
        </w:rPr>
        <w:t>a report on energy saving, energy cost analysis</w:t>
      </w:r>
      <w:r w:rsidR="00AD1FAE">
        <w:rPr>
          <w:szCs w:val="24"/>
        </w:rPr>
        <w:t>,</w:t>
      </w:r>
      <w:r w:rsidRPr="0015600B">
        <w:rPr>
          <w:szCs w:val="24"/>
        </w:rPr>
        <w:t xml:space="preserve"> and</w:t>
      </w:r>
      <w:r w:rsidR="00225EBB">
        <w:rPr>
          <w:szCs w:val="24"/>
        </w:rPr>
        <w:t xml:space="preserve"> the</w:t>
      </w:r>
      <w:r w:rsidRPr="0015600B">
        <w:rPr>
          <w:szCs w:val="24"/>
        </w:rPr>
        <w:t xml:space="preserve"> system benefit</w:t>
      </w:r>
      <w:r w:rsidR="00AD1FAE">
        <w:rPr>
          <w:szCs w:val="24"/>
        </w:rPr>
        <w:t>s</w:t>
      </w:r>
      <w:r w:rsidRPr="0015600B">
        <w:rPr>
          <w:szCs w:val="24"/>
        </w:rPr>
        <w:t xml:space="preserve"> evaluation. </w:t>
      </w:r>
      <w:r w:rsidR="00460AA0">
        <w:rPr>
          <w:szCs w:val="24"/>
        </w:rPr>
        <w:t xml:space="preserve">The main findings of this study are </w:t>
      </w:r>
      <w:r w:rsidR="007C6AB8">
        <w:rPr>
          <w:szCs w:val="24"/>
        </w:rPr>
        <w:t xml:space="preserve">summarized </w:t>
      </w:r>
      <w:r w:rsidR="00460AA0">
        <w:rPr>
          <w:szCs w:val="24"/>
        </w:rPr>
        <w:t>in the following</w:t>
      </w:r>
      <w:r w:rsidR="00F00543" w:rsidRPr="0015600B">
        <w:rPr>
          <w:szCs w:val="24"/>
        </w:rPr>
        <w:t>:</w:t>
      </w:r>
    </w:p>
    <w:p w14:paraId="14158769" w14:textId="615FF8CE" w:rsidR="00DB3DC6" w:rsidRPr="0015600B" w:rsidRDefault="00DB3DC6" w:rsidP="00A864AD">
      <w:pPr>
        <w:pStyle w:val="ListParagraph"/>
        <w:numPr>
          <w:ilvl w:val="0"/>
          <w:numId w:val="8"/>
        </w:numPr>
        <w:spacing w:beforeLines="120" w:before="288" w:afterLines="120" w:after="288"/>
        <w:ind w:left="360" w:right="0"/>
        <w:rPr>
          <w:rFonts w:ascii="Georgia Pro" w:hAnsi="Georgia Pro"/>
          <w:szCs w:val="24"/>
        </w:rPr>
      </w:pPr>
      <w:r w:rsidRPr="0015600B">
        <w:rPr>
          <w:rFonts w:ascii="Georgia Pro" w:hAnsi="Georgia Pro"/>
          <w:szCs w:val="24"/>
        </w:rPr>
        <w:t>The extensive literature review has revealed the existence of integration of LHTES thermal energy storage with only space heating, space cooling, hot water system, heat pump, absorption air condition unit or the combination of two different units and no study has put all the three together</w:t>
      </w:r>
      <w:r w:rsidR="008F0CF3">
        <w:rPr>
          <w:rFonts w:ascii="Georgia Pro" w:hAnsi="Georgia Pro"/>
          <w:szCs w:val="24"/>
        </w:rPr>
        <w:t>,</w:t>
      </w:r>
      <w:r w:rsidRPr="0015600B">
        <w:rPr>
          <w:rFonts w:ascii="Georgia Pro" w:hAnsi="Georgia Pro"/>
          <w:szCs w:val="24"/>
        </w:rPr>
        <w:t xml:space="preserve"> i.e.</w:t>
      </w:r>
      <w:r w:rsidR="008F0CF3">
        <w:rPr>
          <w:rFonts w:ascii="Georgia Pro" w:hAnsi="Georgia Pro"/>
          <w:szCs w:val="24"/>
        </w:rPr>
        <w:t>,</w:t>
      </w:r>
      <w:r w:rsidRPr="0015600B">
        <w:rPr>
          <w:rFonts w:ascii="Georgia Pro" w:hAnsi="Georgia Pro"/>
          <w:szCs w:val="24"/>
        </w:rPr>
        <w:t xml:space="preserve"> cooling, heating</w:t>
      </w:r>
      <w:r w:rsidR="00B140E4">
        <w:rPr>
          <w:rFonts w:ascii="Georgia Pro" w:hAnsi="Georgia Pro"/>
          <w:szCs w:val="24"/>
        </w:rPr>
        <w:t>,</w:t>
      </w:r>
      <w:r w:rsidRPr="0015600B">
        <w:rPr>
          <w:rFonts w:ascii="Georgia Pro" w:hAnsi="Georgia Pro"/>
          <w:szCs w:val="24"/>
        </w:rPr>
        <w:t xml:space="preserve"> and hot water system. Further, the existing </w:t>
      </w:r>
      <w:r w:rsidR="008F0CF3">
        <w:rPr>
          <w:rFonts w:ascii="Georgia Pro" w:hAnsi="Georgia Pro"/>
          <w:szCs w:val="24"/>
        </w:rPr>
        <w:t>research</w:t>
      </w:r>
      <w:r w:rsidRPr="0015600B">
        <w:rPr>
          <w:rFonts w:ascii="Georgia Pro" w:hAnsi="Georgia Pro"/>
          <w:szCs w:val="24"/>
        </w:rPr>
        <w:t xml:space="preserve"> of an integrated system simulate</w:t>
      </w:r>
      <w:r w:rsidR="00B140E4">
        <w:rPr>
          <w:rFonts w:ascii="Georgia Pro" w:hAnsi="Georgia Pro"/>
          <w:szCs w:val="24"/>
        </w:rPr>
        <w:t>s</w:t>
      </w:r>
      <w:r w:rsidRPr="0015600B">
        <w:rPr>
          <w:rFonts w:ascii="Georgia Pro" w:hAnsi="Georgia Pro"/>
          <w:szCs w:val="24"/>
        </w:rPr>
        <w:t xml:space="preserve"> the heat transfer and exergy of the system for a cold day and a hot day thus no </w:t>
      </w:r>
      <w:r w:rsidR="008F0CF3">
        <w:rPr>
          <w:rFonts w:ascii="Georgia Pro" w:hAnsi="Georgia Pro"/>
          <w:szCs w:val="24"/>
        </w:rPr>
        <w:t>current</w:t>
      </w:r>
      <w:r w:rsidRPr="0015600B">
        <w:rPr>
          <w:rFonts w:ascii="Georgia Pro" w:hAnsi="Georgia Pro"/>
          <w:szCs w:val="24"/>
        </w:rPr>
        <w:t xml:space="preserve"> study that add</w:t>
      </w:r>
      <w:r w:rsidR="00B140E4">
        <w:rPr>
          <w:rFonts w:ascii="Georgia Pro" w:hAnsi="Georgia Pro"/>
          <w:szCs w:val="24"/>
        </w:rPr>
        <w:t>s</w:t>
      </w:r>
      <w:r w:rsidRPr="0015600B">
        <w:rPr>
          <w:rFonts w:ascii="Georgia Pro" w:hAnsi="Georgia Pro"/>
          <w:szCs w:val="24"/>
        </w:rPr>
        <w:t xml:space="preserve"> building heating</w:t>
      </w:r>
      <w:r w:rsidR="00225EBB">
        <w:rPr>
          <w:rFonts w:ascii="Georgia Pro" w:hAnsi="Georgia Pro"/>
          <w:szCs w:val="24"/>
        </w:rPr>
        <w:t>, cooling,</w:t>
      </w:r>
      <w:r w:rsidRPr="0015600B">
        <w:rPr>
          <w:rFonts w:ascii="Georgia Pro" w:hAnsi="Georgia Pro"/>
          <w:szCs w:val="24"/>
        </w:rPr>
        <w:t xml:space="preserve"> and hot water loads to heat transfer and exergy model and </w:t>
      </w:r>
      <w:r w:rsidR="00B140E4">
        <w:rPr>
          <w:rFonts w:ascii="Georgia Pro" w:hAnsi="Georgia Pro"/>
          <w:szCs w:val="24"/>
        </w:rPr>
        <w:t>simulate</w:t>
      </w:r>
      <w:r w:rsidRPr="0015600B">
        <w:rPr>
          <w:rFonts w:ascii="Georgia Pro" w:hAnsi="Georgia Pro"/>
          <w:szCs w:val="24"/>
        </w:rPr>
        <w:t xml:space="preserve"> for </w:t>
      </w:r>
      <w:r w:rsidR="00B140E4">
        <w:rPr>
          <w:rFonts w:ascii="Georgia Pro" w:hAnsi="Georgia Pro"/>
          <w:szCs w:val="24"/>
        </w:rPr>
        <w:t xml:space="preserve">the </w:t>
      </w:r>
      <w:r w:rsidRPr="0015600B">
        <w:rPr>
          <w:rFonts w:ascii="Georgia Pro" w:hAnsi="Georgia Pro"/>
          <w:szCs w:val="24"/>
        </w:rPr>
        <w:t>entire year (</w:t>
      </w:r>
      <w:r w:rsidR="00225EBB">
        <w:rPr>
          <w:rFonts w:ascii="Georgia Pro" w:hAnsi="Georgia Pro"/>
          <w:szCs w:val="24"/>
        </w:rPr>
        <w:t>i.e.</w:t>
      </w:r>
      <w:r w:rsidR="008F0CF3">
        <w:rPr>
          <w:rFonts w:ascii="Georgia Pro" w:hAnsi="Georgia Pro"/>
          <w:szCs w:val="24"/>
        </w:rPr>
        <w:t>,</w:t>
      </w:r>
      <w:r w:rsidR="00225EBB">
        <w:rPr>
          <w:rFonts w:ascii="Georgia Pro" w:hAnsi="Georgia Pro"/>
          <w:szCs w:val="24"/>
        </w:rPr>
        <w:t xml:space="preserve"> </w:t>
      </w:r>
      <w:r w:rsidRPr="0015600B">
        <w:rPr>
          <w:rFonts w:ascii="Georgia Pro" w:hAnsi="Georgia Pro"/>
          <w:szCs w:val="24"/>
        </w:rPr>
        <w:t>365 days). As a result, blending in the building load and simulat</w:t>
      </w:r>
      <w:r w:rsidR="00225EBB">
        <w:rPr>
          <w:rFonts w:ascii="Georgia Pro" w:hAnsi="Georgia Pro"/>
          <w:szCs w:val="24"/>
        </w:rPr>
        <w:t>ing</w:t>
      </w:r>
      <w:r w:rsidRPr="0015600B">
        <w:rPr>
          <w:rFonts w:ascii="Georgia Pro" w:hAnsi="Georgia Pro"/>
          <w:szCs w:val="24"/>
        </w:rPr>
        <w:t xml:space="preserve"> the </w:t>
      </w:r>
      <w:r w:rsidRPr="0015600B">
        <w:rPr>
          <w:rFonts w:ascii="Georgia Pro" w:hAnsi="Georgia Pro"/>
          <w:szCs w:val="24"/>
        </w:rPr>
        <w:lastRenderedPageBreak/>
        <w:t xml:space="preserve">model for </w:t>
      </w:r>
      <w:r w:rsidR="00B140E4">
        <w:rPr>
          <w:rFonts w:ascii="Georgia Pro" w:hAnsi="Georgia Pro"/>
          <w:szCs w:val="24"/>
        </w:rPr>
        <w:t xml:space="preserve">the </w:t>
      </w:r>
      <w:r w:rsidR="008F0CF3">
        <w:rPr>
          <w:rFonts w:ascii="Georgia Pro" w:hAnsi="Georgia Pro"/>
          <w:szCs w:val="24"/>
        </w:rPr>
        <w:t>whol</w:t>
      </w:r>
      <w:r w:rsidRPr="0015600B">
        <w:rPr>
          <w:rFonts w:ascii="Georgia Pro" w:hAnsi="Georgia Pro"/>
          <w:szCs w:val="24"/>
        </w:rPr>
        <w:t xml:space="preserve">e year sets in the innovation approach and is the focal point of this study. </w:t>
      </w:r>
    </w:p>
    <w:p w14:paraId="18F87680" w14:textId="71BCD886" w:rsidR="00DB3DC6" w:rsidRPr="0015600B" w:rsidRDefault="00DB3DC6" w:rsidP="00A864AD">
      <w:pPr>
        <w:pStyle w:val="ListParagraph"/>
        <w:numPr>
          <w:ilvl w:val="0"/>
          <w:numId w:val="8"/>
        </w:numPr>
        <w:spacing w:beforeLines="120" w:before="288" w:afterLines="120" w:after="288"/>
        <w:ind w:left="360" w:right="0"/>
        <w:rPr>
          <w:rFonts w:ascii="Georgia Pro" w:hAnsi="Georgia Pro"/>
          <w:szCs w:val="24"/>
        </w:rPr>
      </w:pPr>
      <w:r w:rsidRPr="0015600B">
        <w:rPr>
          <w:rFonts w:ascii="Georgia Pro" w:hAnsi="Georgia Pro"/>
          <w:szCs w:val="24"/>
        </w:rPr>
        <w:t xml:space="preserve">Investigation and selection of the candidate cities </w:t>
      </w:r>
      <w:r w:rsidR="00225EBB">
        <w:rPr>
          <w:rFonts w:ascii="Georgia Pro" w:hAnsi="Georgia Pro"/>
          <w:szCs w:val="24"/>
        </w:rPr>
        <w:t xml:space="preserve">have </w:t>
      </w:r>
      <w:r w:rsidRPr="0015600B">
        <w:rPr>
          <w:rFonts w:ascii="Georgia Pro" w:hAnsi="Georgia Pro"/>
          <w:szCs w:val="24"/>
        </w:rPr>
        <w:t>expose</w:t>
      </w:r>
      <w:r w:rsidR="00225EBB">
        <w:rPr>
          <w:rFonts w:ascii="Georgia Pro" w:hAnsi="Georgia Pro"/>
          <w:szCs w:val="24"/>
        </w:rPr>
        <w:t>d</w:t>
      </w:r>
      <w:r w:rsidRPr="0015600B">
        <w:rPr>
          <w:rFonts w:ascii="Georgia Pro" w:hAnsi="Georgia Pro"/>
          <w:szCs w:val="24"/>
        </w:rPr>
        <w:t xml:space="preserve"> the distinction of climate zones owed to </w:t>
      </w:r>
      <w:r w:rsidR="00B140E4">
        <w:rPr>
          <w:rFonts w:ascii="Georgia Pro" w:hAnsi="Georgia Pro"/>
          <w:szCs w:val="24"/>
        </w:rPr>
        <w:t xml:space="preserve">the </w:t>
      </w:r>
      <w:r w:rsidRPr="0015600B">
        <w:rPr>
          <w:rFonts w:ascii="Georgia Pro" w:hAnsi="Georgia Pro"/>
          <w:szCs w:val="24"/>
        </w:rPr>
        <w:t>difference in the amount of solar energy, heating</w:t>
      </w:r>
      <w:r w:rsidR="00225EBB">
        <w:rPr>
          <w:rFonts w:ascii="Georgia Pro" w:hAnsi="Georgia Pro"/>
          <w:szCs w:val="24"/>
        </w:rPr>
        <w:t>, cooling,</w:t>
      </w:r>
      <w:r w:rsidRPr="0015600B">
        <w:rPr>
          <w:rFonts w:ascii="Georgia Pro" w:hAnsi="Georgia Pro"/>
          <w:szCs w:val="24"/>
        </w:rPr>
        <w:t xml:space="preserve"> and hot water loads due to different heating degree days, annual precipitation</w:t>
      </w:r>
      <w:r w:rsidR="00B140E4">
        <w:rPr>
          <w:rFonts w:ascii="Georgia Pro" w:hAnsi="Georgia Pro"/>
          <w:szCs w:val="24"/>
        </w:rPr>
        <w:t>,</w:t>
      </w:r>
      <w:r w:rsidRPr="0015600B">
        <w:rPr>
          <w:rFonts w:ascii="Georgia Pro" w:hAnsi="Georgia Pro"/>
          <w:szCs w:val="24"/>
        </w:rPr>
        <w:t xml:space="preserve"> and average monthly outdoor temperature. As the results of the existing distinctions, the equipment sizes required differ from one climate zone to another. Hence, warmer climate zones </w:t>
      </w:r>
      <w:r w:rsidR="008F0CF3">
        <w:rPr>
          <w:rFonts w:ascii="Georgia Pro" w:hAnsi="Georgia Pro"/>
          <w:szCs w:val="24"/>
        </w:rPr>
        <w:t>need</w:t>
      </w:r>
      <w:r w:rsidRPr="0015600B">
        <w:rPr>
          <w:rFonts w:ascii="Georgia Pro" w:hAnsi="Georgia Pro"/>
          <w:szCs w:val="24"/>
        </w:rPr>
        <w:t xml:space="preserve"> smaller equipment sizes</w:t>
      </w:r>
      <w:r w:rsidR="008F0CF3">
        <w:rPr>
          <w:rFonts w:ascii="Georgia Pro" w:hAnsi="Georgia Pro"/>
          <w:szCs w:val="24"/>
        </w:rPr>
        <w:t>,</w:t>
      </w:r>
      <w:r w:rsidRPr="0015600B">
        <w:rPr>
          <w:rFonts w:ascii="Georgia Pro" w:hAnsi="Georgia Pro"/>
          <w:szCs w:val="24"/>
        </w:rPr>
        <w:t xml:space="preserve"> and colder climate zones require larger equipment sizes. </w:t>
      </w:r>
    </w:p>
    <w:p w14:paraId="0EE6DE8D" w14:textId="6D3516A4" w:rsidR="00DB3DC6" w:rsidRDefault="00DB3DC6" w:rsidP="00A864AD">
      <w:pPr>
        <w:pStyle w:val="ListParagraph"/>
        <w:numPr>
          <w:ilvl w:val="0"/>
          <w:numId w:val="8"/>
        </w:numPr>
        <w:spacing w:beforeLines="120" w:before="288" w:afterLines="120" w:after="288"/>
        <w:ind w:left="360" w:right="0"/>
        <w:rPr>
          <w:rFonts w:ascii="Georgia Pro" w:hAnsi="Georgia Pro"/>
          <w:szCs w:val="24"/>
        </w:rPr>
      </w:pPr>
      <w:r w:rsidRPr="0015600B">
        <w:rPr>
          <w:rFonts w:ascii="Georgia Pro" w:hAnsi="Georgia Pro"/>
          <w:szCs w:val="24"/>
        </w:rPr>
        <w:t>Adjusting the equipment sizes establishes a knowledge base on the outcome of heat transfer, exergy efficiency, energy savings</w:t>
      </w:r>
      <w:r w:rsidR="00AD1FAE">
        <w:rPr>
          <w:rFonts w:ascii="Georgia Pro" w:hAnsi="Georgia Pro"/>
          <w:szCs w:val="24"/>
        </w:rPr>
        <w:t>,</w:t>
      </w:r>
      <w:r w:rsidRPr="0015600B">
        <w:rPr>
          <w:rFonts w:ascii="Georgia Pro" w:hAnsi="Georgia Pro"/>
          <w:szCs w:val="24"/>
        </w:rPr>
        <w:t xml:space="preserve"> and energy cost savings. The heat transfer improves upon increasing the equipment sizes due to increased heat transfer area</w:t>
      </w:r>
      <w:r w:rsidR="00AD1FAE">
        <w:rPr>
          <w:rFonts w:ascii="Georgia Pro" w:hAnsi="Georgia Pro"/>
          <w:szCs w:val="24"/>
        </w:rPr>
        <w:t>s</w:t>
      </w:r>
      <w:r w:rsidRPr="0015600B">
        <w:rPr>
          <w:rFonts w:ascii="Georgia Pro" w:hAnsi="Georgia Pro"/>
          <w:szCs w:val="24"/>
        </w:rPr>
        <w:t xml:space="preserve"> that lead to reduced temperature fluctuation in both input and output sections of </w:t>
      </w:r>
      <w:r w:rsidR="00AD1FAE">
        <w:rPr>
          <w:rFonts w:ascii="Georgia Pro" w:hAnsi="Georgia Pro"/>
          <w:szCs w:val="24"/>
        </w:rPr>
        <w:t xml:space="preserve">the </w:t>
      </w:r>
      <w:r w:rsidRPr="0015600B">
        <w:rPr>
          <w:rFonts w:ascii="Georgia Pro" w:hAnsi="Georgia Pro"/>
          <w:szCs w:val="24"/>
        </w:rPr>
        <w:t xml:space="preserve">heat pipe. Further, solar energy supply increases the rate of PCM melting and avails more energy provision to meet </w:t>
      </w:r>
      <w:r w:rsidR="00AD1FAE">
        <w:rPr>
          <w:rFonts w:ascii="Georgia Pro" w:hAnsi="Georgia Pro"/>
          <w:szCs w:val="24"/>
        </w:rPr>
        <w:t xml:space="preserve">the </w:t>
      </w:r>
      <w:r w:rsidRPr="0015600B">
        <w:rPr>
          <w:rFonts w:ascii="Georgia Pro" w:hAnsi="Georgia Pro"/>
          <w:szCs w:val="24"/>
        </w:rPr>
        <w:t xml:space="preserve">building </w:t>
      </w:r>
      <w:r w:rsidR="00AD1FAE">
        <w:rPr>
          <w:rFonts w:ascii="Georgia Pro" w:hAnsi="Georgia Pro"/>
          <w:szCs w:val="24"/>
        </w:rPr>
        <w:t>energy</w:t>
      </w:r>
      <w:r w:rsidRPr="0015600B">
        <w:rPr>
          <w:rFonts w:ascii="Georgia Pro" w:hAnsi="Georgia Pro"/>
          <w:szCs w:val="24"/>
        </w:rPr>
        <w:t xml:space="preserve"> demand. As a result, the exergy efficiency improves significantly. The availability of more solar energy upsurges the energy saving</w:t>
      </w:r>
      <w:r w:rsidR="00B140E4">
        <w:rPr>
          <w:rFonts w:ascii="Georgia Pro" w:hAnsi="Georgia Pro"/>
          <w:szCs w:val="24"/>
        </w:rPr>
        <w:t>s</w:t>
      </w:r>
      <w:r w:rsidRPr="0015600B">
        <w:rPr>
          <w:rFonts w:ascii="Georgia Pro" w:hAnsi="Georgia Pro"/>
          <w:szCs w:val="24"/>
        </w:rPr>
        <w:t xml:space="preserve"> and scales down energy cost</w:t>
      </w:r>
      <w:r w:rsidR="00AD1FAE">
        <w:rPr>
          <w:rFonts w:ascii="Georgia Pro" w:hAnsi="Georgia Pro"/>
          <w:szCs w:val="24"/>
        </w:rPr>
        <w:t>s</w:t>
      </w:r>
      <w:r w:rsidRPr="0015600B">
        <w:rPr>
          <w:rFonts w:ascii="Georgia Pro" w:hAnsi="Georgia Pro"/>
          <w:szCs w:val="24"/>
        </w:rPr>
        <w:t xml:space="preserve"> in all the seven climate zones. </w:t>
      </w:r>
    </w:p>
    <w:p w14:paraId="28B280C6" w14:textId="628687CD" w:rsidR="004B7666" w:rsidRPr="008F0CF3" w:rsidRDefault="004B7666" w:rsidP="00A864AD">
      <w:pPr>
        <w:pStyle w:val="ListParagraph"/>
        <w:numPr>
          <w:ilvl w:val="0"/>
          <w:numId w:val="8"/>
        </w:numPr>
        <w:spacing w:beforeLines="120" w:before="288" w:afterLines="120" w:after="288"/>
        <w:ind w:left="360" w:right="0"/>
        <w:rPr>
          <w:rFonts w:ascii="Georgia Pro" w:hAnsi="Georgia Pro"/>
          <w:szCs w:val="24"/>
        </w:rPr>
      </w:pPr>
      <w:r w:rsidRPr="008F0CF3">
        <w:rPr>
          <w:szCs w:val="24"/>
        </w:rPr>
        <w:t xml:space="preserve">It is shown that the LHTES system </w:t>
      </w:r>
      <w:r w:rsidR="00A06B52" w:rsidRPr="008F0CF3">
        <w:rPr>
          <w:szCs w:val="24"/>
        </w:rPr>
        <w:t>can</w:t>
      </w:r>
      <w:r w:rsidRPr="008F0CF3">
        <w:rPr>
          <w:szCs w:val="24"/>
        </w:rPr>
        <w:t xml:space="preserve"> reduc</w:t>
      </w:r>
      <w:r w:rsidR="00A06B52" w:rsidRPr="008F0CF3">
        <w:rPr>
          <w:szCs w:val="24"/>
        </w:rPr>
        <w:t>e</w:t>
      </w:r>
      <w:r w:rsidRPr="008F0CF3">
        <w:rPr>
          <w:szCs w:val="24"/>
        </w:rPr>
        <w:t xml:space="preserve"> the auxiliary energy input needed to meet the demands of a residential building located in all seven climate zones; however, it is more beneficial in warmer climate zones than in colder climate zones. In warmer climate zones, the equipment sizes are smaller, </w:t>
      </w:r>
      <w:r w:rsidRPr="008F0CF3">
        <w:rPr>
          <w:szCs w:val="24"/>
        </w:rPr>
        <w:lastRenderedPageBreak/>
        <w:t>the annual energy savings per unit mass of thermal energy storage is larger, and the annual solar energy utilization ratio is higher, indicating that the LHTES system is more beneficial in the warmer climate zones (cities), i.e.</w:t>
      </w:r>
      <w:r w:rsidR="008F0CF3">
        <w:rPr>
          <w:szCs w:val="24"/>
        </w:rPr>
        <w:t>,</w:t>
      </w:r>
      <w:r w:rsidRPr="008F0CF3">
        <w:rPr>
          <w:szCs w:val="24"/>
        </w:rPr>
        <w:t xml:space="preserve"> hot humid (Miami); mixed-dry (Albuquerque); and hot dry (Los Angeles) than in colder climate zones (cities), i.e., very cold (Duluth); mixed-humid (Oklahoma City); cold (Reno); and marine (Portland).</w:t>
      </w:r>
    </w:p>
    <w:p w14:paraId="49F476BA" w14:textId="25C74BDF" w:rsidR="00DB3DC6" w:rsidRPr="0015600B" w:rsidRDefault="00DB3DC6" w:rsidP="00DB3DC6">
      <w:pPr>
        <w:spacing w:after="288"/>
      </w:pPr>
      <w:r w:rsidRPr="0015600B">
        <w:rPr>
          <w:szCs w:val="24"/>
        </w:rPr>
        <w:t xml:space="preserve">Energy performance evaluation sets up the knowledge base on the benefit of deploying the system in </w:t>
      </w:r>
      <w:r w:rsidR="00A45D9C">
        <w:rPr>
          <w:szCs w:val="24"/>
        </w:rPr>
        <w:t>different</w:t>
      </w:r>
      <w:r w:rsidRPr="0015600B">
        <w:rPr>
          <w:szCs w:val="24"/>
        </w:rPr>
        <w:t xml:space="preserve"> U.S climate zones. </w:t>
      </w:r>
      <w:r w:rsidR="00A45D9C">
        <w:rPr>
          <w:szCs w:val="24"/>
        </w:rPr>
        <w:t>Generally, t</w:t>
      </w:r>
      <w:r w:rsidRPr="0015600B">
        <w:rPr>
          <w:szCs w:val="24"/>
        </w:rPr>
        <w:t>he energy saving</w:t>
      </w:r>
      <w:r w:rsidR="00B140E4">
        <w:rPr>
          <w:szCs w:val="24"/>
        </w:rPr>
        <w:t>s</w:t>
      </w:r>
      <w:r w:rsidRPr="0015600B">
        <w:rPr>
          <w:szCs w:val="24"/>
        </w:rPr>
        <w:t xml:space="preserve"> percentage</w:t>
      </w:r>
      <w:r w:rsidR="00AD1FAE">
        <w:rPr>
          <w:szCs w:val="24"/>
        </w:rPr>
        <w:t>,</w:t>
      </w:r>
      <w:r w:rsidRPr="0015600B">
        <w:rPr>
          <w:szCs w:val="24"/>
        </w:rPr>
        <w:t xml:space="preserve"> cost saving</w:t>
      </w:r>
      <w:r w:rsidR="00B140E4">
        <w:rPr>
          <w:szCs w:val="24"/>
        </w:rPr>
        <w:t>s</w:t>
      </w:r>
      <w:r w:rsidRPr="0015600B">
        <w:rPr>
          <w:szCs w:val="24"/>
        </w:rPr>
        <w:t xml:space="preserve">,  saving per unit area of solar collector, saving per unit mass of LHTES unit, and solar utilization ratio </w:t>
      </w:r>
      <w:r w:rsidR="00AD1FAE">
        <w:rPr>
          <w:szCs w:val="24"/>
        </w:rPr>
        <w:t>are</w:t>
      </w:r>
      <w:r w:rsidRPr="0015600B">
        <w:rPr>
          <w:szCs w:val="24"/>
        </w:rPr>
        <w:t xml:space="preserve"> high in warmer climate zones, low in mild climate zones and lowest in cold climate zone indicating that it is more beneficial to employ LHTES system in warmer climate zones such as hot-humid, hot dry and mixed dry</w:t>
      </w:r>
      <w:r w:rsidR="00A45D9C">
        <w:rPr>
          <w:szCs w:val="24"/>
        </w:rPr>
        <w:t xml:space="preserve"> than in</w:t>
      </w:r>
      <w:r w:rsidRPr="0015600B">
        <w:rPr>
          <w:szCs w:val="24"/>
        </w:rPr>
        <w:t xml:space="preserve"> mild climate zones (such as mixed humid and cold) and cold climate zones (such as very cold and marine)</w:t>
      </w:r>
      <w:r w:rsidR="00A45D9C">
        <w:rPr>
          <w:szCs w:val="24"/>
        </w:rPr>
        <w:t>. This is because of</w:t>
      </w:r>
      <w:r w:rsidRPr="0015600B">
        <w:rPr>
          <w:szCs w:val="24"/>
        </w:rPr>
        <w:t xml:space="preserve"> increased equipment sizes</w:t>
      </w:r>
      <w:r w:rsidR="008F0CF3">
        <w:rPr>
          <w:szCs w:val="24"/>
        </w:rPr>
        <w:t>,</w:t>
      </w:r>
      <w:r w:rsidRPr="0015600B">
        <w:rPr>
          <w:szCs w:val="24"/>
        </w:rPr>
        <w:t xml:space="preserve"> </w:t>
      </w:r>
      <w:r w:rsidR="00A45D9C">
        <w:rPr>
          <w:szCs w:val="24"/>
        </w:rPr>
        <w:t xml:space="preserve">which would </w:t>
      </w:r>
      <w:r w:rsidRPr="0015600B">
        <w:rPr>
          <w:szCs w:val="24"/>
        </w:rPr>
        <w:t>result</w:t>
      </w:r>
      <w:r w:rsidR="00A45D9C">
        <w:rPr>
          <w:szCs w:val="24"/>
        </w:rPr>
        <w:t xml:space="preserve"> </w:t>
      </w:r>
      <w:r w:rsidR="00AD1FAE">
        <w:rPr>
          <w:szCs w:val="24"/>
        </w:rPr>
        <w:t>i</w:t>
      </w:r>
      <w:r w:rsidRPr="0015600B">
        <w:rPr>
          <w:szCs w:val="24"/>
        </w:rPr>
        <w:t>n increased capital cost</w:t>
      </w:r>
      <w:r w:rsidR="008F0CF3">
        <w:rPr>
          <w:szCs w:val="24"/>
        </w:rPr>
        <w:t>,</w:t>
      </w:r>
      <w:r w:rsidRPr="0015600B">
        <w:rPr>
          <w:szCs w:val="24"/>
        </w:rPr>
        <w:t xml:space="preserve"> thus less beneficial</w:t>
      </w:r>
      <w:r w:rsidR="008F0CF3">
        <w:rPr>
          <w:szCs w:val="24"/>
        </w:rPr>
        <w:t xml:space="preserve"> for</w:t>
      </w:r>
      <w:r w:rsidRPr="0015600B">
        <w:rPr>
          <w:szCs w:val="24"/>
        </w:rPr>
        <w:t xml:space="preserve"> employing the system in such climate zones.</w:t>
      </w:r>
    </w:p>
    <w:p w14:paraId="427B9D8E" w14:textId="110C0BDA" w:rsidR="00DB3DC6" w:rsidRPr="0015600B" w:rsidRDefault="00DB3DC6" w:rsidP="00DB3DC6">
      <w:pPr>
        <w:spacing w:after="288"/>
      </w:pPr>
      <w:r w:rsidRPr="0015600B">
        <w:t>In</w:t>
      </w:r>
      <w:r w:rsidR="00A45D9C">
        <w:t xml:space="preserve"> </w:t>
      </w:r>
      <w:r w:rsidRPr="0015600B">
        <w:t>conclusion, this study provides a knowledge base on modeling, simulation</w:t>
      </w:r>
      <w:r w:rsidR="00AD1FAE">
        <w:t>,</w:t>
      </w:r>
      <w:r w:rsidRPr="0015600B">
        <w:t xml:space="preserve"> and energy performance evaluation in </w:t>
      </w:r>
      <w:r w:rsidR="00AD1FAE">
        <w:t xml:space="preserve">a </w:t>
      </w:r>
      <w:r w:rsidRPr="0015600B">
        <w:t>residential building with heating</w:t>
      </w:r>
      <w:r w:rsidR="00A45D9C">
        <w:t xml:space="preserve">, cooling, </w:t>
      </w:r>
      <w:r w:rsidRPr="0015600B">
        <w:t xml:space="preserve"> and hot water system</w:t>
      </w:r>
      <w:r w:rsidR="00AD1FAE">
        <w:t>s</w:t>
      </w:r>
      <w:r w:rsidRPr="0015600B">
        <w:t xml:space="preserve"> integrated with latent heat thermal energy storage and sustain</w:t>
      </w:r>
      <w:r w:rsidR="008F0CF3">
        <w:t>s</w:t>
      </w:r>
      <w:r w:rsidRPr="0015600B">
        <w:t xml:space="preserve"> the decision to deploy the LHTES system in </w:t>
      </w:r>
      <w:r w:rsidR="00AD1FAE">
        <w:t xml:space="preserve">the </w:t>
      </w:r>
      <w:r w:rsidRPr="0015600B">
        <w:t xml:space="preserve">HVAC industry. Thermal energy storage (TES) systems grant both environmental and economic benefits by reducing the need for burning fuels and depletion of other </w:t>
      </w:r>
      <w:r w:rsidRPr="0015600B">
        <w:lastRenderedPageBreak/>
        <w:t>non-renewable energies. Thermal energy storage (TES) systems prevent the loss of thermal energy by storing excess heat until it is consumed. Almost in every human activity, heat is produced. Our acti</w:t>
      </w:r>
      <w:r w:rsidR="008F0CF3">
        <w:t>on</w:t>
      </w:r>
      <w:r w:rsidRPr="0015600B">
        <w:t xml:space="preserve">s in </w:t>
      </w:r>
      <w:r w:rsidR="00AD1FAE">
        <w:t xml:space="preserve">the </w:t>
      </w:r>
      <w:r w:rsidRPr="0015600B">
        <w:t>kitchen, automobile</w:t>
      </w:r>
      <w:r w:rsidR="00AD1FAE">
        <w:t>,</w:t>
      </w:r>
      <w:r w:rsidRPr="0015600B">
        <w:t xml:space="preserve"> etc.</w:t>
      </w:r>
      <w:r w:rsidR="008F0CF3">
        <w:t>,</w:t>
      </w:r>
      <w:r w:rsidRPr="0015600B">
        <w:t xml:space="preserve"> when seen at a macro scale, collectively generate </w:t>
      </w:r>
      <w:r w:rsidR="00AD1FAE">
        <w:t xml:space="preserve">a </w:t>
      </w:r>
      <w:r w:rsidR="008F0CF3">
        <w:t>vast</w:t>
      </w:r>
      <w:r w:rsidRPr="0015600B">
        <w:t xml:space="preserve"> amount of heat</w:t>
      </w:r>
      <w:r w:rsidR="008F0CF3">
        <w:t>,</w:t>
      </w:r>
      <w:r w:rsidRPr="0015600B">
        <w:t xml:space="preserve"> which gets wasted all the time. </w:t>
      </w:r>
      <w:r w:rsidR="00AD1FAE">
        <w:t>An e</w:t>
      </w:r>
      <w:r w:rsidRPr="0015600B">
        <w:t>conomical way to store thermal energy</w:t>
      </w:r>
      <w:r w:rsidR="002532AE" w:rsidRPr="0015600B">
        <w:t xml:space="preserve"> from various heat energy sources such as</w:t>
      </w:r>
      <w:r w:rsidRPr="0015600B">
        <w:t xml:space="preserve"> solar thermal energy, geothermal energy, fossil–fuel power plants, nuclear power plant, industrial waste heat could potentially conserve energy and environment at a large scale </w:t>
      </w:r>
      <w:r w:rsidRPr="0015600B">
        <w:fldChar w:fldCharType="begin" w:fldLock="1"/>
      </w:r>
      <w:r w:rsidR="00D6331E">
        <w:instrText>ADDIN CSL_CITATION {"citationItems":[{"id":"ITEM-1","itemData":{"DOI":"10.1016/j.energy.2017.12.037","ISSN":"03605442","abstract":"Due to humanity's huge scale of thermal energy consumption, any improvements in thermal energy management practices can significantly benefit the society. One key function in thermal energy management is thermal energy storage (TES). Following aspects of TES are presented in this review: (1) wide scope of thermal energy storage field is discussed. Role of TES in the contexts of different thermal energy sources and how TES unnecessitates fossil fuel burning are explained. Solar power generation, building thermal comfort and other niche applications of TES are presented. (2) Insight into classes of TES storage materials with details like their physical properties, cost, operational performance and suitability to application requirements is provided. (3) Insight into types of TES systems is presented. TES systems are classified using different types of criteria. Most common TES systems like seasonal TES systems, CSP plant TES systems, TES systems of domestic solar thermal applications, heat and cold storages of building HVAC systems etc are described. Active TES systems like thermocline, packed bed, fluidized bed, moving bed etc are analyzed. Passive TES systems implemented in buildings, textiles, automobiles etc are presented. TES systems operating in cold, low, medium and high temperature ranges are listed. Design parameters, operational issues and cost model of TES systems are discussed.","author":[{"dropping-particle":"","family":"Alva","given":"Guruprasad","non-dropping-particle":"","parse-names":false,"suffix":""},{"dropping-particle":"","family":"Lin","given":"Yaxue","non-dropping-particle":"","parse-names":false,"suffix":""},{"dropping-particle":"","family":"Fang","given":"Guiyin","non-dropping-particle":"","parse-names":false,"suffix":""}],"container-title":"Energy","id":"ITEM-1","issued":{"date-parts":[["2018","2","1"]]},"page":"341-378","publisher":"Elsevier Ltd","title":"An overview of thermal energy storage systems","type":"article","volume":"144"},"uris":["http://www.mendeley.com/documents/?uuid=dba413aa-02cc-34f8-b313-feb63eea2b39"]}],"mendeley":{"formattedCitation":"[73]","plainTextFormattedCitation":"[73]","previouslyFormattedCitation":"[73]"},"properties":{"noteIndex":0},"schema":"https://github.com/citation-style-language/schema/raw/master/csl-citation.json"}</w:instrText>
      </w:r>
      <w:r w:rsidRPr="0015600B">
        <w:fldChar w:fldCharType="separate"/>
      </w:r>
      <w:r w:rsidR="00D6331E" w:rsidRPr="00D6331E">
        <w:rPr>
          <w:noProof/>
        </w:rPr>
        <w:t>[73]</w:t>
      </w:r>
      <w:r w:rsidRPr="0015600B">
        <w:fldChar w:fldCharType="end"/>
      </w:r>
      <w:r w:rsidRPr="0015600B">
        <w:t xml:space="preserve">. </w:t>
      </w:r>
    </w:p>
    <w:p w14:paraId="1B581E37" w14:textId="172482F4" w:rsidR="00DB3DC6" w:rsidRPr="0015600B" w:rsidRDefault="000E58A9" w:rsidP="00DB3DC6">
      <w:pPr>
        <w:spacing w:after="288"/>
      </w:pPr>
      <w:r>
        <w:t>The f</w:t>
      </w:r>
      <w:r w:rsidR="00DB3DC6" w:rsidRPr="0015600B">
        <w:t>uture work should revolve around the following:</w:t>
      </w:r>
    </w:p>
    <w:p w14:paraId="76DDE946" w14:textId="0A33C240" w:rsidR="00DB3DC6" w:rsidRPr="0015600B" w:rsidRDefault="00DB3DC6" w:rsidP="00A864AD">
      <w:pPr>
        <w:numPr>
          <w:ilvl w:val="0"/>
          <w:numId w:val="9"/>
        </w:numPr>
        <w:spacing w:after="288"/>
      </w:pPr>
      <w:r w:rsidRPr="0015600B">
        <w:rPr>
          <w:b/>
          <w:bCs/>
        </w:rPr>
        <w:t>Experimentation</w:t>
      </w:r>
      <w:r w:rsidRPr="0015600B">
        <w:t>. The work presented in this thesis based on theor</w:t>
      </w:r>
      <w:r w:rsidR="00AD1FAE">
        <w:t>et</w:t>
      </w:r>
      <w:r w:rsidRPr="0015600B">
        <w:t xml:space="preserve">ical modeling, simulation, and evaluation. There is </w:t>
      </w:r>
      <w:r w:rsidR="00AD1FAE">
        <w:t xml:space="preserve">a </w:t>
      </w:r>
      <w:r w:rsidRPr="0015600B">
        <w:t xml:space="preserve">need for experimentation </w:t>
      </w:r>
      <w:r w:rsidR="00A45D9C">
        <w:t xml:space="preserve">aiming at </w:t>
      </w:r>
      <w:r w:rsidR="00AD1FAE">
        <w:t xml:space="preserve">the </w:t>
      </w:r>
      <w:r w:rsidR="00A45D9C">
        <w:t>v</w:t>
      </w:r>
      <w:r w:rsidRPr="0015600B">
        <w:t>alidat</w:t>
      </w:r>
      <w:r w:rsidR="00A45D9C">
        <w:t>ion of</w:t>
      </w:r>
      <w:r w:rsidRPr="0015600B">
        <w:t xml:space="preserve"> the theoretical models and provi</w:t>
      </w:r>
      <w:r w:rsidR="00A45D9C">
        <w:t>sion of</w:t>
      </w:r>
      <w:r w:rsidRPr="0015600B">
        <w:t xml:space="preserve"> firm ground in deploying the LHTES </w:t>
      </w:r>
      <w:r w:rsidR="00A45D9C">
        <w:t xml:space="preserve">system </w:t>
      </w:r>
      <w:r w:rsidRPr="0015600B">
        <w:t>in building</w:t>
      </w:r>
      <w:r w:rsidR="00A45D9C">
        <w:t>s</w:t>
      </w:r>
      <w:r w:rsidRPr="0015600B">
        <w:t xml:space="preserve"> or other sectors.</w:t>
      </w:r>
    </w:p>
    <w:p w14:paraId="7017AB9D" w14:textId="057DCB01" w:rsidR="00DB3DC6" w:rsidRPr="0015600B" w:rsidRDefault="00DB3DC6" w:rsidP="00A864AD">
      <w:pPr>
        <w:numPr>
          <w:ilvl w:val="0"/>
          <w:numId w:val="9"/>
        </w:numPr>
        <w:spacing w:after="288"/>
        <w:sectPr w:rsidR="00DB3DC6" w:rsidRPr="0015600B" w:rsidSect="004F2C5B">
          <w:pgSz w:w="12240" w:h="15840"/>
          <w:pgMar w:top="1440" w:right="1440" w:bottom="1440" w:left="2160" w:header="720" w:footer="720" w:gutter="0"/>
          <w:cols w:space="720"/>
          <w:docGrid w:linePitch="360"/>
        </w:sectPr>
      </w:pPr>
      <w:r w:rsidRPr="00AD05D0">
        <w:rPr>
          <w:b/>
          <w:bCs/>
        </w:rPr>
        <w:t>Investigat</w:t>
      </w:r>
      <w:r w:rsidR="00A45D9C" w:rsidRPr="00AD05D0">
        <w:rPr>
          <w:b/>
          <w:bCs/>
        </w:rPr>
        <w:t>ion o</w:t>
      </w:r>
      <w:r w:rsidR="00BA5FB1">
        <w:rPr>
          <w:b/>
          <w:bCs/>
        </w:rPr>
        <w:t>f</w:t>
      </w:r>
      <w:r w:rsidR="00A06B52">
        <w:rPr>
          <w:b/>
          <w:bCs/>
        </w:rPr>
        <w:t xml:space="preserve"> </w:t>
      </w:r>
      <w:r w:rsidRPr="00AD05D0">
        <w:rPr>
          <w:b/>
          <w:bCs/>
        </w:rPr>
        <w:t xml:space="preserve">the </w:t>
      </w:r>
      <w:r w:rsidR="00BA5FB1">
        <w:rPr>
          <w:b/>
          <w:bCs/>
        </w:rPr>
        <w:t xml:space="preserve">capital </w:t>
      </w:r>
      <w:r w:rsidRPr="00AD05D0">
        <w:rPr>
          <w:b/>
          <w:bCs/>
        </w:rPr>
        <w:t>cost</w:t>
      </w:r>
      <w:r w:rsidRPr="0015600B">
        <w:t xml:space="preserve">. A study on the equipment cost and installation should be thoroughly conducted to determine the affordability of the LHTES system. The monetary factors can potentially stir </w:t>
      </w:r>
      <w:r w:rsidR="00A45D9C">
        <w:t xml:space="preserve">the </w:t>
      </w:r>
      <w:r w:rsidRPr="0015600B">
        <w:t>deployment</w:t>
      </w:r>
      <w:r w:rsidR="00A45D9C">
        <w:t xml:space="preserve"> of the system</w:t>
      </w:r>
      <w:r w:rsidRPr="0015600B">
        <w:t xml:space="preserve"> in</w:t>
      </w:r>
      <w:r w:rsidR="00AD1FAE">
        <w:t xml:space="preserve"> </w:t>
      </w:r>
      <w:r w:rsidRPr="0015600B">
        <w:t>residential building</w:t>
      </w:r>
      <w:r w:rsidR="00AD1FAE">
        <w:t>s</w:t>
      </w:r>
      <w:r w:rsidRPr="0015600B">
        <w:t xml:space="preserve"> or other sectors/industries. </w:t>
      </w:r>
      <w:bookmarkEnd w:id="147"/>
      <w:bookmarkEnd w:id="148"/>
      <w:bookmarkEnd w:id="149"/>
    </w:p>
    <w:p w14:paraId="571F8E09" w14:textId="6D36D105" w:rsidR="00DB3DC6" w:rsidRPr="0015600B" w:rsidRDefault="00DB3DC6" w:rsidP="008664CD">
      <w:pPr>
        <w:pStyle w:val="Heading1"/>
        <w:numPr>
          <w:ilvl w:val="0"/>
          <w:numId w:val="0"/>
        </w:numPr>
      </w:pPr>
      <w:bookmarkStart w:id="267" w:name="_Toc43877998"/>
      <w:bookmarkStart w:id="268" w:name="_Toc47467741"/>
      <w:r w:rsidRPr="0015600B">
        <w:lastRenderedPageBreak/>
        <w:t>REFERENCES</w:t>
      </w:r>
      <w:bookmarkEnd w:id="267"/>
      <w:bookmarkEnd w:id="268"/>
    </w:p>
    <w:p w14:paraId="37DC06AA" w14:textId="4EC97162" w:rsidR="00D6331E" w:rsidRPr="00D6331E" w:rsidRDefault="00DB3DC6" w:rsidP="008664CD">
      <w:pPr>
        <w:widowControl w:val="0"/>
        <w:autoSpaceDE w:val="0"/>
        <w:autoSpaceDN w:val="0"/>
        <w:adjustRightInd w:val="0"/>
        <w:ind w:left="640" w:hanging="640"/>
        <w:jc w:val="left"/>
        <w:rPr>
          <w:rFonts w:cs="Times New Roman"/>
          <w:noProof/>
          <w:szCs w:val="24"/>
        </w:rPr>
      </w:pPr>
      <w:r w:rsidRPr="0015600B">
        <w:fldChar w:fldCharType="begin" w:fldLock="1"/>
      </w:r>
      <w:r w:rsidRPr="0015600B">
        <w:instrText xml:space="preserve">ADDIN Mendeley Bibliography CSL_BIBLIOGRAPHY </w:instrText>
      </w:r>
      <w:r w:rsidRPr="0015600B">
        <w:fldChar w:fldCharType="separate"/>
      </w:r>
      <w:r w:rsidR="00D6331E" w:rsidRPr="00D6331E">
        <w:rPr>
          <w:rFonts w:cs="Times New Roman"/>
          <w:noProof/>
          <w:szCs w:val="24"/>
        </w:rPr>
        <w:t>[1]</w:t>
      </w:r>
      <w:r w:rsidR="00D6331E" w:rsidRPr="00D6331E">
        <w:rPr>
          <w:rFonts w:cs="Times New Roman"/>
          <w:noProof/>
          <w:szCs w:val="24"/>
        </w:rPr>
        <w:tab/>
        <w:t xml:space="preserve">Shabgard H, Song L, Zhu W. Heat transfer and exergy analysis of a novel solar-powered integrated heating, cooling, and hot water system with latent heat thermal energy storage. Energy Conversion and Management. 2018; </w:t>
      </w:r>
    </w:p>
    <w:p w14:paraId="0EF8765C"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w:t>
      </w:r>
      <w:r w:rsidRPr="00D6331E">
        <w:rPr>
          <w:rFonts w:cs="Times New Roman"/>
          <w:noProof/>
          <w:szCs w:val="24"/>
        </w:rPr>
        <w:tab/>
        <w:t>Evacuated Tube Solar Collectors | Apricus Eco-Energy [Internet]. [2020 Jun 3]. Available from: https://www.apricus.com/Evacuated-Tube-Solar-Collectors-pl3681275.html</w:t>
      </w:r>
    </w:p>
    <w:p w14:paraId="6CE16FA6"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w:t>
      </w:r>
      <w:r w:rsidRPr="00D6331E">
        <w:rPr>
          <w:rFonts w:cs="Times New Roman"/>
          <w:noProof/>
          <w:szCs w:val="24"/>
        </w:rPr>
        <w:tab/>
        <w:t>Evacuated Tube Collectors — Solar Tribune [Internet]. [2020 Jun 3]. Available from: https://solartribune.com/evacuated-tube-solar-hot-water/</w:t>
      </w:r>
    </w:p>
    <w:p w14:paraId="1F85376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w:t>
      </w:r>
      <w:r w:rsidRPr="00D6331E">
        <w:rPr>
          <w:rFonts w:cs="Times New Roman"/>
          <w:noProof/>
          <w:szCs w:val="24"/>
        </w:rPr>
        <w:tab/>
        <w:t>Papadimitratos A, Sobhansarbandi S, Pozdin V, Zakhidov A, Hassanipour F. Evacuated tube solar collectors integrated with phase change materials. Solar Energy. 2016;129:10–9. Available from: http://dx.doi.org/10.1016/j.solener.2015.12.040</w:t>
      </w:r>
    </w:p>
    <w:p w14:paraId="54AB4D3F"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w:t>
      </w:r>
      <w:r w:rsidRPr="00D6331E">
        <w:rPr>
          <w:rFonts w:cs="Times New Roman"/>
          <w:noProof/>
          <w:szCs w:val="24"/>
        </w:rPr>
        <w:tab/>
        <w:t>Demirbas MF. Thermal Energy Storage and Phase Change Materials: An Overview. Energy Sources, Part B: Economics, Planning, and Policy. 2006 Jan 1 [2020 Jun 1];1(1):85–95. Available from: http://www.tandfonline.com/doi/abs/10.1080/009083190881481</w:t>
      </w:r>
    </w:p>
    <w:p w14:paraId="4ABF5A21"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w:t>
      </w:r>
      <w:r w:rsidRPr="00D6331E">
        <w:rPr>
          <w:rFonts w:cs="Times New Roman"/>
          <w:noProof/>
          <w:szCs w:val="24"/>
        </w:rPr>
        <w:tab/>
        <w:t xml:space="preserve">Hong ST, Herling DR. Open-cell aluminum foams filled with phase change materials as compact heat sinks. Scripta Materialia. 2006 Nov;55(10):887–90. </w:t>
      </w:r>
    </w:p>
    <w:p w14:paraId="29F18193"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[7]</w:t>
      </w:r>
      <w:r w:rsidRPr="00D6331E">
        <w:rPr>
          <w:rFonts w:cs="Times New Roman"/>
          <w:noProof/>
          <w:szCs w:val="24"/>
        </w:rPr>
        <w:tab/>
        <w:t>Rosenberg M. Analyzing Air Handling Unit Efficiency [Internet]. [2020 Jul 14]. Available from: www.onsetcomp.com</w:t>
      </w:r>
    </w:p>
    <w:p w14:paraId="3104B93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lastRenderedPageBreak/>
        <w:t>[8]</w:t>
      </w:r>
      <w:r w:rsidRPr="00D6331E">
        <w:rPr>
          <w:rFonts w:cs="Times New Roman"/>
          <w:noProof/>
          <w:szCs w:val="24"/>
        </w:rPr>
        <w:tab/>
        <w:t xml:space="preserve">Hossain MS, Saidur R, Fayaz H, Rahim NA, Islam MR, Ahamed JU, et al. Review on solar water heater collector and thermal energy performance of circulating pipe. Vol. 15, Renewable and Sustainable Energy Reviews. Pergamon; 2011. p. 3801–12. </w:t>
      </w:r>
    </w:p>
    <w:p w14:paraId="1D428ADD"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[9]</w:t>
      </w:r>
      <w:r w:rsidRPr="00D6331E">
        <w:rPr>
          <w:rFonts w:cs="Times New Roman"/>
          <w:noProof/>
          <w:szCs w:val="24"/>
        </w:rPr>
        <w:tab/>
        <w:t>Hayter SJ, Kandt A, Kandt F-A. Renewable Energy Applications for Existing Buildings Preprint Renewable Energy Applications for Existing Buildings Applicazioni dell’energia rinnovabile su edifici esistenti [Internet]. 2011 [2020 May 31]. Available from: http://www.osti.gov/bridge</w:t>
      </w:r>
    </w:p>
    <w:p w14:paraId="1CD5FAE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[10]</w:t>
      </w:r>
      <w:r w:rsidRPr="00D6331E">
        <w:rPr>
          <w:rFonts w:cs="Times New Roman"/>
          <w:noProof/>
          <w:szCs w:val="24"/>
        </w:rPr>
        <w:tab/>
        <w:t>Solar Energy in the United States | Department of Energy [Internet]. [2020 May 31]. Available from: https://www.energy.gov/eere/solarpoweringamerica/solar-energy-united-states</w:t>
      </w:r>
    </w:p>
    <w:p w14:paraId="5806653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[11]</w:t>
      </w:r>
      <w:r w:rsidRPr="00D6331E">
        <w:rPr>
          <w:rFonts w:cs="Times New Roman"/>
          <w:noProof/>
          <w:szCs w:val="24"/>
        </w:rPr>
        <w:tab/>
        <w:t xml:space="preserve">Koebrich S, Tian T, Chen E. 2017 Renewable Energy Data Book Including Data and Trends for Energy Storage and Electric Vehicles Acknowledgments. </w:t>
      </w:r>
    </w:p>
    <w:p w14:paraId="0866339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[12]</w:t>
      </w:r>
      <w:r w:rsidRPr="00D6331E">
        <w:rPr>
          <w:rFonts w:cs="Times New Roman"/>
          <w:noProof/>
          <w:szCs w:val="24"/>
        </w:rPr>
        <w:tab/>
        <w:t>About Solar Energy | SEIA [Internet]. [2020 May 30]. Available from: https://www.seia.org/initiatives/about-solar-energy</w:t>
      </w:r>
    </w:p>
    <w:p w14:paraId="53D619AC"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[13]</w:t>
      </w:r>
      <w:r w:rsidRPr="00D6331E">
        <w:rPr>
          <w:rFonts w:cs="Times New Roman"/>
          <w:noProof/>
          <w:szCs w:val="24"/>
        </w:rPr>
        <w:tab/>
        <w:t>Photovoltaics and electricity - U.S. Energy Information Administration (EIA) [Internet]. [2020 Jun 8]. Available from: https://www.eia.gov/energyexplained/solar/photovoltaics-and-electricity.php</w:t>
      </w:r>
    </w:p>
    <w:p w14:paraId="57A3B1F3"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lastRenderedPageBreak/>
        <w:t>[14]</w:t>
      </w:r>
      <w:r w:rsidRPr="00D6331E">
        <w:rPr>
          <w:rFonts w:cs="Times New Roman"/>
          <w:noProof/>
          <w:szCs w:val="24"/>
        </w:rPr>
        <w:tab/>
        <w:t xml:space="preserve">Suskis P, Galkin I. Enhanced photovoltaic panel model for MATLAB-simulink environment considering solar cell junction capacitance. In: IECON Proceedings (Industrial Electronics Conference). 2013. </w:t>
      </w:r>
    </w:p>
    <w:p w14:paraId="3DEEA8A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[15]</w:t>
      </w:r>
      <w:r w:rsidRPr="00D6331E">
        <w:rPr>
          <w:rFonts w:cs="Times New Roman"/>
          <w:noProof/>
          <w:szCs w:val="24"/>
        </w:rPr>
        <w:tab/>
        <w:t xml:space="preserve">Petrone G, Spagnuolo G, Teodorescu R, Veerachary M, Vitelli M. Reliability issues in photovoltaic power processing systems. IEEE Transactions on Industrial Electronics. 2008; </w:t>
      </w:r>
    </w:p>
    <w:p w14:paraId="07C894F7"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[16]</w:t>
      </w:r>
      <w:r w:rsidRPr="00D6331E">
        <w:rPr>
          <w:rFonts w:cs="Times New Roman"/>
          <w:noProof/>
          <w:szCs w:val="24"/>
        </w:rPr>
        <w:tab/>
        <w:t xml:space="preserve">Ayompe LM, Duffy A. Thermal performance analysis of a solar water heating system with heat pipe evacuated tube collector using data from a field trial. Solar Energy. 2013; </w:t>
      </w:r>
    </w:p>
    <w:p w14:paraId="3507851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[17]</w:t>
      </w:r>
      <w:r w:rsidRPr="00D6331E">
        <w:rPr>
          <w:rFonts w:cs="Times New Roman"/>
          <w:noProof/>
          <w:szCs w:val="24"/>
        </w:rPr>
        <w:tab/>
        <w:t xml:space="preserve">Turchi CS, Ma Z, Neises TW, Wagner MJ. Thermodynamic study of advanced supercritical carbon dioxide power cycles for concentrating solar power systems. Journal of Solar Energy Engineering, Transactions of the ASME. 2013; </w:t>
      </w:r>
    </w:p>
    <w:p w14:paraId="7C89E0D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[18]</w:t>
      </w:r>
      <w:r w:rsidRPr="00D6331E">
        <w:rPr>
          <w:rFonts w:cs="Times New Roman"/>
          <w:noProof/>
          <w:szCs w:val="24"/>
        </w:rPr>
        <w:tab/>
        <w:t xml:space="preserve">Mehos M, Turchi C, Vidal J, Wagner M, Ma Z, Ho C, et al. Concentrating Solar Power Gen3 Demonstration Roadmap. Nrel/Tp-5500-67464. 2017; </w:t>
      </w:r>
    </w:p>
    <w:p w14:paraId="5084040E"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[19]</w:t>
      </w:r>
      <w:r w:rsidRPr="00D6331E">
        <w:rPr>
          <w:rFonts w:cs="Times New Roman"/>
          <w:noProof/>
          <w:szCs w:val="24"/>
        </w:rPr>
        <w:tab/>
        <w:t>Castillo A. Is CSP an expensive or a viable investment? | New Energy Update [Internet]. 2015. Available from: https://analysis.newenergyupdate.com/csp-today/markets/csp-expensive-or-viable-investment</w:t>
      </w:r>
    </w:p>
    <w:p w14:paraId="739C667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[20]</w:t>
      </w:r>
      <w:r w:rsidRPr="00D6331E">
        <w:rPr>
          <w:rFonts w:cs="Times New Roman"/>
          <w:noProof/>
          <w:szCs w:val="24"/>
        </w:rPr>
        <w:tab/>
        <w:t xml:space="preserve">dos MA, Voß A, Weinrebe G. Thermal and technical analyses of solar chimneys. Solar Energy. 2003 Dec 1;75(6):511–24. </w:t>
      </w:r>
    </w:p>
    <w:p w14:paraId="5214248B"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[21]</w:t>
      </w:r>
      <w:r w:rsidRPr="00D6331E">
        <w:rPr>
          <w:rFonts w:cs="Times New Roman"/>
          <w:noProof/>
          <w:szCs w:val="24"/>
        </w:rPr>
        <w:tab/>
        <w:t xml:space="preserve">Maia CB, Silva FVM, Oliveira VLC, Kazmerski LL. An overview of the use of </w:t>
      </w:r>
      <w:r w:rsidRPr="00D6331E">
        <w:rPr>
          <w:rFonts w:cs="Times New Roman"/>
          <w:noProof/>
          <w:szCs w:val="24"/>
        </w:rPr>
        <w:lastRenderedPageBreak/>
        <w:t xml:space="preserve">solar chimneys for desalination. Vol. 183, Solar Energy. Elsevier Ltd; 2019. p. 83–95. </w:t>
      </w:r>
    </w:p>
    <w:p w14:paraId="69CADA9C"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[22]</w:t>
      </w:r>
      <w:r w:rsidRPr="00D6331E">
        <w:rPr>
          <w:rFonts w:cs="Times New Roman"/>
          <w:noProof/>
          <w:szCs w:val="24"/>
        </w:rPr>
        <w:tab/>
        <w:t>Flat plate collectors vs evacuated tube collectors - Simple Solar [Internet]. [2020 Jun 30]. Available from: https://www.simplesolar.ca/flat-plate-collectors-vs-evacuated-tube-collectors.html</w:t>
      </w:r>
    </w:p>
    <w:p w14:paraId="26318504"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[23]</w:t>
      </w:r>
      <w:r w:rsidRPr="00D6331E">
        <w:rPr>
          <w:rFonts w:cs="Times New Roman"/>
          <w:noProof/>
          <w:szCs w:val="24"/>
        </w:rPr>
        <w:tab/>
        <w:t xml:space="preserve">Behnam P, Shafii MB. Examination of a solar desalination system equipped with an air bubble column humidifier, evacuated tube collectors and thermosyphon heat pipes. Desalination. 2016; </w:t>
      </w:r>
    </w:p>
    <w:p w14:paraId="54C8A4F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[24]</w:t>
      </w:r>
      <w:r w:rsidRPr="00D6331E">
        <w:rPr>
          <w:rFonts w:cs="Times New Roman"/>
          <w:noProof/>
          <w:szCs w:val="24"/>
        </w:rPr>
        <w:tab/>
        <w:t xml:space="preserve">Kalogirou SA. Nontracking solar collection technologies for solar heating and cooling systems. In: Advances in Solar Heating and Cooling. 2016. </w:t>
      </w:r>
    </w:p>
    <w:p w14:paraId="306DB8F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[25]</w:t>
      </w:r>
      <w:r w:rsidRPr="00D6331E">
        <w:rPr>
          <w:rFonts w:cs="Times New Roman"/>
          <w:noProof/>
          <w:szCs w:val="24"/>
        </w:rPr>
        <w:tab/>
        <w:t xml:space="preserve">Balaras CA, Grossman G, Henning HM, Infante Ferreira CA, Podesser E, Wang L, et al. Solar air conditioning in Europe-an overview. Renewable and Sustainable Energy Reviews. 2007;11(2):299–314. </w:t>
      </w:r>
    </w:p>
    <w:p w14:paraId="7C5E2476"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[26]</w:t>
      </w:r>
      <w:r w:rsidRPr="00D6331E">
        <w:rPr>
          <w:rFonts w:cs="Times New Roman"/>
          <w:noProof/>
          <w:szCs w:val="24"/>
        </w:rPr>
        <w:tab/>
        <w:t>Auyeung N, Kreider P. Solar Thermochemical Energy Storage | AIChE [Internet]. [2020 Jun 21]. Available from: https://www.aiche.org/resources/publications/cep/2017/july/solar-thermochemical-energy-storage</w:t>
      </w:r>
    </w:p>
    <w:p w14:paraId="42A9B44F"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[27]</w:t>
      </w:r>
      <w:r w:rsidRPr="00D6331E">
        <w:rPr>
          <w:rFonts w:cs="Times New Roman"/>
          <w:noProof/>
          <w:szCs w:val="24"/>
        </w:rPr>
        <w:tab/>
        <w:t xml:space="preserve">Abhat A. LOW TEMPERATURE LATENT HEAT THERMAL ENERGY STORAGE: HEAT STORAGE MATERIALS. Vol. 10, Solar Ene, T¢~. </w:t>
      </w:r>
    </w:p>
    <w:p w14:paraId="037714D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[28]</w:t>
      </w:r>
      <w:r w:rsidRPr="00D6331E">
        <w:rPr>
          <w:rFonts w:cs="Times New Roman"/>
          <w:noProof/>
          <w:szCs w:val="24"/>
        </w:rPr>
        <w:tab/>
        <w:t xml:space="preserve">Heat transfer enhancement of phase change materials for thermal energy storage applications_ A critical review | Elsevier Enhanced Reader [Internet]. [2020 May 31]. Available from: </w:t>
      </w:r>
      <w:r w:rsidRPr="00D6331E">
        <w:rPr>
          <w:rFonts w:cs="Times New Roman"/>
          <w:noProof/>
          <w:szCs w:val="24"/>
        </w:rPr>
        <w:lastRenderedPageBreak/>
        <w:t>https://reader.elsevier.com/reader/sd/pii/S1364032117301739?token=CF243D6D2DAB2C37652CF606507F2207AE2A389A251F0478828A93BA339A5562EC033835974086E76669220CC42D6865</w:t>
      </w:r>
    </w:p>
    <w:p w14:paraId="0A67434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[29]</w:t>
      </w:r>
      <w:r w:rsidRPr="00D6331E">
        <w:rPr>
          <w:rFonts w:cs="Times New Roman"/>
          <w:noProof/>
          <w:szCs w:val="24"/>
        </w:rPr>
        <w:tab/>
        <w:t xml:space="preserve">Al-Abidi AA, Bin Mat S, Sopian K, Sulaiman MY, Mohammed AT. CFD applications for latent heat thermal energy storage: A review. Renewable and Sustainable Energy Reviews. 2013. </w:t>
      </w:r>
    </w:p>
    <w:p w14:paraId="368D36C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[30]</w:t>
      </w:r>
      <w:r w:rsidRPr="00D6331E">
        <w:rPr>
          <w:rFonts w:cs="Times New Roman"/>
          <w:noProof/>
          <w:szCs w:val="24"/>
        </w:rPr>
        <w:tab/>
        <w:t xml:space="preserve">Castellani B, Morini E, Filipponi M, Nicolini A, Palombo M, Cotana F, et al. Clathrate hydrates for thermal energy storage in buildings: Overview of proper hydrate-forming compounds. Sustainability (Switzerland). 2014. </w:t>
      </w:r>
    </w:p>
    <w:p w14:paraId="627BB31B"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[31]</w:t>
      </w:r>
      <w:r w:rsidRPr="00D6331E">
        <w:rPr>
          <w:rFonts w:cs="Times New Roman"/>
          <w:noProof/>
          <w:szCs w:val="24"/>
        </w:rPr>
        <w:tab/>
        <w:t xml:space="preserve">Karaipekli A, Sari A, Kaygusuz K. Thermal characteristics of paraffin/expanded perlite composite for latent heat thermal energy storage. Energy Sources, Part A: Recovery, Utilization and Environmental Effects. 2009;31(10):814–23. </w:t>
      </w:r>
    </w:p>
    <w:p w14:paraId="3E92F6D7"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[32]</w:t>
      </w:r>
      <w:r w:rsidRPr="00D6331E">
        <w:rPr>
          <w:rFonts w:cs="Times New Roman"/>
          <w:noProof/>
          <w:szCs w:val="24"/>
        </w:rPr>
        <w:tab/>
        <w:t>Agyenim F, Eames P, Smyth M. A comparison of heat transfer enhancement in a medium temperature thermal energy storage heat exchanger using fins. Solar Energy. 2009;83(9):1509–20. Available from: http://dx.doi.org/10.1016/j.solener.2009.04.007</w:t>
      </w:r>
    </w:p>
    <w:p w14:paraId="27145C64"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[33]</w:t>
      </w:r>
      <w:r w:rsidRPr="00D6331E">
        <w:rPr>
          <w:rFonts w:cs="Times New Roman"/>
          <w:noProof/>
          <w:szCs w:val="24"/>
        </w:rPr>
        <w:tab/>
        <w:t>Dmitruk A, Naplocha K, Grz</w:t>
      </w:r>
      <w:r w:rsidRPr="00D6331E">
        <w:rPr>
          <w:rFonts w:ascii="Cambria" w:hAnsi="Cambria" w:cs="Cambria"/>
          <w:noProof/>
          <w:szCs w:val="24"/>
        </w:rPr>
        <w:t>ȩ</w:t>
      </w:r>
      <w:r w:rsidRPr="00D6331E">
        <w:rPr>
          <w:rFonts w:cs="Times New Roman"/>
          <w:noProof/>
          <w:szCs w:val="24"/>
        </w:rPr>
        <w:t xml:space="preserve">da J, Kaczmar JW. Aluminum inserts for enhancing heat transfer in PCM accumulator. Materials. 2020;13(2). </w:t>
      </w:r>
    </w:p>
    <w:p w14:paraId="53292A57"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[34]</w:t>
      </w:r>
      <w:r w:rsidRPr="00D6331E">
        <w:rPr>
          <w:rFonts w:cs="Times New Roman"/>
          <w:noProof/>
          <w:szCs w:val="24"/>
        </w:rPr>
        <w:tab/>
        <w:t xml:space="preserve">Sivasamy P, Devaraju A, Harikrishnan S. Review on Heat Transfer Enhancement of Phase Change Materials (PCMs). In: Materials Today: Proceedings. Elsevier Ltd; 2018. p. 14423–31. </w:t>
      </w:r>
    </w:p>
    <w:p w14:paraId="6D4A266B"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lastRenderedPageBreak/>
        <w:t>[35]</w:t>
      </w:r>
      <w:r w:rsidRPr="00D6331E">
        <w:rPr>
          <w:rFonts w:cs="Times New Roman"/>
          <w:noProof/>
          <w:szCs w:val="24"/>
        </w:rPr>
        <w:tab/>
        <w:t>Chen J, Yang D, Jiang J, Ma A, Song D. Research Progress of Phase Change Materials (PCMs) Embedded with Metal Foam (a Review). Procedia Materials Science. 2014;4:389–94. Available from: http://dx.doi.org/10.1016/j.mspro.2014.07.579</w:t>
      </w:r>
    </w:p>
    <w:p w14:paraId="50B0B667"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[36]</w:t>
      </w:r>
      <w:r w:rsidRPr="00D6331E">
        <w:rPr>
          <w:rFonts w:cs="Times New Roman"/>
          <w:noProof/>
          <w:szCs w:val="24"/>
        </w:rPr>
        <w:tab/>
        <w:t xml:space="preserve">Mettawee EBS, Assassa GMR. Thermal conductivity enhancement in a latent heat storage system. Solar Energy. 2007;81(7):839–45. </w:t>
      </w:r>
    </w:p>
    <w:p w14:paraId="26527E0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[37]</w:t>
      </w:r>
      <w:r w:rsidRPr="00D6331E">
        <w:rPr>
          <w:rFonts w:cs="Times New Roman"/>
          <w:noProof/>
          <w:szCs w:val="24"/>
        </w:rPr>
        <w:tab/>
        <w:t xml:space="preserve">Md Mahamudur Rahman, Han Hu, Hamidreza Shabgard, Philipp Boettcher, Ying Sun MM. Experimental Characterization of Inward Freezing and Melting of Additive-Enhanced Phase-Change Materials Within Millimeter-Scale Cylindrical Enclosures. ASME J Heat Transfer. 2016;(072301):13. </w:t>
      </w:r>
    </w:p>
    <w:p w14:paraId="45B9F95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[38]</w:t>
      </w:r>
      <w:r w:rsidRPr="00D6331E">
        <w:rPr>
          <w:rFonts w:cs="Times New Roman"/>
          <w:noProof/>
          <w:szCs w:val="24"/>
        </w:rPr>
        <w:tab/>
        <w:t xml:space="preserve">Fukai J, Hamada Y, Morozumi Y, Miyatake O. Effect of carbon-fiber brushes on conductive heat transfer in phase change materials. International Journal of Heat and Mass Transfer. 2002;45(24):4781–92. </w:t>
      </w:r>
    </w:p>
    <w:p w14:paraId="0A9F1876"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[39]</w:t>
      </w:r>
      <w:r w:rsidRPr="00D6331E">
        <w:rPr>
          <w:rFonts w:cs="Times New Roman"/>
          <w:noProof/>
          <w:szCs w:val="24"/>
        </w:rPr>
        <w:tab/>
        <w:t xml:space="preserve">Seeniraj R V., Lakshmi Narasimhan N. Performance enhancement of a solar dynamic LHTS module having both fins and multiple PCMs. Solar Energy. 2008;82(6):535–42. </w:t>
      </w:r>
    </w:p>
    <w:p w14:paraId="147A0D8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[40]</w:t>
      </w:r>
      <w:r w:rsidRPr="00D6331E">
        <w:rPr>
          <w:rFonts w:cs="Times New Roman"/>
          <w:noProof/>
          <w:szCs w:val="24"/>
        </w:rPr>
        <w:tab/>
        <w:t xml:space="preserve">Shabgard H, Allen MJ, Sharifi N, Benn SP, Faghri A, Bergman TL. Heat pipe heat exchangers and heat sinks: Opportunities, challenges, applications, analysis, and state of the art. Vol. 89, International Journal of Heat and Mass Transfer. Elsevier Ltd; 2015. p. 138–58. </w:t>
      </w:r>
    </w:p>
    <w:p w14:paraId="2965E9C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[41]</w:t>
      </w:r>
      <w:r w:rsidRPr="00D6331E">
        <w:rPr>
          <w:rFonts w:cs="Times New Roman"/>
          <w:noProof/>
          <w:szCs w:val="24"/>
        </w:rPr>
        <w:tab/>
        <w:t xml:space="preserve">Sharifi N, Bergman TL, Allen MJ, Faghri A. Melting and solidification </w:t>
      </w:r>
      <w:r w:rsidRPr="00D6331E">
        <w:rPr>
          <w:rFonts w:cs="Times New Roman"/>
          <w:noProof/>
          <w:szCs w:val="24"/>
        </w:rPr>
        <w:lastRenderedPageBreak/>
        <w:t>enhancement using a combined heat pipe, foil approach. International Journal of Heat and Mass Transfer. 2014;78:930–41. Available from: http://dx.doi.org/10.1016/j.ijheatmasstransfer.2014.07.054</w:t>
      </w:r>
    </w:p>
    <w:p w14:paraId="45C578A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[42]</w:t>
      </w:r>
      <w:r w:rsidRPr="00D6331E">
        <w:rPr>
          <w:rFonts w:cs="Times New Roman"/>
          <w:noProof/>
          <w:szCs w:val="24"/>
        </w:rPr>
        <w:tab/>
        <w:t>V Mittal, KS Kasana, NS Thakur. The study of solar absorption air-conditioning systems. Journal of Energy in Southern Africa @BULLET. 2005;16(4):59–66. Available from: http://www.erc.uct.ac.za/sites/default/files/image_tool/images/119/jesa/16-4jesa-mittal.pdf</w:t>
      </w:r>
    </w:p>
    <w:p w14:paraId="43B2ECA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[43]</w:t>
      </w:r>
      <w:r w:rsidRPr="00D6331E">
        <w:rPr>
          <w:rFonts w:cs="Times New Roman"/>
          <w:noProof/>
          <w:szCs w:val="24"/>
        </w:rPr>
        <w:tab/>
        <w:t xml:space="preserve">Ketfi O, Merzouk M, Merzouk NK, Metenani S El. Performance of a Single Effect Solar Absorption Cooling System (Libr-H2O). In: Energy Procedia. 2015. </w:t>
      </w:r>
    </w:p>
    <w:p w14:paraId="422D5C7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[44]</w:t>
      </w:r>
      <w:r w:rsidRPr="00D6331E">
        <w:rPr>
          <w:rFonts w:cs="Times New Roman"/>
          <w:noProof/>
          <w:szCs w:val="24"/>
        </w:rPr>
        <w:tab/>
        <w:t xml:space="preserve">Marc O, Sinama F, Praene JP, Lucas F, Castaing-Lasvignottes J. Dynamic modeling and experimental validation elements of a 30 kW LiBr/H2O single effect absorption chiller for solar application. Applied Thermal Engineering. 2015; </w:t>
      </w:r>
    </w:p>
    <w:p w14:paraId="6140477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[45]</w:t>
      </w:r>
      <w:r w:rsidRPr="00D6331E">
        <w:rPr>
          <w:rFonts w:cs="Times New Roman"/>
          <w:noProof/>
          <w:szCs w:val="24"/>
        </w:rPr>
        <w:tab/>
        <w:t xml:space="preserve">Philander SG, Koslowsky RK. Solar Energy Industries Association. In: Encyclopedia of Global Warming &amp; Climate Change. 2012. </w:t>
      </w:r>
    </w:p>
    <w:p w14:paraId="7A02C06D"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[46]</w:t>
      </w:r>
      <w:r w:rsidRPr="00D6331E">
        <w:rPr>
          <w:rFonts w:cs="Times New Roman"/>
          <w:noProof/>
          <w:szCs w:val="24"/>
        </w:rPr>
        <w:tab/>
        <w:t>Latent-Heat based Thermal Energy Storage technology for building scale applications - RE-COGNITION [Internet]. [2020 Jun 2]. Available from: https://re-cognition-project.eu/2020/03/12/latent-heat-based-thermal-energy-storage-technology-for-building-scale-applications/</w:t>
      </w:r>
    </w:p>
    <w:p w14:paraId="569CFCC6"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[47]</w:t>
      </w:r>
      <w:r w:rsidRPr="00D6331E">
        <w:rPr>
          <w:rFonts w:cs="Times New Roman"/>
          <w:noProof/>
          <w:szCs w:val="24"/>
        </w:rPr>
        <w:tab/>
        <w:t xml:space="preserve">Bland A, Khzouz M, Statheros T, Gkanas EI. PCMs for residential building </w:t>
      </w:r>
      <w:r w:rsidRPr="00D6331E">
        <w:rPr>
          <w:rFonts w:cs="Times New Roman"/>
          <w:noProof/>
          <w:szCs w:val="24"/>
        </w:rPr>
        <w:lastRenderedPageBreak/>
        <w:t xml:space="preserve">applications: A short review focused on disadvantages and proposals for future development. Buildings. 2017;7(3). </w:t>
      </w:r>
    </w:p>
    <w:p w14:paraId="5F9A166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[48]</w:t>
      </w:r>
      <w:r w:rsidRPr="00D6331E">
        <w:rPr>
          <w:rFonts w:cs="Times New Roman"/>
          <w:noProof/>
          <w:szCs w:val="24"/>
        </w:rPr>
        <w:tab/>
        <w:t>Kossecka E, J K. Thermal Balance of a One-Dimensional Sample of Pcm-Enhanced Thermal Insulation. (2):265–71. Available from: http://www.ippt.pan.pl/Repository/o104.pdf</w:t>
      </w:r>
    </w:p>
    <w:p w14:paraId="355ABC3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[49]</w:t>
      </w:r>
      <w:r w:rsidRPr="00D6331E">
        <w:rPr>
          <w:rFonts w:cs="Times New Roman"/>
          <w:noProof/>
          <w:szCs w:val="24"/>
        </w:rPr>
        <w:tab/>
        <w:t xml:space="preserve">Hawes DW, Feldman D, Banu D. Latent heat storage in building materials. Energy and Buildings. 1993;20(1):77–86. </w:t>
      </w:r>
    </w:p>
    <w:p w14:paraId="74F396C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[50]</w:t>
      </w:r>
      <w:r w:rsidRPr="00D6331E">
        <w:rPr>
          <w:rFonts w:cs="Times New Roman"/>
          <w:noProof/>
          <w:szCs w:val="24"/>
        </w:rPr>
        <w:tab/>
        <w:t>Castellon C, Castell A, Medrano M, Martorell L. Experimental Study of PCM Inclusion in Different Building Envelopes. Journal of Solar Energy Engineering, Transactions of the ASME. 2009;(041006):6. Available from: https://asmedigitalcollection.asme.org/solarenergyengineering/article-abstract/131/4/041006/447661/Experimental-Study-of-PCM-Inclusion-in-Different?redirectedFrom=PDF</w:t>
      </w:r>
    </w:p>
    <w:p w14:paraId="3FEBE90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[51]</w:t>
      </w:r>
      <w:r w:rsidRPr="00D6331E">
        <w:rPr>
          <w:rFonts w:cs="Times New Roman"/>
          <w:noProof/>
          <w:szCs w:val="24"/>
        </w:rPr>
        <w:tab/>
        <w:t xml:space="preserve">Chaiyat N. Energy and economic analysis of a building air-conditioner with a phase change material (PCM). Energy Conversion and Management. 2015 Apr 1;94:150–8. </w:t>
      </w:r>
    </w:p>
    <w:p w14:paraId="58573C8E"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[52]</w:t>
      </w:r>
      <w:r w:rsidRPr="00D6331E">
        <w:rPr>
          <w:rFonts w:cs="Times New Roman"/>
          <w:noProof/>
          <w:szCs w:val="24"/>
        </w:rPr>
        <w:tab/>
        <w:t xml:space="preserve">Esen M. Thermal performance of a solar-aided latent heat store used for space heating by heat pump. Solar Energy. 2000 Jan 1;69(1):15–25. </w:t>
      </w:r>
    </w:p>
    <w:p w14:paraId="25BB0853"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[53]</w:t>
      </w:r>
      <w:r w:rsidRPr="00D6331E">
        <w:rPr>
          <w:rFonts w:cs="Times New Roman"/>
          <w:noProof/>
          <w:szCs w:val="24"/>
        </w:rPr>
        <w:tab/>
        <w:t xml:space="preserve">Du S, Wang RZ, Lin P, Xu ZZ, Pan QW, Xu SC. Experimental studies on an air-cooled two-stage NH3-H2O solar absorption air-conditioning prototype. Energy. 2012;45(1):581–7. </w:t>
      </w:r>
    </w:p>
    <w:p w14:paraId="133B31D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[54]</w:t>
      </w:r>
      <w:r w:rsidRPr="00D6331E">
        <w:rPr>
          <w:rFonts w:cs="Times New Roman"/>
          <w:noProof/>
          <w:szCs w:val="24"/>
        </w:rPr>
        <w:tab/>
        <w:t xml:space="preserve">Fabi V, Andersen RV, Corgnati S, Olesen BW. Occupants’ window opening </w:t>
      </w:r>
      <w:r w:rsidRPr="00D6331E">
        <w:rPr>
          <w:rFonts w:cs="Times New Roman"/>
          <w:noProof/>
          <w:szCs w:val="24"/>
        </w:rPr>
        <w:lastRenderedPageBreak/>
        <w:t xml:space="preserve">behaviour: A literature review of factors influencing occupant behaviour and models. Building and Environment. 2012 Dec 1;58:188–98. </w:t>
      </w:r>
    </w:p>
    <w:p w14:paraId="60F3EF34"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[55]</w:t>
      </w:r>
      <w:r w:rsidRPr="00D6331E">
        <w:rPr>
          <w:rFonts w:cs="Times New Roman"/>
          <w:noProof/>
          <w:szCs w:val="24"/>
        </w:rPr>
        <w:tab/>
        <w:t xml:space="preserve">Yu Z, Fung BCM, Haghighat F, Yoshino H, Morofsky E. A systematic procedure to study the influence of occupant behavior on building energy consumption. Energy and Buildings. 2011 Jun 1;43(6):1409–17. </w:t>
      </w:r>
    </w:p>
    <w:p w14:paraId="092C7F87"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[56]</w:t>
      </w:r>
      <w:r w:rsidRPr="00D6331E">
        <w:rPr>
          <w:rFonts w:cs="Times New Roman"/>
          <w:noProof/>
          <w:szCs w:val="24"/>
        </w:rPr>
        <w:tab/>
        <w:t xml:space="preserve">Mesalhy O, Lafdi K, Elgafy A, Bowman K. Numerical study for enhancing the thermal conductivity of phase change material (PCM) storage using high thermal conductivity porous matrix. Energy Conversion and Management. 2005 Apr 1;46(6):847–67. </w:t>
      </w:r>
    </w:p>
    <w:p w14:paraId="0B25052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[57]</w:t>
      </w:r>
      <w:r w:rsidRPr="00D6331E">
        <w:rPr>
          <w:rFonts w:cs="Times New Roman"/>
          <w:noProof/>
          <w:szCs w:val="24"/>
        </w:rPr>
        <w:tab/>
        <w:t xml:space="preserve">Cengel YA, Boles MA. Thermodynamics: an Engineering Approach 8th Edition. McGraw-Hill. 2015. </w:t>
      </w:r>
    </w:p>
    <w:p w14:paraId="2643A254"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[58]</w:t>
      </w:r>
      <w:r w:rsidRPr="00D6331E">
        <w:rPr>
          <w:rFonts w:cs="Times New Roman"/>
          <w:noProof/>
          <w:szCs w:val="24"/>
        </w:rPr>
        <w:tab/>
        <w:t>Climate Zones | Department of Energy [Internet]. [2020 Jun 1]. Available from: https://www.energy.gov/eere/buildings/climate-zones</w:t>
      </w:r>
    </w:p>
    <w:p w14:paraId="0BB73F58"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[59]</w:t>
      </w:r>
      <w:r w:rsidRPr="00D6331E">
        <w:rPr>
          <w:rFonts w:cs="Times New Roman"/>
          <w:noProof/>
          <w:szCs w:val="24"/>
        </w:rPr>
        <w:tab/>
        <w:t>Recent changes to ASHRAE and IECC climate zone map and building codes [Internet]. [2020 Jun 1]. Available from: https://www.pepperconstruction.com/blog/science-building-codes-and-climate-zones</w:t>
      </w:r>
    </w:p>
    <w:p w14:paraId="1005C9BF"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[60]</w:t>
      </w:r>
      <w:r w:rsidRPr="00D6331E">
        <w:rPr>
          <w:rFonts w:cs="Times New Roman"/>
          <w:noProof/>
          <w:szCs w:val="24"/>
        </w:rPr>
        <w:tab/>
        <w:t>Baechler, Williamson, Gilbride, Cole, Hefty L. Building America climate zone map | Building America Solution Center [Internet]. [2020 Jun 29]. Available from: https://basc.pnnl.gov/images/building-america-climate-zone-map</w:t>
      </w:r>
    </w:p>
    <w:p w14:paraId="49194F65"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[61]</w:t>
      </w:r>
      <w:r w:rsidRPr="00D6331E">
        <w:rPr>
          <w:rFonts w:cs="Times New Roman"/>
          <w:noProof/>
          <w:szCs w:val="24"/>
        </w:rPr>
        <w:tab/>
        <w:t xml:space="preserve">Index of /datasets/files/961/pub/EPLUS_TMY2_RESIDENTIAL_BASE </w:t>
      </w:r>
      <w:r w:rsidRPr="00D6331E">
        <w:rPr>
          <w:rFonts w:cs="Times New Roman"/>
          <w:noProof/>
          <w:szCs w:val="24"/>
        </w:rPr>
        <w:lastRenderedPageBreak/>
        <w:t>[Internet]. [2020 Jun 1]. Available from: https://openei.org/datasets/files/961/pub/EPLUS_TMY2_RESIDENTIAL_BASE/</w:t>
      </w:r>
    </w:p>
    <w:p w14:paraId="6B07B99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[62]</w:t>
      </w:r>
      <w:r w:rsidRPr="00D6331E">
        <w:rPr>
          <w:rFonts w:cs="Times New Roman"/>
          <w:noProof/>
          <w:szCs w:val="24"/>
        </w:rPr>
        <w:tab/>
        <w:t>Payne W V, Domanski PA, Payne WV, Domanski PA. Purdue e-Pubs A Comparison Of An R22 And An R410A Air Conditioner Operating At High Ambient Temperatures A Comparison of an R22 and an R410A Air Conditioner Operating at High Ambient Temperatures [Internet]. [2020 Jun 1]. Available from: http://docs.lib.purdue.edu/iracc/532</w:t>
      </w:r>
    </w:p>
    <w:p w14:paraId="2266F4C0"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[63]</w:t>
      </w:r>
      <w:r w:rsidRPr="00D6331E">
        <w:rPr>
          <w:rFonts w:cs="Times New Roman"/>
          <w:noProof/>
          <w:szCs w:val="24"/>
        </w:rPr>
        <w:tab/>
        <w:t>COPs, EERs, and SEERs – Power Knot SRA [Internet]. [2020 Jun 1]. Available from: https://powerknotsra.com/2011/03/01/cops-eers-and-seers/</w:t>
      </w:r>
    </w:p>
    <w:p w14:paraId="62C83401"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[64]</w:t>
      </w:r>
      <w:r w:rsidRPr="00D6331E">
        <w:rPr>
          <w:rFonts w:cs="Times New Roman"/>
          <w:noProof/>
          <w:szCs w:val="24"/>
        </w:rPr>
        <w:tab/>
        <w:t>NSRDB: 1991- 2010 Update [Internet]. [2020 Jun 1]. Available from: https://rredc.nrel.gov/solar/old_data/nsrdb/1991-2010/</w:t>
      </w:r>
    </w:p>
    <w:p w14:paraId="357FE46E"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[65]</w:t>
      </w:r>
      <w:r w:rsidRPr="00D6331E">
        <w:rPr>
          <w:rFonts w:cs="Times New Roman"/>
          <w:noProof/>
          <w:szCs w:val="24"/>
        </w:rPr>
        <w:tab/>
        <w:t>(No Title) [Internet]. [2020 May 31]. Available from: https://www.nrel.gov/docs/fy11osti/52172.pdf</w:t>
      </w:r>
    </w:p>
    <w:p w14:paraId="066B102E"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[66]</w:t>
      </w:r>
      <w:r w:rsidRPr="00D6331E">
        <w:rPr>
          <w:rFonts w:cs="Times New Roman"/>
          <w:noProof/>
          <w:szCs w:val="24"/>
        </w:rPr>
        <w:tab/>
        <w:t xml:space="preserve">States Department of Energy U. Combined Heat and Power Technology Fact Sheet Series ADVANCED MANUFACTURING OFFICE. </w:t>
      </w:r>
    </w:p>
    <w:p w14:paraId="54585B5F"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[67]</w:t>
      </w:r>
      <w:r w:rsidRPr="00D6331E">
        <w:rPr>
          <w:rFonts w:cs="Times New Roman"/>
          <w:noProof/>
          <w:szCs w:val="24"/>
        </w:rPr>
        <w:tab/>
        <w:t>Magnesium Nitrate Hexahydrate | AMERICAN ELEMENTS ® [Internet]. [2020 Jun 4]. Available from: https://www.americanelements.com/magnesium-nitrate-hexahydrate-13446-18-9</w:t>
      </w:r>
    </w:p>
    <w:p w14:paraId="5CB64139"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[68]</w:t>
      </w:r>
      <w:r w:rsidRPr="00D6331E">
        <w:rPr>
          <w:rFonts w:cs="Times New Roman"/>
          <w:noProof/>
          <w:szCs w:val="24"/>
        </w:rPr>
        <w:tab/>
        <w:t xml:space="preserve">Zalba B, Marín JM, Cabeza LF, Mehling H. Review on thermal energy </w:t>
      </w:r>
      <w:r w:rsidRPr="00D6331E">
        <w:rPr>
          <w:rFonts w:cs="Times New Roman"/>
          <w:noProof/>
          <w:szCs w:val="24"/>
        </w:rPr>
        <w:lastRenderedPageBreak/>
        <w:t xml:space="preserve">storage with phase change: Materials, heat transfer analysis and applications. Vol. 23, Applied Thermal Engineering. Pergamon; 2003. p. 251–83. </w:t>
      </w:r>
    </w:p>
    <w:p w14:paraId="56F10F4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[69]</w:t>
      </w:r>
      <w:r w:rsidRPr="00D6331E">
        <w:rPr>
          <w:rFonts w:cs="Times New Roman"/>
          <w:noProof/>
          <w:szCs w:val="24"/>
        </w:rPr>
        <w:tab/>
        <w:t xml:space="preserve">Bhattacharya A, Calmidi V V., Mahajan RL. Thermophysical properties of high porosity metal foams. International Journal of Heat and Mass Transfer. 2002 Jan 8;45(5):1017–31. </w:t>
      </w:r>
    </w:p>
    <w:p w14:paraId="78E331DD"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[70]</w:t>
      </w:r>
      <w:r w:rsidRPr="00D6331E">
        <w:rPr>
          <w:rFonts w:cs="Times New Roman"/>
          <w:noProof/>
          <w:szCs w:val="24"/>
        </w:rPr>
        <w:tab/>
        <w:t>Quarter (Q1, Q2, Q3, Q4) Definition [Internet]. [2020 Jun 2]. Available from: https://www.investopedia.com/terms/q/quarter.asp</w:t>
      </w:r>
    </w:p>
    <w:p w14:paraId="3EFCD1CA"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[71]</w:t>
      </w:r>
      <w:r w:rsidRPr="00D6331E">
        <w:rPr>
          <w:rFonts w:cs="Times New Roman"/>
          <w:noProof/>
          <w:szCs w:val="24"/>
        </w:rPr>
        <w:tab/>
        <w:t>EIA - Electricity Data [Internet]. [2020 Jun 2]. Available from: https://www.eia.gov/electricity/monthly/epm_table_grapher.php?t=epmt_5_6_a</w:t>
      </w:r>
    </w:p>
    <w:p w14:paraId="0408F872" w14:textId="77777777" w:rsidR="00D6331E" w:rsidRPr="00D6331E" w:rsidRDefault="00D6331E" w:rsidP="008664CD">
      <w:pPr>
        <w:widowControl w:val="0"/>
        <w:autoSpaceDE w:val="0"/>
        <w:autoSpaceDN w:val="0"/>
        <w:adjustRightInd w:val="0"/>
        <w:ind w:left="640" w:hanging="640"/>
        <w:jc w:val="left"/>
        <w:rPr>
          <w:rFonts w:cs="Times New Roman"/>
          <w:noProof/>
          <w:szCs w:val="24"/>
        </w:rPr>
      </w:pPr>
      <w:r w:rsidRPr="00D6331E">
        <w:rPr>
          <w:rFonts w:cs="Times New Roman"/>
          <w:noProof/>
          <w:szCs w:val="24"/>
        </w:rPr>
        <w:t>[72]</w:t>
      </w:r>
      <w:r w:rsidRPr="00D6331E">
        <w:rPr>
          <w:rFonts w:cs="Times New Roman"/>
          <w:noProof/>
          <w:szCs w:val="24"/>
        </w:rPr>
        <w:tab/>
        <w:t>Calculate Energy Usage with EMS’ Energy Tools [Internet]. [2020 Jun 2]. Available from: http://www.emsenergy.com/energy-tools/</w:t>
      </w:r>
    </w:p>
    <w:p w14:paraId="672FDA85" w14:textId="77777777" w:rsidR="00D6331E" w:rsidRPr="00D6331E" w:rsidRDefault="00D6331E" w:rsidP="008664CD">
      <w:pPr>
        <w:widowControl w:val="0"/>
        <w:autoSpaceDE w:val="0"/>
        <w:autoSpaceDN w:val="0"/>
        <w:adjustRightInd w:val="0"/>
        <w:ind w:left="640" w:hanging="640"/>
        <w:jc w:val="left"/>
        <w:rPr>
          <w:noProof/>
        </w:rPr>
      </w:pPr>
      <w:r w:rsidRPr="00D6331E">
        <w:rPr>
          <w:rFonts w:cs="Times New Roman"/>
          <w:noProof/>
          <w:szCs w:val="24"/>
        </w:rPr>
        <w:t>[73]</w:t>
      </w:r>
      <w:r w:rsidRPr="00D6331E">
        <w:rPr>
          <w:rFonts w:cs="Times New Roman"/>
          <w:noProof/>
          <w:szCs w:val="24"/>
        </w:rPr>
        <w:tab/>
        <w:t xml:space="preserve">Alva G, Lin Y, Fang G. An overview of thermal energy storage systems. Vol. 144, Energy. Elsevier Ltd; 2018. p. 341–78. </w:t>
      </w:r>
    </w:p>
    <w:p w14:paraId="124838E6" w14:textId="166E0C4C" w:rsidR="00DB3DC6" w:rsidRPr="0015600B" w:rsidRDefault="00DB3DC6" w:rsidP="008664CD">
      <w:pPr>
        <w:jc w:val="left"/>
        <w:sectPr w:rsidR="00DB3DC6" w:rsidRPr="0015600B" w:rsidSect="002962D0">
          <w:headerReference w:type="default" r:id="rId58"/>
          <w:pgSz w:w="12240" w:h="15840"/>
          <w:pgMar w:top="1440" w:right="1440" w:bottom="1440" w:left="2160" w:header="720" w:footer="720" w:gutter="0"/>
          <w:cols w:space="720"/>
          <w:docGrid w:linePitch="326"/>
        </w:sectPr>
      </w:pPr>
      <w:r w:rsidRPr="0015600B">
        <w:fldChar w:fldCharType="end"/>
      </w:r>
    </w:p>
    <w:p w14:paraId="5D886BB7" w14:textId="10ADC32D" w:rsidR="00BF09FB" w:rsidRDefault="00DB3DC6" w:rsidP="00026817">
      <w:pPr>
        <w:pStyle w:val="Heading1"/>
        <w:numPr>
          <w:ilvl w:val="0"/>
          <w:numId w:val="0"/>
        </w:numPr>
      </w:pPr>
      <w:bookmarkStart w:id="269" w:name="_Toc43877999"/>
      <w:bookmarkStart w:id="270" w:name="_Toc47467742"/>
      <w:bookmarkEnd w:id="17"/>
      <w:bookmarkEnd w:id="18"/>
      <w:r w:rsidRPr="0015600B">
        <w:lastRenderedPageBreak/>
        <w:t>APPENDIX</w:t>
      </w:r>
      <w:bookmarkEnd w:id="269"/>
      <w:bookmarkEnd w:id="270"/>
    </w:p>
    <w:p w14:paraId="213458FA" w14:textId="2669A4AE" w:rsidR="000C7020" w:rsidRDefault="000C7020" w:rsidP="0056014D">
      <w:pPr>
        <w:pStyle w:val="Heading3"/>
      </w:pPr>
      <w:bookmarkStart w:id="271" w:name="_Toc43878000"/>
      <w:r>
        <w:t xml:space="preserve">Tables </w:t>
      </w:r>
    </w:p>
    <w:p w14:paraId="41FC462E" w14:textId="0D57E1D5" w:rsidR="000C7020" w:rsidRPr="0015600B" w:rsidRDefault="008E5274" w:rsidP="008E5274">
      <w:pPr>
        <w:ind w:left="720" w:firstLine="0"/>
      </w:pPr>
      <w:r>
        <w:t xml:space="preserve">T1. </w:t>
      </w:r>
      <w:r w:rsidR="001F528F">
        <w:t>Solar utilization ratio</w:t>
      </w:r>
    </w:p>
    <w:tbl>
      <w:tblPr>
        <w:tblW w:w="8087" w:type="dxa"/>
        <w:jc w:val="center"/>
        <w:tblBorders>
          <w:top w:val="single" w:sz="12" w:space="0" w:color="auto"/>
          <w:bottom w:val="single" w:sz="12" w:space="0" w:color="auto"/>
        </w:tblBorders>
        <w:tblLook w:val="04A0" w:firstRow="1" w:lastRow="0" w:firstColumn="1" w:lastColumn="0" w:noHBand="0" w:noVBand="1"/>
      </w:tblPr>
      <w:tblGrid>
        <w:gridCol w:w="1659"/>
        <w:gridCol w:w="1090"/>
        <w:gridCol w:w="1173"/>
        <w:gridCol w:w="1402"/>
        <w:gridCol w:w="1463"/>
        <w:gridCol w:w="1373"/>
      </w:tblGrid>
      <w:tr w:rsidR="000C7020" w:rsidRPr="0015600B" w14:paraId="45DC18F9" w14:textId="77777777" w:rsidTr="00003D85">
        <w:trPr>
          <w:trHeight w:val="287"/>
          <w:jc w:val="center"/>
        </w:trPr>
        <w:tc>
          <w:tcPr>
            <w:tcW w:w="1613" w:type="dxa"/>
            <w:tcBorders>
              <w:top w:val="single" w:sz="12" w:space="0" w:color="auto"/>
              <w:bottom w:val="single" w:sz="12" w:space="0" w:color="auto"/>
            </w:tcBorders>
            <w:shd w:val="clear" w:color="auto" w:fill="auto"/>
            <w:noWrap/>
            <w:vAlign w:val="bottom"/>
            <w:hideMark/>
          </w:tcPr>
          <w:p w14:paraId="061D2B21" w14:textId="77777777" w:rsidR="000C7020" w:rsidRPr="0015600B" w:rsidRDefault="000C7020" w:rsidP="00003D85">
            <w:pPr>
              <w:spacing w:line="240" w:lineRule="auto"/>
              <w:ind w:firstLine="0"/>
              <w:jc w:val="left"/>
            </w:pPr>
            <w:r w:rsidRPr="0015600B">
              <w:t xml:space="preserve">City </w:t>
            </w:r>
          </w:p>
        </w:tc>
        <w:tc>
          <w:tcPr>
            <w:tcW w:w="1090" w:type="dxa"/>
            <w:tcBorders>
              <w:top w:val="single" w:sz="12" w:space="0" w:color="auto"/>
              <w:bottom w:val="single" w:sz="12" w:space="0" w:color="auto"/>
            </w:tcBorders>
            <w:shd w:val="clear" w:color="auto" w:fill="auto"/>
            <w:noWrap/>
            <w:vAlign w:val="bottom"/>
            <w:hideMark/>
          </w:tcPr>
          <w:p w14:paraId="280C515A" w14:textId="77777777" w:rsidR="000C7020" w:rsidRPr="0015600B" w:rsidRDefault="000C7020" w:rsidP="00003D85">
            <w:pPr>
              <w:spacing w:line="240" w:lineRule="auto"/>
              <w:ind w:firstLine="0"/>
              <w:jc w:val="left"/>
            </w:pPr>
            <w:r w:rsidRPr="0015600B">
              <w:t>TES (kWh)</w:t>
            </w:r>
          </w:p>
        </w:tc>
        <w:tc>
          <w:tcPr>
            <w:tcW w:w="1146" w:type="dxa"/>
            <w:tcBorders>
              <w:top w:val="single" w:sz="12" w:space="0" w:color="auto"/>
              <w:bottom w:val="single" w:sz="12" w:space="0" w:color="auto"/>
            </w:tcBorders>
            <w:shd w:val="clear" w:color="auto" w:fill="auto"/>
            <w:noWrap/>
            <w:vAlign w:val="bottom"/>
            <w:hideMark/>
          </w:tcPr>
          <w:p w14:paraId="7B99C4A8" w14:textId="77777777" w:rsidR="000C7020" w:rsidRPr="0015600B" w:rsidRDefault="000C7020" w:rsidP="00003D85">
            <w:pPr>
              <w:spacing w:line="240" w:lineRule="auto"/>
              <w:ind w:firstLine="0"/>
              <w:jc w:val="left"/>
            </w:pPr>
            <w:r w:rsidRPr="0015600B">
              <w:t>Collector area (m</w:t>
            </w:r>
            <w:r w:rsidRPr="0015600B">
              <w:rPr>
                <w:vertAlign w:val="superscript"/>
              </w:rPr>
              <w:t>2</w:t>
            </w:r>
            <w:r w:rsidRPr="0015600B">
              <w:t>)</w:t>
            </w:r>
          </w:p>
        </w:tc>
        <w:tc>
          <w:tcPr>
            <w:tcW w:w="1402" w:type="dxa"/>
            <w:tcBorders>
              <w:top w:val="single" w:sz="12" w:space="0" w:color="auto"/>
              <w:bottom w:val="single" w:sz="12" w:space="0" w:color="auto"/>
            </w:tcBorders>
            <w:shd w:val="clear" w:color="auto" w:fill="auto"/>
            <w:noWrap/>
            <w:vAlign w:val="bottom"/>
            <w:hideMark/>
          </w:tcPr>
          <w:p w14:paraId="551A4E80" w14:textId="77777777" w:rsidR="000C7020" w:rsidRPr="0015600B" w:rsidRDefault="000C7020" w:rsidP="00003D85">
            <w:pPr>
              <w:spacing w:line="240" w:lineRule="auto"/>
              <w:ind w:firstLine="0"/>
              <w:jc w:val="left"/>
            </w:pPr>
            <w:r w:rsidRPr="0015600B">
              <w:t>Energy saving</w:t>
            </w:r>
            <w:r>
              <w:t>s</w:t>
            </w:r>
            <w:r w:rsidRPr="0015600B">
              <w:t xml:space="preserve"> per unit PCM mass (kWh/kg)</w:t>
            </w:r>
          </w:p>
        </w:tc>
        <w:tc>
          <w:tcPr>
            <w:tcW w:w="1463" w:type="dxa"/>
            <w:tcBorders>
              <w:top w:val="single" w:sz="12" w:space="0" w:color="auto"/>
              <w:bottom w:val="single" w:sz="12" w:space="0" w:color="auto"/>
            </w:tcBorders>
            <w:shd w:val="clear" w:color="auto" w:fill="auto"/>
            <w:noWrap/>
            <w:vAlign w:val="bottom"/>
            <w:hideMark/>
          </w:tcPr>
          <w:p w14:paraId="6D426CDF" w14:textId="77777777" w:rsidR="000C7020" w:rsidRPr="0015600B" w:rsidRDefault="000C7020" w:rsidP="00003D85">
            <w:pPr>
              <w:spacing w:line="240" w:lineRule="auto"/>
              <w:ind w:firstLine="0"/>
              <w:jc w:val="left"/>
            </w:pPr>
            <w:r w:rsidRPr="0015600B">
              <w:t>Energy saving</w:t>
            </w:r>
            <w:r>
              <w:t>s</w:t>
            </w:r>
            <w:r w:rsidRPr="0015600B">
              <w:t xml:space="preserve"> per unit area (kWh/m</w:t>
            </w:r>
            <w:r w:rsidRPr="0015600B">
              <w:rPr>
                <w:vertAlign w:val="superscript"/>
              </w:rPr>
              <w:t>2</w:t>
            </w:r>
            <w:r w:rsidRPr="0015600B">
              <w:t>)</w:t>
            </w:r>
          </w:p>
        </w:tc>
        <w:tc>
          <w:tcPr>
            <w:tcW w:w="1373" w:type="dxa"/>
            <w:tcBorders>
              <w:top w:val="single" w:sz="12" w:space="0" w:color="auto"/>
              <w:bottom w:val="single" w:sz="12" w:space="0" w:color="auto"/>
            </w:tcBorders>
            <w:shd w:val="clear" w:color="auto" w:fill="auto"/>
            <w:noWrap/>
            <w:vAlign w:val="bottom"/>
            <w:hideMark/>
          </w:tcPr>
          <w:p w14:paraId="2857A831" w14:textId="77777777" w:rsidR="000C7020" w:rsidRPr="0015600B" w:rsidRDefault="000C7020" w:rsidP="00003D85">
            <w:pPr>
              <w:spacing w:line="240" w:lineRule="auto"/>
              <w:ind w:firstLine="0"/>
              <w:jc w:val="left"/>
            </w:pPr>
            <w:r w:rsidRPr="0015600B">
              <w:t>Solar utilization ratio</w:t>
            </w:r>
          </w:p>
        </w:tc>
      </w:tr>
      <w:tr w:rsidR="000C7020" w:rsidRPr="0015600B" w14:paraId="4A180163" w14:textId="77777777" w:rsidTr="00003D85">
        <w:trPr>
          <w:trHeight w:val="287"/>
          <w:jc w:val="center"/>
        </w:trPr>
        <w:tc>
          <w:tcPr>
            <w:tcW w:w="1613" w:type="dxa"/>
            <w:vMerge w:val="restart"/>
            <w:tcBorders>
              <w:top w:val="single" w:sz="12" w:space="0" w:color="auto"/>
            </w:tcBorders>
            <w:shd w:val="clear" w:color="auto" w:fill="auto"/>
            <w:vAlign w:val="center"/>
            <w:hideMark/>
          </w:tcPr>
          <w:p w14:paraId="27B6D2A3" w14:textId="77777777" w:rsidR="000C7020" w:rsidRPr="0015600B" w:rsidRDefault="000C7020" w:rsidP="00003D85">
            <w:pPr>
              <w:spacing w:line="240" w:lineRule="auto"/>
              <w:ind w:firstLine="0"/>
            </w:pPr>
            <w:r w:rsidRPr="0015600B">
              <w:t>Miami, FL</w:t>
            </w:r>
          </w:p>
        </w:tc>
        <w:tc>
          <w:tcPr>
            <w:tcW w:w="1090" w:type="dxa"/>
            <w:tcBorders>
              <w:top w:val="single" w:sz="12" w:space="0" w:color="auto"/>
            </w:tcBorders>
            <w:shd w:val="clear" w:color="auto" w:fill="auto"/>
            <w:noWrap/>
            <w:vAlign w:val="center"/>
            <w:hideMark/>
          </w:tcPr>
          <w:p w14:paraId="2BBB8A50" w14:textId="77777777" w:rsidR="000C7020" w:rsidRPr="0015600B" w:rsidRDefault="000C7020" w:rsidP="00003D85">
            <w:pPr>
              <w:spacing w:line="240" w:lineRule="auto"/>
              <w:ind w:firstLine="0"/>
            </w:pPr>
            <w:r>
              <w:t>0</w:t>
            </w:r>
            <w:r w:rsidRPr="0015600B">
              <w:t>7.46</w:t>
            </w:r>
          </w:p>
        </w:tc>
        <w:tc>
          <w:tcPr>
            <w:tcW w:w="1146" w:type="dxa"/>
            <w:tcBorders>
              <w:top w:val="single" w:sz="12" w:space="0" w:color="auto"/>
            </w:tcBorders>
            <w:shd w:val="clear" w:color="auto" w:fill="auto"/>
            <w:noWrap/>
            <w:vAlign w:val="center"/>
            <w:hideMark/>
          </w:tcPr>
          <w:p w14:paraId="54B5E365" w14:textId="77777777" w:rsidR="000C7020" w:rsidRPr="0015600B" w:rsidRDefault="000C7020" w:rsidP="00003D85">
            <w:pPr>
              <w:spacing w:line="240" w:lineRule="auto"/>
              <w:ind w:firstLine="0"/>
            </w:pPr>
            <w:r>
              <w:t>0</w:t>
            </w:r>
            <w:r w:rsidRPr="0015600B">
              <w:t>8.04</w:t>
            </w:r>
          </w:p>
        </w:tc>
        <w:tc>
          <w:tcPr>
            <w:tcW w:w="1402" w:type="dxa"/>
            <w:tcBorders>
              <w:top w:val="single" w:sz="12" w:space="0" w:color="auto"/>
            </w:tcBorders>
            <w:shd w:val="clear" w:color="auto" w:fill="auto"/>
            <w:noWrap/>
            <w:hideMark/>
          </w:tcPr>
          <w:p w14:paraId="60E18CB4" w14:textId="77777777" w:rsidR="000C7020" w:rsidRPr="0015600B" w:rsidRDefault="000C7020" w:rsidP="00003D85">
            <w:pPr>
              <w:spacing w:line="240" w:lineRule="auto"/>
              <w:ind w:firstLine="0"/>
            </w:pPr>
            <w:r w:rsidRPr="0015600B">
              <w:t>39.44</w:t>
            </w:r>
          </w:p>
        </w:tc>
        <w:tc>
          <w:tcPr>
            <w:tcW w:w="1463" w:type="dxa"/>
            <w:tcBorders>
              <w:top w:val="single" w:sz="12" w:space="0" w:color="auto"/>
            </w:tcBorders>
            <w:shd w:val="clear" w:color="auto" w:fill="auto"/>
            <w:noWrap/>
            <w:hideMark/>
          </w:tcPr>
          <w:p w14:paraId="47DFCEA0" w14:textId="77777777" w:rsidR="000C7020" w:rsidRPr="0015600B" w:rsidRDefault="000C7020" w:rsidP="00003D85">
            <w:pPr>
              <w:spacing w:line="240" w:lineRule="auto"/>
              <w:ind w:firstLine="0"/>
            </w:pPr>
            <w:r w:rsidRPr="0015600B">
              <w:t>828.54</w:t>
            </w:r>
          </w:p>
        </w:tc>
        <w:tc>
          <w:tcPr>
            <w:tcW w:w="1373" w:type="dxa"/>
            <w:tcBorders>
              <w:top w:val="single" w:sz="12" w:space="0" w:color="auto"/>
            </w:tcBorders>
            <w:shd w:val="clear" w:color="auto" w:fill="auto"/>
            <w:noWrap/>
            <w:vAlign w:val="center"/>
            <w:hideMark/>
          </w:tcPr>
          <w:p w14:paraId="7006A5EA" w14:textId="77777777" w:rsidR="000C7020" w:rsidRPr="0015600B" w:rsidRDefault="000C7020" w:rsidP="00003D85">
            <w:pPr>
              <w:spacing w:line="240" w:lineRule="auto"/>
              <w:ind w:firstLine="0"/>
            </w:pPr>
            <w:r w:rsidRPr="0015600B">
              <w:t>0.80</w:t>
            </w:r>
          </w:p>
        </w:tc>
      </w:tr>
      <w:tr w:rsidR="000C7020" w:rsidRPr="0015600B" w14:paraId="5DED778D" w14:textId="77777777" w:rsidTr="00003D85">
        <w:trPr>
          <w:trHeight w:val="287"/>
          <w:jc w:val="center"/>
        </w:trPr>
        <w:tc>
          <w:tcPr>
            <w:tcW w:w="1613" w:type="dxa"/>
            <w:vMerge/>
            <w:vAlign w:val="center"/>
            <w:hideMark/>
          </w:tcPr>
          <w:p w14:paraId="15FA04B7" w14:textId="77777777" w:rsidR="000C7020" w:rsidRPr="0015600B" w:rsidRDefault="000C7020" w:rsidP="00003D85">
            <w:pPr>
              <w:spacing w:line="240" w:lineRule="auto"/>
              <w:ind w:firstLine="0"/>
            </w:pPr>
          </w:p>
        </w:tc>
        <w:tc>
          <w:tcPr>
            <w:tcW w:w="1090" w:type="dxa"/>
            <w:shd w:val="clear" w:color="auto" w:fill="auto"/>
            <w:noWrap/>
            <w:vAlign w:val="center"/>
            <w:hideMark/>
          </w:tcPr>
          <w:p w14:paraId="33939A7A" w14:textId="77777777" w:rsidR="000C7020" w:rsidRPr="0015600B" w:rsidRDefault="000C7020" w:rsidP="00003D85">
            <w:pPr>
              <w:spacing w:line="240" w:lineRule="auto"/>
              <w:ind w:firstLine="0"/>
            </w:pPr>
            <w:r w:rsidRPr="0015600B">
              <w:t>14.91</w:t>
            </w:r>
          </w:p>
        </w:tc>
        <w:tc>
          <w:tcPr>
            <w:tcW w:w="1146" w:type="dxa"/>
            <w:shd w:val="clear" w:color="auto" w:fill="auto"/>
            <w:vAlign w:val="center"/>
            <w:hideMark/>
          </w:tcPr>
          <w:p w14:paraId="409A046D" w14:textId="77777777" w:rsidR="000C7020" w:rsidRPr="0015600B" w:rsidRDefault="000C7020" w:rsidP="00003D85">
            <w:pPr>
              <w:spacing w:line="240" w:lineRule="auto"/>
              <w:ind w:firstLine="0"/>
            </w:pPr>
            <w:r w:rsidRPr="0015600B">
              <w:t>16.07</w:t>
            </w:r>
          </w:p>
        </w:tc>
        <w:tc>
          <w:tcPr>
            <w:tcW w:w="1402" w:type="dxa"/>
            <w:shd w:val="clear" w:color="auto" w:fill="auto"/>
            <w:noWrap/>
            <w:hideMark/>
          </w:tcPr>
          <w:p w14:paraId="6FA895B9" w14:textId="77777777" w:rsidR="000C7020" w:rsidRPr="0015600B" w:rsidRDefault="000C7020" w:rsidP="00003D85">
            <w:pPr>
              <w:spacing w:line="240" w:lineRule="auto"/>
              <w:ind w:firstLine="0"/>
            </w:pPr>
            <w:r w:rsidRPr="0015600B">
              <w:t>31.02</w:t>
            </w:r>
          </w:p>
        </w:tc>
        <w:tc>
          <w:tcPr>
            <w:tcW w:w="1463" w:type="dxa"/>
            <w:shd w:val="clear" w:color="auto" w:fill="auto"/>
            <w:noWrap/>
            <w:hideMark/>
          </w:tcPr>
          <w:p w14:paraId="3184C907" w14:textId="77777777" w:rsidR="000C7020" w:rsidRPr="0015600B" w:rsidRDefault="000C7020" w:rsidP="00003D85">
            <w:pPr>
              <w:spacing w:line="240" w:lineRule="auto"/>
              <w:ind w:firstLine="0"/>
            </w:pPr>
            <w:r w:rsidRPr="0015600B">
              <w:t>651.64</w:t>
            </w:r>
          </w:p>
        </w:tc>
        <w:tc>
          <w:tcPr>
            <w:tcW w:w="1373" w:type="dxa"/>
            <w:shd w:val="clear" w:color="auto" w:fill="auto"/>
            <w:noWrap/>
            <w:vAlign w:val="center"/>
            <w:hideMark/>
          </w:tcPr>
          <w:p w14:paraId="4E20DDE5" w14:textId="77777777" w:rsidR="000C7020" w:rsidRPr="0015600B" w:rsidRDefault="000C7020" w:rsidP="00003D85">
            <w:pPr>
              <w:spacing w:line="240" w:lineRule="auto"/>
              <w:ind w:firstLine="0"/>
            </w:pPr>
            <w:r w:rsidRPr="0015600B">
              <w:t>0.63</w:t>
            </w:r>
          </w:p>
        </w:tc>
      </w:tr>
      <w:tr w:rsidR="000C7020" w:rsidRPr="0015600B" w14:paraId="6919E972" w14:textId="77777777" w:rsidTr="00003D85">
        <w:trPr>
          <w:trHeight w:val="287"/>
          <w:jc w:val="center"/>
        </w:trPr>
        <w:tc>
          <w:tcPr>
            <w:tcW w:w="1613" w:type="dxa"/>
            <w:vMerge/>
            <w:tcBorders>
              <w:bottom w:val="single" w:sz="4" w:space="0" w:color="auto"/>
            </w:tcBorders>
            <w:vAlign w:val="center"/>
            <w:hideMark/>
          </w:tcPr>
          <w:p w14:paraId="7A10427F"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5CD40004" w14:textId="77777777" w:rsidR="000C7020" w:rsidRPr="0015600B" w:rsidRDefault="000C7020" w:rsidP="00003D85">
            <w:pPr>
              <w:spacing w:line="240" w:lineRule="auto"/>
              <w:ind w:firstLine="0"/>
            </w:pPr>
            <w:r w:rsidRPr="0015600B">
              <w:t>22.37</w:t>
            </w:r>
          </w:p>
        </w:tc>
        <w:tc>
          <w:tcPr>
            <w:tcW w:w="1146" w:type="dxa"/>
            <w:tcBorders>
              <w:bottom w:val="single" w:sz="4" w:space="0" w:color="auto"/>
            </w:tcBorders>
            <w:shd w:val="clear" w:color="auto" w:fill="auto"/>
            <w:noWrap/>
            <w:vAlign w:val="center"/>
            <w:hideMark/>
          </w:tcPr>
          <w:p w14:paraId="4C117949" w14:textId="77777777" w:rsidR="000C7020" w:rsidRPr="0015600B" w:rsidRDefault="000C7020" w:rsidP="00003D85">
            <w:pPr>
              <w:spacing w:line="240" w:lineRule="auto"/>
              <w:ind w:firstLine="0"/>
            </w:pPr>
            <w:r w:rsidRPr="0015600B">
              <w:t>24.11</w:t>
            </w:r>
          </w:p>
        </w:tc>
        <w:tc>
          <w:tcPr>
            <w:tcW w:w="1402" w:type="dxa"/>
            <w:tcBorders>
              <w:bottom w:val="single" w:sz="4" w:space="0" w:color="auto"/>
            </w:tcBorders>
            <w:shd w:val="clear" w:color="auto" w:fill="auto"/>
            <w:noWrap/>
            <w:hideMark/>
          </w:tcPr>
          <w:p w14:paraId="5566CB92" w14:textId="77777777" w:rsidR="000C7020" w:rsidRPr="0015600B" w:rsidRDefault="000C7020" w:rsidP="00003D85">
            <w:pPr>
              <w:spacing w:line="240" w:lineRule="auto"/>
              <w:ind w:firstLine="0"/>
            </w:pPr>
            <w:r w:rsidRPr="0015600B">
              <w:t>25.74</w:t>
            </w:r>
          </w:p>
        </w:tc>
        <w:tc>
          <w:tcPr>
            <w:tcW w:w="1463" w:type="dxa"/>
            <w:tcBorders>
              <w:bottom w:val="single" w:sz="4" w:space="0" w:color="auto"/>
            </w:tcBorders>
            <w:shd w:val="clear" w:color="auto" w:fill="auto"/>
            <w:noWrap/>
            <w:hideMark/>
          </w:tcPr>
          <w:p w14:paraId="639C8903" w14:textId="77777777" w:rsidR="000C7020" w:rsidRPr="0015600B" w:rsidRDefault="000C7020" w:rsidP="00003D85">
            <w:pPr>
              <w:spacing w:line="240" w:lineRule="auto"/>
              <w:ind w:firstLine="0"/>
            </w:pPr>
            <w:r w:rsidRPr="0015600B">
              <w:t>540.71</w:t>
            </w:r>
          </w:p>
        </w:tc>
        <w:tc>
          <w:tcPr>
            <w:tcW w:w="1373" w:type="dxa"/>
            <w:tcBorders>
              <w:bottom w:val="single" w:sz="4" w:space="0" w:color="auto"/>
            </w:tcBorders>
            <w:shd w:val="clear" w:color="auto" w:fill="auto"/>
            <w:noWrap/>
            <w:vAlign w:val="center"/>
            <w:hideMark/>
          </w:tcPr>
          <w:p w14:paraId="0741244A" w14:textId="77777777" w:rsidR="000C7020" w:rsidRPr="0015600B" w:rsidRDefault="000C7020" w:rsidP="00003D85">
            <w:pPr>
              <w:spacing w:line="240" w:lineRule="auto"/>
              <w:ind w:firstLine="0"/>
            </w:pPr>
            <w:r w:rsidRPr="0015600B">
              <w:t>0.52</w:t>
            </w:r>
          </w:p>
        </w:tc>
      </w:tr>
      <w:tr w:rsidR="000C7020" w:rsidRPr="0015600B" w14:paraId="43BDC793" w14:textId="77777777" w:rsidTr="00003D85">
        <w:trPr>
          <w:trHeight w:val="287"/>
          <w:jc w:val="center"/>
        </w:trPr>
        <w:tc>
          <w:tcPr>
            <w:tcW w:w="1613" w:type="dxa"/>
            <w:vMerge w:val="restart"/>
            <w:tcBorders>
              <w:top w:val="single" w:sz="4" w:space="0" w:color="auto"/>
              <w:bottom w:val="nil"/>
            </w:tcBorders>
            <w:shd w:val="clear" w:color="auto" w:fill="auto"/>
            <w:vAlign w:val="center"/>
            <w:hideMark/>
          </w:tcPr>
          <w:p w14:paraId="221DADF5" w14:textId="77777777" w:rsidR="000C7020" w:rsidRPr="0015600B" w:rsidRDefault="000C7020" w:rsidP="00003D85">
            <w:pPr>
              <w:spacing w:line="240" w:lineRule="auto"/>
              <w:ind w:firstLine="0"/>
            </w:pPr>
            <w:r w:rsidRPr="0015600B">
              <w:t>Duluth, MN</w:t>
            </w:r>
          </w:p>
        </w:tc>
        <w:tc>
          <w:tcPr>
            <w:tcW w:w="1090" w:type="dxa"/>
            <w:tcBorders>
              <w:top w:val="single" w:sz="4" w:space="0" w:color="auto"/>
              <w:bottom w:val="nil"/>
            </w:tcBorders>
            <w:shd w:val="clear" w:color="auto" w:fill="auto"/>
            <w:noWrap/>
            <w:vAlign w:val="center"/>
            <w:hideMark/>
          </w:tcPr>
          <w:p w14:paraId="67A746ED" w14:textId="77777777" w:rsidR="000C7020" w:rsidRPr="0015600B" w:rsidRDefault="000C7020" w:rsidP="00003D85">
            <w:pPr>
              <w:spacing w:line="240" w:lineRule="auto"/>
              <w:ind w:firstLine="0"/>
            </w:pPr>
            <w:r w:rsidRPr="0015600B">
              <w:t>26.94</w:t>
            </w:r>
          </w:p>
        </w:tc>
        <w:tc>
          <w:tcPr>
            <w:tcW w:w="1146" w:type="dxa"/>
            <w:tcBorders>
              <w:top w:val="single" w:sz="4" w:space="0" w:color="auto"/>
              <w:bottom w:val="nil"/>
            </w:tcBorders>
            <w:shd w:val="clear" w:color="auto" w:fill="auto"/>
            <w:noWrap/>
            <w:vAlign w:val="center"/>
            <w:hideMark/>
          </w:tcPr>
          <w:p w14:paraId="1758D169" w14:textId="77777777" w:rsidR="000C7020" w:rsidRPr="0015600B" w:rsidRDefault="000C7020" w:rsidP="00003D85">
            <w:pPr>
              <w:spacing w:line="240" w:lineRule="auto"/>
              <w:ind w:firstLine="0"/>
            </w:pPr>
            <w:r>
              <w:t>0</w:t>
            </w:r>
            <w:r w:rsidRPr="0015600B">
              <w:t>78.46</w:t>
            </w:r>
          </w:p>
        </w:tc>
        <w:tc>
          <w:tcPr>
            <w:tcW w:w="1402" w:type="dxa"/>
            <w:tcBorders>
              <w:top w:val="single" w:sz="4" w:space="0" w:color="auto"/>
              <w:bottom w:val="nil"/>
            </w:tcBorders>
            <w:shd w:val="clear" w:color="auto" w:fill="auto"/>
            <w:noWrap/>
            <w:hideMark/>
          </w:tcPr>
          <w:p w14:paraId="45665E6B" w14:textId="77777777" w:rsidR="000C7020" w:rsidRPr="0015600B" w:rsidRDefault="000C7020" w:rsidP="00003D85">
            <w:pPr>
              <w:spacing w:line="240" w:lineRule="auto"/>
              <w:ind w:firstLine="0"/>
            </w:pPr>
            <w:r w:rsidRPr="0015600B">
              <w:t>35.57</w:t>
            </w:r>
          </w:p>
        </w:tc>
        <w:tc>
          <w:tcPr>
            <w:tcW w:w="1463" w:type="dxa"/>
            <w:tcBorders>
              <w:top w:val="single" w:sz="4" w:space="0" w:color="auto"/>
              <w:bottom w:val="nil"/>
            </w:tcBorders>
            <w:shd w:val="clear" w:color="auto" w:fill="auto"/>
            <w:noWrap/>
            <w:hideMark/>
          </w:tcPr>
          <w:p w14:paraId="03410E55" w14:textId="77777777" w:rsidR="000C7020" w:rsidRPr="0015600B" w:rsidRDefault="000C7020" w:rsidP="00003D85">
            <w:pPr>
              <w:spacing w:line="240" w:lineRule="auto"/>
              <w:ind w:firstLine="0"/>
            </w:pPr>
            <w:r w:rsidRPr="0015600B">
              <w:t>408.62</w:t>
            </w:r>
          </w:p>
        </w:tc>
        <w:tc>
          <w:tcPr>
            <w:tcW w:w="1373" w:type="dxa"/>
            <w:tcBorders>
              <w:top w:val="single" w:sz="4" w:space="0" w:color="auto"/>
              <w:bottom w:val="nil"/>
            </w:tcBorders>
            <w:shd w:val="clear" w:color="auto" w:fill="auto"/>
            <w:noWrap/>
            <w:vAlign w:val="center"/>
            <w:hideMark/>
          </w:tcPr>
          <w:p w14:paraId="71CF9616" w14:textId="77777777" w:rsidR="000C7020" w:rsidRPr="0015600B" w:rsidRDefault="000C7020" w:rsidP="00003D85">
            <w:pPr>
              <w:spacing w:line="240" w:lineRule="auto"/>
              <w:ind w:firstLine="0"/>
            </w:pPr>
            <w:r w:rsidRPr="0015600B">
              <w:t>0.35</w:t>
            </w:r>
          </w:p>
        </w:tc>
      </w:tr>
      <w:tr w:rsidR="000C7020" w:rsidRPr="0015600B" w14:paraId="66B9BCC5" w14:textId="77777777" w:rsidTr="00003D85">
        <w:trPr>
          <w:trHeight w:val="287"/>
          <w:jc w:val="center"/>
        </w:trPr>
        <w:tc>
          <w:tcPr>
            <w:tcW w:w="1613" w:type="dxa"/>
            <w:vMerge/>
            <w:tcBorders>
              <w:top w:val="nil"/>
            </w:tcBorders>
            <w:vAlign w:val="center"/>
            <w:hideMark/>
          </w:tcPr>
          <w:p w14:paraId="629E2D70" w14:textId="77777777" w:rsidR="000C7020" w:rsidRPr="0015600B" w:rsidRDefault="000C7020" w:rsidP="00003D85">
            <w:pPr>
              <w:spacing w:line="240" w:lineRule="auto"/>
              <w:ind w:firstLine="0"/>
            </w:pPr>
          </w:p>
        </w:tc>
        <w:tc>
          <w:tcPr>
            <w:tcW w:w="1090" w:type="dxa"/>
            <w:tcBorders>
              <w:top w:val="nil"/>
            </w:tcBorders>
            <w:shd w:val="clear" w:color="auto" w:fill="auto"/>
            <w:noWrap/>
            <w:vAlign w:val="center"/>
            <w:hideMark/>
          </w:tcPr>
          <w:p w14:paraId="69421620" w14:textId="77777777" w:rsidR="000C7020" w:rsidRPr="0015600B" w:rsidRDefault="000C7020" w:rsidP="00003D85">
            <w:pPr>
              <w:spacing w:line="240" w:lineRule="auto"/>
              <w:ind w:firstLine="0"/>
            </w:pPr>
            <w:r w:rsidRPr="0015600B">
              <w:t>53.88</w:t>
            </w:r>
          </w:p>
        </w:tc>
        <w:tc>
          <w:tcPr>
            <w:tcW w:w="1146" w:type="dxa"/>
            <w:tcBorders>
              <w:top w:val="nil"/>
            </w:tcBorders>
            <w:shd w:val="clear" w:color="auto" w:fill="auto"/>
            <w:vAlign w:val="center"/>
            <w:hideMark/>
          </w:tcPr>
          <w:p w14:paraId="2757ADCE" w14:textId="77777777" w:rsidR="000C7020" w:rsidRPr="0015600B" w:rsidRDefault="000C7020" w:rsidP="00003D85">
            <w:pPr>
              <w:spacing w:line="240" w:lineRule="auto"/>
              <w:ind w:firstLine="0"/>
            </w:pPr>
            <w:r w:rsidRPr="0015600B">
              <w:t>156.92</w:t>
            </w:r>
          </w:p>
        </w:tc>
        <w:tc>
          <w:tcPr>
            <w:tcW w:w="1402" w:type="dxa"/>
            <w:tcBorders>
              <w:top w:val="nil"/>
            </w:tcBorders>
            <w:shd w:val="clear" w:color="auto" w:fill="auto"/>
            <w:noWrap/>
            <w:hideMark/>
          </w:tcPr>
          <w:p w14:paraId="69B38C0E" w14:textId="77777777" w:rsidR="000C7020" w:rsidRPr="0015600B" w:rsidRDefault="000C7020" w:rsidP="00003D85">
            <w:pPr>
              <w:spacing w:line="240" w:lineRule="auto"/>
              <w:ind w:firstLine="0"/>
            </w:pPr>
            <w:r w:rsidRPr="0015600B">
              <w:t>26.28</w:t>
            </w:r>
          </w:p>
        </w:tc>
        <w:tc>
          <w:tcPr>
            <w:tcW w:w="1463" w:type="dxa"/>
            <w:tcBorders>
              <w:top w:val="nil"/>
            </w:tcBorders>
            <w:shd w:val="clear" w:color="auto" w:fill="auto"/>
            <w:noWrap/>
            <w:hideMark/>
          </w:tcPr>
          <w:p w14:paraId="2810D539" w14:textId="77777777" w:rsidR="000C7020" w:rsidRPr="0015600B" w:rsidRDefault="000C7020" w:rsidP="00003D85">
            <w:pPr>
              <w:spacing w:line="240" w:lineRule="auto"/>
              <w:ind w:firstLine="0"/>
            </w:pPr>
            <w:r w:rsidRPr="0015600B">
              <w:t>250.50</w:t>
            </w:r>
          </w:p>
        </w:tc>
        <w:tc>
          <w:tcPr>
            <w:tcW w:w="1373" w:type="dxa"/>
            <w:tcBorders>
              <w:top w:val="nil"/>
            </w:tcBorders>
            <w:shd w:val="clear" w:color="auto" w:fill="auto"/>
            <w:noWrap/>
            <w:vAlign w:val="center"/>
            <w:hideMark/>
          </w:tcPr>
          <w:p w14:paraId="28D0A0E8" w14:textId="77777777" w:rsidR="000C7020" w:rsidRPr="0015600B" w:rsidRDefault="000C7020" w:rsidP="00003D85">
            <w:pPr>
              <w:spacing w:line="240" w:lineRule="auto"/>
              <w:ind w:firstLine="0"/>
            </w:pPr>
            <w:r w:rsidRPr="0015600B">
              <w:t>0.26</w:t>
            </w:r>
          </w:p>
        </w:tc>
      </w:tr>
      <w:tr w:rsidR="000C7020" w:rsidRPr="0015600B" w14:paraId="5EE1E592" w14:textId="77777777" w:rsidTr="00003D85">
        <w:trPr>
          <w:trHeight w:val="287"/>
          <w:jc w:val="center"/>
        </w:trPr>
        <w:tc>
          <w:tcPr>
            <w:tcW w:w="1613" w:type="dxa"/>
            <w:vMerge/>
            <w:tcBorders>
              <w:bottom w:val="single" w:sz="4" w:space="0" w:color="auto"/>
            </w:tcBorders>
            <w:vAlign w:val="center"/>
            <w:hideMark/>
          </w:tcPr>
          <w:p w14:paraId="7E8BBF42"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5235442E" w14:textId="77777777" w:rsidR="000C7020" w:rsidRPr="0015600B" w:rsidRDefault="000C7020" w:rsidP="00003D85">
            <w:pPr>
              <w:spacing w:line="240" w:lineRule="auto"/>
              <w:ind w:firstLine="0"/>
            </w:pPr>
            <w:r w:rsidRPr="0015600B">
              <w:t>80.82</w:t>
            </w:r>
          </w:p>
        </w:tc>
        <w:tc>
          <w:tcPr>
            <w:tcW w:w="1146" w:type="dxa"/>
            <w:tcBorders>
              <w:bottom w:val="single" w:sz="4" w:space="0" w:color="auto"/>
            </w:tcBorders>
            <w:shd w:val="clear" w:color="auto" w:fill="auto"/>
            <w:noWrap/>
            <w:vAlign w:val="center"/>
            <w:hideMark/>
          </w:tcPr>
          <w:p w14:paraId="608586A1" w14:textId="77777777" w:rsidR="000C7020" w:rsidRPr="0015600B" w:rsidRDefault="000C7020" w:rsidP="00003D85">
            <w:pPr>
              <w:spacing w:line="240" w:lineRule="auto"/>
              <w:ind w:firstLine="0"/>
            </w:pPr>
            <w:r w:rsidRPr="0015600B">
              <w:t>235.38</w:t>
            </w:r>
          </w:p>
        </w:tc>
        <w:tc>
          <w:tcPr>
            <w:tcW w:w="1402" w:type="dxa"/>
            <w:tcBorders>
              <w:bottom w:val="single" w:sz="4" w:space="0" w:color="auto"/>
            </w:tcBorders>
            <w:shd w:val="clear" w:color="auto" w:fill="auto"/>
            <w:noWrap/>
            <w:hideMark/>
          </w:tcPr>
          <w:p w14:paraId="7D8ABA3B" w14:textId="77777777" w:rsidR="000C7020" w:rsidRPr="0015600B" w:rsidRDefault="000C7020" w:rsidP="00003D85">
            <w:pPr>
              <w:spacing w:line="240" w:lineRule="auto"/>
              <w:ind w:firstLine="0"/>
            </w:pPr>
            <w:r w:rsidRPr="0015600B">
              <w:t>21.48</w:t>
            </w:r>
          </w:p>
        </w:tc>
        <w:tc>
          <w:tcPr>
            <w:tcW w:w="1463" w:type="dxa"/>
            <w:tcBorders>
              <w:bottom w:val="single" w:sz="4" w:space="0" w:color="auto"/>
            </w:tcBorders>
            <w:shd w:val="clear" w:color="auto" w:fill="auto"/>
            <w:noWrap/>
            <w:hideMark/>
          </w:tcPr>
          <w:p w14:paraId="4E177147" w14:textId="77777777" w:rsidR="000C7020" w:rsidRPr="0015600B" w:rsidRDefault="000C7020" w:rsidP="00003D85">
            <w:pPr>
              <w:spacing w:line="240" w:lineRule="auto"/>
              <w:ind w:firstLine="0"/>
            </w:pPr>
            <w:r w:rsidRPr="0015600B">
              <w:t>170.10</w:t>
            </w:r>
          </w:p>
        </w:tc>
        <w:tc>
          <w:tcPr>
            <w:tcW w:w="1373" w:type="dxa"/>
            <w:tcBorders>
              <w:bottom w:val="single" w:sz="4" w:space="0" w:color="auto"/>
            </w:tcBorders>
            <w:shd w:val="clear" w:color="auto" w:fill="auto"/>
            <w:noWrap/>
            <w:vAlign w:val="center"/>
            <w:hideMark/>
          </w:tcPr>
          <w:p w14:paraId="746196C4" w14:textId="77777777" w:rsidR="000C7020" w:rsidRPr="0015600B" w:rsidRDefault="000C7020" w:rsidP="00003D85">
            <w:pPr>
              <w:spacing w:line="240" w:lineRule="auto"/>
              <w:ind w:firstLine="0"/>
            </w:pPr>
            <w:r w:rsidRPr="0015600B">
              <w:t>0.21</w:t>
            </w:r>
          </w:p>
        </w:tc>
      </w:tr>
      <w:tr w:rsidR="000C7020" w:rsidRPr="0015600B" w14:paraId="27770F8F" w14:textId="77777777" w:rsidTr="00003D85">
        <w:trPr>
          <w:trHeight w:val="287"/>
          <w:jc w:val="center"/>
        </w:trPr>
        <w:tc>
          <w:tcPr>
            <w:tcW w:w="1613" w:type="dxa"/>
            <w:vMerge w:val="restart"/>
            <w:tcBorders>
              <w:top w:val="single" w:sz="4" w:space="0" w:color="auto"/>
              <w:bottom w:val="nil"/>
            </w:tcBorders>
            <w:shd w:val="clear" w:color="auto" w:fill="auto"/>
            <w:vAlign w:val="center"/>
            <w:hideMark/>
          </w:tcPr>
          <w:p w14:paraId="1B31025C" w14:textId="77777777" w:rsidR="000C7020" w:rsidRPr="0015600B" w:rsidRDefault="000C7020" w:rsidP="00003D85">
            <w:pPr>
              <w:spacing w:line="240" w:lineRule="auto"/>
              <w:ind w:firstLine="0"/>
            </w:pPr>
            <w:r w:rsidRPr="0015600B">
              <w:t>Oklahoma City, OK</w:t>
            </w:r>
          </w:p>
        </w:tc>
        <w:tc>
          <w:tcPr>
            <w:tcW w:w="1090" w:type="dxa"/>
            <w:tcBorders>
              <w:top w:val="single" w:sz="4" w:space="0" w:color="auto"/>
              <w:bottom w:val="nil"/>
            </w:tcBorders>
            <w:shd w:val="clear" w:color="auto" w:fill="auto"/>
            <w:noWrap/>
            <w:vAlign w:val="center"/>
            <w:hideMark/>
          </w:tcPr>
          <w:p w14:paraId="4234419D" w14:textId="77777777" w:rsidR="000C7020" w:rsidRPr="0015600B" w:rsidRDefault="000C7020" w:rsidP="00003D85">
            <w:pPr>
              <w:spacing w:line="240" w:lineRule="auto"/>
              <w:ind w:firstLine="0"/>
            </w:pPr>
            <w:r w:rsidRPr="0015600B">
              <w:t>10.77</w:t>
            </w:r>
          </w:p>
        </w:tc>
        <w:tc>
          <w:tcPr>
            <w:tcW w:w="1146" w:type="dxa"/>
            <w:tcBorders>
              <w:top w:val="single" w:sz="4" w:space="0" w:color="auto"/>
              <w:bottom w:val="nil"/>
            </w:tcBorders>
            <w:shd w:val="clear" w:color="auto" w:fill="auto"/>
            <w:noWrap/>
            <w:vAlign w:val="center"/>
            <w:hideMark/>
          </w:tcPr>
          <w:p w14:paraId="69C5F4BB" w14:textId="77777777" w:rsidR="000C7020" w:rsidRPr="0015600B" w:rsidRDefault="000C7020" w:rsidP="00003D85">
            <w:pPr>
              <w:spacing w:line="240" w:lineRule="auto"/>
              <w:ind w:firstLine="0"/>
            </w:pPr>
            <w:r w:rsidRPr="0015600B">
              <w:t>19.59</w:t>
            </w:r>
          </w:p>
        </w:tc>
        <w:tc>
          <w:tcPr>
            <w:tcW w:w="1402" w:type="dxa"/>
            <w:tcBorders>
              <w:top w:val="single" w:sz="4" w:space="0" w:color="auto"/>
              <w:bottom w:val="nil"/>
            </w:tcBorders>
            <w:shd w:val="clear" w:color="auto" w:fill="auto"/>
            <w:noWrap/>
            <w:hideMark/>
          </w:tcPr>
          <w:p w14:paraId="6A4A9BD3" w14:textId="77777777" w:rsidR="000C7020" w:rsidRPr="0015600B" w:rsidRDefault="000C7020" w:rsidP="00003D85">
            <w:pPr>
              <w:spacing w:line="240" w:lineRule="auto"/>
              <w:ind w:firstLine="0"/>
            </w:pPr>
            <w:r w:rsidRPr="0015600B">
              <w:t>38.47</w:t>
            </w:r>
          </w:p>
        </w:tc>
        <w:tc>
          <w:tcPr>
            <w:tcW w:w="1463" w:type="dxa"/>
            <w:tcBorders>
              <w:top w:val="single" w:sz="4" w:space="0" w:color="auto"/>
              <w:bottom w:val="nil"/>
            </w:tcBorders>
            <w:shd w:val="clear" w:color="auto" w:fill="auto"/>
            <w:noWrap/>
            <w:hideMark/>
          </w:tcPr>
          <w:p w14:paraId="4B48CB16" w14:textId="77777777" w:rsidR="000C7020" w:rsidRPr="0015600B" w:rsidRDefault="000C7020" w:rsidP="00003D85">
            <w:pPr>
              <w:spacing w:line="240" w:lineRule="auto"/>
              <w:ind w:firstLine="0"/>
            </w:pPr>
            <w:r w:rsidRPr="0015600B">
              <w:t>479.04</w:t>
            </w:r>
          </w:p>
        </w:tc>
        <w:tc>
          <w:tcPr>
            <w:tcW w:w="1373" w:type="dxa"/>
            <w:tcBorders>
              <w:top w:val="single" w:sz="4" w:space="0" w:color="auto"/>
              <w:bottom w:val="nil"/>
            </w:tcBorders>
            <w:shd w:val="clear" w:color="auto" w:fill="auto"/>
            <w:noWrap/>
            <w:vAlign w:val="center"/>
            <w:hideMark/>
          </w:tcPr>
          <w:p w14:paraId="42A3F83D" w14:textId="77777777" w:rsidR="000C7020" w:rsidRPr="0015600B" w:rsidRDefault="000C7020" w:rsidP="00003D85">
            <w:pPr>
              <w:spacing w:line="240" w:lineRule="auto"/>
              <w:ind w:firstLine="0"/>
            </w:pPr>
            <w:r w:rsidRPr="0015600B">
              <w:t>0.47</w:t>
            </w:r>
          </w:p>
        </w:tc>
      </w:tr>
      <w:tr w:rsidR="000C7020" w:rsidRPr="0015600B" w14:paraId="1F3AE419" w14:textId="77777777" w:rsidTr="00003D85">
        <w:trPr>
          <w:trHeight w:val="287"/>
          <w:jc w:val="center"/>
        </w:trPr>
        <w:tc>
          <w:tcPr>
            <w:tcW w:w="1613" w:type="dxa"/>
            <w:vMerge/>
            <w:tcBorders>
              <w:top w:val="nil"/>
            </w:tcBorders>
            <w:vAlign w:val="center"/>
            <w:hideMark/>
          </w:tcPr>
          <w:p w14:paraId="1D9C9ACC" w14:textId="77777777" w:rsidR="000C7020" w:rsidRPr="0015600B" w:rsidRDefault="000C7020" w:rsidP="00003D85">
            <w:pPr>
              <w:spacing w:line="240" w:lineRule="auto"/>
              <w:ind w:firstLine="0"/>
            </w:pPr>
          </w:p>
        </w:tc>
        <w:tc>
          <w:tcPr>
            <w:tcW w:w="1090" w:type="dxa"/>
            <w:tcBorders>
              <w:top w:val="nil"/>
            </w:tcBorders>
            <w:shd w:val="clear" w:color="auto" w:fill="auto"/>
            <w:noWrap/>
            <w:vAlign w:val="center"/>
            <w:hideMark/>
          </w:tcPr>
          <w:p w14:paraId="1BEB4048" w14:textId="77777777" w:rsidR="000C7020" w:rsidRPr="0015600B" w:rsidRDefault="000C7020" w:rsidP="00003D85">
            <w:pPr>
              <w:spacing w:line="240" w:lineRule="auto"/>
              <w:ind w:firstLine="0"/>
            </w:pPr>
            <w:r w:rsidRPr="0015600B">
              <w:t>21.54</w:t>
            </w:r>
          </w:p>
        </w:tc>
        <w:tc>
          <w:tcPr>
            <w:tcW w:w="1146" w:type="dxa"/>
            <w:tcBorders>
              <w:top w:val="nil"/>
            </w:tcBorders>
            <w:shd w:val="clear" w:color="auto" w:fill="auto"/>
            <w:vAlign w:val="center"/>
            <w:hideMark/>
          </w:tcPr>
          <w:p w14:paraId="2B0DB82A" w14:textId="77777777" w:rsidR="000C7020" w:rsidRPr="0015600B" w:rsidRDefault="000C7020" w:rsidP="00003D85">
            <w:pPr>
              <w:spacing w:line="240" w:lineRule="auto"/>
              <w:ind w:firstLine="0"/>
            </w:pPr>
            <w:r w:rsidRPr="0015600B">
              <w:t>39.17</w:t>
            </w:r>
          </w:p>
        </w:tc>
        <w:tc>
          <w:tcPr>
            <w:tcW w:w="1402" w:type="dxa"/>
            <w:tcBorders>
              <w:top w:val="nil"/>
            </w:tcBorders>
            <w:shd w:val="clear" w:color="auto" w:fill="auto"/>
            <w:noWrap/>
            <w:hideMark/>
          </w:tcPr>
          <w:p w14:paraId="485EEAF7" w14:textId="77777777" w:rsidR="000C7020" w:rsidRPr="0015600B" w:rsidRDefault="000C7020" w:rsidP="00003D85">
            <w:pPr>
              <w:spacing w:line="240" w:lineRule="auto"/>
              <w:ind w:firstLine="0"/>
            </w:pPr>
            <w:r w:rsidRPr="0015600B">
              <w:t>28.44</w:t>
            </w:r>
          </w:p>
        </w:tc>
        <w:tc>
          <w:tcPr>
            <w:tcW w:w="1463" w:type="dxa"/>
            <w:tcBorders>
              <w:top w:val="nil"/>
            </w:tcBorders>
            <w:shd w:val="clear" w:color="auto" w:fill="auto"/>
            <w:noWrap/>
            <w:hideMark/>
          </w:tcPr>
          <w:p w14:paraId="7C68D90C" w14:textId="77777777" w:rsidR="000C7020" w:rsidRPr="0015600B" w:rsidRDefault="000C7020" w:rsidP="00003D85">
            <w:pPr>
              <w:spacing w:line="240" w:lineRule="auto"/>
              <w:ind w:firstLine="0"/>
            </w:pPr>
            <w:r w:rsidRPr="0015600B">
              <w:t>354.11</w:t>
            </w:r>
          </w:p>
        </w:tc>
        <w:tc>
          <w:tcPr>
            <w:tcW w:w="1373" w:type="dxa"/>
            <w:tcBorders>
              <w:top w:val="nil"/>
            </w:tcBorders>
            <w:shd w:val="clear" w:color="auto" w:fill="auto"/>
            <w:noWrap/>
            <w:vAlign w:val="center"/>
            <w:hideMark/>
          </w:tcPr>
          <w:p w14:paraId="5D5BA0F6" w14:textId="77777777" w:rsidR="000C7020" w:rsidRPr="0015600B" w:rsidRDefault="000C7020" w:rsidP="00003D85">
            <w:pPr>
              <w:spacing w:line="240" w:lineRule="auto"/>
              <w:ind w:firstLine="0"/>
            </w:pPr>
            <w:r w:rsidRPr="0015600B">
              <w:t>0.35</w:t>
            </w:r>
          </w:p>
        </w:tc>
      </w:tr>
      <w:tr w:rsidR="000C7020" w:rsidRPr="0015600B" w14:paraId="067BC86C" w14:textId="77777777" w:rsidTr="00003D85">
        <w:trPr>
          <w:trHeight w:val="287"/>
          <w:jc w:val="center"/>
        </w:trPr>
        <w:tc>
          <w:tcPr>
            <w:tcW w:w="1613" w:type="dxa"/>
            <w:vMerge/>
            <w:tcBorders>
              <w:bottom w:val="single" w:sz="4" w:space="0" w:color="auto"/>
            </w:tcBorders>
            <w:vAlign w:val="center"/>
            <w:hideMark/>
          </w:tcPr>
          <w:p w14:paraId="314D47AF"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7CC3CBAE" w14:textId="77777777" w:rsidR="000C7020" w:rsidRPr="0015600B" w:rsidRDefault="000C7020" w:rsidP="00003D85">
            <w:pPr>
              <w:spacing w:line="240" w:lineRule="auto"/>
              <w:ind w:firstLine="0"/>
            </w:pPr>
            <w:r w:rsidRPr="0015600B">
              <w:t>32.31</w:t>
            </w:r>
          </w:p>
        </w:tc>
        <w:tc>
          <w:tcPr>
            <w:tcW w:w="1146" w:type="dxa"/>
            <w:tcBorders>
              <w:bottom w:val="single" w:sz="4" w:space="0" w:color="auto"/>
            </w:tcBorders>
            <w:shd w:val="clear" w:color="auto" w:fill="auto"/>
            <w:noWrap/>
            <w:vAlign w:val="center"/>
            <w:hideMark/>
          </w:tcPr>
          <w:p w14:paraId="7E69BA82" w14:textId="77777777" w:rsidR="000C7020" w:rsidRPr="0015600B" w:rsidRDefault="000C7020" w:rsidP="00003D85">
            <w:pPr>
              <w:spacing w:line="240" w:lineRule="auto"/>
              <w:ind w:firstLine="0"/>
            </w:pPr>
            <w:r w:rsidRPr="0015600B">
              <w:t>58.76</w:t>
            </w:r>
          </w:p>
        </w:tc>
        <w:tc>
          <w:tcPr>
            <w:tcW w:w="1402" w:type="dxa"/>
            <w:tcBorders>
              <w:bottom w:val="single" w:sz="4" w:space="0" w:color="auto"/>
            </w:tcBorders>
            <w:shd w:val="clear" w:color="auto" w:fill="auto"/>
            <w:noWrap/>
            <w:hideMark/>
          </w:tcPr>
          <w:p w14:paraId="3925076F" w14:textId="77777777" w:rsidR="000C7020" w:rsidRPr="0015600B" w:rsidRDefault="000C7020" w:rsidP="00003D85">
            <w:pPr>
              <w:spacing w:line="240" w:lineRule="auto"/>
              <w:ind w:firstLine="0"/>
            </w:pPr>
            <w:r w:rsidRPr="0015600B">
              <w:t>23.03</w:t>
            </w:r>
          </w:p>
        </w:tc>
        <w:tc>
          <w:tcPr>
            <w:tcW w:w="1463" w:type="dxa"/>
            <w:tcBorders>
              <w:bottom w:val="single" w:sz="4" w:space="0" w:color="auto"/>
            </w:tcBorders>
            <w:shd w:val="clear" w:color="auto" w:fill="auto"/>
            <w:noWrap/>
            <w:hideMark/>
          </w:tcPr>
          <w:p w14:paraId="5C9B110D" w14:textId="77777777" w:rsidR="000C7020" w:rsidRPr="0015600B" w:rsidRDefault="000C7020" w:rsidP="00003D85">
            <w:pPr>
              <w:spacing w:line="240" w:lineRule="auto"/>
              <w:ind w:firstLine="0"/>
            </w:pPr>
            <w:r w:rsidRPr="0015600B">
              <w:t>286.78</w:t>
            </w:r>
          </w:p>
        </w:tc>
        <w:tc>
          <w:tcPr>
            <w:tcW w:w="1373" w:type="dxa"/>
            <w:tcBorders>
              <w:bottom w:val="single" w:sz="4" w:space="0" w:color="auto"/>
            </w:tcBorders>
            <w:shd w:val="clear" w:color="auto" w:fill="auto"/>
            <w:noWrap/>
            <w:vAlign w:val="center"/>
            <w:hideMark/>
          </w:tcPr>
          <w:p w14:paraId="43EA16DC" w14:textId="77777777" w:rsidR="000C7020" w:rsidRPr="0015600B" w:rsidRDefault="000C7020" w:rsidP="00003D85">
            <w:pPr>
              <w:spacing w:line="240" w:lineRule="auto"/>
              <w:ind w:firstLine="0"/>
            </w:pPr>
            <w:r w:rsidRPr="0015600B">
              <w:t>0.28</w:t>
            </w:r>
          </w:p>
        </w:tc>
      </w:tr>
      <w:tr w:rsidR="000C7020" w:rsidRPr="0015600B" w14:paraId="7E4DD357" w14:textId="77777777" w:rsidTr="00003D85">
        <w:trPr>
          <w:trHeight w:val="287"/>
          <w:jc w:val="center"/>
        </w:trPr>
        <w:tc>
          <w:tcPr>
            <w:tcW w:w="1613" w:type="dxa"/>
            <w:vMerge w:val="restart"/>
            <w:tcBorders>
              <w:top w:val="single" w:sz="4" w:space="0" w:color="auto"/>
              <w:bottom w:val="nil"/>
            </w:tcBorders>
            <w:shd w:val="clear" w:color="auto" w:fill="auto"/>
            <w:vAlign w:val="center"/>
            <w:hideMark/>
          </w:tcPr>
          <w:p w14:paraId="55C48A2F" w14:textId="77777777" w:rsidR="000C7020" w:rsidRPr="0015600B" w:rsidRDefault="000C7020" w:rsidP="00003D85">
            <w:pPr>
              <w:spacing w:line="240" w:lineRule="auto"/>
              <w:ind w:firstLine="0"/>
            </w:pPr>
            <w:r w:rsidRPr="0015600B">
              <w:t>Albuquerque, NM</w:t>
            </w:r>
          </w:p>
        </w:tc>
        <w:tc>
          <w:tcPr>
            <w:tcW w:w="1090" w:type="dxa"/>
            <w:tcBorders>
              <w:top w:val="single" w:sz="4" w:space="0" w:color="auto"/>
              <w:bottom w:val="nil"/>
            </w:tcBorders>
            <w:shd w:val="clear" w:color="auto" w:fill="auto"/>
            <w:noWrap/>
            <w:vAlign w:val="center"/>
            <w:hideMark/>
          </w:tcPr>
          <w:p w14:paraId="6FF61AB1" w14:textId="77777777" w:rsidR="000C7020" w:rsidRPr="0015600B" w:rsidRDefault="000C7020" w:rsidP="00003D85">
            <w:pPr>
              <w:spacing w:line="240" w:lineRule="auto"/>
              <w:ind w:firstLine="0"/>
            </w:pPr>
            <w:r>
              <w:t>0</w:t>
            </w:r>
            <w:r w:rsidRPr="0015600B">
              <w:t>9.81</w:t>
            </w:r>
          </w:p>
        </w:tc>
        <w:tc>
          <w:tcPr>
            <w:tcW w:w="1146" w:type="dxa"/>
            <w:tcBorders>
              <w:top w:val="single" w:sz="4" w:space="0" w:color="auto"/>
              <w:bottom w:val="nil"/>
            </w:tcBorders>
            <w:shd w:val="clear" w:color="auto" w:fill="auto"/>
            <w:noWrap/>
            <w:vAlign w:val="center"/>
            <w:hideMark/>
          </w:tcPr>
          <w:p w14:paraId="4F6AEE89" w14:textId="77777777" w:rsidR="000C7020" w:rsidRPr="0015600B" w:rsidRDefault="000C7020" w:rsidP="00003D85">
            <w:pPr>
              <w:spacing w:line="240" w:lineRule="auto"/>
              <w:ind w:firstLine="0"/>
            </w:pPr>
            <w:r w:rsidRPr="0015600B">
              <w:t>11.36</w:t>
            </w:r>
          </w:p>
        </w:tc>
        <w:tc>
          <w:tcPr>
            <w:tcW w:w="1402" w:type="dxa"/>
            <w:tcBorders>
              <w:top w:val="single" w:sz="4" w:space="0" w:color="auto"/>
              <w:bottom w:val="nil"/>
            </w:tcBorders>
            <w:shd w:val="clear" w:color="auto" w:fill="auto"/>
            <w:noWrap/>
            <w:hideMark/>
          </w:tcPr>
          <w:p w14:paraId="544DEFE2" w14:textId="77777777" w:rsidR="000C7020" w:rsidRPr="0015600B" w:rsidRDefault="000C7020" w:rsidP="00003D85">
            <w:pPr>
              <w:spacing w:line="240" w:lineRule="auto"/>
              <w:ind w:firstLine="0"/>
            </w:pPr>
            <w:r w:rsidRPr="0015600B">
              <w:t>45.73</w:t>
            </w:r>
          </w:p>
        </w:tc>
        <w:tc>
          <w:tcPr>
            <w:tcW w:w="1463" w:type="dxa"/>
            <w:tcBorders>
              <w:top w:val="single" w:sz="4" w:space="0" w:color="auto"/>
              <w:bottom w:val="nil"/>
            </w:tcBorders>
            <w:shd w:val="clear" w:color="auto" w:fill="auto"/>
            <w:noWrap/>
            <w:hideMark/>
          </w:tcPr>
          <w:p w14:paraId="4CF8A371" w14:textId="77777777" w:rsidR="000C7020" w:rsidRPr="0015600B" w:rsidRDefault="000C7020" w:rsidP="00003D85">
            <w:pPr>
              <w:spacing w:line="240" w:lineRule="auto"/>
              <w:ind w:firstLine="0"/>
            </w:pPr>
            <w:r w:rsidRPr="0015600B">
              <w:t>894.53</w:t>
            </w:r>
          </w:p>
        </w:tc>
        <w:tc>
          <w:tcPr>
            <w:tcW w:w="1373" w:type="dxa"/>
            <w:tcBorders>
              <w:top w:val="single" w:sz="4" w:space="0" w:color="auto"/>
              <w:bottom w:val="nil"/>
            </w:tcBorders>
            <w:shd w:val="clear" w:color="auto" w:fill="auto"/>
            <w:noWrap/>
            <w:vAlign w:val="center"/>
            <w:hideMark/>
          </w:tcPr>
          <w:p w14:paraId="79A306EE" w14:textId="77777777" w:rsidR="000C7020" w:rsidRPr="0015600B" w:rsidRDefault="000C7020" w:rsidP="00003D85">
            <w:pPr>
              <w:spacing w:line="240" w:lineRule="auto"/>
              <w:ind w:firstLine="0"/>
            </w:pPr>
            <w:r w:rsidRPr="0015600B">
              <w:t>0.73</w:t>
            </w:r>
          </w:p>
        </w:tc>
      </w:tr>
      <w:tr w:rsidR="000C7020" w:rsidRPr="0015600B" w14:paraId="423CCDB8" w14:textId="77777777" w:rsidTr="00003D85">
        <w:trPr>
          <w:trHeight w:val="287"/>
          <w:jc w:val="center"/>
        </w:trPr>
        <w:tc>
          <w:tcPr>
            <w:tcW w:w="1613" w:type="dxa"/>
            <w:vMerge/>
            <w:tcBorders>
              <w:top w:val="nil"/>
            </w:tcBorders>
            <w:vAlign w:val="center"/>
            <w:hideMark/>
          </w:tcPr>
          <w:p w14:paraId="0AB1AC9E" w14:textId="77777777" w:rsidR="000C7020" w:rsidRPr="0015600B" w:rsidRDefault="000C7020" w:rsidP="00003D85">
            <w:pPr>
              <w:spacing w:line="240" w:lineRule="auto"/>
              <w:ind w:firstLine="0"/>
            </w:pPr>
          </w:p>
        </w:tc>
        <w:tc>
          <w:tcPr>
            <w:tcW w:w="1090" w:type="dxa"/>
            <w:tcBorders>
              <w:top w:val="nil"/>
            </w:tcBorders>
            <w:shd w:val="clear" w:color="auto" w:fill="auto"/>
            <w:noWrap/>
            <w:vAlign w:val="center"/>
            <w:hideMark/>
          </w:tcPr>
          <w:p w14:paraId="5D37CE30" w14:textId="77777777" w:rsidR="000C7020" w:rsidRPr="0015600B" w:rsidRDefault="000C7020" w:rsidP="00003D85">
            <w:pPr>
              <w:spacing w:line="240" w:lineRule="auto"/>
              <w:ind w:firstLine="0"/>
            </w:pPr>
            <w:r w:rsidRPr="0015600B">
              <w:t>19.62</w:t>
            </w:r>
          </w:p>
        </w:tc>
        <w:tc>
          <w:tcPr>
            <w:tcW w:w="1146" w:type="dxa"/>
            <w:tcBorders>
              <w:top w:val="nil"/>
            </w:tcBorders>
            <w:shd w:val="clear" w:color="auto" w:fill="auto"/>
            <w:vAlign w:val="center"/>
            <w:hideMark/>
          </w:tcPr>
          <w:p w14:paraId="40EDE865" w14:textId="77777777" w:rsidR="000C7020" w:rsidRPr="0015600B" w:rsidRDefault="000C7020" w:rsidP="00003D85">
            <w:pPr>
              <w:spacing w:line="240" w:lineRule="auto"/>
              <w:ind w:firstLine="0"/>
            </w:pPr>
            <w:r w:rsidRPr="0015600B">
              <w:t>22.71</w:t>
            </w:r>
          </w:p>
        </w:tc>
        <w:tc>
          <w:tcPr>
            <w:tcW w:w="1402" w:type="dxa"/>
            <w:tcBorders>
              <w:top w:val="nil"/>
            </w:tcBorders>
            <w:shd w:val="clear" w:color="auto" w:fill="auto"/>
            <w:noWrap/>
            <w:hideMark/>
          </w:tcPr>
          <w:p w14:paraId="01F9462F" w14:textId="77777777" w:rsidR="000C7020" w:rsidRPr="0015600B" w:rsidRDefault="000C7020" w:rsidP="00003D85">
            <w:pPr>
              <w:spacing w:line="240" w:lineRule="auto"/>
              <w:ind w:firstLine="0"/>
            </w:pPr>
            <w:r w:rsidRPr="0015600B">
              <w:t>28.81</w:t>
            </w:r>
          </w:p>
        </w:tc>
        <w:tc>
          <w:tcPr>
            <w:tcW w:w="1463" w:type="dxa"/>
            <w:tcBorders>
              <w:top w:val="nil"/>
            </w:tcBorders>
            <w:shd w:val="clear" w:color="auto" w:fill="auto"/>
            <w:noWrap/>
            <w:hideMark/>
          </w:tcPr>
          <w:p w14:paraId="5306243B" w14:textId="77777777" w:rsidR="000C7020" w:rsidRPr="0015600B" w:rsidRDefault="000C7020" w:rsidP="00003D85">
            <w:pPr>
              <w:spacing w:line="240" w:lineRule="auto"/>
              <w:ind w:firstLine="0"/>
            </w:pPr>
            <w:r w:rsidRPr="0015600B">
              <w:t>563.54</w:t>
            </w:r>
          </w:p>
        </w:tc>
        <w:tc>
          <w:tcPr>
            <w:tcW w:w="1373" w:type="dxa"/>
            <w:tcBorders>
              <w:top w:val="nil"/>
            </w:tcBorders>
            <w:shd w:val="clear" w:color="auto" w:fill="auto"/>
            <w:noWrap/>
            <w:vAlign w:val="center"/>
            <w:hideMark/>
          </w:tcPr>
          <w:p w14:paraId="2DA8DD41" w14:textId="77777777" w:rsidR="000C7020" w:rsidRPr="0015600B" w:rsidRDefault="000C7020" w:rsidP="00003D85">
            <w:pPr>
              <w:spacing w:line="240" w:lineRule="auto"/>
              <w:ind w:firstLine="0"/>
            </w:pPr>
            <w:r w:rsidRPr="0015600B">
              <w:t>0.46</w:t>
            </w:r>
          </w:p>
        </w:tc>
      </w:tr>
      <w:tr w:rsidR="000C7020" w:rsidRPr="0015600B" w14:paraId="12E38426" w14:textId="77777777" w:rsidTr="00003D85">
        <w:trPr>
          <w:trHeight w:val="287"/>
          <w:jc w:val="center"/>
        </w:trPr>
        <w:tc>
          <w:tcPr>
            <w:tcW w:w="1613" w:type="dxa"/>
            <w:vMerge/>
            <w:tcBorders>
              <w:bottom w:val="single" w:sz="4" w:space="0" w:color="auto"/>
            </w:tcBorders>
            <w:vAlign w:val="center"/>
            <w:hideMark/>
          </w:tcPr>
          <w:p w14:paraId="31ACF425"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531F0349" w14:textId="77777777" w:rsidR="000C7020" w:rsidRPr="0015600B" w:rsidRDefault="000C7020" w:rsidP="00003D85">
            <w:pPr>
              <w:spacing w:line="240" w:lineRule="auto"/>
              <w:ind w:firstLine="0"/>
            </w:pPr>
            <w:r w:rsidRPr="0015600B">
              <w:t>29.43</w:t>
            </w:r>
          </w:p>
        </w:tc>
        <w:tc>
          <w:tcPr>
            <w:tcW w:w="1146" w:type="dxa"/>
            <w:tcBorders>
              <w:bottom w:val="single" w:sz="4" w:space="0" w:color="auto"/>
            </w:tcBorders>
            <w:shd w:val="clear" w:color="auto" w:fill="auto"/>
            <w:noWrap/>
            <w:vAlign w:val="center"/>
            <w:hideMark/>
          </w:tcPr>
          <w:p w14:paraId="67CDEB2C" w14:textId="77777777" w:rsidR="000C7020" w:rsidRPr="0015600B" w:rsidRDefault="000C7020" w:rsidP="00003D85">
            <w:pPr>
              <w:spacing w:line="240" w:lineRule="auto"/>
              <w:ind w:firstLine="0"/>
            </w:pPr>
            <w:r w:rsidRPr="0015600B">
              <w:t>34.07</w:t>
            </w:r>
          </w:p>
        </w:tc>
        <w:tc>
          <w:tcPr>
            <w:tcW w:w="1402" w:type="dxa"/>
            <w:tcBorders>
              <w:bottom w:val="single" w:sz="4" w:space="0" w:color="auto"/>
            </w:tcBorders>
            <w:shd w:val="clear" w:color="auto" w:fill="auto"/>
            <w:noWrap/>
            <w:hideMark/>
          </w:tcPr>
          <w:p w14:paraId="61C3E726" w14:textId="77777777" w:rsidR="000C7020" w:rsidRPr="0015600B" w:rsidRDefault="000C7020" w:rsidP="00003D85">
            <w:pPr>
              <w:spacing w:line="240" w:lineRule="auto"/>
              <w:ind w:firstLine="0"/>
            </w:pPr>
            <w:r w:rsidRPr="0015600B">
              <w:t>24.79</w:t>
            </w:r>
          </w:p>
        </w:tc>
        <w:tc>
          <w:tcPr>
            <w:tcW w:w="1463" w:type="dxa"/>
            <w:tcBorders>
              <w:bottom w:val="single" w:sz="4" w:space="0" w:color="auto"/>
            </w:tcBorders>
            <w:shd w:val="clear" w:color="auto" w:fill="auto"/>
            <w:noWrap/>
            <w:hideMark/>
          </w:tcPr>
          <w:p w14:paraId="338799C9" w14:textId="77777777" w:rsidR="000C7020" w:rsidRPr="0015600B" w:rsidRDefault="000C7020" w:rsidP="00003D85">
            <w:pPr>
              <w:spacing w:line="240" w:lineRule="auto"/>
              <w:ind w:firstLine="0"/>
            </w:pPr>
            <w:r w:rsidRPr="0015600B">
              <w:t>484.88</w:t>
            </w:r>
          </w:p>
        </w:tc>
        <w:tc>
          <w:tcPr>
            <w:tcW w:w="1373" w:type="dxa"/>
            <w:tcBorders>
              <w:bottom w:val="single" w:sz="4" w:space="0" w:color="auto"/>
            </w:tcBorders>
            <w:shd w:val="clear" w:color="auto" w:fill="auto"/>
            <w:noWrap/>
            <w:vAlign w:val="center"/>
            <w:hideMark/>
          </w:tcPr>
          <w:p w14:paraId="74238CF5" w14:textId="77777777" w:rsidR="000C7020" w:rsidRPr="0015600B" w:rsidRDefault="000C7020" w:rsidP="00003D85">
            <w:pPr>
              <w:spacing w:line="240" w:lineRule="auto"/>
              <w:ind w:firstLine="0"/>
            </w:pPr>
            <w:r w:rsidRPr="0015600B">
              <w:t>0.39</w:t>
            </w:r>
          </w:p>
        </w:tc>
      </w:tr>
      <w:tr w:rsidR="000C7020" w:rsidRPr="0015600B" w14:paraId="42AFA6B9" w14:textId="77777777" w:rsidTr="00003D85">
        <w:trPr>
          <w:trHeight w:val="287"/>
          <w:jc w:val="center"/>
        </w:trPr>
        <w:tc>
          <w:tcPr>
            <w:tcW w:w="1613" w:type="dxa"/>
            <w:vMerge w:val="restart"/>
            <w:tcBorders>
              <w:top w:val="single" w:sz="4" w:space="0" w:color="auto"/>
              <w:bottom w:val="nil"/>
            </w:tcBorders>
            <w:shd w:val="clear" w:color="auto" w:fill="auto"/>
            <w:vAlign w:val="center"/>
            <w:hideMark/>
          </w:tcPr>
          <w:p w14:paraId="3D516412" w14:textId="77777777" w:rsidR="000C7020" w:rsidRPr="0015600B" w:rsidRDefault="000C7020" w:rsidP="00003D85">
            <w:pPr>
              <w:spacing w:line="240" w:lineRule="auto"/>
              <w:ind w:firstLine="0"/>
            </w:pPr>
            <w:r w:rsidRPr="0015600B">
              <w:t>Los Angeles, CA</w:t>
            </w:r>
          </w:p>
        </w:tc>
        <w:tc>
          <w:tcPr>
            <w:tcW w:w="1090" w:type="dxa"/>
            <w:tcBorders>
              <w:top w:val="single" w:sz="4" w:space="0" w:color="auto"/>
              <w:bottom w:val="nil"/>
            </w:tcBorders>
            <w:shd w:val="clear" w:color="auto" w:fill="auto"/>
            <w:noWrap/>
            <w:vAlign w:val="center"/>
            <w:hideMark/>
          </w:tcPr>
          <w:p w14:paraId="7678DE34" w14:textId="77777777" w:rsidR="000C7020" w:rsidRPr="0015600B" w:rsidRDefault="000C7020" w:rsidP="00003D85">
            <w:pPr>
              <w:spacing w:line="240" w:lineRule="auto"/>
              <w:ind w:firstLine="0"/>
            </w:pPr>
            <w:r>
              <w:t>0</w:t>
            </w:r>
            <w:r w:rsidRPr="0015600B">
              <w:t>3.81</w:t>
            </w:r>
          </w:p>
        </w:tc>
        <w:tc>
          <w:tcPr>
            <w:tcW w:w="1146" w:type="dxa"/>
            <w:tcBorders>
              <w:top w:val="single" w:sz="4" w:space="0" w:color="auto"/>
              <w:bottom w:val="nil"/>
            </w:tcBorders>
            <w:shd w:val="clear" w:color="auto" w:fill="auto"/>
            <w:noWrap/>
            <w:vAlign w:val="center"/>
            <w:hideMark/>
          </w:tcPr>
          <w:p w14:paraId="15F15EAA" w14:textId="77777777" w:rsidR="000C7020" w:rsidRPr="0015600B" w:rsidRDefault="000C7020" w:rsidP="00003D85">
            <w:pPr>
              <w:spacing w:line="240" w:lineRule="auto"/>
              <w:ind w:firstLine="0"/>
            </w:pPr>
            <w:r>
              <w:t>0</w:t>
            </w:r>
            <w:r w:rsidRPr="0015600B">
              <w:t>5.52</w:t>
            </w:r>
          </w:p>
        </w:tc>
        <w:tc>
          <w:tcPr>
            <w:tcW w:w="1402" w:type="dxa"/>
            <w:tcBorders>
              <w:top w:val="single" w:sz="4" w:space="0" w:color="auto"/>
              <w:bottom w:val="nil"/>
            </w:tcBorders>
            <w:shd w:val="clear" w:color="auto" w:fill="auto"/>
            <w:noWrap/>
            <w:hideMark/>
          </w:tcPr>
          <w:p w14:paraId="67C95747" w14:textId="77777777" w:rsidR="000C7020" w:rsidRPr="0015600B" w:rsidRDefault="000C7020" w:rsidP="00003D85">
            <w:pPr>
              <w:spacing w:line="240" w:lineRule="auto"/>
              <w:ind w:firstLine="0"/>
            </w:pPr>
            <w:r w:rsidRPr="0015600B">
              <w:t>43.67</w:t>
            </w:r>
          </w:p>
        </w:tc>
        <w:tc>
          <w:tcPr>
            <w:tcW w:w="1463" w:type="dxa"/>
            <w:tcBorders>
              <w:top w:val="single" w:sz="4" w:space="0" w:color="auto"/>
              <w:bottom w:val="nil"/>
            </w:tcBorders>
            <w:shd w:val="clear" w:color="auto" w:fill="auto"/>
            <w:noWrap/>
            <w:hideMark/>
          </w:tcPr>
          <w:p w14:paraId="32262F7C" w14:textId="77777777" w:rsidR="000C7020" w:rsidRPr="0015600B" w:rsidRDefault="000C7020" w:rsidP="00003D85">
            <w:pPr>
              <w:spacing w:line="240" w:lineRule="auto"/>
              <w:ind w:firstLine="0"/>
            </w:pPr>
            <w:r w:rsidRPr="0015600B">
              <w:t>681.49</w:t>
            </w:r>
          </w:p>
        </w:tc>
        <w:tc>
          <w:tcPr>
            <w:tcW w:w="1373" w:type="dxa"/>
            <w:tcBorders>
              <w:top w:val="single" w:sz="4" w:space="0" w:color="auto"/>
              <w:bottom w:val="nil"/>
            </w:tcBorders>
            <w:shd w:val="clear" w:color="auto" w:fill="auto"/>
            <w:noWrap/>
            <w:vAlign w:val="center"/>
            <w:hideMark/>
          </w:tcPr>
          <w:p w14:paraId="7DF88913" w14:textId="77777777" w:rsidR="000C7020" w:rsidRPr="0015600B" w:rsidRDefault="000C7020" w:rsidP="00003D85">
            <w:pPr>
              <w:spacing w:line="240" w:lineRule="auto"/>
              <w:ind w:firstLine="0"/>
            </w:pPr>
            <w:r w:rsidRPr="0015600B">
              <w:t>0.64</w:t>
            </w:r>
          </w:p>
        </w:tc>
      </w:tr>
      <w:tr w:rsidR="000C7020" w:rsidRPr="0015600B" w14:paraId="12D6A93D" w14:textId="77777777" w:rsidTr="00003D85">
        <w:trPr>
          <w:trHeight w:val="287"/>
          <w:jc w:val="center"/>
        </w:trPr>
        <w:tc>
          <w:tcPr>
            <w:tcW w:w="1613" w:type="dxa"/>
            <w:vMerge/>
            <w:tcBorders>
              <w:top w:val="nil"/>
            </w:tcBorders>
            <w:vAlign w:val="center"/>
            <w:hideMark/>
          </w:tcPr>
          <w:p w14:paraId="679BD4C1" w14:textId="77777777" w:rsidR="000C7020" w:rsidRPr="0015600B" w:rsidRDefault="000C7020" w:rsidP="00003D85">
            <w:pPr>
              <w:spacing w:line="240" w:lineRule="auto"/>
              <w:ind w:firstLine="0"/>
            </w:pPr>
          </w:p>
        </w:tc>
        <w:tc>
          <w:tcPr>
            <w:tcW w:w="1090" w:type="dxa"/>
            <w:tcBorders>
              <w:top w:val="nil"/>
            </w:tcBorders>
            <w:shd w:val="clear" w:color="auto" w:fill="auto"/>
            <w:noWrap/>
            <w:vAlign w:val="center"/>
            <w:hideMark/>
          </w:tcPr>
          <w:p w14:paraId="603DF03D" w14:textId="77777777" w:rsidR="000C7020" w:rsidRPr="0015600B" w:rsidRDefault="000C7020" w:rsidP="00003D85">
            <w:pPr>
              <w:spacing w:line="240" w:lineRule="auto"/>
              <w:ind w:firstLine="0"/>
            </w:pPr>
            <w:r>
              <w:t>0</w:t>
            </w:r>
            <w:r w:rsidRPr="0015600B">
              <w:t>7.61</w:t>
            </w:r>
          </w:p>
        </w:tc>
        <w:tc>
          <w:tcPr>
            <w:tcW w:w="1146" w:type="dxa"/>
            <w:tcBorders>
              <w:top w:val="nil"/>
            </w:tcBorders>
            <w:shd w:val="clear" w:color="auto" w:fill="auto"/>
            <w:vAlign w:val="center"/>
            <w:hideMark/>
          </w:tcPr>
          <w:p w14:paraId="4336453A" w14:textId="77777777" w:rsidR="000C7020" w:rsidRPr="0015600B" w:rsidRDefault="000C7020" w:rsidP="00003D85">
            <w:pPr>
              <w:spacing w:line="240" w:lineRule="auto"/>
              <w:ind w:firstLine="0"/>
            </w:pPr>
            <w:r w:rsidRPr="0015600B">
              <w:t>11.04</w:t>
            </w:r>
          </w:p>
        </w:tc>
        <w:tc>
          <w:tcPr>
            <w:tcW w:w="1402" w:type="dxa"/>
            <w:tcBorders>
              <w:top w:val="nil"/>
            </w:tcBorders>
            <w:shd w:val="clear" w:color="auto" w:fill="auto"/>
            <w:noWrap/>
            <w:hideMark/>
          </w:tcPr>
          <w:p w14:paraId="140A9F95" w14:textId="77777777" w:rsidR="000C7020" w:rsidRPr="0015600B" w:rsidRDefault="000C7020" w:rsidP="00003D85">
            <w:pPr>
              <w:spacing w:line="240" w:lineRule="auto"/>
              <w:ind w:firstLine="0"/>
            </w:pPr>
            <w:r w:rsidRPr="0015600B">
              <w:t>34.50</w:t>
            </w:r>
          </w:p>
        </w:tc>
        <w:tc>
          <w:tcPr>
            <w:tcW w:w="1463" w:type="dxa"/>
            <w:tcBorders>
              <w:top w:val="nil"/>
            </w:tcBorders>
            <w:shd w:val="clear" w:color="auto" w:fill="auto"/>
            <w:noWrap/>
            <w:hideMark/>
          </w:tcPr>
          <w:p w14:paraId="7698E4FA" w14:textId="77777777" w:rsidR="000C7020" w:rsidRPr="0015600B" w:rsidRDefault="000C7020" w:rsidP="00003D85">
            <w:pPr>
              <w:spacing w:line="240" w:lineRule="auto"/>
              <w:ind w:firstLine="0"/>
            </w:pPr>
            <w:r w:rsidRPr="0015600B">
              <w:t>538.47</w:t>
            </w:r>
          </w:p>
        </w:tc>
        <w:tc>
          <w:tcPr>
            <w:tcW w:w="1373" w:type="dxa"/>
            <w:tcBorders>
              <w:top w:val="nil"/>
            </w:tcBorders>
            <w:shd w:val="clear" w:color="auto" w:fill="auto"/>
            <w:noWrap/>
            <w:vAlign w:val="center"/>
            <w:hideMark/>
          </w:tcPr>
          <w:p w14:paraId="62954075" w14:textId="77777777" w:rsidR="000C7020" w:rsidRPr="0015600B" w:rsidRDefault="000C7020" w:rsidP="00003D85">
            <w:pPr>
              <w:spacing w:line="240" w:lineRule="auto"/>
              <w:ind w:firstLine="0"/>
            </w:pPr>
            <w:r w:rsidRPr="0015600B">
              <w:t>0.51</w:t>
            </w:r>
          </w:p>
        </w:tc>
      </w:tr>
      <w:tr w:rsidR="000C7020" w:rsidRPr="0015600B" w14:paraId="610177A2" w14:textId="77777777" w:rsidTr="00003D85">
        <w:trPr>
          <w:trHeight w:val="287"/>
          <w:jc w:val="center"/>
        </w:trPr>
        <w:tc>
          <w:tcPr>
            <w:tcW w:w="1613" w:type="dxa"/>
            <w:vMerge/>
            <w:tcBorders>
              <w:bottom w:val="single" w:sz="4" w:space="0" w:color="auto"/>
            </w:tcBorders>
            <w:vAlign w:val="center"/>
            <w:hideMark/>
          </w:tcPr>
          <w:p w14:paraId="50274FBE"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0F2B09E9" w14:textId="77777777" w:rsidR="000C7020" w:rsidRPr="0015600B" w:rsidRDefault="000C7020" w:rsidP="00003D85">
            <w:pPr>
              <w:spacing w:line="240" w:lineRule="auto"/>
              <w:ind w:firstLine="0"/>
            </w:pPr>
            <w:r w:rsidRPr="0015600B">
              <w:t>11.42</w:t>
            </w:r>
          </w:p>
        </w:tc>
        <w:tc>
          <w:tcPr>
            <w:tcW w:w="1146" w:type="dxa"/>
            <w:tcBorders>
              <w:bottom w:val="single" w:sz="4" w:space="0" w:color="auto"/>
            </w:tcBorders>
            <w:shd w:val="clear" w:color="auto" w:fill="auto"/>
            <w:noWrap/>
            <w:vAlign w:val="center"/>
            <w:hideMark/>
          </w:tcPr>
          <w:p w14:paraId="0127F9FA" w14:textId="77777777" w:rsidR="000C7020" w:rsidRPr="0015600B" w:rsidRDefault="000C7020" w:rsidP="00003D85">
            <w:pPr>
              <w:spacing w:line="240" w:lineRule="auto"/>
              <w:ind w:firstLine="0"/>
            </w:pPr>
            <w:r w:rsidRPr="0015600B">
              <w:t>16.56</w:t>
            </w:r>
          </w:p>
        </w:tc>
        <w:tc>
          <w:tcPr>
            <w:tcW w:w="1402" w:type="dxa"/>
            <w:tcBorders>
              <w:bottom w:val="single" w:sz="4" w:space="0" w:color="auto"/>
            </w:tcBorders>
            <w:shd w:val="clear" w:color="auto" w:fill="auto"/>
            <w:noWrap/>
            <w:hideMark/>
          </w:tcPr>
          <w:p w14:paraId="75ADA67C" w14:textId="77777777" w:rsidR="000C7020" w:rsidRPr="0015600B" w:rsidRDefault="000C7020" w:rsidP="00003D85">
            <w:pPr>
              <w:spacing w:line="240" w:lineRule="auto"/>
              <w:ind w:firstLine="0"/>
            </w:pPr>
            <w:r w:rsidRPr="0015600B">
              <w:t>27.86</w:t>
            </w:r>
          </w:p>
        </w:tc>
        <w:tc>
          <w:tcPr>
            <w:tcW w:w="1463" w:type="dxa"/>
            <w:tcBorders>
              <w:bottom w:val="single" w:sz="4" w:space="0" w:color="auto"/>
            </w:tcBorders>
            <w:shd w:val="clear" w:color="auto" w:fill="auto"/>
            <w:noWrap/>
            <w:hideMark/>
          </w:tcPr>
          <w:p w14:paraId="21D8EBDF" w14:textId="77777777" w:rsidR="000C7020" w:rsidRPr="0015600B" w:rsidRDefault="000C7020" w:rsidP="00003D85">
            <w:pPr>
              <w:spacing w:line="240" w:lineRule="auto"/>
              <w:ind w:firstLine="0"/>
            </w:pPr>
            <w:r w:rsidRPr="0015600B">
              <w:t>434.80</w:t>
            </w:r>
          </w:p>
        </w:tc>
        <w:tc>
          <w:tcPr>
            <w:tcW w:w="1373" w:type="dxa"/>
            <w:tcBorders>
              <w:bottom w:val="single" w:sz="4" w:space="0" w:color="auto"/>
            </w:tcBorders>
            <w:shd w:val="clear" w:color="auto" w:fill="auto"/>
            <w:noWrap/>
            <w:vAlign w:val="center"/>
            <w:hideMark/>
          </w:tcPr>
          <w:p w14:paraId="19DD7C97" w14:textId="77777777" w:rsidR="000C7020" w:rsidRPr="0015600B" w:rsidRDefault="000C7020" w:rsidP="00003D85">
            <w:pPr>
              <w:spacing w:line="240" w:lineRule="auto"/>
              <w:ind w:firstLine="0"/>
            </w:pPr>
            <w:r w:rsidRPr="0015600B">
              <w:t>0.41</w:t>
            </w:r>
          </w:p>
        </w:tc>
      </w:tr>
      <w:tr w:rsidR="000C7020" w:rsidRPr="0015600B" w14:paraId="33526277" w14:textId="77777777" w:rsidTr="00003D85">
        <w:trPr>
          <w:trHeight w:val="287"/>
          <w:jc w:val="center"/>
        </w:trPr>
        <w:tc>
          <w:tcPr>
            <w:tcW w:w="1613" w:type="dxa"/>
            <w:vMerge w:val="restart"/>
            <w:tcBorders>
              <w:top w:val="single" w:sz="4" w:space="0" w:color="auto"/>
              <w:bottom w:val="single" w:sz="4" w:space="0" w:color="auto"/>
            </w:tcBorders>
            <w:shd w:val="clear" w:color="auto" w:fill="auto"/>
            <w:vAlign w:val="center"/>
            <w:hideMark/>
          </w:tcPr>
          <w:p w14:paraId="10576655" w14:textId="77777777" w:rsidR="000C7020" w:rsidRPr="0015600B" w:rsidRDefault="000C7020" w:rsidP="00003D85">
            <w:pPr>
              <w:spacing w:line="240" w:lineRule="auto"/>
              <w:ind w:firstLine="0"/>
            </w:pPr>
            <w:r w:rsidRPr="0015600B">
              <w:t>Reno, NV</w:t>
            </w:r>
          </w:p>
        </w:tc>
        <w:tc>
          <w:tcPr>
            <w:tcW w:w="1090" w:type="dxa"/>
            <w:tcBorders>
              <w:top w:val="single" w:sz="4" w:space="0" w:color="auto"/>
            </w:tcBorders>
            <w:shd w:val="clear" w:color="auto" w:fill="auto"/>
            <w:noWrap/>
            <w:vAlign w:val="center"/>
            <w:hideMark/>
          </w:tcPr>
          <w:p w14:paraId="03FD949D" w14:textId="77777777" w:rsidR="000C7020" w:rsidRPr="0015600B" w:rsidRDefault="000C7020" w:rsidP="00003D85">
            <w:pPr>
              <w:spacing w:line="240" w:lineRule="auto"/>
              <w:ind w:firstLine="0"/>
            </w:pPr>
            <w:r w:rsidRPr="0015600B">
              <w:t>18.195</w:t>
            </w:r>
          </w:p>
        </w:tc>
        <w:tc>
          <w:tcPr>
            <w:tcW w:w="1146" w:type="dxa"/>
            <w:tcBorders>
              <w:top w:val="single" w:sz="4" w:space="0" w:color="auto"/>
            </w:tcBorders>
            <w:shd w:val="clear" w:color="auto" w:fill="auto"/>
            <w:noWrap/>
            <w:vAlign w:val="center"/>
            <w:hideMark/>
          </w:tcPr>
          <w:p w14:paraId="323AF452" w14:textId="77777777" w:rsidR="000C7020" w:rsidRPr="0015600B" w:rsidRDefault="000C7020" w:rsidP="00003D85">
            <w:pPr>
              <w:spacing w:line="240" w:lineRule="auto"/>
              <w:ind w:firstLine="0"/>
            </w:pPr>
            <w:r w:rsidRPr="0015600B">
              <w:t>28.20</w:t>
            </w:r>
          </w:p>
        </w:tc>
        <w:tc>
          <w:tcPr>
            <w:tcW w:w="1402" w:type="dxa"/>
            <w:tcBorders>
              <w:top w:val="single" w:sz="4" w:space="0" w:color="auto"/>
            </w:tcBorders>
            <w:shd w:val="clear" w:color="auto" w:fill="auto"/>
            <w:noWrap/>
            <w:hideMark/>
          </w:tcPr>
          <w:p w14:paraId="1ABBCADA" w14:textId="77777777" w:rsidR="000C7020" w:rsidRPr="0015600B" w:rsidRDefault="000C7020" w:rsidP="00003D85">
            <w:pPr>
              <w:spacing w:line="240" w:lineRule="auto"/>
              <w:ind w:firstLine="0"/>
            </w:pPr>
            <w:r w:rsidRPr="0015600B">
              <w:t>33.69</w:t>
            </w:r>
          </w:p>
        </w:tc>
        <w:tc>
          <w:tcPr>
            <w:tcW w:w="1463" w:type="dxa"/>
            <w:tcBorders>
              <w:top w:val="single" w:sz="4" w:space="0" w:color="auto"/>
            </w:tcBorders>
            <w:shd w:val="clear" w:color="auto" w:fill="auto"/>
            <w:noWrap/>
            <w:hideMark/>
          </w:tcPr>
          <w:p w14:paraId="3161D79A" w14:textId="77777777" w:rsidR="000C7020" w:rsidRPr="0015600B" w:rsidRDefault="000C7020" w:rsidP="00003D85">
            <w:pPr>
              <w:spacing w:line="240" w:lineRule="auto"/>
              <w:ind w:firstLine="0"/>
            </w:pPr>
            <w:r w:rsidRPr="0015600B">
              <w:t>492.17</w:t>
            </w:r>
          </w:p>
        </w:tc>
        <w:tc>
          <w:tcPr>
            <w:tcW w:w="1373" w:type="dxa"/>
            <w:tcBorders>
              <w:top w:val="single" w:sz="4" w:space="0" w:color="auto"/>
            </w:tcBorders>
            <w:shd w:val="clear" w:color="auto" w:fill="auto"/>
            <w:noWrap/>
            <w:vAlign w:val="center"/>
            <w:hideMark/>
          </w:tcPr>
          <w:p w14:paraId="1198F096" w14:textId="77777777" w:rsidR="000C7020" w:rsidRPr="0015600B" w:rsidRDefault="000C7020" w:rsidP="00003D85">
            <w:pPr>
              <w:spacing w:line="240" w:lineRule="auto"/>
              <w:ind w:firstLine="0"/>
            </w:pPr>
            <w:r w:rsidRPr="0015600B">
              <w:t>0.43</w:t>
            </w:r>
          </w:p>
        </w:tc>
      </w:tr>
      <w:tr w:rsidR="000C7020" w:rsidRPr="0015600B" w14:paraId="4CFEC981" w14:textId="77777777" w:rsidTr="00003D85">
        <w:trPr>
          <w:trHeight w:val="287"/>
          <w:jc w:val="center"/>
        </w:trPr>
        <w:tc>
          <w:tcPr>
            <w:tcW w:w="1613" w:type="dxa"/>
            <w:vMerge/>
            <w:tcBorders>
              <w:top w:val="single" w:sz="4" w:space="0" w:color="auto"/>
              <w:bottom w:val="single" w:sz="4" w:space="0" w:color="auto"/>
            </w:tcBorders>
            <w:vAlign w:val="center"/>
            <w:hideMark/>
          </w:tcPr>
          <w:p w14:paraId="7A983D01" w14:textId="77777777" w:rsidR="000C7020" w:rsidRPr="0015600B" w:rsidRDefault="000C7020" w:rsidP="00003D85">
            <w:pPr>
              <w:spacing w:line="240" w:lineRule="auto"/>
              <w:ind w:firstLine="0"/>
            </w:pPr>
          </w:p>
        </w:tc>
        <w:tc>
          <w:tcPr>
            <w:tcW w:w="1090" w:type="dxa"/>
            <w:shd w:val="clear" w:color="auto" w:fill="auto"/>
            <w:noWrap/>
            <w:vAlign w:val="center"/>
            <w:hideMark/>
          </w:tcPr>
          <w:p w14:paraId="3D693E08" w14:textId="77777777" w:rsidR="000C7020" w:rsidRPr="0015600B" w:rsidRDefault="000C7020" w:rsidP="00003D85">
            <w:pPr>
              <w:spacing w:line="240" w:lineRule="auto"/>
              <w:ind w:firstLine="0"/>
            </w:pPr>
            <w:r w:rsidRPr="0015600B">
              <w:t>36.39</w:t>
            </w:r>
          </w:p>
        </w:tc>
        <w:tc>
          <w:tcPr>
            <w:tcW w:w="1146" w:type="dxa"/>
            <w:shd w:val="clear" w:color="auto" w:fill="auto"/>
            <w:vAlign w:val="center"/>
            <w:hideMark/>
          </w:tcPr>
          <w:p w14:paraId="097D9DB0" w14:textId="77777777" w:rsidR="000C7020" w:rsidRPr="0015600B" w:rsidRDefault="000C7020" w:rsidP="00003D85">
            <w:pPr>
              <w:spacing w:line="240" w:lineRule="auto"/>
              <w:ind w:firstLine="0"/>
            </w:pPr>
            <w:r w:rsidRPr="0015600B">
              <w:t>56.40</w:t>
            </w:r>
          </w:p>
        </w:tc>
        <w:tc>
          <w:tcPr>
            <w:tcW w:w="1402" w:type="dxa"/>
            <w:shd w:val="clear" w:color="auto" w:fill="auto"/>
            <w:noWrap/>
            <w:hideMark/>
          </w:tcPr>
          <w:p w14:paraId="3317282E" w14:textId="77777777" w:rsidR="000C7020" w:rsidRPr="0015600B" w:rsidRDefault="000C7020" w:rsidP="00003D85">
            <w:pPr>
              <w:spacing w:line="240" w:lineRule="auto"/>
              <w:ind w:firstLine="0"/>
            </w:pPr>
            <w:r w:rsidRPr="0015600B">
              <w:t>25.73</w:t>
            </w:r>
          </w:p>
        </w:tc>
        <w:tc>
          <w:tcPr>
            <w:tcW w:w="1463" w:type="dxa"/>
            <w:shd w:val="clear" w:color="auto" w:fill="auto"/>
            <w:noWrap/>
            <w:hideMark/>
          </w:tcPr>
          <w:p w14:paraId="1A6D2BE1" w14:textId="77777777" w:rsidR="000C7020" w:rsidRPr="0015600B" w:rsidRDefault="000C7020" w:rsidP="00003D85">
            <w:pPr>
              <w:spacing w:line="240" w:lineRule="auto"/>
              <w:ind w:firstLine="0"/>
            </w:pPr>
            <w:r w:rsidRPr="0015600B">
              <w:t>375.93</w:t>
            </w:r>
          </w:p>
        </w:tc>
        <w:tc>
          <w:tcPr>
            <w:tcW w:w="1373" w:type="dxa"/>
            <w:shd w:val="clear" w:color="auto" w:fill="auto"/>
            <w:noWrap/>
            <w:vAlign w:val="center"/>
            <w:hideMark/>
          </w:tcPr>
          <w:p w14:paraId="69390EEF" w14:textId="77777777" w:rsidR="000C7020" w:rsidRPr="0015600B" w:rsidRDefault="000C7020" w:rsidP="00003D85">
            <w:pPr>
              <w:spacing w:line="240" w:lineRule="auto"/>
              <w:ind w:firstLine="0"/>
            </w:pPr>
            <w:r w:rsidRPr="0015600B">
              <w:t>0.34</w:t>
            </w:r>
          </w:p>
        </w:tc>
      </w:tr>
      <w:tr w:rsidR="000C7020" w:rsidRPr="0015600B" w14:paraId="70842646" w14:textId="77777777" w:rsidTr="00003D85">
        <w:trPr>
          <w:trHeight w:val="287"/>
          <w:jc w:val="center"/>
        </w:trPr>
        <w:tc>
          <w:tcPr>
            <w:tcW w:w="1613" w:type="dxa"/>
            <w:vMerge/>
            <w:tcBorders>
              <w:top w:val="single" w:sz="4" w:space="0" w:color="auto"/>
              <w:bottom w:val="single" w:sz="4" w:space="0" w:color="auto"/>
            </w:tcBorders>
            <w:vAlign w:val="center"/>
            <w:hideMark/>
          </w:tcPr>
          <w:p w14:paraId="65853C2B" w14:textId="77777777" w:rsidR="000C7020" w:rsidRPr="0015600B" w:rsidRDefault="000C7020" w:rsidP="00003D85">
            <w:pPr>
              <w:spacing w:line="240" w:lineRule="auto"/>
              <w:ind w:firstLine="0"/>
            </w:pPr>
          </w:p>
        </w:tc>
        <w:tc>
          <w:tcPr>
            <w:tcW w:w="1090" w:type="dxa"/>
            <w:tcBorders>
              <w:bottom w:val="single" w:sz="4" w:space="0" w:color="auto"/>
            </w:tcBorders>
            <w:shd w:val="clear" w:color="auto" w:fill="auto"/>
            <w:noWrap/>
            <w:vAlign w:val="center"/>
            <w:hideMark/>
          </w:tcPr>
          <w:p w14:paraId="43622373" w14:textId="77777777" w:rsidR="000C7020" w:rsidRPr="0015600B" w:rsidRDefault="000C7020" w:rsidP="00003D85">
            <w:pPr>
              <w:spacing w:line="240" w:lineRule="auto"/>
              <w:ind w:firstLine="0"/>
            </w:pPr>
            <w:r w:rsidRPr="0015600B">
              <w:t>54.59</w:t>
            </w:r>
          </w:p>
        </w:tc>
        <w:tc>
          <w:tcPr>
            <w:tcW w:w="1146" w:type="dxa"/>
            <w:tcBorders>
              <w:bottom w:val="single" w:sz="4" w:space="0" w:color="auto"/>
            </w:tcBorders>
            <w:shd w:val="clear" w:color="auto" w:fill="auto"/>
            <w:noWrap/>
            <w:vAlign w:val="center"/>
            <w:hideMark/>
          </w:tcPr>
          <w:p w14:paraId="26F6C6D9" w14:textId="77777777" w:rsidR="000C7020" w:rsidRPr="0015600B" w:rsidRDefault="000C7020" w:rsidP="00003D85">
            <w:pPr>
              <w:spacing w:line="240" w:lineRule="auto"/>
              <w:ind w:firstLine="0"/>
            </w:pPr>
            <w:r w:rsidRPr="0015600B">
              <w:t>84.60</w:t>
            </w:r>
          </w:p>
        </w:tc>
        <w:tc>
          <w:tcPr>
            <w:tcW w:w="1402" w:type="dxa"/>
            <w:tcBorders>
              <w:bottom w:val="single" w:sz="4" w:space="0" w:color="auto"/>
            </w:tcBorders>
            <w:shd w:val="clear" w:color="auto" w:fill="auto"/>
            <w:noWrap/>
            <w:hideMark/>
          </w:tcPr>
          <w:p w14:paraId="64374507" w14:textId="77777777" w:rsidR="000C7020" w:rsidRPr="0015600B" w:rsidRDefault="000C7020" w:rsidP="00003D85">
            <w:pPr>
              <w:spacing w:line="240" w:lineRule="auto"/>
              <w:ind w:firstLine="0"/>
            </w:pPr>
            <w:r w:rsidRPr="0015600B">
              <w:t>21.02</w:t>
            </w:r>
          </w:p>
        </w:tc>
        <w:tc>
          <w:tcPr>
            <w:tcW w:w="1463" w:type="dxa"/>
            <w:tcBorders>
              <w:bottom w:val="single" w:sz="4" w:space="0" w:color="auto"/>
            </w:tcBorders>
            <w:shd w:val="clear" w:color="auto" w:fill="auto"/>
            <w:noWrap/>
            <w:hideMark/>
          </w:tcPr>
          <w:p w14:paraId="37600159" w14:textId="77777777" w:rsidR="000C7020" w:rsidRPr="0015600B" w:rsidRDefault="000C7020" w:rsidP="00003D85">
            <w:pPr>
              <w:spacing w:line="240" w:lineRule="auto"/>
              <w:ind w:firstLine="0"/>
            </w:pPr>
            <w:r w:rsidRPr="0015600B">
              <w:t>307.13</w:t>
            </w:r>
          </w:p>
        </w:tc>
        <w:tc>
          <w:tcPr>
            <w:tcW w:w="1373" w:type="dxa"/>
            <w:tcBorders>
              <w:bottom w:val="single" w:sz="4" w:space="0" w:color="auto"/>
            </w:tcBorders>
            <w:shd w:val="clear" w:color="auto" w:fill="auto"/>
            <w:noWrap/>
            <w:vAlign w:val="center"/>
            <w:hideMark/>
          </w:tcPr>
          <w:p w14:paraId="79208B12" w14:textId="77777777" w:rsidR="000C7020" w:rsidRPr="0015600B" w:rsidRDefault="000C7020" w:rsidP="00003D85">
            <w:pPr>
              <w:spacing w:line="240" w:lineRule="auto"/>
              <w:ind w:firstLine="0"/>
            </w:pPr>
            <w:r w:rsidRPr="0015600B">
              <w:t>0.28</w:t>
            </w:r>
          </w:p>
        </w:tc>
      </w:tr>
      <w:tr w:rsidR="000C7020" w:rsidRPr="0015600B" w14:paraId="0F534E0D" w14:textId="77777777" w:rsidTr="00003D85">
        <w:trPr>
          <w:trHeight w:val="287"/>
          <w:jc w:val="center"/>
        </w:trPr>
        <w:tc>
          <w:tcPr>
            <w:tcW w:w="1613" w:type="dxa"/>
            <w:vMerge w:val="restart"/>
            <w:tcBorders>
              <w:top w:val="single" w:sz="4" w:space="0" w:color="auto"/>
              <w:bottom w:val="nil"/>
            </w:tcBorders>
            <w:shd w:val="clear" w:color="auto" w:fill="auto"/>
            <w:vAlign w:val="center"/>
            <w:hideMark/>
          </w:tcPr>
          <w:p w14:paraId="18BD4BA2" w14:textId="77777777" w:rsidR="000C7020" w:rsidRPr="0015600B" w:rsidRDefault="000C7020" w:rsidP="00003D85">
            <w:pPr>
              <w:spacing w:line="240" w:lineRule="auto"/>
              <w:ind w:firstLine="0"/>
            </w:pPr>
            <w:r w:rsidRPr="0015600B">
              <w:t>Portland, OR</w:t>
            </w:r>
          </w:p>
        </w:tc>
        <w:tc>
          <w:tcPr>
            <w:tcW w:w="1090" w:type="dxa"/>
            <w:tcBorders>
              <w:top w:val="single" w:sz="4" w:space="0" w:color="auto"/>
              <w:bottom w:val="nil"/>
            </w:tcBorders>
            <w:shd w:val="clear" w:color="auto" w:fill="auto"/>
            <w:noWrap/>
            <w:vAlign w:val="center"/>
            <w:hideMark/>
          </w:tcPr>
          <w:p w14:paraId="310B5799" w14:textId="77777777" w:rsidR="000C7020" w:rsidRPr="0015600B" w:rsidRDefault="000C7020" w:rsidP="00003D85">
            <w:pPr>
              <w:spacing w:line="240" w:lineRule="auto"/>
              <w:ind w:firstLine="0"/>
            </w:pPr>
            <w:r w:rsidRPr="0015600B">
              <w:t>11.37</w:t>
            </w:r>
          </w:p>
        </w:tc>
        <w:tc>
          <w:tcPr>
            <w:tcW w:w="1146" w:type="dxa"/>
            <w:tcBorders>
              <w:top w:val="single" w:sz="4" w:space="0" w:color="auto"/>
              <w:bottom w:val="nil"/>
            </w:tcBorders>
            <w:shd w:val="clear" w:color="auto" w:fill="auto"/>
            <w:noWrap/>
            <w:vAlign w:val="center"/>
            <w:hideMark/>
          </w:tcPr>
          <w:p w14:paraId="1B2C68F1" w14:textId="77777777" w:rsidR="000C7020" w:rsidRPr="0015600B" w:rsidRDefault="000C7020" w:rsidP="00003D85">
            <w:pPr>
              <w:spacing w:line="240" w:lineRule="auto"/>
              <w:ind w:firstLine="0"/>
            </w:pPr>
            <w:r w:rsidRPr="0015600B">
              <w:t>43.14</w:t>
            </w:r>
          </w:p>
        </w:tc>
        <w:tc>
          <w:tcPr>
            <w:tcW w:w="1402" w:type="dxa"/>
            <w:tcBorders>
              <w:top w:val="single" w:sz="4" w:space="0" w:color="auto"/>
              <w:bottom w:val="nil"/>
            </w:tcBorders>
            <w:shd w:val="clear" w:color="auto" w:fill="auto"/>
            <w:noWrap/>
            <w:hideMark/>
          </w:tcPr>
          <w:p w14:paraId="11C2AFA8" w14:textId="77777777" w:rsidR="000C7020" w:rsidRPr="0015600B" w:rsidRDefault="000C7020" w:rsidP="00003D85">
            <w:pPr>
              <w:spacing w:line="240" w:lineRule="auto"/>
              <w:ind w:firstLine="0"/>
            </w:pPr>
            <w:r w:rsidRPr="0015600B">
              <w:t>37.76</w:t>
            </w:r>
          </w:p>
        </w:tc>
        <w:tc>
          <w:tcPr>
            <w:tcW w:w="1463" w:type="dxa"/>
            <w:tcBorders>
              <w:top w:val="single" w:sz="4" w:space="0" w:color="auto"/>
              <w:bottom w:val="nil"/>
            </w:tcBorders>
            <w:shd w:val="clear" w:color="auto" w:fill="auto"/>
            <w:noWrap/>
            <w:hideMark/>
          </w:tcPr>
          <w:p w14:paraId="74D98C28" w14:textId="77777777" w:rsidR="000C7020" w:rsidRPr="0015600B" w:rsidRDefault="000C7020" w:rsidP="00003D85">
            <w:pPr>
              <w:spacing w:line="240" w:lineRule="auto"/>
              <w:ind w:firstLine="0"/>
            </w:pPr>
            <w:r w:rsidRPr="0015600B">
              <w:t>225.23</w:t>
            </w:r>
          </w:p>
        </w:tc>
        <w:tc>
          <w:tcPr>
            <w:tcW w:w="1373" w:type="dxa"/>
            <w:tcBorders>
              <w:top w:val="single" w:sz="4" w:space="0" w:color="auto"/>
              <w:bottom w:val="nil"/>
            </w:tcBorders>
            <w:shd w:val="clear" w:color="auto" w:fill="auto"/>
            <w:noWrap/>
            <w:vAlign w:val="center"/>
            <w:hideMark/>
          </w:tcPr>
          <w:p w14:paraId="58E2C959" w14:textId="77777777" w:rsidR="000C7020" w:rsidRPr="0015600B" w:rsidRDefault="000C7020" w:rsidP="00003D85">
            <w:pPr>
              <w:spacing w:line="240" w:lineRule="auto"/>
              <w:ind w:firstLine="0"/>
            </w:pPr>
            <w:r w:rsidRPr="0015600B">
              <w:t>0.30</w:t>
            </w:r>
          </w:p>
        </w:tc>
      </w:tr>
      <w:tr w:rsidR="000C7020" w:rsidRPr="0015600B" w14:paraId="4380607C" w14:textId="77777777" w:rsidTr="00003D85">
        <w:trPr>
          <w:trHeight w:val="287"/>
          <w:jc w:val="center"/>
        </w:trPr>
        <w:tc>
          <w:tcPr>
            <w:tcW w:w="1613" w:type="dxa"/>
            <w:vMerge/>
            <w:tcBorders>
              <w:top w:val="nil"/>
            </w:tcBorders>
            <w:vAlign w:val="center"/>
            <w:hideMark/>
          </w:tcPr>
          <w:p w14:paraId="09E5FFB9" w14:textId="77777777" w:rsidR="000C7020" w:rsidRPr="0015600B" w:rsidRDefault="000C7020" w:rsidP="00003D85">
            <w:pPr>
              <w:spacing w:line="240" w:lineRule="auto"/>
              <w:ind w:firstLine="0"/>
            </w:pPr>
          </w:p>
        </w:tc>
        <w:tc>
          <w:tcPr>
            <w:tcW w:w="1090" w:type="dxa"/>
            <w:tcBorders>
              <w:top w:val="nil"/>
            </w:tcBorders>
            <w:shd w:val="clear" w:color="auto" w:fill="auto"/>
            <w:noWrap/>
            <w:vAlign w:val="center"/>
            <w:hideMark/>
          </w:tcPr>
          <w:p w14:paraId="57901C1F" w14:textId="77777777" w:rsidR="000C7020" w:rsidRPr="0015600B" w:rsidRDefault="000C7020" w:rsidP="00003D85">
            <w:pPr>
              <w:spacing w:line="240" w:lineRule="auto"/>
              <w:ind w:firstLine="0"/>
            </w:pPr>
            <w:r w:rsidRPr="0015600B">
              <w:t>22.73</w:t>
            </w:r>
          </w:p>
        </w:tc>
        <w:tc>
          <w:tcPr>
            <w:tcW w:w="1146" w:type="dxa"/>
            <w:tcBorders>
              <w:top w:val="nil"/>
            </w:tcBorders>
            <w:shd w:val="clear" w:color="auto" w:fill="auto"/>
            <w:vAlign w:val="center"/>
            <w:hideMark/>
          </w:tcPr>
          <w:p w14:paraId="4E93A8C7" w14:textId="77777777" w:rsidR="000C7020" w:rsidRPr="0015600B" w:rsidRDefault="000C7020" w:rsidP="00003D85">
            <w:pPr>
              <w:spacing w:line="240" w:lineRule="auto"/>
              <w:ind w:firstLine="0"/>
            </w:pPr>
            <w:r w:rsidRPr="0015600B">
              <w:t>86.28</w:t>
            </w:r>
          </w:p>
        </w:tc>
        <w:tc>
          <w:tcPr>
            <w:tcW w:w="1402" w:type="dxa"/>
            <w:tcBorders>
              <w:top w:val="nil"/>
            </w:tcBorders>
            <w:shd w:val="clear" w:color="auto" w:fill="auto"/>
            <w:noWrap/>
            <w:hideMark/>
          </w:tcPr>
          <w:p w14:paraId="11BEBA21" w14:textId="77777777" w:rsidR="000C7020" w:rsidRPr="0015600B" w:rsidRDefault="000C7020" w:rsidP="00003D85">
            <w:pPr>
              <w:spacing w:line="240" w:lineRule="auto"/>
              <w:ind w:firstLine="0"/>
            </w:pPr>
            <w:r w:rsidRPr="0015600B">
              <w:t>27.66</w:t>
            </w:r>
          </w:p>
        </w:tc>
        <w:tc>
          <w:tcPr>
            <w:tcW w:w="1463" w:type="dxa"/>
            <w:tcBorders>
              <w:top w:val="nil"/>
            </w:tcBorders>
            <w:shd w:val="clear" w:color="auto" w:fill="auto"/>
            <w:noWrap/>
            <w:hideMark/>
          </w:tcPr>
          <w:p w14:paraId="5CF743AD" w14:textId="77777777" w:rsidR="000C7020" w:rsidRPr="0015600B" w:rsidRDefault="000C7020" w:rsidP="00003D85">
            <w:pPr>
              <w:spacing w:line="240" w:lineRule="auto"/>
              <w:ind w:firstLine="0"/>
            </w:pPr>
            <w:r w:rsidRPr="0015600B">
              <w:t>165.01</w:t>
            </w:r>
          </w:p>
        </w:tc>
        <w:tc>
          <w:tcPr>
            <w:tcW w:w="1373" w:type="dxa"/>
            <w:tcBorders>
              <w:top w:val="nil"/>
            </w:tcBorders>
            <w:shd w:val="clear" w:color="auto" w:fill="auto"/>
            <w:noWrap/>
            <w:vAlign w:val="center"/>
            <w:hideMark/>
          </w:tcPr>
          <w:p w14:paraId="14EC2CD3" w14:textId="77777777" w:rsidR="000C7020" w:rsidRPr="0015600B" w:rsidRDefault="000C7020" w:rsidP="00003D85">
            <w:pPr>
              <w:spacing w:line="240" w:lineRule="auto"/>
              <w:ind w:firstLine="0"/>
            </w:pPr>
            <w:r w:rsidRPr="0015600B">
              <w:t>0.22</w:t>
            </w:r>
          </w:p>
        </w:tc>
      </w:tr>
      <w:tr w:rsidR="000C7020" w:rsidRPr="0015600B" w14:paraId="2B134346" w14:textId="77777777" w:rsidTr="00003D85">
        <w:trPr>
          <w:trHeight w:val="287"/>
          <w:jc w:val="center"/>
        </w:trPr>
        <w:tc>
          <w:tcPr>
            <w:tcW w:w="1613" w:type="dxa"/>
            <w:vMerge/>
            <w:vAlign w:val="center"/>
            <w:hideMark/>
          </w:tcPr>
          <w:p w14:paraId="2F0259FA" w14:textId="77777777" w:rsidR="000C7020" w:rsidRPr="0015600B" w:rsidRDefault="000C7020" w:rsidP="00003D85">
            <w:pPr>
              <w:spacing w:line="240" w:lineRule="auto"/>
              <w:ind w:firstLine="0"/>
            </w:pPr>
          </w:p>
        </w:tc>
        <w:tc>
          <w:tcPr>
            <w:tcW w:w="1090" w:type="dxa"/>
            <w:shd w:val="clear" w:color="auto" w:fill="auto"/>
            <w:noWrap/>
            <w:vAlign w:val="center"/>
            <w:hideMark/>
          </w:tcPr>
          <w:p w14:paraId="08429900" w14:textId="77777777" w:rsidR="000C7020" w:rsidRPr="0015600B" w:rsidRDefault="000C7020" w:rsidP="00003D85">
            <w:pPr>
              <w:spacing w:line="240" w:lineRule="auto"/>
              <w:ind w:firstLine="0"/>
            </w:pPr>
            <w:r w:rsidRPr="0015600B">
              <w:t>34.10</w:t>
            </w:r>
          </w:p>
        </w:tc>
        <w:tc>
          <w:tcPr>
            <w:tcW w:w="1146" w:type="dxa"/>
            <w:shd w:val="clear" w:color="auto" w:fill="auto"/>
            <w:noWrap/>
            <w:vAlign w:val="center"/>
            <w:hideMark/>
          </w:tcPr>
          <w:p w14:paraId="7DF44BEB" w14:textId="77777777" w:rsidR="000C7020" w:rsidRPr="0015600B" w:rsidRDefault="000C7020" w:rsidP="00003D85">
            <w:pPr>
              <w:spacing w:line="240" w:lineRule="auto"/>
              <w:ind w:firstLine="0"/>
            </w:pPr>
            <w:r w:rsidRPr="0015600B">
              <w:t>129.42</w:t>
            </w:r>
          </w:p>
        </w:tc>
        <w:tc>
          <w:tcPr>
            <w:tcW w:w="1402" w:type="dxa"/>
            <w:shd w:val="clear" w:color="auto" w:fill="auto"/>
            <w:noWrap/>
            <w:hideMark/>
          </w:tcPr>
          <w:p w14:paraId="20117C0C" w14:textId="77777777" w:rsidR="000C7020" w:rsidRPr="0015600B" w:rsidRDefault="000C7020" w:rsidP="00003D85">
            <w:pPr>
              <w:spacing w:line="240" w:lineRule="auto"/>
              <w:ind w:firstLine="0"/>
            </w:pPr>
            <w:r w:rsidRPr="0015600B">
              <w:t>22.86</w:t>
            </w:r>
          </w:p>
        </w:tc>
        <w:tc>
          <w:tcPr>
            <w:tcW w:w="1463" w:type="dxa"/>
            <w:shd w:val="clear" w:color="auto" w:fill="auto"/>
            <w:noWrap/>
            <w:hideMark/>
          </w:tcPr>
          <w:p w14:paraId="59D08DA2" w14:textId="77777777" w:rsidR="000C7020" w:rsidRPr="0015600B" w:rsidRDefault="000C7020" w:rsidP="00003D85">
            <w:pPr>
              <w:spacing w:line="240" w:lineRule="auto"/>
              <w:ind w:firstLine="0"/>
            </w:pPr>
            <w:r w:rsidRPr="0015600B">
              <w:t>136.34</w:t>
            </w:r>
          </w:p>
        </w:tc>
        <w:tc>
          <w:tcPr>
            <w:tcW w:w="1373" w:type="dxa"/>
            <w:shd w:val="clear" w:color="auto" w:fill="auto"/>
            <w:noWrap/>
            <w:vAlign w:val="center"/>
            <w:hideMark/>
          </w:tcPr>
          <w:p w14:paraId="30D65F50" w14:textId="77777777" w:rsidR="000C7020" w:rsidRPr="0015600B" w:rsidRDefault="000C7020" w:rsidP="00003D85">
            <w:pPr>
              <w:spacing w:line="240" w:lineRule="auto"/>
              <w:ind w:firstLine="0"/>
            </w:pPr>
            <w:r w:rsidRPr="0015600B">
              <w:t>0.17</w:t>
            </w:r>
          </w:p>
        </w:tc>
      </w:tr>
    </w:tbl>
    <w:p w14:paraId="3FABA140" w14:textId="77777777" w:rsidR="004B48CB" w:rsidRDefault="004B48CB" w:rsidP="0056014D">
      <w:pPr>
        <w:pStyle w:val="Heading3"/>
        <w:sectPr w:rsidR="004B48CB" w:rsidSect="002962D0">
          <w:pgSz w:w="12240" w:h="15840"/>
          <w:pgMar w:top="1440" w:right="1440" w:bottom="1440" w:left="2160" w:header="720" w:footer="720" w:gutter="0"/>
          <w:cols w:space="720"/>
          <w:docGrid w:linePitch="326"/>
        </w:sectPr>
      </w:pPr>
    </w:p>
    <w:p w14:paraId="1095ADF1" w14:textId="157B2283" w:rsidR="00374A0A" w:rsidRDefault="00374A0A" w:rsidP="00EE3BAC">
      <w:pPr>
        <w:pStyle w:val="Heading3"/>
      </w:pPr>
      <w:r>
        <w:lastRenderedPageBreak/>
        <w:t xml:space="preserve">Complementary </w:t>
      </w:r>
      <w:r w:rsidR="0056014D">
        <w:t>Figures</w:t>
      </w:r>
      <w:r w:rsidR="00756067">
        <w:t xml:space="preserve"> (CF)</w:t>
      </w:r>
      <w:r w:rsidR="00756067">
        <w:rPr>
          <w:noProof/>
        </w:rPr>
        <w:drawing>
          <wp:inline distT="0" distB="0" distL="0" distR="0" wp14:anchorId="1133CC1E" wp14:editId="315A163A">
            <wp:extent cx="5486400" cy="2726055"/>
            <wp:effectExtent l="0" t="0" r="0" b="0"/>
            <wp:docPr id="621847110" name="Picture 62184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86400" cy="2726055"/>
                    </a:xfrm>
                    <a:prstGeom prst="rect">
                      <a:avLst/>
                    </a:prstGeom>
                  </pic:spPr>
                </pic:pic>
              </a:graphicData>
            </a:graphic>
          </wp:inline>
        </w:drawing>
      </w:r>
    </w:p>
    <w:p w14:paraId="71BFB488" w14:textId="4EEED456" w:rsidR="00756067" w:rsidRDefault="00756067" w:rsidP="00374A0A">
      <w:pPr>
        <w:ind w:firstLine="0"/>
        <w:rPr>
          <w:noProof/>
        </w:rPr>
      </w:pPr>
      <w:r>
        <w:rPr>
          <w:noProof/>
        </w:rPr>
        <w:drawing>
          <wp:inline distT="0" distB="0" distL="0" distR="0" wp14:anchorId="3B54C0EF" wp14:editId="69BA72FC">
            <wp:extent cx="5486400" cy="2659380"/>
            <wp:effectExtent l="0" t="0" r="0" b="7620"/>
            <wp:docPr id="621847109" name="Picture 621847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486400" cy="2659380"/>
                    </a:xfrm>
                    <a:prstGeom prst="rect">
                      <a:avLst/>
                    </a:prstGeom>
                  </pic:spPr>
                </pic:pic>
              </a:graphicData>
            </a:graphic>
          </wp:inline>
        </w:drawing>
      </w:r>
    </w:p>
    <w:p w14:paraId="21C6FD1A" w14:textId="46EF8C30" w:rsidR="00756067" w:rsidRDefault="00756067" w:rsidP="00374A0A">
      <w:pPr>
        <w:ind w:firstLine="0"/>
      </w:pPr>
      <w:r>
        <w:rPr>
          <w:noProof/>
        </w:rPr>
        <w:lastRenderedPageBreak/>
        <w:drawing>
          <wp:inline distT="0" distB="0" distL="0" distR="0" wp14:anchorId="1BBA873E" wp14:editId="67306715">
            <wp:extent cx="5486400" cy="2593975"/>
            <wp:effectExtent l="0" t="0" r="0" b="0"/>
            <wp:docPr id="621847111" name="Picture 62184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486400" cy="2593975"/>
                    </a:xfrm>
                    <a:prstGeom prst="rect">
                      <a:avLst/>
                    </a:prstGeom>
                  </pic:spPr>
                </pic:pic>
              </a:graphicData>
            </a:graphic>
          </wp:inline>
        </w:drawing>
      </w:r>
    </w:p>
    <w:p w14:paraId="6EE1D511" w14:textId="4CC8817D" w:rsidR="00756067" w:rsidRDefault="005331C3" w:rsidP="00374A0A">
      <w:pPr>
        <w:ind w:firstLine="0"/>
      </w:pPr>
      <w:r>
        <w:rPr>
          <w:noProof/>
        </w:rPr>
        <w:drawing>
          <wp:inline distT="0" distB="0" distL="0" distR="0" wp14:anchorId="3C5C2881" wp14:editId="0EF7A02C">
            <wp:extent cx="5486400" cy="2442845"/>
            <wp:effectExtent l="0" t="0" r="0" b="0"/>
            <wp:docPr id="621847115" name="Picture 62184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486400" cy="2442845"/>
                    </a:xfrm>
                    <a:prstGeom prst="rect">
                      <a:avLst/>
                    </a:prstGeom>
                  </pic:spPr>
                </pic:pic>
              </a:graphicData>
            </a:graphic>
          </wp:inline>
        </w:drawing>
      </w:r>
    </w:p>
    <w:p w14:paraId="431C7984" w14:textId="3F231082" w:rsidR="005331C3" w:rsidRDefault="005331C3" w:rsidP="00374A0A">
      <w:pPr>
        <w:ind w:firstLine="0"/>
      </w:pPr>
      <w:r>
        <w:rPr>
          <w:noProof/>
        </w:rPr>
        <w:lastRenderedPageBreak/>
        <w:drawing>
          <wp:inline distT="0" distB="0" distL="0" distR="0" wp14:anchorId="7D413840" wp14:editId="00E8B0EE">
            <wp:extent cx="5486400" cy="2628900"/>
            <wp:effectExtent l="0" t="0" r="0" b="0"/>
            <wp:docPr id="621847117" name="Picture 62184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86400" cy="2628900"/>
                    </a:xfrm>
                    <a:prstGeom prst="rect">
                      <a:avLst/>
                    </a:prstGeom>
                  </pic:spPr>
                </pic:pic>
              </a:graphicData>
            </a:graphic>
          </wp:inline>
        </w:drawing>
      </w:r>
    </w:p>
    <w:p w14:paraId="3F3D1B7A" w14:textId="1930AA0D" w:rsidR="00057477" w:rsidRDefault="00057477" w:rsidP="00374A0A">
      <w:pPr>
        <w:ind w:firstLine="0"/>
      </w:pPr>
      <w:r>
        <w:rPr>
          <w:noProof/>
        </w:rPr>
        <w:drawing>
          <wp:inline distT="0" distB="0" distL="0" distR="0" wp14:anchorId="77C9B932" wp14:editId="55BEF101">
            <wp:extent cx="5486400" cy="2483485"/>
            <wp:effectExtent l="0" t="0" r="0" b="0"/>
            <wp:docPr id="621847118" name="Picture 62184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86400" cy="2483485"/>
                    </a:xfrm>
                    <a:prstGeom prst="rect">
                      <a:avLst/>
                    </a:prstGeom>
                  </pic:spPr>
                </pic:pic>
              </a:graphicData>
            </a:graphic>
          </wp:inline>
        </w:drawing>
      </w:r>
    </w:p>
    <w:p w14:paraId="7AF883C5" w14:textId="12B66B55" w:rsidR="00057477" w:rsidRDefault="00057477" w:rsidP="00374A0A">
      <w:pPr>
        <w:ind w:firstLine="0"/>
      </w:pPr>
      <w:r>
        <w:rPr>
          <w:noProof/>
        </w:rPr>
        <w:lastRenderedPageBreak/>
        <w:drawing>
          <wp:inline distT="0" distB="0" distL="0" distR="0" wp14:anchorId="7B405066" wp14:editId="724A8A7F">
            <wp:extent cx="5486400" cy="2626360"/>
            <wp:effectExtent l="0" t="0" r="0" b="2540"/>
            <wp:docPr id="621847119" name="Picture 62184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486400" cy="2626360"/>
                    </a:xfrm>
                    <a:prstGeom prst="rect">
                      <a:avLst/>
                    </a:prstGeom>
                  </pic:spPr>
                </pic:pic>
              </a:graphicData>
            </a:graphic>
          </wp:inline>
        </w:drawing>
      </w:r>
    </w:p>
    <w:p w14:paraId="21F222BA" w14:textId="3DD72BD1" w:rsidR="00374A0A" w:rsidRDefault="00374A0A" w:rsidP="00037B41">
      <w:pPr>
        <w:pStyle w:val="Caption"/>
      </w:pPr>
      <w:r>
        <w:t>C</w:t>
      </w:r>
      <w:r w:rsidRPr="0015600B">
        <w:t>F</w:t>
      </w:r>
      <w:r>
        <w:t xml:space="preserve"> 1</w:t>
      </w:r>
      <w:r w:rsidRPr="0015600B">
        <w:t xml:space="preserve">. </w:t>
      </w:r>
      <w:r w:rsidR="00B67CC0">
        <w:t xml:space="preserve">(a) – (g) </w:t>
      </w:r>
      <w:r>
        <w:t>Annual total building energy and the absorbed solar energy</w:t>
      </w:r>
    </w:p>
    <w:p w14:paraId="380CEA90" w14:textId="77777777" w:rsidR="004B48CB" w:rsidRDefault="004B48CB" w:rsidP="0096448F"/>
    <w:p w14:paraId="652CA16B" w14:textId="70884D5D" w:rsidR="00B66BB9" w:rsidRPr="00B66BB9" w:rsidRDefault="00B66BB9" w:rsidP="00B66BB9">
      <w:pPr>
        <w:sectPr w:rsidR="00B66BB9" w:rsidRPr="00B66BB9" w:rsidSect="002962D0">
          <w:pgSz w:w="12240" w:h="15840"/>
          <w:pgMar w:top="1440" w:right="1440" w:bottom="1440" w:left="2160" w:header="720" w:footer="720" w:gutter="0"/>
          <w:cols w:space="720"/>
          <w:docGrid w:linePitch="326"/>
        </w:sectPr>
      </w:pPr>
    </w:p>
    <w:p w14:paraId="21348F5E" w14:textId="4D197865" w:rsidR="00EB1DCD" w:rsidRDefault="00EB1DCD" w:rsidP="0056014D">
      <w:pPr>
        <w:pStyle w:val="Heading3"/>
      </w:pPr>
      <w:r>
        <w:lastRenderedPageBreak/>
        <w:t xml:space="preserve">MATLAB </w:t>
      </w:r>
      <w:r w:rsidR="00295015">
        <w:t>code</w:t>
      </w:r>
      <w:bookmarkEnd w:id="271"/>
    </w:p>
    <w:p w14:paraId="3957ED3A" w14:textId="3C0E1B24"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Main *******************</w:t>
      </w:r>
      <w:r w:rsidR="007C6FB6">
        <w:rPr>
          <w:rFonts w:ascii="Courier New" w:hAnsi="Courier New" w:cs="Courier New"/>
          <w:color w:val="228B22"/>
          <w:sz w:val="18"/>
          <w:szCs w:val="18"/>
        </w:rPr>
        <w:t>********************</w:t>
      </w:r>
    </w:p>
    <w:p w14:paraId="7D34A40E" w14:textId="3BA9265D"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r w:rsidR="007C6FB6">
        <w:rPr>
          <w:rFonts w:ascii="Courier New" w:hAnsi="Courier New" w:cs="Courier New"/>
          <w:color w:val="228B22"/>
          <w:sz w:val="18"/>
          <w:szCs w:val="18"/>
        </w:rPr>
        <w:t>*****************************</w:t>
      </w:r>
    </w:p>
    <w:p w14:paraId="6786B3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close </w:t>
      </w:r>
      <w:r w:rsidRPr="002B17E4">
        <w:rPr>
          <w:rFonts w:ascii="Courier New" w:hAnsi="Courier New" w:cs="Courier New"/>
          <w:color w:val="A020F0"/>
          <w:sz w:val="18"/>
          <w:szCs w:val="18"/>
        </w:rPr>
        <w:t>all</w:t>
      </w:r>
    </w:p>
    <w:p w14:paraId="359017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clear </w:t>
      </w:r>
      <w:r w:rsidRPr="002B17E4">
        <w:rPr>
          <w:rFonts w:ascii="Courier New" w:hAnsi="Courier New" w:cs="Courier New"/>
          <w:color w:val="A020F0"/>
          <w:sz w:val="18"/>
          <w:szCs w:val="18"/>
        </w:rPr>
        <w:t>all</w:t>
      </w:r>
    </w:p>
    <w:p w14:paraId="73E6178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clc</w:t>
      </w:r>
    </w:p>
    <w:p w14:paraId="5D228DA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tic</w:t>
      </w:r>
    </w:p>
    <w:p w14:paraId="11A155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ri ro r twh kw Nelm Ns Nl LST NHP</w:t>
      </w:r>
    </w:p>
    <w:p w14:paraId="755DBA2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tallmelt STATE Sdotin Sdotout Qdotout Qdotin Exin Exout dSdt</w:t>
      </w:r>
    </w:p>
    <w:p w14:paraId="27BC4A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Lh Lw La Lb aw</w:t>
      </w:r>
    </w:p>
    <w:p w14:paraId="7D798DD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Tm hsl kL kS cL aL aS rhoL rhoS Esen Load_Solar</w:t>
      </w:r>
    </w:p>
    <w:p w14:paraId="3B4305A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Ti dlqd dsld A Mass TPCMavg dms qin Qaux</w:t>
      </w:r>
    </w:p>
    <w:p w14:paraId="153C0F5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C2631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totalqsolar totalload</w:t>
      </w:r>
    </w:p>
    <w:p w14:paraId="204FCA8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01A4C5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Effective PCM Properties</w:t>
      </w:r>
    </w:p>
    <w:p w14:paraId="7BEFFD5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40D630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eps = 0.98;</w:t>
      </w:r>
    </w:p>
    <w:p w14:paraId="741BAFD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Tm = 89 + 273.15;</w:t>
      </w:r>
    </w:p>
    <w:p w14:paraId="6535DD3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rhoPCML = 1550;</w:t>
      </w:r>
    </w:p>
    <w:p w14:paraId="5E74689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kPCML = 0.5;</w:t>
      </w:r>
    </w:p>
    <w:p w14:paraId="32DE1C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cPCML = 554;</w:t>
      </w:r>
    </w:p>
    <w:p w14:paraId="0DF8A06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hslPCM = 162.8e3;</w:t>
      </w:r>
    </w:p>
    <w:p w14:paraId="162DC4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rhor = 1;</w:t>
      </w:r>
    </w:p>
    <w:p w14:paraId="74E356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kr = 1;</w:t>
      </w:r>
    </w:p>
    <w:p w14:paraId="507AFD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cr = 1;</w:t>
      </w:r>
    </w:p>
    <w:p w14:paraId="19632CF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rhoPCMS = rhoPCML*rhor;</w:t>
      </w:r>
    </w:p>
    <w:p w14:paraId="0CC0EC6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kPCMS = kPCML*kr;</w:t>
      </w:r>
    </w:p>
    <w:p w14:paraId="6039074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cPCMS = cPCML*cr;</w:t>
      </w:r>
    </w:p>
    <w:p w14:paraId="06D7FD1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27142E5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rhometal = 2700;</w:t>
      </w:r>
    </w:p>
    <w:p w14:paraId="4C42D6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kmetal = 205;</w:t>
      </w:r>
    </w:p>
    <w:p w14:paraId="3B2C32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cmetal = 900;</w:t>
      </w:r>
    </w:p>
    <w:p w14:paraId="29A14E4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2C44A01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kL = (kPCML+pi*(sqrt((1-eps)/3/pi)-(1-eps)/3/pi)*(kmetal-kPCML))*(kPCML+(1-eps)/3*(kmetal-kPCML))/</w:t>
      </w:r>
      <w:r w:rsidRPr="002B17E4">
        <w:rPr>
          <w:rFonts w:ascii="Courier New" w:hAnsi="Courier New" w:cs="Courier New"/>
          <w:color w:val="0000FF"/>
          <w:sz w:val="18"/>
          <w:szCs w:val="18"/>
        </w:rPr>
        <w:t>...</w:t>
      </w:r>
    </w:p>
    <w:p w14:paraId="5FBE187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(kPCML+(4/3*sqrt((1-eps)/3/pi)*(1-eps)+pi*sqrt((1-eps)/3/pi)-(1-eps))*(kmetal-kPCML));</w:t>
      </w:r>
    </w:p>
    <w:p w14:paraId="1ABEBC4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cL = eps*cPCML+(1-eps)*cmetal;</w:t>
      </w:r>
    </w:p>
    <w:p w14:paraId="224A624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rhoL = eps*rhoPCML+(1-eps)*rhometal;</w:t>
      </w:r>
    </w:p>
    <w:p w14:paraId="1AA8761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BC70A5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kS = (kPCMS+pi*(sqrt((1-eps)/3/pi)-(1-eps)/3/pi)*(kmetal-kPCMS))*(kPCMS+(1-eps)/3*(kmetal-kPCMS))/</w:t>
      </w:r>
      <w:r w:rsidRPr="002B17E4">
        <w:rPr>
          <w:rFonts w:ascii="Courier New" w:hAnsi="Courier New" w:cs="Courier New"/>
          <w:color w:val="0000FF"/>
          <w:sz w:val="18"/>
          <w:szCs w:val="18"/>
        </w:rPr>
        <w:t>...</w:t>
      </w:r>
    </w:p>
    <w:p w14:paraId="2DE4E8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(kPCMS+(4/3*sqrt((1-eps)/3/pi)*(1-eps)+pi*sqrt((1-eps)/3/pi)-(1-eps))*(kmetal-kPCMS));</w:t>
      </w:r>
    </w:p>
    <w:p w14:paraId="41C3CC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cS = eps*cPCMS+(1-eps)*cmetal;</w:t>
      </w:r>
    </w:p>
    <w:p w14:paraId="0F8CF8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rhoS = eps*rhoPCMS+(1-eps)*rhometal;</w:t>
      </w:r>
    </w:p>
    <w:p w14:paraId="2E2253B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5F1AA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hsl = eps*hslPCM;</w:t>
      </w:r>
    </w:p>
    <w:p w14:paraId="5315C57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aL = kL/(rhoL*cL);</w:t>
      </w:r>
    </w:p>
    <w:p w14:paraId="0545FD3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aS = kS/(rhoS*cS);</w:t>
      </w:r>
    </w:p>
    <w:p w14:paraId="690EFDC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F2B290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5D24B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Heat Pipe Specifications</w:t>
      </w:r>
    </w:p>
    <w:p w14:paraId="5FB042B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lastRenderedPageBreak/>
        <w:t>%****************************************</w:t>
      </w:r>
    </w:p>
    <w:p w14:paraId="07FD258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ri = 0.015;</w:t>
      </w:r>
    </w:p>
    <w:p w14:paraId="15956FD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Dwho = 2*ri;</w:t>
      </w:r>
    </w:p>
    <w:p w14:paraId="20F0E6C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twh = 0.002;</w:t>
      </w:r>
    </w:p>
    <w:p w14:paraId="54D2E9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Dwhi = Dwho - 2*twh;</w:t>
      </w:r>
    </w:p>
    <w:p w14:paraId="3A534D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kw = 16;</w:t>
      </w:r>
    </w:p>
    <w:p w14:paraId="28CD33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aw = kw/(7900*400);</w:t>
      </w:r>
    </w:p>
    <w:p w14:paraId="634608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Lh = 1.;</w:t>
      </w:r>
    </w:p>
    <w:p w14:paraId="10CA0DE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Lw = 0.1;</w:t>
      </w:r>
    </w:p>
    <w:p w14:paraId="32844F8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La = 0.2;</w:t>
      </w:r>
    </w:p>
    <w:p w14:paraId="18ECBF0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Lb = 0.2;</w:t>
      </w:r>
    </w:p>
    <w:p w14:paraId="4D6810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Rwh = log(Dwho/Dwhi)/(2*pi*kw*Lh);</w:t>
      </w:r>
    </w:p>
    <w:p w14:paraId="2C4482B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5B57EFB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BUNDLE ARRANGEMENT</w:t>
      </w:r>
    </w:p>
    <w:p w14:paraId="5794FB2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0973EAA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TES=; </w:t>
      </w:r>
    </w:p>
    <w:p w14:paraId="3EFEAAB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MTES=TES*3600/159;</w:t>
      </w:r>
    </w:p>
    <w:p w14:paraId="4AE80D5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MPCM = MTES.*hslPCM/hsl;     </w:t>
      </w:r>
    </w:p>
    <w:p w14:paraId="43549AC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 = 0.125;</w:t>
      </w:r>
      <w:r w:rsidRPr="002B17E4">
        <w:rPr>
          <w:rFonts w:ascii="Courier New" w:hAnsi="Courier New" w:cs="Courier New"/>
          <w:color w:val="228B22"/>
          <w:sz w:val="18"/>
          <w:szCs w:val="18"/>
        </w:rPr>
        <w:t>%(MPCM/(NHP*Lh*rhoL)+2*pi*ri^2)^0.5         %unit cell length</w:t>
      </w:r>
    </w:p>
    <w:p w14:paraId="1FC355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ro = L/sqrt(2*pi);                  </w:t>
      </w:r>
    </w:p>
    <w:p w14:paraId="23C472C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%MPCM = NHP*(L^2-2*pi*ri^2)*Lh*rhoL;</w:t>
      </w:r>
    </w:p>
    <w:p w14:paraId="4274755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NHP=MPCM/((L^2-2*pi*ri^2)*Lh*rhoL);</w:t>
      </w:r>
    </w:p>
    <w:p w14:paraId="08C763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MPCM = NHP*(L^2-2*pi*ri^2)*Lh*rhoL;</w:t>
      </w:r>
    </w:p>
    <w:p w14:paraId="6446C2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MPCM = 670.6305;</w:t>
      </w:r>
    </w:p>
    <w:p w14:paraId="09A46BF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03CF547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TN Model Specifications </w:t>
      </w:r>
    </w:p>
    <w:p w14:paraId="43E7989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26D4D5E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NN = 8;</w:t>
      </w:r>
    </w:p>
    <w:p w14:paraId="4E1E057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Ns = NN;</w:t>
      </w:r>
    </w:p>
    <w:p w14:paraId="70C448D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Nl = NN;</w:t>
      </w:r>
    </w:p>
    <w:p w14:paraId="352B838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Nelm = Ns + Nl + 6;</w:t>
      </w:r>
    </w:p>
    <w:p w14:paraId="61618BA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LST = 1 + Nl + Ns;</w:t>
      </w:r>
    </w:p>
    <w:p w14:paraId="7637C66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54C27E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INITIAL CONDITIONS</w:t>
      </w:r>
    </w:p>
    <w:p w14:paraId="44756FE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6852AF6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T0 = 300;</w:t>
      </w:r>
    </w:p>
    <w:p w14:paraId="4720155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yin = zeros(Nelm,1)+Tm-0.1;</w:t>
      </w:r>
    </w:p>
    <w:p w14:paraId="34DFFF1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yin(1:Nl+1,1) = Tm+0.1;</w:t>
      </w:r>
    </w:p>
    <w:p w14:paraId="104A676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f0 = 0.5;</w:t>
      </w:r>
    </w:p>
    <w:p w14:paraId="116CD3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 = f0*(2*(ro^2-ri^2));</w:t>
      </w:r>
    </w:p>
    <w:p w14:paraId="16F6BDC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(f0&lt;=0.5)</w:t>
      </w:r>
    </w:p>
    <w:p w14:paraId="12DA7CD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yin(end) = sqrt(Mass+ri^2)-ri;</w:t>
      </w:r>
    </w:p>
    <w:p w14:paraId="62F320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else</w:t>
      </w:r>
    </w:p>
    <w:p w14:paraId="242E543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yin(end) = -sqrt((ro^2-ri^2+ro^2)-Mass) + 2*ro - ri;</w:t>
      </w:r>
    </w:p>
    <w:p w14:paraId="2061FBE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A08B32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%yin(1) = Tm + 0.4*10;</w:t>
      </w:r>
    </w:p>
    <w:p w14:paraId="6ACE369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%yin(Nl+Ns+2) = Tm-10;</w:t>
      </w:r>
    </w:p>
    <w:p w14:paraId="0410FA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TPCMag(1,1) = Tm;</w:t>
      </w:r>
    </w:p>
    <w:p w14:paraId="1A6C8A5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del = L/200;</w:t>
      </w:r>
    </w:p>
    <w:p w14:paraId="51043C3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f(1) = f0;</w:t>
      </w:r>
    </w:p>
    <w:p w14:paraId="2A86F98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tallmelt = 0;</w:t>
      </w:r>
    </w:p>
    <w:p w14:paraId="17205B7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STATE = 0;</w:t>
      </w:r>
    </w:p>
    <w:p w14:paraId="4F616B0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j = 0;</w:t>
      </w:r>
    </w:p>
    <w:p w14:paraId="6754998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Ex(1,1:5) = 0;</w:t>
      </w:r>
    </w:p>
    <w:p w14:paraId="3391C42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totalqsol =0;</w:t>
      </w:r>
    </w:p>
    <w:p w14:paraId="7A1EE1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totaload = 0;</w:t>
      </w:r>
    </w:p>
    <w:p w14:paraId="0DB5948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A108F6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85A6CB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lastRenderedPageBreak/>
        <w:t>% PCM MASS</w:t>
      </w:r>
    </w:p>
    <w:p w14:paraId="000A4DF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265E35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0748AC1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w:t>
      </w:r>
    </w:p>
    <w:p w14:paraId="09FE6B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w:t>
      </w:r>
    </w:p>
    <w:p w14:paraId="0080770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w:t>
      </w:r>
    </w:p>
    <w:p w14:paraId="5B6376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w:t>
      </w:r>
    </w:p>
    <w:p w14:paraId="5B3815AD" w14:textId="3B5F386A"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Asolar=; </w:t>
      </w:r>
    </w:p>
    <w:p w14:paraId="11A4804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i = 1;</w:t>
      </w:r>
    </w:p>
    <w:p w14:paraId="6ED9723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BB = 0;</w:t>
      </w:r>
    </w:p>
    <w:p w14:paraId="26FE923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duration = 8760;</w:t>
      </w:r>
    </w:p>
    <w:p w14:paraId="0F3B84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95B96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%for t = 1:duration*3600</w:t>
      </w:r>
    </w:p>
    <w:p w14:paraId="49A1562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4D72AB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tday = floor(t/3600)+1;</w:t>
      </w:r>
    </w:p>
    <w:p w14:paraId="432544D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 if (tday&gt;24)</w:t>
      </w:r>
    </w:p>
    <w:p w14:paraId="07CF94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     tday = tday-24;</w:t>
      </w:r>
    </w:p>
    <w:p w14:paraId="418481E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 end</w:t>
      </w:r>
    </w:p>
    <w:p w14:paraId="137870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if mod(tday,24)==1 %%% to start a new day </w:t>
      </w:r>
    </w:p>
    <w:p w14:paraId="0E7A388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tday=1;</w:t>
      </w:r>
    </w:p>
    <w:p w14:paraId="01D88A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6B57BE0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202126E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tday0 = tday-1;</w:t>
      </w:r>
    </w:p>
    <w:p w14:paraId="32DD292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if tday0==0</w:t>
      </w:r>
    </w:p>
    <w:p w14:paraId="6981A0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tday0 = 24;</w:t>
      </w:r>
    </w:p>
    <w:p w14:paraId="2CF08F7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23BC46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tfrac = (t/3600)-floor(t/3600);</w:t>
      </w:r>
    </w:p>
    <w:p w14:paraId="08E11CA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qsolart = qsolar(tday0)+tfrac*(qsolar(tday)-qsolar(tday0));</w:t>
      </w:r>
    </w:p>
    <w:p w14:paraId="3F1462F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loadwt = (loadw(tday0)+tfrac*(loadw(tday)-loadw(tday0)))*1000;</w:t>
      </w:r>
    </w:p>
    <w:p w14:paraId="0C24AD9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loadHt = (loadH(tday0)+tfrac*(loadH(tday)-loadH(tday0)))*1000;</w:t>
      </w:r>
    </w:p>
    <w:p w14:paraId="76234A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qin = qsolart*Asolar*0.6;         % collector area = 10 m2; efficiency 60%</w:t>
      </w:r>
    </w:p>
    <w:p w14:paraId="42E90F4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BB = BB + (qin-(loadwt+loadHt))*1;</w:t>
      </w:r>
    </w:p>
    <w:p w14:paraId="01FBFED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if abs(loadwt+loadHt-qin)&lt;.1</w:t>
      </w:r>
    </w:p>
    <w:p w14:paraId="3B6D6FF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B = BB/hsl;</w:t>
      </w:r>
    </w:p>
    <w:p w14:paraId="706CAD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BB = 0;</w:t>
      </w:r>
    </w:p>
    <w:p w14:paraId="14411C4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teqal(i) = t;</w:t>
      </w:r>
    </w:p>
    <w:p w14:paraId="20E7417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i = i+1;</w:t>
      </w:r>
    </w:p>
    <w:p w14:paraId="62C6378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694C5D8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31ADD69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750D6B8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w:t>
      </w:r>
    </w:p>
    <w:p w14:paraId="1EE3786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MAIN</w:t>
      </w:r>
    </w:p>
    <w:p w14:paraId="178FF20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08439BE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24C0C5B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Dt = 900;</w:t>
      </w:r>
    </w:p>
    <w:p w14:paraId="126D93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0:Dt:duration*3600</w:t>
      </w:r>
    </w:p>
    <w:p w14:paraId="10D20AB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j = j+1;</w:t>
      </w:r>
    </w:p>
    <w:p w14:paraId="64F24A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t1 = i;</w:t>
      </w:r>
    </w:p>
    <w:p w14:paraId="3E22D9E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t2 = t1+Dt;</w:t>
      </w:r>
    </w:p>
    <w:p w14:paraId="5A0EC5E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Mass_old = Mass;</w:t>
      </w:r>
    </w:p>
    <w:p w14:paraId="03CB8F0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(t1&gt;11.8*3600)</w:t>
      </w:r>
    </w:p>
    <w:p w14:paraId="333AE4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aaa= 0;</w:t>
      </w:r>
    </w:p>
    <w:p w14:paraId="7558E3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E1362B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yin(end)&gt;=del &amp;&amp; yin(end)&lt;=(2*(ro-ri)-del)</w:t>
      </w:r>
    </w:p>
    <w:p w14:paraId="78C0185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[T,Y] = ode45(@January,(t1:Dt/2:t2),yin);</w:t>
      </w:r>
    </w:p>
    <w:p w14:paraId="7C71E1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(j==1) </w:t>
      </w:r>
    </w:p>
    <w:p w14:paraId="37D277E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Mass_old = Mass;</w:t>
      </w:r>
    </w:p>
    <w:p w14:paraId="204F835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 xml:space="preserve">        </w:t>
      </w:r>
      <w:r w:rsidRPr="002B17E4">
        <w:rPr>
          <w:rFonts w:ascii="Courier New" w:hAnsi="Courier New" w:cs="Courier New"/>
          <w:color w:val="0000FF"/>
          <w:sz w:val="18"/>
          <w:szCs w:val="18"/>
        </w:rPr>
        <w:t>end</w:t>
      </w:r>
    </w:p>
    <w:p w14:paraId="256F261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elseif</w:t>
      </w:r>
      <w:r w:rsidRPr="002B17E4">
        <w:rPr>
          <w:rFonts w:ascii="Courier New" w:hAnsi="Courier New" w:cs="Courier New"/>
          <w:color w:val="000000"/>
          <w:sz w:val="18"/>
          <w:szCs w:val="18"/>
        </w:rPr>
        <w:t xml:space="preserve"> yin(end)&lt;=(2*(ro-ri)-del)</w:t>
      </w:r>
    </w:p>
    <w:p w14:paraId="3415B0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[T,Y] = ode45(@Jan_subcool,(t1:Dt/2:t2),yin);</w:t>
      </w:r>
    </w:p>
    <w:p w14:paraId="3F2C7DE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Y(end,1)&gt;Tm</w:t>
      </w:r>
    </w:p>
    <w:p w14:paraId="28E6705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STATE = 0;</w:t>
      </w:r>
    </w:p>
    <w:p w14:paraId="2B71862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Y(end,end) = 1.05*del;</w:t>
      </w:r>
    </w:p>
    <w:p w14:paraId="3D33CB3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07073F3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elseif</w:t>
      </w:r>
      <w:r w:rsidRPr="002B17E4">
        <w:rPr>
          <w:rFonts w:ascii="Courier New" w:hAnsi="Courier New" w:cs="Courier New"/>
          <w:color w:val="000000"/>
          <w:sz w:val="18"/>
          <w:szCs w:val="18"/>
        </w:rPr>
        <w:t xml:space="preserve"> yin(end)&gt;=del</w:t>
      </w:r>
    </w:p>
    <w:p w14:paraId="3C11ED9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[T,Y] = ode45(@Jan_superheat,(t1:Dt/2:t2),yin);</w:t>
      </w:r>
    </w:p>
    <w:p w14:paraId="16D478F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Y(end,LST+1)&lt;Tm</w:t>
      </w:r>
    </w:p>
    <w:p w14:paraId="7030B38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STATE = 0;</w:t>
      </w:r>
    </w:p>
    <w:p w14:paraId="176342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Y(end,end) = 2*(ro-ri)-1.05*del;</w:t>
      </w:r>
    </w:p>
    <w:p w14:paraId="560155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r w:rsidRPr="002B17E4">
        <w:rPr>
          <w:rFonts w:ascii="Courier New" w:hAnsi="Courier New" w:cs="Courier New"/>
          <w:color w:val="000000"/>
          <w:sz w:val="18"/>
          <w:szCs w:val="18"/>
        </w:rPr>
        <w:t xml:space="preserve">       </w:t>
      </w:r>
    </w:p>
    <w:p w14:paraId="0C412A4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r w:rsidRPr="002B17E4">
        <w:rPr>
          <w:rFonts w:ascii="Courier New" w:hAnsi="Courier New" w:cs="Courier New"/>
          <w:color w:val="000000"/>
          <w:sz w:val="18"/>
          <w:szCs w:val="18"/>
        </w:rPr>
        <w:t xml:space="preserve">   </w:t>
      </w:r>
    </w:p>
    <w:p w14:paraId="3B001B3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E201D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solution(j*2-1:j*2+1,1) = T;</w:t>
      </w:r>
    </w:p>
    <w:p w14:paraId="011813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solution(j*2-1:j*2+1,2:Nelm+1) = Y;</w:t>
      </w:r>
    </w:p>
    <w:p w14:paraId="13AF61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yin = Y(end,:);</w:t>
      </w:r>
    </w:p>
    <w:p w14:paraId="4A3DFCD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71AC12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totalqsol =totalqsolar*Dt/1000/3600+totalqsol;</w:t>
      </w:r>
    </w:p>
    <w:p w14:paraId="6870D7E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totaload = totalload*Dt/1000/3600+totaload;</w:t>
      </w:r>
    </w:p>
    <w:p w14:paraId="4C18620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E74C86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abs(totalqsolar/1000-totalload/1000)&lt;.01</w:t>
      </w:r>
    </w:p>
    <w:p w14:paraId="413A1EC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(T(end)/3600&lt;10)</w:t>
      </w:r>
    </w:p>
    <w:p w14:paraId="6DBB3A3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eqault1=T(end);</w:t>
      </w:r>
    </w:p>
    <w:p w14:paraId="42B62B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qPCM1 = totaload-totalqsol;</w:t>
      </w:r>
    </w:p>
    <w:p w14:paraId="61B831E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725F084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eqault2=T(end);</w:t>
      </w:r>
    </w:p>
    <w:p w14:paraId="42CDE0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228B22"/>
          <w:sz w:val="18"/>
          <w:szCs w:val="18"/>
        </w:rPr>
        <w:t>%qPCM2 = totalqsol-(totaload-qPCM1);</w:t>
      </w:r>
    </w:p>
    <w:p w14:paraId="6F2AF58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E192F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0744FE5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7CDE3B0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48C4DB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458D75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ENTROPY</w:t>
      </w:r>
    </w:p>
    <w:p w14:paraId="5EEB9A6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0F90003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dSsys = 0;</w:t>
      </w:r>
    </w:p>
    <w:p w14:paraId="226630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Qdotsys = 0;</w:t>
      </w:r>
    </w:p>
    <w:p w14:paraId="4565403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85E98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(yin(end)&lt;=ro-ri)</w:t>
      </w:r>
    </w:p>
    <w:p w14:paraId="401EFAA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(yin(end)+ri)^2-ri^2;</w:t>
      </w:r>
    </w:p>
    <w:p w14:paraId="7F83622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6E58C7C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ro^2-ri^2 + ro^2 - (2*ro-(yin(end)+ri))^2;</w:t>
      </w:r>
    </w:p>
    <w:p w14:paraId="5EF43EC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B1A633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f(j+1) = M/(2*(ro^2-ri^2));</w:t>
      </w:r>
    </w:p>
    <w:p w14:paraId="1E5E056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for k = 2:LST</w:t>
      </w:r>
    </w:p>
    <w:p w14:paraId="1802565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if k&lt;=Nl+1</w:t>
      </w:r>
    </w:p>
    <w:p w14:paraId="2CB77F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Tavg = Tavg + Y(end,k)*2*dlqd;</w:t>
      </w:r>
    </w:p>
    <w:p w14:paraId="16B3A10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else</w:t>
      </w:r>
    </w:p>
    <w:p w14:paraId="043491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Tavg = Tavg + Y(end, k)*2*dsld;</w:t>
      </w:r>
    </w:p>
    <w:p w14:paraId="6FBF02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0DD057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k = 1:LST+4</w:t>
      </w:r>
    </w:p>
    <w:p w14:paraId="0CA9349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(k&lt;2) || (k&gt;LST)</w:t>
      </w:r>
    </w:p>
    <w:p w14:paraId="52526F2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deltaT = Y(end,k)-Y(1,k);</w:t>
      </w:r>
    </w:p>
    <w:p w14:paraId="3F7EE1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Tavg = (Y(end,k)+Y(1,k))/2;</w:t>
      </w:r>
    </w:p>
    <w:p w14:paraId="01A8EC3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heatcapac = 400;</w:t>
      </w:r>
    </w:p>
    <w:p w14:paraId="48798CD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dSsys = dSsys + pi*Lh*heatcapac*Mass(k)*log(Y(end,k)/Y(1,k));</w:t>
      </w:r>
    </w:p>
    <w:p w14:paraId="7A1CA55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 xml:space="preserve">            Qdotsys = Qdotsys + pi*Lh*heatcapac*Mass(k)*(Y(end,k)-Y(1,k))/Dt;</w:t>
      </w:r>
    </w:p>
    <w:p w14:paraId="37FFD75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r w:rsidRPr="002B17E4">
        <w:rPr>
          <w:rFonts w:ascii="Courier New" w:hAnsi="Courier New" w:cs="Courier New"/>
          <w:color w:val="000000"/>
          <w:sz w:val="18"/>
          <w:szCs w:val="18"/>
        </w:rPr>
        <w:t xml:space="preserve">  </w:t>
      </w:r>
    </w:p>
    <w:p w14:paraId="6CF6063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355865D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Qdot_latent = (f(j+1)-f(j))*(2*(ro^2-ri^2))*pi*Lh*rhoL*hsl/Dt;</w:t>
      </w:r>
    </w:p>
    <w:p w14:paraId="1B487D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TPCMag(j,1) = -(Qdotin-Qdotout-Qdotsys-Qdot_latent)*Dt/(2*pi*Lh*(ro^2-ri^2)*rhoL*cL)+TPCMavg;</w:t>
      </w:r>
    </w:p>
    <w:p w14:paraId="4709CD4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E160E6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dSsys = dSsys + 2*pi*Lh*(ro^2-ri^2)*rhoL*cL*log(TPCMavg/TPCMag(end));</w:t>
      </w:r>
    </w:p>
    <w:p w14:paraId="0F33D3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Qdotsys = Qdotsys + (2*pi*Lh*(ro^2-ri^2)*rhoL*cL*(TPCMavg-TPCMag(end)))/Dt;</w:t>
      </w:r>
    </w:p>
    <w:p w14:paraId="524A4FC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Exsys = (Qdot_latent+Qdotsys)-300*(dSsys/Dt + Qdot_latent/Tm);</w:t>
      </w:r>
    </w:p>
    <w:p w14:paraId="07E471E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1F232C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Sdot(j,1) = t2;</w:t>
      </w:r>
    </w:p>
    <w:p w14:paraId="239325A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Sdot(j,2) = -Sdotin;</w:t>
      </w:r>
    </w:p>
    <w:p w14:paraId="5F177EC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Sdot(j,3) = Sdotout;</w:t>
      </w:r>
    </w:p>
    <w:p w14:paraId="2368A59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Sdot(j,4) = dSsys/Dt;</w:t>
      </w:r>
    </w:p>
    <w:p w14:paraId="00A461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Sdot(j,5) = Qdot_latent/Tm;</w:t>
      </w:r>
    </w:p>
    <w:p w14:paraId="3D3968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Sdot(j,6) = max(0,sum(Sdot(j,2:5)));</w:t>
      </w:r>
    </w:p>
    <w:p w14:paraId="5E7C763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Sdot(j,7) = (dSdt(Nelm))*pi*Lh;</w:t>
      </w:r>
    </w:p>
    <w:p w14:paraId="67D000E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Sdot(j,8) = sum(dSdt(1:Nelm-1))*pi*Lh;</w:t>
      </w:r>
    </w:p>
    <w:p w14:paraId="31BFB7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Sdot(j,9) = Sdot(j,4)+Sdot(j,5);</w:t>
      </w:r>
    </w:p>
    <w:p w14:paraId="22FBD09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dSdtt(j,:) = dSdt;</w:t>
      </w:r>
    </w:p>
    <w:p w14:paraId="317D76B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53FFFC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Ex(j+1,1) = t2/3600;</w:t>
      </w:r>
    </w:p>
    <w:p w14:paraId="73436E9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Ex(j+1,2) = Ex(j,2) + Exin;</w:t>
      </w:r>
    </w:p>
    <w:p w14:paraId="7CF5C09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Ex(j+1,3) = Ex(j,3) + Exout;</w:t>
      </w:r>
    </w:p>
    <w:p w14:paraId="7AEB1E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Ex(j+1,4) = Ex(j,4) + Exsys;</w:t>
      </w:r>
    </w:p>
    <w:p w14:paraId="28F7478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Ex(j+1,5) = Ex(j,5) + Exin-Exout-Exsys;</w:t>
      </w:r>
    </w:p>
    <w:p w14:paraId="317F8C6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Ex(j+1,6) = 1-(Exin-Exout-Exsys)/Exin;</w:t>
      </w:r>
    </w:p>
    <w:p w14:paraId="053A82D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Ex(j+1,7) = Exin; </w:t>
      </w:r>
    </w:p>
    <w:p w14:paraId="30BA651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Ex(j+1,8) = Exout;</w:t>
      </w:r>
    </w:p>
    <w:p w14:paraId="79C6292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Ex(j+1,9) = dms;</w:t>
      </w:r>
    </w:p>
    <w:p w14:paraId="4224D32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Ex(j+1,10) = totalqsolar;</w:t>
      </w:r>
    </w:p>
    <w:p w14:paraId="19C50B8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Ex(j+1,11) = totalload;</w:t>
      </w:r>
    </w:p>
    <w:p w14:paraId="3758391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Ex(j+1,12) = Qaux;</w:t>
      </w:r>
    </w:p>
    <w:p w14:paraId="4E94367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LS(j,:) = Load_Solar/1000;</w:t>
      </w:r>
    </w:p>
    <w:p w14:paraId="26FB96F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CDBE3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ABE96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Sdot(j,6)&lt;0</w:t>
      </w:r>
    </w:p>
    <w:p w14:paraId="3CA439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dsaf = 1;</w:t>
      </w:r>
    </w:p>
    <w:p w14:paraId="0347A61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EBB43B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2122171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3DC49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yin(end)&gt;=del &amp;&amp; yin(end)&lt;=(2*(ro-ri)-del)</w:t>
      </w:r>
    </w:p>
    <w:p w14:paraId="24F81CC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dlqd&lt;2*del &amp;&amp; Nl&gt;1</w:t>
      </w:r>
    </w:p>
    <w:p w14:paraId="5D73DE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Nl = Nl/2;</w:t>
      </w:r>
    </w:p>
    <w:p w14:paraId="411951B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0360A28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dlqd&gt;5*del &amp;&amp; Nl&lt;NN</w:t>
      </w:r>
    </w:p>
    <w:p w14:paraId="2D483F6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Nl = Nl*2;</w:t>
      </w:r>
    </w:p>
    <w:p w14:paraId="47B63AB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34F89EC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dsld&lt;2*del &amp;&amp; Ns&gt;1</w:t>
      </w:r>
    </w:p>
    <w:p w14:paraId="40F03FF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Ns = Ns/2;</w:t>
      </w:r>
    </w:p>
    <w:p w14:paraId="5BD3A4E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16908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dsld&gt;5*del &amp;&amp; Ns&lt;NN</w:t>
      </w:r>
    </w:p>
    <w:p w14:paraId="157DE25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Ns = Ns*2;</w:t>
      </w:r>
    </w:p>
    <w:p w14:paraId="1961A8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281A93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345CC1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lastRenderedPageBreak/>
        <w:t>end</w:t>
      </w:r>
    </w:p>
    <w:p w14:paraId="37B38D2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7E3A38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MAIN END</w:t>
      </w:r>
    </w:p>
    <w:p w14:paraId="1A86323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2941C8B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5BBCFE2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toc</w:t>
      </w:r>
    </w:p>
    <w:p w14:paraId="7C6FCFF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88981A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Subcool sub-routine *****************</w:t>
      </w:r>
    </w:p>
    <w:p w14:paraId="7E40D9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18DE8C0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function</w:t>
      </w:r>
      <w:r w:rsidRPr="002B17E4">
        <w:rPr>
          <w:rFonts w:ascii="Courier New" w:hAnsi="Courier New" w:cs="Courier New"/>
          <w:color w:val="000000"/>
          <w:sz w:val="18"/>
          <w:szCs w:val="18"/>
        </w:rPr>
        <w:t xml:space="preserve"> [dy]= subcooled(t,y)</w:t>
      </w:r>
    </w:p>
    <w:p w14:paraId="2CAE2BE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0D7FEF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ri ro r twh kw Nelm Ns Nl LST NHP</w:t>
      </w:r>
    </w:p>
    <w:p w14:paraId="695CF15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tallmelt STATE Sdotin Sdotout Qdotout Qdotin Exin Exout dSdt</w:t>
      </w:r>
    </w:p>
    <w:p w14:paraId="2DA4805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Lh Lw La Lb aw</w:t>
      </w:r>
    </w:p>
    <w:p w14:paraId="1ADD21C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Tm hsl kL kS cL aL aS rhoL rhoS Esen Load_Solar</w:t>
      </w:r>
    </w:p>
    <w:p w14:paraId="306515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Ti dlqd dsld A Mass TPCMavg</w:t>
      </w:r>
    </w:p>
    <w:p w14:paraId="30FA6D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totalqsolar totalload Qaux dms </w:t>
      </w:r>
    </w:p>
    <w:p w14:paraId="124DFFD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55D3A0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%Tm = 1000;</w:t>
      </w:r>
    </w:p>
    <w:p w14:paraId="748793E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hw = 2000;</w:t>
      </w:r>
    </w:p>
    <w:p w14:paraId="1041E6B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ha = 500;</w:t>
      </w:r>
    </w:p>
    <w:p w14:paraId="4B3C3C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hb = 0.0;</w:t>
      </w:r>
    </w:p>
    <w:p w14:paraId="60EA657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B43C4C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mdotw = 0.0;</w:t>
      </w:r>
    </w:p>
    <w:p w14:paraId="11E0B6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mdota = 0.0;</w:t>
      </w:r>
    </w:p>
    <w:p w14:paraId="74C232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cpw = 4200;</w:t>
      </w:r>
    </w:p>
    <w:p w14:paraId="59073C7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cpa = 1000;</w:t>
      </w:r>
    </w:p>
    <w:p w14:paraId="05A7AB5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Tinw = 20;</w:t>
      </w:r>
    </w:p>
    <w:p w14:paraId="0C645F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Tina = 20;</w:t>
      </w:r>
    </w:p>
    <w:p w14:paraId="01C0D9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TLiBr = 80;</w:t>
      </w:r>
    </w:p>
    <w:p w14:paraId="5E68758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871D00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7146836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w:t>
      </w:r>
    </w:p>
    <w:p w14:paraId="392C88C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w:t>
      </w:r>
    </w:p>
    <w:p w14:paraId="7C87D2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w:t>
      </w:r>
    </w:p>
    <w:p w14:paraId="01AE9E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w:t>
      </w:r>
    </w:p>
    <w:p w14:paraId="230EC51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Asolar=;</w:t>
      </w:r>
    </w:p>
    <w:p w14:paraId="08AABF3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975BD7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 = floor(t/3600)+1;</w:t>
      </w:r>
    </w:p>
    <w:p w14:paraId="54F2C2C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mod(tday,8760)==1  </w:t>
      </w:r>
    </w:p>
    <w:p w14:paraId="0026C4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tday=8760;</w:t>
      </w:r>
    </w:p>
    <w:p w14:paraId="6A3C014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1B0B24B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tday0 = tday-1;</w:t>
      </w:r>
    </w:p>
    <w:p w14:paraId="158B7F3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tday0==0</w:t>
      </w:r>
    </w:p>
    <w:p w14:paraId="239CC79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tday0 = 8760;</w:t>
      </w:r>
    </w:p>
    <w:p w14:paraId="50A288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066CFE5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tfrac = (t/3600)-floor(t/3600);</w:t>
      </w:r>
    </w:p>
    <w:p w14:paraId="1E651EB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qsolart = qsolar(tday0)+tfrac*(qsolar(tday)-qsolar(tday0));</w:t>
      </w:r>
    </w:p>
    <w:p w14:paraId="2857987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loadwt = (loadw(tday0)+tfrac*(loadw(tday)-loadw(tday0)))*1000;</w:t>
      </w:r>
    </w:p>
    <w:p w14:paraId="4381B69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loadHt = (loadH(tday0)+tfrac*(loadH(tday)-loadH(tday0)))*1000;</w:t>
      </w:r>
    </w:p>
    <w:p w14:paraId="6247C8F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loadCt = (loadC(tday0)+tfrac*(loadC(tday)-loadC(tday0)))*1000;</w:t>
      </w:r>
    </w:p>
    <w:p w14:paraId="76F6092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qin = qsolart*Asolar*0.6;         </w:t>
      </w:r>
      <w:r w:rsidRPr="002B17E4">
        <w:rPr>
          <w:rFonts w:ascii="Courier New" w:hAnsi="Courier New" w:cs="Courier New"/>
          <w:color w:val="228B22"/>
          <w:sz w:val="18"/>
          <w:szCs w:val="18"/>
        </w:rPr>
        <w:t>% collector area = 10 m2; efficiency 60%</w:t>
      </w:r>
    </w:p>
    <w:p w14:paraId="57C9A09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qin1 = qin/NHP;</w:t>
      </w:r>
    </w:p>
    <w:p w14:paraId="6D238EA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824CB4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69638C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Tsath = (y(1) + qin1*(twh/2)/(kw*pi*(2*ri-twh)*Lh));</w:t>
      </w:r>
    </w:p>
    <w:p w14:paraId="4C0D250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lastRenderedPageBreak/>
        <w:t>if</w:t>
      </w:r>
      <w:r w:rsidRPr="002B17E4">
        <w:rPr>
          <w:rFonts w:ascii="Courier New" w:hAnsi="Courier New" w:cs="Courier New"/>
          <w:color w:val="000000"/>
          <w:sz w:val="18"/>
          <w:szCs w:val="18"/>
        </w:rPr>
        <w:t xml:space="preserve"> Tsath&gt;=383.15</w:t>
      </w:r>
    </w:p>
    <w:p w14:paraId="2F52454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qin=0;  </w:t>
      </w:r>
    </w:p>
    <w:p w14:paraId="02377B9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qin1 = qin/NHP;</w:t>
      </w:r>
    </w:p>
    <w:p w14:paraId="258C694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Tsath=y(1);</w:t>
      </w:r>
    </w:p>
    <w:p w14:paraId="16AFAF7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CEA936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Qaux=0;</w:t>
      </w:r>
    </w:p>
    <w:p w14:paraId="7E260B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49A87F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075E2D4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42FABE0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 = zeros(Nelm,1);</w:t>
      </w:r>
    </w:p>
    <w:p w14:paraId="2858DAD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Aw = A(LST+1)*Lw/Lh;</w:t>
      </w:r>
    </w:p>
    <w:p w14:paraId="73D09B8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Aa = A(LST+1)*La/Lh;</w:t>
      </w:r>
    </w:p>
    <w:p w14:paraId="24EBB56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Ab = A(LST+1)*Lb/Lh;</w:t>
      </w:r>
    </w:p>
    <w:p w14:paraId="019B1A2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Ti(1) = Tsath;</w:t>
      </w:r>
    </w:p>
    <w:p w14:paraId="3646BC3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dsld1 = A(LST-Ns+1)-ri;</w:t>
      </w:r>
    </w:p>
    <w:p w14:paraId="52B005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Ti(LST-Ns+1) = (y(LST-Ns+1)*kS*A(LST-Ns+1)/dsld1+y(1)*kw*A(1)/(twh/2))/</w:t>
      </w:r>
      <w:r w:rsidRPr="002B17E4">
        <w:rPr>
          <w:rFonts w:ascii="Courier New" w:hAnsi="Courier New" w:cs="Courier New"/>
          <w:color w:val="0000FF"/>
          <w:sz w:val="18"/>
          <w:szCs w:val="18"/>
        </w:rPr>
        <w:t>...</w:t>
      </w:r>
    </w:p>
    <w:p w14:paraId="45D0755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(kw*A(1)/(twh/2)+kS*A(LST-Ns+1)/dsld1);</w:t>
      </w:r>
    </w:p>
    <w:p w14:paraId="693263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D0D9D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LST-Ns+1:LST</w:t>
      </w:r>
    </w:p>
    <w:p w14:paraId="1E61B87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i == LST</w:t>
      </w:r>
    </w:p>
    <w:p w14:paraId="25EE4DF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(y(LST)*kS*A(LST)/dsld+y(LST+1)*kw*A(LST+1)/(twh/2))/(kw*A(LST+1)/(twh/2)+kS*A(LST)/dsld);</w:t>
      </w:r>
    </w:p>
    <w:p w14:paraId="423231C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1AABB3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(y(i)*A(i)+y(i+1)*A(i+1)) / (A(i)+A(i+1));</w:t>
      </w:r>
    </w:p>
    <w:p w14:paraId="480B347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70E7C33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dy(i) = (Ti(i) - 2*y(i) + Ti(i+1)) * aS/(2*dsld^2);</w:t>
      </w:r>
    </w:p>
    <w:p w14:paraId="063911F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5672E34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dy(2:LST-Ns) = 0;</w:t>
      </w:r>
    </w:p>
    <w:p w14:paraId="1087187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Tsatc = (y(LST+1)*A(LST+1)+y(LST+2)*Aw+y(LST+3)*Aa+y(LST+4)*Ab)/(A(LST+1)+Aw+Aa+Ab);</w:t>
      </w:r>
    </w:p>
    <w:p w14:paraId="29C2E4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4D0563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loadw1 = loadwt/NHP;</w:t>
      </w:r>
    </w:p>
    <w:p w14:paraId="3787D88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loadH1 = loadHt/NHP;</w:t>
      </w:r>
    </w:p>
    <w:p w14:paraId="718B033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loadC1 = loadCt/NHP;</w:t>
      </w:r>
    </w:p>
    <w:p w14:paraId="7D065F9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totalqsolar = qsolart*Asolar*0.6;</w:t>
      </w:r>
    </w:p>
    <w:p w14:paraId="788D25C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totalload = loadwt+loadHt+loadCt; </w:t>
      </w:r>
    </w:p>
    <w:p w14:paraId="59EE1C2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Tsatc&lt;=300</w:t>
      </w:r>
    </w:p>
    <w:p w14:paraId="1EB9EE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Qaux=totalload;</w:t>
      </w:r>
    </w:p>
    <w:p w14:paraId="5E06A1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loadw1=0;</w:t>
      </w:r>
    </w:p>
    <w:p w14:paraId="3F6D2F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loadH1=0;</w:t>
      </w:r>
    </w:p>
    <w:p w14:paraId="5ACA7A0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loadC1=0;</w:t>
      </w:r>
    </w:p>
    <w:p w14:paraId="24B74B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26E231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4E98E91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5B33852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dy(1) = (Tsath - 2*y(1) + Ti(LST-Ns+1)) * aw/(2*(twh/2)^2);</w:t>
      </w:r>
    </w:p>
    <w:p w14:paraId="6288FD6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dy(LST-Ns+1) = (Ti(LST-Ns+1) - y(LST-Ns+1))/dsld1 - (y(LST-Ns+1) - Ti(LST-Ns+2))/dsld;</w:t>
      </w:r>
    </w:p>
    <w:p w14:paraId="3C6EC53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dy(LST-Ns+1) = aS*dy(LST-Ns+1)/(dsld1+dsld);</w:t>
      </w:r>
    </w:p>
    <w:p w14:paraId="008FC20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dy(LST+1) = (Ti(LST+1) - 2*y(LST+1) + Tsatc) * aw/(2*(twh/2)^2);</w:t>
      </w:r>
    </w:p>
    <w:p w14:paraId="2613E0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39024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2BD5B2A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y(LST+2)-loadw1*(twh/2)/(kw*Aw*2*pi*Lh);</w:t>
      </w:r>
    </w:p>
    <w:p w14:paraId="4034B3B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y(LST+4)-loadH1*(twh/2)/(kw*Ab*2*pi*Lh);</w:t>
      </w:r>
    </w:p>
    <w:p w14:paraId="40E08DD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y(LST+3)-loadC1*(twh/2)/(kw*Aa*2*pi*Lh);</w:t>
      </w:r>
    </w:p>
    <w:p w14:paraId="01AF2B3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81954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real(Tsw);</w:t>
      </w:r>
    </w:p>
    <w:p w14:paraId="3ECC11A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Tsw = min(y(LST+2),Tsw);</w:t>
      </w:r>
    </w:p>
    <w:p w14:paraId="35CD883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min(y(LST+3),Tsa);</w:t>
      </w:r>
    </w:p>
    <w:p w14:paraId="28EF4BF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%Tsb = (y(LST+4)*kw/(twh/2) + TLiBr*hb)/(kw/(twh/2) + hb);</w:t>
      </w:r>
    </w:p>
    <w:p w14:paraId="7F42467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min(y(LST+4),Tsb);</w:t>
      </w:r>
    </w:p>
    <w:p w14:paraId="2C95B66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683FE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dy(LST+2) = (Tsw - 2*y(LST+2) + Tsatc) * aw/(2*(twh/2)^2);</w:t>
      </w:r>
    </w:p>
    <w:p w14:paraId="10C5DBA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dy(LST+3) = (Tsa - 2*y(LST+3) + Tsatc) * aw/(2*(twh/2)^2);</w:t>
      </w:r>
    </w:p>
    <w:p w14:paraId="118911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dy(LST+4) = (Tsb - 2*y(LST+4) + Tsatc) * aw/(2*(twh/2)^2);</w:t>
      </w:r>
    </w:p>
    <w:p w14:paraId="526009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948E03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(t&gt;5 &amp;&amp; mod(t,300)&lt;1.0)</w:t>
      </w:r>
    </w:p>
    <w:p w14:paraId="0BCE6E4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(y(end)&lt;=ro-ri)</w:t>
      </w:r>
    </w:p>
    <w:p w14:paraId="096A756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(y(end)+ri)^2-ri^2;</w:t>
      </w:r>
    </w:p>
    <w:p w14:paraId="542622A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560BD8F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ro^2-ri^2 + ro^2 - (2*ro-(y(end)+ri))^2;</w:t>
      </w:r>
    </w:p>
    <w:p w14:paraId="1F8EC74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437FE9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f = M/(2*(ro^2-ri^2));</w:t>
      </w:r>
    </w:p>
    <w:p w14:paraId="1D26082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yo=1;</w:t>
      </w:r>
    </w:p>
    <w:p w14:paraId="571306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[t/3600 y(1) y(LST+1) y(end)*1000 f qin/1000-(loadHt+loadwt+loadCt)/1000 Nl Ns TPCMavg]</w:t>
      </w:r>
    </w:p>
    <w:p w14:paraId="0FE94F2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048F15D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%TPCM = [Ti(LST-Ns+1); y(LST-Ns+1:LST); Ti(LST+1)];</w:t>
      </w:r>
    </w:p>
    <w:p w14:paraId="00459E3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 = zeros(Nelm,1);</w:t>
      </w:r>
    </w:p>
    <w:p w14:paraId="09D2836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0;</w:t>
      </w:r>
    </w:p>
    <w:p w14:paraId="6C08232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MassPCM = 0;</w:t>
      </w:r>
    </w:p>
    <w:p w14:paraId="0F3A108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0;</w:t>
      </w:r>
    </w:p>
    <w:p w14:paraId="4199464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LST-Ns+1:LST</w:t>
      </w:r>
    </w:p>
    <w:p w14:paraId="302A5B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Mass(i) = 2*A(i)*2*dsld*rhoS;</w:t>
      </w:r>
    </w:p>
    <w:p w14:paraId="640AD62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i==LST-Ns+1</w:t>
      </w:r>
    </w:p>
    <w:p w14:paraId="0EC78B9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Mass(LST-Ns+1) = ((A(LST-Ns+1)+dsld)^2-ri^2)*rhoS;</w:t>
      </w:r>
    </w:p>
    <w:p w14:paraId="1843C4E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7AE594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TPCMavg = TPCMavg + Mass(i)*y(i);</w:t>
      </w:r>
    </w:p>
    <w:p w14:paraId="5482CB1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MassPCM = MassPCM + Mass(i);</w:t>
      </w:r>
    </w:p>
    <w:p w14:paraId="38B6D2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Esen = Esen + Mass(i)*cL*(y(i)-Tm);</w:t>
      </w:r>
    </w:p>
    <w:p w14:paraId="58A5379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dSdt(i) = Mass(i)*cL*dy(i)/y(i);</w:t>
      </w:r>
    </w:p>
    <w:p w14:paraId="55530AF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DD7FDB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TPCMavg/MassPCM;</w:t>
      </w:r>
    </w:p>
    <w:p w14:paraId="122D55D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Mass(1) = 2*A(1)*twh*7900;</w:t>
      </w:r>
    </w:p>
    <w:p w14:paraId="7042AC0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Mass(LST+1) = 2*A(LST+1)*twh*7900;</w:t>
      </w:r>
    </w:p>
    <w:p w14:paraId="48CFB9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Mass(LST+2) = 2*Aw*twh*7900;</w:t>
      </w:r>
    </w:p>
    <w:p w14:paraId="641CAA5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Mass(LST+3) = 2*Aa*twh*7900;</w:t>
      </w:r>
    </w:p>
    <w:p w14:paraId="3ABEAA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Mass(LST+4) = 2*Ab*twh*7900;</w:t>
      </w:r>
    </w:p>
    <w:p w14:paraId="3FA0293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dSdt(1) = Mass(1)*400*dy(1)/y(1);</w:t>
      </w:r>
    </w:p>
    <w:p w14:paraId="7E5959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dSdt(LST+1) = Mass(LST+1)*400*dy(LST+1)/y(LST+1);</w:t>
      </w:r>
    </w:p>
    <w:p w14:paraId="44CD4F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dSdt(LST+2) = Mass(LST+2)*400*dy(LST+2)/y(LST+2);</w:t>
      </w:r>
    </w:p>
    <w:p w14:paraId="1379C81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dSdt(LST+3) = Mass(LST+3)*400*dy(LST+3)/y(LST+3);</w:t>
      </w:r>
    </w:p>
    <w:p w14:paraId="41FD71B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dSdt(LST+4) = Mass(LST+4)*400*dy(LST+4)/y(LST+4);</w:t>
      </w:r>
    </w:p>
    <w:p w14:paraId="330174F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Mass(1)*400*(y(1)-Tm);</w:t>
      </w:r>
    </w:p>
    <w:p w14:paraId="59F20E7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Mass(LST+1)*400*(y(LST+1)-Tm);</w:t>
      </w:r>
    </w:p>
    <w:p w14:paraId="36229F9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Mass(LST+2)*400*(y(LST+2)-Tm);</w:t>
      </w:r>
    </w:p>
    <w:p w14:paraId="69501C1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Mass(LST+3)*400*(y(LST+3)-Tm);</w:t>
      </w:r>
    </w:p>
    <w:p w14:paraId="4152BB2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Mass(LST+4)*400*(y(LST+4)-Tm);</w:t>
      </w:r>
    </w:p>
    <w:p w14:paraId="1DE3B43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385A06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Sdotin = qin1/(Tsath);</w:t>
      </w:r>
    </w:p>
    <w:p w14:paraId="7866B9D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Sdotout = loadw1/(Tsw) + loadH1/(Tsa) + loadC1/(Tsb);</w:t>
      </w:r>
    </w:p>
    <w:p w14:paraId="17F4A9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Qdotout = loadw1 + loadH1 + loadC1;</w:t>
      </w:r>
    </w:p>
    <w:p w14:paraId="201399B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Qdotin = qin1;</w:t>
      </w:r>
    </w:p>
    <w:p w14:paraId="2AFD4F1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Exin = qin1*(1-300/Tsath);</w:t>
      </w:r>
    </w:p>
    <w:p w14:paraId="52CFC2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Exout = loadw1*(1-300/Tsw) + loadH1*(1-300/Tsa) + loadC1*(1-300/Tsb);</w:t>
      </w:r>
    </w:p>
    <w:p w14:paraId="076B5B5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Load_Solar = [NHP*(loadw1+loadH1+loadC1) NHP*qin1];</w:t>
      </w:r>
    </w:p>
    <w:p w14:paraId="3C9B9D7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dms=max(0,totalload-totalqsolar);</w:t>
      </w:r>
    </w:p>
    <w:p w14:paraId="38F523B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2F6902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Heattest sub-routine *************</w:t>
      </w:r>
    </w:p>
    <w:p w14:paraId="6A8CC1E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4F7175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0646C0A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function</w:t>
      </w:r>
      <w:r w:rsidRPr="002B17E4">
        <w:rPr>
          <w:rFonts w:ascii="Courier New" w:hAnsi="Courier New" w:cs="Courier New"/>
          <w:color w:val="000000"/>
          <w:sz w:val="18"/>
          <w:szCs w:val="18"/>
        </w:rPr>
        <w:t xml:space="preserve"> [dy]= heattest(t,y)</w:t>
      </w:r>
    </w:p>
    <w:p w14:paraId="6359263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E1C3F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ri ro r twh kw Nelm Ns Nl LST NHP</w:t>
      </w:r>
    </w:p>
    <w:p w14:paraId="4CCE7F6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tallmelt STATE Sdotin Sdotout Qdotout Qdotin Exin Exout dSdt</w:t>
      </w:r>
    </w:p>
    <w:p w14:paraId="28F9A3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Lh Lw La Lb aw</w:t>
      </w:r>
    </w:p>
    <w:p w14:paraId="0BFA8C8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Tm hsl kL kS cL aL aS rhoL rhoS Esen Load_Solar</w:t>
      </w:r>
    </w:p>
    <w:p w14:paraId="25ECE7F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Ti dlqd dsld A Mass TPCMavg</w:t>
      </w:r>
    </w:p>
    <w:p w14:paraId="0C8AA9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totalqsolar totalload Qaux dms </w:t>
      </w:r>
    </w:p>
    <w:p w14:paraId="3E84EA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C35B30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hw = 2000;</w:t>
      </w:r>
    </w:p>
    <w:p w14:paraId="03221C7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ha = 500;</w:t>
      </w:r>
    </w:p>
    <w:p w14:paraId="4EA9C9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hb = 0.0;</w:t>
      </w:r>
    </w:p>
    <w:p w14:paraId="62930C2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E4644D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mdotw = 0.0;</w:t>
      </w:r>
    </w:p>
    <w:p w14:paraId="28CC55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mdota = 0.0;</w:t>
      </w:r>
    </w:p>
    <w:p w14:paraId="4201CE6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cpw = 4200;</w:t>
      </w:r>
    </w:p>
    <w:p w14:paraId="5A58661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cpa = 1000;</w:t>
      </w:r>
    </w:p>
    <w:p w14:paraId="0C505E7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Tinw = 20;</w:t>
      </w:r>
    </w:p>
    <w:p w14:paraId="0243B46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Tina = 20;</w:t>
      </w:r>
    </w:p>
    <w:p w14:paraId="7A6B778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TLiBr = 80;</w:t>
      </w:r>
    </w:p>
    <w:p w14:paraId="07D4654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A3E6EC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%y(1) = max(y(1),Tm+1.e-3);</w:t>
      </w:r>
    </w:p>
    <w:p w14:paraId="482C5F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6964D6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5C8AA2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w:t>
      </w:r>
    </w:p>
    <w:p w14:paraId="4D7886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w:t>
      </w:r>
    </w:p>
    <w:p w14:paraId="23D071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w:t>
      </w:r>
    </w:p>
    <w:p w14:paraId="0E97690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w:t>
      </w:r>
    </w:p>
    <w:p w14:paraId="61A4BAA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Asolar=;</w:t>
      </w:r>
    </w:p>
    <w:p w14:paraId="079AAB9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3B45A9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9039A2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 = floor(t/3600)+1;</w:t>
      </w:r>
    </w:p>
    <w:p w14:paraId="2A3CF7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FE7FC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mod(tday,8760)==1  </w:t>
      </w:r>
    </w:p>
    <w:p w14:paraId="01CE5E7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tday=8760;</w:t>
      </w:r>
    </w:p>
    <w:p w14:paraId="650ADC4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CB0D8C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tday0 = tday-1;</w:t>
      </w:r>
    </w:p>
    <w:p w14:paraId="5779EE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tday0==0</w:t>
      </w:r>
    </w:p>
    <w:p w14:paraId="7BC000B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tday0 = 8760;</w:t>
      </w:r>
    </w:p>
    <w:p w14:paraId="0FE8404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5BF5B41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tfrac = (t/3600)-floor(t/3600);</w:t>
      </w:r>
    </w:p>
    <w:p w14:paraId="7C0A8BD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qsolart = qsolar(tday0)+tfrac*(qsolar(tday)-qsolar(tday0));</w:t>
      </w:r>
    </w:p>
    <w:p w14:paraId="3BA41E8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loadwt = (loadw(tday0)+tfrac*(loadw(tday)-loadw(tday0)))*1000;</w:t>
      </w:r>
    </w:p>
    <w:p w14:paraId="2235313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loadHt = (loadH(tday0)+tfrac*(loadH(tday)-loadH(tday0)))*1000;</w:t>
      </w:r>
    </w:p>
    <w:p w14:paraId="6DAEAA1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loadCt = (loadC(tday0)+tfrac*(loadC(tday)-loadC(tday0)))*1000;</w:t>
      </w:r>
    </w:p>
    <w:p w14:paraId="60C0A97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qin = qsolart*Asolar*0.6;         </w:t>
      </w:r>
      <w:r w:rsidRPr="002B17E4">
        <w:rPr>
          <w:rFonts w:ascii="Courier New" w:hAnsi="Courier New" w:cs="Courier New"/>
          <w:color w:val="228B22"/>
          <w:sz w:val="18"/>
          <w:szCs w:val="18"/>
        </w:rPr>
        <w:t>% collector area = 10 m2; efficiency 60%</w:t>
      </w:r>
    </w:p>
    <w:p w14:paraId="5A3159F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qin1 = qin/NHP;</w:t>
      </w:r>
    </w:p>
    <w:p w14:paraId="3254897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Tsath = (y(1) + qin1*(twh/2)/(kw*pi*(2*ri-twh)*Lh));</w:t>
      </w:r>
    </w:p>
    <w:p w14:paraId="702A209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Tsath&gt;=383.15</w:t>
      </w:r>
    </w:p>
    <w:p w14:paraId="1B31784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 xml:space="preserve">    qin=0;  </w:t>
      </w:r>
    </w:p>
    <w:p w14:paraId="53E02EC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qin1 = qin/NHP;</w:t>
      </w:r>
    </w:p>
    <w:p w14:paraId="5A708E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Tsath=y(1);</w:t>
      </w:r>
    </w:p>
    <w:p w14:paraId="2B071E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4B237BE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Qaux=0;</w:t>
      </w:r>
    </w:p>
    <w:p w14:paraId="2B54D1F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7006C4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4EAEF8F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Ste = cL*(Tsath-Tm)/hsl;</w:t>
      </w:r>
    </w:p>
    <w:p w14:paraId="2991E7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D7B8B3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 = zeros(Nelm,1);</w:t>
      </w:r>
    </w:p>
    <w:p w14:paraId="6799DE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 = y(Nelm);</w:t>
      </w:r>
    </w:p>
    <w:p w14:paraId="14F6128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%melting = 0;</w:t>
      </w:r>
    </w:p>
    <w:p w14:paraId="3F326B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dlqd = max(1.e-5,y(Nelm)/Nl/2);</w:t>
      </w:r>
    </w:p>
    <w:p w14:paraId="0C5BF43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dsld = (2*ro-(2*ri+max(0,y(Nelm))))/Ns/2;</w:t>
      </w:r>
    </w:p>
    <w:p w14:paraId="3EB4076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(abs(dsld)&gt;100)</w:t>
      </w:r>
    </w:p>
    <w:p w14:paraId="1B8C706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dlqd = 1.e-4;</w:t>
      </w:r>
    </w:p>
    <w:p w14:paraId="75C0060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dsld = (ro-(ri+dlqd))/Ns/2;</w:t>
      </w:r>
    </w:p>
    <w:p w14:paraId="62B48E7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43C952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1D72B7B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 = zeros(LST+1,1);</w:t>
      </w:r>
    </w:p>
    <w:p w14:paraId="54FE8B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A(1) = ri-(twh/2);</w:t>
      </w:r>
    </w:p>
    <w:p w14:paraId="4446D4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A(2) = ri+dlqd;</w:t>
      </w:r>
    </w:p>
    <w:p w14:paraId="6C5E8A5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3:Nl+1</w:t>
      </w:r>
    </w:p>
    <w:p w14:paraId="01ED616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A(i) = A(i-1) + 2*dlqd;</w:t>
      </w:r>
    </w:p>
    <w:p w14:paraId="0ABF73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DB84A7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A(LST-Ns+1) = ri+(dlqd*2*Nl)+dsld;</w:t>
      </w:r>
    </w:p>
    <w:p w14:paraId="520D85B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LST-Ns+1:LST</w:t>
      </w:r>
    </w:p>
    <w:p w14:paraId="6BD0C8E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A(i) = (ri+(dlqd*2*Nl)+dsld) + (i-(LST-Ns+1))*2*dsld;</w:t>
      </w:r>
    </w:p>
    <w:p w14:paraId="43B727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462B46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A(LST+1) = ri - twh/2;</w:t>
      </w:r>
    </w:p>
    <w:p w14:paraId="39AEDB1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Aw = A(LST+1)*Lw/Lh;</w:t>
      </w:r>
    </w:p>
    <w:p w14:paraId="0417996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Aa = A(LST+1)*La/Lh;</w:t>
      </w:r>
    </w:p>
    <w:p w14:paraId="186510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Ab = A(LST+1)*Lb/Lh;</w:t>
      </w:r>
    </w:p>
    <w:p w14:paraId="7832652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3:LST</w:t>
      </w:r>
    </w:p>
    <w:p w14:paraId="405E81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(A(i)&gt;0)</w:t>
      </w:r>
    </w:p>
    <w:p w14:paraId="049CBAB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delta = dlqd;</w:t>
      </w:r>
    </w:p>
    <w:p w14:paraId="0BB2E22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A(i)&gt;(y(end)+ri)</w:t>
      </w:r>
    </w:p>
    <w:p w14:paraId="689BDC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delta = dsld;</w:t>
      </w:r>
    </w:p>
    <w:p w14:paraId="3E5F246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3055B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(A(i)-delta&gt;ro)</w:t>
      </w:r>
    </w:p>
    <w:p w14:paraId="5F8548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A(i) = 2*ro - A(i);</w:t>
      </w:r>
    </w:p>
    <w:p w14:paraId="173AE54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497A0CD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(A(i)+delta&gt;ro &amp;&amp; A(i)-delta&lt;ro)</w:t>
      </w:r>
    </w:p>
    <w:p w14:paraId="6A4C45B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A(i) = ro - delta;</w:t>
      </w:r>
    </w:p>
    <w:p w14:paraId="0B1C3A2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4EECEF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887B9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39DC55F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Ti(1) = Tsath;</w:t>
      </w:r>
    </w:p>
    <w:p w14:paraId="54DB289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Ti(LST-Ns+1) = Tm;</w:t>
      </w:r>
    </w:p>
    <w:p w14:paraId="76B121B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LST-Ns+1:LST</w:t>
      </w:r>
    </w:p>
    <w:p w14:paraId="046742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i == LST</w:t>
      </w:r>
    </w:p>
    <w:p w14:paraId="087A53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(y(LST)*kS*A(LST)/dsld+y(LST+1)*kw*A(LST+1)/(twh/2))/(kw*A(LST+1)/(twh/2)+kS*A(LST)/dsld);</w:t>
      </w:r>
    </w:p>
    <w:p w14:paraId="57DD0D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56496AC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(y(i)*A(i)+y(i+1)*A(i+1)) / (A(i)+A(i+1));</w:t>
      </w:r>
    </w:p>
    <w:p w14:paraId="59925F0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5F55AB9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dy(i) = (Ti(i) - 2*y(i) + Ti(i+1)) * aS/(2*dsld^2);</w:t>
      </w:r>
    </w:p>
    <w:p w14:paraId="74A3FA2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lastRenderedPageBreak/>
        <w:t>end</w:t>
      </w:r>
    </w:p>
    <w:p w14:paraId="51C146A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Tsatc =(y(LST+1)*A(LST+1)+y(LST+2)*Aw+y(LST+3)*Aa+y(LST+4)*Ab)/(A(LST+1)+Aw+Aa+Ab);</w:t>
      </w:r>
    </w:p>
    <w:p w14:paraId="7EC1027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loadw1 = loadwt/NHP;</w:t>
      </w:r>
    </w:p>
    <w:p w14:paraId="4D892C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loadH1 = loadHt/NHP;</w:t>
      </w:r>
    </w:p>
    <w:p w14:paraId="2273B85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loadC1 = loadCt/NHP;</w:t>
      </w:r>
    </w:p>
    <w:p w14:paraId="4C72DB2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D4F792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totalqsolar = qsolart*Asolar*0.6;</w:t>
      </w:r>
    </w:p>
    <w:p w14:paraId="1CE7E0A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totalload = loadwt+loadHt+loadCt; </w:t>
      </w:r>
    </w:p>
    <w:p w14:paraId="06A145F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4053D5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Tsatc&lt;=300</w:t>
      </w:r>
    </w:p>
    <w:p w14:paraId="080FFA9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Qaux=totalload;</w:t>
      </w:r>
    </w:p>
    <w:p w14:paraId="680C682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loadw1=0;</w:t>
      </w:r>
    </w:p>
    <w:p w14:paraId="3F04E4C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loadH1=0;</w:t>
      </w:r>
    </w:p>
    <w:p w14:paraId="39C9981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loadC1=0;</w:t>
      </w:r>
    </w:p>
    <w:p w14:paraId="05DD40A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14059E9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36A18D2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6EB0CE8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0FF02E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dy(LST+1) = (Ti(LST+1) - 2*y(LST+1) + Tsatc) * aw/(2*(twh/2)^2);</w:t>
      </w:r>
    </w:p>
    <w:p w14:paraId="0C365D2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y(LST+2)-loadw1*(twh/2)/(kw*Aw*2*pi*Lh);</w:t>
      </w:r>
    </w:p>
    <w:p w14:paraId="1CA0155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y(LST+4)-loadH1*(twh/2)/(kw*Ab*2*pi*Lh);</w:t>
      </w:r>
    </w:p>
    <w:p w14:paraId="445F1CE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y(LST+3)-loadC1*(twh/2)/(kw*Aa*2*pi*Lh);</w:t>
      </w:r>
    </w:p>
    <w:p w14:paraId="0FE44DD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448A0F7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real(Tsw);</w:t>
      </w:r>
    </w:p>
    <w:p w14:paraId="7F80E99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min(y(LST+2),Tsw);</w:t>
      </w:r>
    </w:p>
    <w:p w14:paraId="0F8EA5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min(y(LST+3),Tsa);</w:t>
      </w:r>
    </w:p>
    <w:p w14:paraId="6E7C19E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%Tsb = (y(LST+4)*kw/(twh/2) + TLiBr*hb)/(kw/(twh/2) + hb);</w:t>
      </w:r>
    </w:p>
    <w:p w14:paraId="29FB21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min(y(LST+4),Tsb);</w:t>
      </w:r>
    </w:p>
    <w:p w14:paraId="224C1EE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Tow = loadwt/(mdotw*cpw) + Tinw;</w:t>
      </w:r>
    </w:p>
    <w:p w14:paraId="5D4B03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Toa = Tina + 1.e-3;</w:t>
      </w:r>
    </w:p>
    <w:p w14:paraId="21DAAEB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1:0</w:t>
      </w:r>
    </w:p>
    <w:p w14:paraId="5D6C980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qw = (mdotw*cpw)*(Tow-Tinw);</w:t>
      </w:r>
    </w:p>
    <w:p w14:paraId="2A10918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Tsw = y(LST+2) - qw/(pi*2*ro*Lw)*(twh/2)/kw;</w:t>
      </w:r>
    </w:p>
    <w:p w14:paraId="58AB5A6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Tsw = max(Tsw,Tow+1.e-5);</w:t>
      </w:r>
    </w:p>
    <w:p w14:paraId="40B81F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DTlm = (Tow-Tinw)/log((Tsw-Tinw)/(Tsw-Tow));</w:t>
      </w:r>
    </w:p>
    <w:p w14:paraId="7298665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qw = hw * DTlm * (pi*2*ro*Lw);</w:t>
      </w:r>
    </w:p>
    <w:p w14:paraId="5B99ECF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Tow  = qw/(mdotw*cpw) + Tinw;</w:t>
      </w:r>
    </w:p>
    <w:p w14:paraId="3B25B5B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qa = (mdota*cpa)*(Toa-Tina);</w:t>
      </w:r>
    </w:p>
    <w:p w14:paraId="30B85D4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Tsa = y(LST+3) - qa/(pi*2*ro*La)*(twh/2)/kw;</w:t>
      </w:r>
    </w:p>
    <w:p w14:paraId="2BE06BE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Tsa = max(Tsa,Toa+1.e-5);</w:t>
      </w:r>
    </w:p>
    <w:p w14:paraId="5B984C5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DTlma = (Toa-Tina)/log((Tsa-Tina)/(Tsa-Toa));</w:t>
      </w:r>
    </w:p>
    <w:p w14:paraId="7CB5941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qa = ha * DTlma * (pi*2*ro*La)</w:t>
      </w:r>
    </w:p>
    <w:p w14:paraId="5D00666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Toa  = qa/(mdota*cpa) + Tina;</w:t>
      </w:r>
    </w:p>
    <w:p w14:paraId="7364F15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028C008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dy(LST+2) = (Tsw - 2*y(LST+2) + Tsatc) * aw/(2*(twh/2)^2);</w:t>
      </w:r>
    </w:p>
    <w:p w14:paraId="4FFD3E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dy(LST+3) = (Tsa - 2*y(LST+3) + Tsatc) * aw/(2*(twh/2)^2);</w:t>
      </w:r>
    </w:p>
    <w:p w14:paraId="41552BD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dy(LST+4) = (Tsb - 2*y(LST+4) + Tsatc) * aw/(2*(twh/2)^2);</w:t>
      </w:r>
    </w:p>
    <w:p w14:paraId="7B80DE8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9E5DD0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(t&gt;5 &amp;&amp; mod(t,100)&lt;1.0)</w:t>
      </w:r>
    </w:p>
    <w:p w14:paraId="225E06E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(y(end)&lt;=ro-ri)</w:t>
      </w:r>
    </w:p>
    <w:p w14:paraId="0C3AA05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(y(end)+ri)^2-ri^2;</w:t>
      </w:r>
    </w:p>
    <w:p w14:paraId="4025B85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021EBFA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ro^2-ri^2 + ro^2 - (2*ro-(y(end)+ri))^2;</w:t>
      </w:r>
    </w:p>
    <w:p w14:paraId="70ABF4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0FE071A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f = M/(2*(ro^2-ri^2));</w:t>
      </w:r>
    </w:p>
    <w:p w14:paraId="30751C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yo=1;</w:t>
      </w:r>
    </w:p>
    <w:p w14:paraId="17C4557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 xml:space="preserve">    [t/3600 y(1) y(LST+1) y(end)*1000 f qin/1000-(loadHt+loadwt+loadCt)/1000 Nl Ns TPCMavg]</w:t>
      </w:r>
    </w:p>
    <w:p w14:paraId="620F49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7F944D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 = [Ti(2); y(2:Nl+1); Tm; y(LST-Ns+1:LST); Ti(LST+1)];</w:t>
      </w:r>
    </w:p>
    <w:p w14:paraId="7764CB5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Ti(1:LST+1) = 0;</w:t>
      </w:r>
    </w:p>
    <w:p w14:paraId="70D9DE3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Ti(2) = (y(1)*kw*A(1)/(twh/2)+y(2)*kL*A(2)/dlqd)/</w:t>
      </w:r>
      <w:r w:rsidRPr="002B17E4">
        <w:rPr>
          <w:rFonts w:ascii="Courier New" w:hAnsi="Courier New" w:cs="Courier New"/>
          <w:color w:val="0000FF"/>
          <w:sz w:val="18"/>
          <w:szCs w:val="18"/>
        </w:rPr>
        <w:t>...</w:t>
      </w:r>
    </w:p>
    <w:p w14:paraId="712F99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(kw*A(1)/(twh/2)+kL*A(2)/dlqd);</w:t>
      </w:r>
    </w:p>
    <w:p w14:paraId="4A3237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Ti(Nl+2) = Tm;</w:t>
      </w:r>
    </w:p>
    <w:p w14:paraId="0377C37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2:Nl</w:t>
      </w:r>
    </w:p>
    <w:p w14:paraId="2492BE3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(y(i)*A(i)+y(i+1)*A(i+1)) /(A(i)+A(i+1));</w:t>
      </w:r>
    </w:p>
    <w:p w14:paraId="2C97315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dy(i) = (Ti(i) - 2*y(i) + Ti(i+1)) * aL/(2*dlqd^2);</w:t>
      </w:r>
    </w:p>
    <w:p w14:paraId="3F4CEB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04E491D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dy(1) = (Tsath - 2*y(1) + Ti(2)) * aw/(2*(twh/2)^2);</w:t>
      </w:r>
    </w:p>
    <w:p w14:paraId="4FBB20C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dy(Nl+1) = (Ti(Nl+1) - 2*y(Nl+1) + Ti(Nl+2)) * aL/(2*dlqd^2);</w:t>
      </w:r>
    </w:p>
    <w:p w14:paraId="58E50C9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6620F3B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qout = kS*2*A(LST-Ns+1)*(Tm-y(LST-Ns+1))/dsld;</w:t>
      </w:r>
    </w:p>
    <w:p w14:paraId="1931AA4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qout = max(0,qout);</w:t>
      </w:r>
    </w:p>
    <w:p w14:paraId="215E9C5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qin = kL*2*A(Nl+1)*(y(Nl+1)-Tm)/dlqd;</w:t>
      </w:r>
    </w:p>
    <w:p w14:paraId="459FBB8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qin = max(0,qin);</w:t>
      </w:r>
    </w:p>
    <w:p w14:paraId="1BEAC7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dV = max(-1e8,(qin-qout)/(rhoS*hsl));</w:t>
      </w:r>
    </w:p>
    <w:p w14:paraId="1900949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(y(Nelm)&lt;=ro-ri)</w:t>
      </w:r>
    </w:p>
    <w:p w14:paraId="46511B6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dy(Nelm) = dV/2/(y(Nelm)+ri);</w:t>
      </w:r>
    </w:p>
    <w:p w14:paraId="3095214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else</w:t>
      </w:r>
    </w:p>
    <w:p w14:paraId="64295E2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M = ro^2-ri^2 + ro^2 - (2*ro-(y(end)+ri))^2;</w:t>
      </w:r>
    </w:p>
    <w:p w14:paraId="220CF59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dy(Nelm) = dV/2/(2*ro-(y(Nelm)+ri));</w:t>
      </w:r>
    </w:p>
    <w:p w14:paraId="6635DD3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3B749ED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 = y(Nelm);</w:t>
      </w:r>
    </w:p>
    <w:p w14:paraId="03FF3EE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21C193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 = zeros(Nl+Ns+3,1);</w:t>
      </w:r>
    </w:p>
    <w:p w14:paraId="3B00979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r = [A(2)-dlqd; A(2:Nl+1); y(end)+ri; A(LST-Ns+1:LST); A(LST)-dsld];</w:t>
      </w:r>
    </w:p>
    <w:p w14:paraId="20C46DA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TPCM(1) = Ti(2);</w:t>
      </w:r>
    </w:p>
    <w:p w14:paraId="2AB035F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5129CA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0;</w:t>
      </w:r>
    </w:p>
    <w:p w14:paraId="761038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MassPCM = 0;</w:t>
      </w:r>
    </w:p>
    <w:p w14:paraId="6766191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0;</w:t>
      </w:r>
    </w:p>
    <w:p w14:paraId="52DDA4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 = zeros(Nelm,1);</w:t>
      </w:r>
    </w:p>
    <w:p w14:paraId="1C0D17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2:Nl+1</w:t>
      </w:r>
    </w:p>
    <w:p w14:paraId="3D5BB4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Mass(i) = 2*A(i)*2*dlqd*rhoL;</w:t>
      </w:r>
    </w:p>
    <w:p w14:paraId="022068E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TPCMavg = TPCMavg + Mass(i)*y(i);</w:t>
      </w:r>
    </w:p>
    <w:p w14:paraId="30644C1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MassPCM = MassPCM + Mass(i);</w:t>
      </w:r>
    </w:p>
    <w:p w14:paraId="12C7EB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Esen = Esen + Mass(i)*cL*(y(i)-Tm);</w:t>
      </w:r>
    </w:p>
    <w:p w14:paraId="1AAAC8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dSdt(i) = Mass(i)*cL*dy(i)/y(i);</w:t>
      </w:r>
    </w:p>
    <w:p w14:paraId="24E4AF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74258A8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LST-Ns+1:LST</w:t>
      </w:r>
    </w:p>
    <w:p w14:paraId="5F40B61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Mass(i) = 2*A(i)*2*dsld*rhoS;</w:t>
      </w:r>
    </w:p>
    <w:p w14:paraId="5097324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TPCMavg = TPCMavg + Mass(i)*y(i);</w:t>
      </w:r>
    </w:p>
    <w:p w14:paraId="536FB88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MassPCM = MassPCM + Mass(i);</w:t>
      </w:r>
    </w:p>
    <w:p w14:paraId="0007403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Esen = Esen + Mass(i)*cL*(y(i)-Tm);</w:t>
      </w:r>
    </w:p>
    <w:p w14:paraId="3136DBF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dSdt(i) = Mass(i)*cL*dy(i)/y(i);</w:t>
      </w:r>
    </w:p>
    <w:p w14:paraId="20A15AB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6922DB2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TPCMavg/MassPCM;</w:t>
      </w:r>
    </w:p>
    <w:p w14:paraId="793D4BF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Mass(1) = 2*A(1)*twh*7900;</w:t>
      </w:r>
    </w:p>
    <w:p w14:paraId="3F9922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Mass(LST+1) = 2*A(LST+1)*twh*7900;</w:t>
      </w:r>
    </w:p>
    <w:p w14:paraId="70C57AF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Mass(LST+2) = 2*Aw*twh*7900;</w:t>
      </w:r>
    </w:p>
    <w:p w14:paraId="630B999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Mass(LST+3) = 2*Aa*twh*7900;</w:t>
      </w:r>
    </w:p>
    <w:p w14:paraId="4F102ED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Mass(LST+4) = 2*Ab*twh*7900;</w:t>
      </w:r>
    </w:p>
    <w:p w14:paraId="3AE2BB8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dSdt(1) = Mass(1)*400*dy(1)/y(1);</w:t>
      </w:r>
    </w:p>
    <w:p w14:paraId="27415C2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dSdt(LST+1) = Mass(LST+1)*400*dy(LST+1)/y(LST+1);</w:t>
      </w:r>
    </w:p>
    <w:p w14:paraId="1178EE6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dSdt(LST+2) = Mass(LST+2)*400*dy(LST+2)/y(LST+2);</w:t>
      </w:r>
    </w:p>
    <w:p w14:paraId="675FB68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dSdt(LST+3) = Mass(LST+3)*400*dy(LST+3)/y(LST+3);</w:t>
      </w:r>
    </w:p>
    <w:p w14:paraId="5DE9EDD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dSdt(LST+4) = Mass(LST+4)*400*dy(LST+4)/y(LST+4);</w:t>
      </w:r>
    </w:p>
    <w:p w14:paraId="725770E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dSdt(Nelm) = dV*rhoL*hsl/Tm;</w:t>
      </w:r>
    </w:p>
    <w:p w14:paraId="1F9265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Mass(1)*400*(y(1)-Tm);</w:t>
      </w:r>
    </w:p>
    <w:p w14:paraId="4E3A3F4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Mass(LST+1)*400*(y(LST+1)-Tm);</w:t>
      </w:r>
    </w:p>
    <w:p w14:paraId="2B99F45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Mass(LST+2)*400*(y(LST+2)-Tm);</w:t>
      </w:r>
    </w:p>
    <w:p w14:paraId="4C4053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Mass(LST+3)*400*(y(LST+3)-Tm);</w:t>
      </w:r>
    </w:p>
    <w:p w14:paraId="5ACC520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Mass(LST+4)*400*(y(LST+4)-Tm);</w:t>
      </w:r>
    </w:p>
    <w:p w14:paraId="6B74F9C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19EB8C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Sdotin = qin1/(Tsath);</w:t>
      </w:r>
    </w:p>
    <w:p w14:paraId="4122BB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Sdotout = loadw1/(Tsw) + loadH1/(Tsa) + loadC1/(Tsb);</w:t>
      </w:r>
    </w:p>
    <w:p w14:paraId="6C79389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Qdotout = loadw1 + loadH1 + loadC1;</w:t>
      </w:r>
    </w:p>
    <w:p w14:paraId="017DE60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Qdotin = qin1;</w:t>
      </w:r>
    </w:p>
    <w:p w14:paraId="55EF8D3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Exin = qin1*(1-300/Tsath);</w:t>
      </w:r>
    </w:p>
    <w:p w14:paraId="6209408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Exout = loadw1*(1-300/Tsw) + loadH1*(1-300/Tsa) + loadC1*(1-300/Tsb);</w:t>
      </w:r>
    </w:p>
    <w:p w14:paraId="17FEA1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Load_Solar = [NHP*(loadw1+loadH1+loadC1) NHP*qin];</w:t>
      </w:r>
    </w:p>
    <w:p w14:paraId="1E8615B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dms=max(0,totalload-totalqsolar);</w:t>
      </w:r>
    </w:p>
    <w:p w14:paraId="18FB2CF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6F9281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Superheat subroutine *****************</w:t>
      </w:r>
    </w:p>
    <w:p w14:paraId="4F84002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1607A8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function</w:t>
      </w:r>
      <w:r w:rsidRPr="002B17E4">
        <w:rPr>
          <w:rFonts w:ascii="Courier New" w:hAnsi="Courier New" w:cs="Courier New"/>
          <w:color w:val="000000"/>
          <w:sz w:val="18"/>
          <w:szCs w:val="18"/>
        </w:rPr>
        <w:t xml:space="preserve"> [dy]= supheat(t,y)</w:t>
      </w:r>
    </w:p>
    <w:p w14:paraId="3EC79FB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B462B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ri ro r twh kw Nelm Ns Nl LST NHP</w:t>
      </w:r>
    </w:p>
    <w:p w14:paraId="1DFB1F8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tallmelt STATE Sdotin Sdotout Qdotout Qdotin Exin Exout dSdt</w:t>
      </w:r>
    </w:p>
    <w:p w14:paraId="45F538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Lh Lw La Lb aw</w:t>
      </w:r>
    </w:p>
    <w:p w14:paraId="6B76819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Tm hsl kL kS cL aL aS rhoL rhoS Esen Load_Solar</w:t>
      </w:r>
    </w:p>
    <w:p w14:paraId="3C5705A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Ti dlqd dsld A Mass TPCMavg</w:t>
      </w:r>
    </w:p>
    <w:p w14:paraId="7181AD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global</w:t>
      </w:r>
      <w:r w:rsidRPr="002B17E4">
        <w:rPr>
          <w:rFonts w:ascii="Courier New" w:hAnsi="Courier New" w:cs="Courier New"/>
          <w:color w:val="000000"/>
          <w:sz w:val="18"/>
          <w:szCs w:val="18"/>
        </w:rPr>
        <w:t xml:space="preserve"> totalqsolar totalload Qaux dms</w:t>
      </w:r>
    </w:p>
    <w:p w14:paraId="16DB27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08BE2C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hw = 2000;</w:t>
      </w:r>
    </w:p>
    <w:p w14:paraId="41884C0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ha = 500;</w:t>
      </w:r>
    </w:p>
    <w:p w14:paraId="24D991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hb = 0.0;</w:t>
      </w:r>
    </w:p>
    <w:p w14:paraId="499F21E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8E558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mdotw = 0.0;</w:t>
      </w:r>
    </w:p>
    <w:p w14:paraId="117CBF4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mdota = 0.0;</w:t>
      </w:r>
    </w:p>
    <w:p w14:paraId="79C2130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cpw = 4200;</w:t>
      </w:r>
    </w:p>
    <w:p w14:paraId="2560DB6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cpa = 1000;</w:t>
      </w:r>
    </w:p>
    <w:p w14:paraId="0FCD823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Tinw = 20;</w:t>
      </w:r>
    </w:p>
    <w:p w14:paraId="5A0A42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Tina = 20;</w:t>
      </w:r>
    </w:p>
    <w:p w14:paraId="5697383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TLiBr = 80;</w:t>
      </w:r>
    </w:p>
    <w:p w14:paraId="02545C1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95E9EF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3E05998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w:t>
      </w:r>
    </w:p>
    <w:p w14:paraId="77DF2C7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w:t>
      </w:r>
    </w:p>
    <w:p w14:paraId="47B92D4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w:t>
      </w:r>
    </w:p>
    <w:p w14:paraId="260A5C5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w:t>
      </w:r>
    </w:p>
    <w:p w14:paraId="7685A99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w:t>
      </w:r>
    </w:p>
    <w:p w14:paraId="00C79E8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Asolar=;</w:t>
      </w:r>
    </w:p>
    <w:p w14:paraId="0518B1E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F6E9CA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 = floor(t/3600)+1;</w:t>
      </w:r>
    </w:p>
    <w:p w14:paraId="717B8F0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xml:space="preserve">% if mod(tday,24)==1 %%% to start a new day </w:t>
      </w:r>
    </w:p>
    <w:p w14:paraId="2C2C005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tday=1;</w:t>
      </w:r>
    </w:p>
    <w:p w14:paraId="2F15C93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 end</w:t>
      </w:r>
    </w:p>
    <w:p w14:paraId="71D54B5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mod(tday,8760)==1  </w:t>
      </w:r>
    </w:p>
    <w:p w14:paraId="1EB885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tday=8760;</w:t>
      </w:r>
    </w:p>
    <w:p w14:paraId="27EC15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lastRenderedPageBreak/>
        <w:t>end</w:t>
      </w:r>
    </w:p>
    <w:p w14:paraId="271249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tday0 = tday-1;</w:t>
      </w:r>
    </w:p>
    <w:p w14:paraId="039A2E2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tday0==0</w:t>
      </w:r>
    </w:p>
    <w:p w14:paraId="4CEA788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tday0 = 8760;</w:t>
      </w:r>
    </w:p>
    <w:p w14:paraId="5A1E700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5CBD14C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5CD3451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tfrac = (t/3600)-floor(t/3600);</w:t>
      </w:r>
    </w:p>
    <w:p w14:paraId="300EC7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qsolart = qsolar(tday0)+tfrac*(qsolar(tday)-qsolar(tday0));</w:t>
      </w:r>
    </w:p>
    <w:p w14:paraId="4203419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loadwt = (loadw(tday0)+tfrac*(loadw(tday)-loadw(tday0)))*1000;</w:t>
      </w:r>
    </w:p>
    <w:p w14:paraId="11F7C23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loadHt = (loadH(tday0)+tfrac*(loadH(tday)-loadH(tday0)))*1000;</w:t>
      </w:r>
    </w:p>
    <w:p w14:paraId="68E20CE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loadCt = (loadC(tday0)+tfrac*(loadC(tday)-loadC(tday0)))*1000;</w:t>
      </w:r>
    </w:p>
    <w:p w14:paraId="43159C6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%Tsath = max(300,y(1) + qin1*(twh/2)/(kw*pi*(2*ri-twh)*Lh));</w:t>
      </w:r>
    </w:p>
    <w:p w14:paraId="2F1D4AB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qin = qsolart*Asolar*0.6;         </w:t>
      </w:r>
      <w:r w:rsidRPr="002B17E4">
        <w:rPr>
          <w:rFonts w:ascii="Courier New" w:hAnsi="Courier New" w:cs="Courier New"/>
          <w:color w:val="228B22"/>
          <w:sz w:val="18"/>
          <w:szCs w:val="18"/>
        </w:rPr>
        <w:t>% collector area = 10 m2; efficiency 60%</w:t>
      </w:r>
    </w:p>
    <w:p w14:paraId="11C85CF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qin1 = qin/NHP;</w:t>
      </w:r>
    </w:p>
    <w:p w14:paraId="4EA468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144B886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Tsath = (y(1) + qin1*(twh/2)/(kw*pi*(2*ri-twh)*Lh));</w:t>
      </w:r>
    </w:p>
    <w:p w14:paraId="30BC53B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Tsath&gt;=383.15</w:t>
      </w:r>
    </w:p>
    <w:p w14:paraId="43E5A40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qin=0;  </w:t>
      </w:r>
    </w:p>
    <w:p w14:paraId="5BD33C2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qin1 = qin/NHP;</w:t>
      </w:r>
    </w:p>
    <w:p w14:paraId="51B744D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Tsath=y(1);</w:t>
      </w:r>
    </w:p>
    <w:p w14:paraId="7ED8A7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588E5BD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Qaux=0;</w:t>
      </w:r>
    </w:p>
    <w:p w14:paraId="6867371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5AB8D58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 = zeros(Nelm,1);</w:t>
      </w:r>
    </w:p>
    <w:p w14:paraId="7FE47F0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Aw = A(LST+1)*Lw/Lh;</w:t>
      </w:r>
    </w:p>
    <w:p w14:paraId="7BE9E0F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Aa = A(LST+1)*La/Lh;</w:t>
      </w:r>
    </w:p>
    <w:p w14:paraId="56696BF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Ab = A(LST+1)*Lb/Lh;</w:t>
      </w:r>
    </w:p>
    <w:p w14:paraId="256051D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7B2FFD1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Ti(1) = Tsath;</w:t>
      </w:r>
    </w:p>
    <w:p w14:paraId="7B0D5BB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Ti(2) = (y(1)*kw*A(1)/(twh/2)+y(2)*kL*A(2)/dlqd)/</w:t>
      </w:r>
      <w:r w:rsidRPr="002B17E4">
        <w:rPr>
          <w:rFonts w:ascii="Courier New" w:hAnsi="Courier New" w:cs="Courier New"/>
          <w:color w:val="0000FF"/>
          <w:sz w:val="18"/>
          <w:szCs w:val="18"/>
        </w:rPr>
        <w:t>...</w:t>
      </w:r>
    </w:p>
    <w:p w14:paraId="4A840E7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(kw*A(1)/(twh/2)+kL*A(2)/dlqd);</w:t>
      </w:r>
    </w:p>
    <w:p w14:paraId="472AB6E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dlqd1 = A(Nl+1) - ri;</w:t>
      </w:r>
    </w:p>
    <w:p w14:paraId="4CB6A78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Ti(Nl+2) = (y(Nl+1)*kL*A(Nl+1)/dlqd1+y(LST+1)*kw*A(LST+1)/(twh/2))/</w:t>
      </w:r>
      <w:r w:rsidRPr="002B17E4">
        <w:rPr>
          <w:rFonts w:ascii="Courier New" w:hAnsi="Courier New" w:cs="Courier New"/>
          <w:color w:val="0000FF"/>
          <w:sz w:val="18"/>
          <w:szCs w:val="18"/>
        </w:rPr>
        <w:t>...</w:t>
      </w:r>
    </w:p>
    <w:p w14:paraId="1647004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(kw*A(LST+1)/(twh/2)+kL*A(Nl+1)/dlqd1);</w:t>
      </w:r>
    </w:p>
    <w:p w14:paraId="3CE269C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5500C3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2:Nl+1</w:t>
      </w:r>
    </w:p>
    <w:p w14:paraId="19642E0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i == Nl+1</w:t>
      </w:r>
    </w:p>
    <w:p w14:paraId="33473A0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(y(Nl+1)*kL*A(Nl+1)/dlqd1+y(LST+1)*kw*A(LST+1)/(twh/2))/</w:t>
      </w:r>
      <w:r w:rsidRPr="002B17E4">
        <w:rPr>
          <w:rFonts w:ascii="Courier New" w:hAnsi="Courier New" w:cs="Courier New"/>
          <w:color w:val="0000FF"/>
          <w:sz w:val="18"/>
          <w:szCs w:val="18"/>
        </w:rPr>
        <w:t>...</w:t>
      </w:r>
    </w:p>
    <w:p w14:paraId="4E8A1D2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(kw*A(LST+1)/(twh/2)+kL*A(Nl+1)/dlqd1);</w:t>
      </w:r>
    </w:p>
    <w:p w14:paraId="238DF9C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18B4042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Ti(i+1) = (y(i)*A(i)+y(i+1)*A(i+1)) / (A(i)+A(i+1));</w:t>
      </w:r>
    </w:p>
    <w:p w14:paraId="4D0F79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65A496E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dy(i) = (Ti(i) - 2*y(i) + Ti(i+1)) * aL/(2*dlqd^2);</w:t>
      </w:r>
    </w:p>
    <w:p w14:paraId="763D32C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24D275A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dy(Nl+2:LST) = 0;</w:t>
      </w:r>
    </w:p>
    <w:p w14:paraId="38F874B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Tsatc=(y(LST+1)*A(LST+1)+y(LST+2)*Aw+y(LST+3)*Aa+y(LST+4)*Ab)/(A(LST+1)+Aw+Aa+Ab);</w:t>
      </w:r>
    </w:p>
    <w:p w14:paraId="2EA168C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13DF9F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loadw1 = loadwt/NHP;</w:t>
      </w:r>
    </w:p>
    <w:p w14:paraId="41AAE70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loadH1 = loadHt/NHP;</w:t>
      </w:r>
    </w:p>
    <w:p w14:paraId="546E964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loadC1 = loadCt/NHP;</w:t>
      </w:r>
    </w:p>
    <w:p w14:paraId="3188A5D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totalqsolar = qsolart*Asolar*0.6;</w:t>
      </w:r>
    </w:p>
    <w:p w14:paraId="625021B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totalload = loadwt+loadHt+loadCt; </w:t>
      </w:r>
    </w:p>
    <w:p w14:paraId="372980A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E39827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Tsatc&lt;=300</w:t>
      </w:r>
    </w:p>
    <w:p w14:paraId="0F4E525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Qaux=totalload;</w:t>
      </w:r>
    </w:p>
    <w:p w14:paraId="4AB8AD6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loadw1=0;</w:t>
      </w:r>
    </w:p>
    <w:p w14:paraId="29E199F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 xml:space="preserve">    loadH1=0;</w:t>
      </w:r>
    </w:p>
    <w:p w14:paraId="4EDD80F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loadC1=0;</w:t>
      </w:r>
    </w:p>
    <w:p w14:paraId="22AA29F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75191AE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5F2A343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7122C8A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dy(1) = (Tsath - 2*y(1) + Ti(2)) * aw/(2*(twh/2)^2);</w:t>
      </w:r>
    </w:p>
    <w:p w14:paraId="5E79576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dy(Nl+1) = (Ti(Nl+1) - y(Nl+1))/dlqd - (y(Nl+1) - Ti(Nl+2))/dlqd1;</w:t>
      </w:r>
    </w:p>
    <w:p w14:paraId="701A2FD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dy(Nl+1) = aL*dy(Nl+1)/(dlqd1+dlqd);</w:t>
      </w:r>
    </w:p>
    <w:p w14:paraId="37A9C11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dy(LST+1) = (Ti(Nl+2) - 2*y(LST+1) + Tsatc) * aw/(2*(twh/2)^2);</w:t>
      </w:r>
    </w:p>
    <w:p w14:paraId="0660762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DA0985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550239D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y(LST+2)-loadw1*(twh/2)/(kw*Aw*2*pi*Lh);</w:t>
      </w:r>
    </w:p>
    <w:p w14:paraId="517107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y(LST+4)-loadH1*(twh/2)/(kw*Ab*2*pi*Lh);</w:t>
      </w:r>
    </w:p>
    <w:p w14:paraId="78452D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y(LST+3)-loadC1*(twh/2)/(kw*Aa*2*pi*Lh);</w:t>
      </w:r>
    </w:p>
    <w:p w14:paraId="10EF3BC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w:t>
      </w:r>
    </w:p>
    <w:p w14:paraId="44D5F93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real(Tsw);</w:t>
      </w:r>
    </w:p>
    <w:p w14:paraId="5FC6B9B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Tsw = min(y(LST+2),Tsw);</w:t>
      </w:r>
    </w:p>
    <w:p w14:paraId="65CEF87E"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Tsa = min(y(LST+3),Tsa);</w:t>
      </w:r>
    </w:p>
    <w:p w14:paraId="501FEC4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228B22"/>
          <w:sz w:val="18"/>
          <w:szCs w:val="18"/>
        </w:rPr>
        <w:t>%Tsb = (y(LST+4)*kw/(twh/2) + TLiBr*hb)/(kw/(twh/2) + hb);</w:t>
      </w:r>
    </w:p>
    <w:p w14:paraId="73B7B52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Tsb = min(y(LST+4),Tsb);</w:t>
      </w:r>
    </w:p>
    <w:p w14:paraId="69ADB22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4799188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dy(LST+2) = (Tsw - 2*y(LST+2) + Tsatc) * aw/(2*(twh/2)^2);</w:t>
      </w:r>
    </w:p>
    <w:p w14:paraId="574EC50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dy(LST+3) = (Tsa - 2*y(LST+3) + Tsatc) * aw/(2*(twh/2)^2);</w:t>
      </w:r>
    </w:p>
    <w:p w14:paraId="03E8F95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dy(LST+4) = (Tsb - 2*y(LST+4) + Tsatc) * aw/(2*(twh/2)^2);</w:t>
      </w:r>
    </w:p>
    <w:p w14:paraId="1BB2D5C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36C0E6B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(t&gt;5 &amp;&amp; mod(t,300)&lt;1.0)</w:t>
      </w:r>
    </w:p>
    <w:p w14:paraId="21602B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(y(end)&lt;=ro-ri)</w:t>
      </w:r>
    </w:p>
    <w:p w14:paraId="0170290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(y(end)+ri)^2-ri^2;</w:t>
      </w:r>
    </w:p>
    <w:p w14:paraId="46E3DA1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else</w:t>
      </w:r>
    </w:p>
    <w:p w14:paraId="2E32CD0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 = ro^2-ri^2 + ro^2 - (2*ro-(y(end)+ri))^2;</w:t>
      </w:r>
    </w:p>
    <w:p w14:paraId="6DF0193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2F057D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f = M/(2*(ro^2-ri^2));</w:t>
      </w:r>
    </w:p>
    <w:p w14:paraId="00A5A15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yo=1;</w:t>
      </w:r>
    </w:p>
    <w:p w14:paraId="6D2A2A7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[t/3600 y(1) y(LST+1) y(end)*1000 f qin/1000-(loadHt+loadwt+loadCt)/1000 Nl Ns TPCMavg]</w:t>
      </w:r>
    </w:p>
    <w:p w14:paraId="05ABFE1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32404653"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 xml:space="preserve"> </w:t>
      </w:r>
    </w:p>
    <w:p w14:paraId="66D6A2E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 = zeros(Nelm,1);</w:t>
      </w:r>
    </w:p>
    <w:p w14:paraId="5335A14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0;</w:t>
      </w:r>
    </w:p>
    <w:p w14:paraId="4B794E0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MassPCM = 0;</w:t>
      </w:r>
    </w:p>
    <w:p w14:paraId="07B33A9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0;</w:t>
      </w:r>
    </w:p>
    <w:p w14:paraId="01DB506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for</w:t>
      </w:r>
      <w:r w:rsidRPr="002B17E4">
        <w:rPr>
          <w:rFonts w:ascii="Courier New" w:hAnsi="Courier New" w:cs="Courier New"/>
          <w:color w:val="000000"/>
          <w:sz w:val="18"/>
          <w:szCs w:val="18"/>
        </w:rPr>
        <w:t xml:space="preserve"> i = 2:Nl+1</w:t>
      </w:r>
    </w:p>
    <w:p w14:paraId="55A7627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Mass(i) = 2*A(i)*2*dlqd*rhoL;</w:t>
      </w:r>
    </w:p>
    <w:p w14:paraId="117874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if</w:t>
      </w:r>
      <w:r w:rsidRPr="002B17E4">
        <w:rPr>
          <w:rFonts w:ascii="Courier New" w:hAnsi="Courier New" w:cs="Courier New"/>
          <w:color w:val="000000"/>
          <w:sz w:val="18"/>
          <w:szCs w:val="18"/>
        </w:rPr>
        <w:t xml:space="preserve"> i==Nl+1</w:t>
      </w:r>
    </w:p>
    <w:p w14:paraId="551FEEDA"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Mass(i) = ((A(i)+dlqd)^2-ri^2)*rhoL;</w:t>
      </w:r>
    </w:p>
    <w:p w14:paraId="451B064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r w:rsidRPr="002B17E4">
        <w:rPr>
          <w:rFonts w:ascii="Courier New" w:hAnsi="Courier New" w:cs="Courier New"/>
          <w:color w:val="0000FF"/>
          <w:sz w:val="18"/>
          <w:szCs w:val="18"/>
        </w:rPr>
        <w:t>end</w:t>
      </w:r>
    </w:p>
    <w:p w14:paraId="38CC86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TPCMavg = TPCMavg + Mass(i)*y(i);</w:t>
      </w:r>
    </w:p>
    <w:p w14:paraId="1952578B"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MassPCM = MassPCM + Mass(i);</w:t>
      </w:r>
    </w:p>
    <w:p w14:paraId="06F5293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Esen = Esen + Mass(i)*cL*(y(i)-Tm);</w:t>
      </w:r>
    </w:p>
    <w:p w14:paraId="063A116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dSdt(i) = Mass(i)*cL*dy(i)/y(i);</w:t>
      </w:r>
    </w:p>
    <w:p w14:paraId="7CBA2C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FF"/>
          <w:sz w:val="18"/>
          <w:szCs w:val="18"/>
        </w:rPr>
        <w:t>end</w:t>
      </w:r>
    </w:p>
    <w:p w14:paraId="0D42734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TPCMavg = TPCMavg/MassPCM;</w:t>
      </w:r>
    </w:p>
    <w:p w14:paraId="494DDEA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Mass(1) = 2*A(1)*twh*7900;</w:t>
      </w:r>
    </w:p>
    <w:p w14:paraId="4B64C2A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Mass(LST+1) = 2*A(LST+1)*twh*7900;</w:t>
      </w:r>
    </w:p>
    <w:p w14:paraId="738B794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Mass(LST+2) = 2*Aw*twh*7900;</w:t>
      </w:r>
    </w:p>
    <w:p w14:paraId="48B843A7"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Mass(LST+3) = 2*Aa*twh*7900;</w:t>
      </w:r>
    </w:p>
    <w:p w14:paraId="6008339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Mass(LST+4) = 2*Ab*twh*7900;</w:t>
      </w:r>
    </w:p>
    <w:p w14:paraId="35B0CEA0"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lastRenderedPageBreak/>
        <w:t>dSdt(1) = Mass(1)*400*dy(1)/y(1);</w:t>
      </w:r>
    </w:p>
    <w:p w14:paraId="5AF399A1"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dSdt(LST+1) = Mass(LST+1)*400*dy(LST+1)/y(LST+1);</w:t>
      </w:r>
    </w:p>
    <w:p w14:paraId="4E59969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dSdt(LST+2) = Mass(LST+2)*400*dy(LST+2)/y(LST+2);</w:t>
      </w:r>
    </w:p>
    <w:p w14:paraId="5DF32EA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dSdt(LST+3) = Mass(LST+3)*400*dy(LST+3)/y(LST+3);</w:t>
      </w:r>
    </w:p>
    <w:p w14:paraId="55513938"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dSdt(LST+4) = Mass(LST+4)*400*dy(LST+4)/y(LST+4);</w:t>
      </w:r>
    </w:p>
    <w:p w14:paraId="280D0BE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Mass(1)*400*(y(1)-Tm);</w:t>
      </w:r>
    </w:p>
    <w:p w14:paraId="178EB91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Mass(LST+1)*400*(y(LST+1)-Tm);</w:t>
      </w:r>
    </w:p>
    <w:p w14:paraId="595EAFB2"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Mass(LST+2)*400*(y(LST+2)-Tm);</w:t>
      </w:r>
    </w:p>
    <w:p w14:paraId="2087166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Mass(LST+3)*400*(y(LST+3)-Tm);</w:t>
      </w:r>
    </w:p>
    <w:p w14:paraId="797460D6"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Esen = Esen + Mass(LST+4)*400*(y(LST+4)-Tm);</w:t>
      </w:r>
    </w:p>
    <w:p w14:paraId="00B3DAA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 xml:space="preserve"> </w:t>
      </w:r>
    </w:p>
    <w:p w14:paraId="0ED7AAC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Sdotin = qin1/(Tsath);</w:t>
      </w:r>
    </w:p>
    <w:p w14:paraId="02C089E4"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Sdotout = loadw1/(Tsw) + loadH1/(Tsa) + loadC1/(Tsb);</w:t>
      </w:r>
    </w:p>
    <w:p w14:paraId="2F76A1C5"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Qdotout = loadw1 + loadH1 + loadC1;</w:t>
      </w:r>
    </w:p>
    <w:p w14:paraId="7528CBA9"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Qdotin = qin1;</w:t>
      </w:r>
    </w:p>
    <w:p w14:paraId="3919F75C"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Exin = qin1*(1-300/Tsath);</w:t>
      </w:r>
    </w:p>
    <w:p w14:paraId="3433684D"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Exout = loadw1*(1-300/Tsw) + loadH1*(1-300/Tsa) + loadC1*(1-300/Tsb);</w:t>
      </w:r>
    </w:p>
    <w:p w14:paraId="333530AF" w14:textId="77777777" w:rsidR="00EB1DCD" w:rsidRPr="002B17E4"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Load_Solar = [NHP*(loadw1+loadH1+loadC1) NHP*qin1];</w:t>
      </w:r>
    </w:p>
    <w:p w14:paraId="767EFD83" w14:textId="4BE2FDC1" w:rsidR="00EB1DCD" w:rsidRPr="00EB1DCD" w:rsidRDefault="00EB1DCD" w:rsidP="007C6FB6">
      <w:pPr>
        <w:autoSpaceDE w:val="0"/>
        <w:autoSpaceDN w:val="0"/>
        <w:adjustRightInd w:val="0"/>
        <w:spacing w:after="0" w:line="240" w:lineRule="auto"/>
        <w:ind w:firstLine="0"/>
        <w:rPr>
          <w:rFonts w:ascii="Courier New" w:hAnsi="Courier New" w:cs="Courier New"/>
        </w:rPr>
      </w:pPr>
      <w:r w:rsidRPr="002B17E4">
        <w:rPr>
          <w:rFonts w:ascii="Courier New" w:hAnsi="Courier New" w:cs="Courier New"/>
          <w:color w:val="000000"/>
          <w:sz w:val="18"/>
          <w:szCs w:val="18"/>
        </w:rPr>
        <w:t>dms=max(0,totalload-totalqsolar);</w:t>
      </w:r>
    </w:p>
    <w:sectPr w:rsidR="00EB1DCD" w:rsidRPr="00EB1DCD" w:rsidSect="002962D0">
      <w:pgSz w:w="12240" w:h="15840"/>
      <w:pgMar w:top="1440" w:right="1440" w:bottom="1440" w:left="216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90102" w14:textId="77777777" w:rsidR="00034921" w:rsidRDefault="00034921" w:rsidP="001904AA">
      <w:r>
        <w:separator/>
      </w:r>
    </w:p>
  </w:endnote>
  <w:endnote w:type="continuationSeparator" w:id="0">
    <w:p w14:paraId="74349BC6" w14:textId="77777777" w:rsidR="00034921" w:rsidRDefault="00034921" w:rsidP="001904AA">
      <w:r>
        <w:continuationSeparator/>
      </w:r>
    </w:p>
  </w:endnote>
  <w:endnote w:type="continuationNotice" w:id="1">
    <w:p w14:paraId="05E00FA9" w14:textId="77777777" w:rsidR="00034921" w:rsidRDefault="00034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altName w:val="Georgia Pro"/>
    <w:charset w:val="00"/>
    <w:family w:val="roman"/>
    <w:pitch w:val="variable"/>
    <w:sig w:usb0="80000287"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CEC16" w14:textId="07B53C78" w:rsidR="003A0B43" w:rsidRDefault="003A0B43">
    <w:pPr>
      <w:pStyle w:val="Footer"/>
      <w:jc w:val="center"/>
    </w:pPr>
  </w:p>
  <w:p w14:paraId="2208D562" w14:textId="77777777" w:rsidR="003A0B43" w:rsidRDefault="003A0B43" w:rsidP="00594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10DD8" w14:textId="3D65CB82" w:rsidR="003A0B43" w:rsidRDefault="003A0B43">
    <w:pPr>
      <w:pStyle w:val="Footer"/>
      <w:jc w:val="center"/>
    </w:pPr>
  </w:p>
  <w:p w14:paraId="13DCEFF6" w14:textId="77777777" w:rsidR="003A0B43" w:rsidRDefault="003A0B43" w:rsidP="005941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2149434"/>
      <w:docPartObj>
        <w:docPartGallery w:val="Page Numbers (Bottom of Page)"/>
        <w:docPartUnique/>
      </w:docPartObj>
    </w:sdtPr>
    <w:sdtEndPr>
      <w:rPr>
        <w:noProof/>
      </w:rPr>
    </w:sdtEndPr>
    <w:sdtContent>
      <w:p w14:paraId="1CE10AB3" w14:textId="689EBE68" w:rsidR="003A0B43" w:rsidRDefault="003A0B43">
        <w:pPr>
          <w:pStyle w:val="Footer"/>
          <w:jc w:val="center"/>
        </w:pPr>
        <w:r>
          <w:t>(</w:t>
        </w:r>
        <w:r>
          <w:fldChar w:fldCharType="begin"/>
        </w:r>
        <w:r>
          <w:instrText xml:space="preserve"> PAGE   \* MERGEFORMAT </w:instrText>
        </w:r>
        <w:r>
          <w:fldChar w:fldCharType="separate"/>
        </w:r>
        <w:r>
          <w:rPr>
            <w:noProof/>
          </w:rPr>
          <w:t>2</w:t>
        </w:r>
        <w:r>
          <w:rPr>
            <w:noProof/>
          </w:rPr>
          <w:fldChar w:fldCharType="end"/>
        </w:r>
        <w:r>
          <w:rPr>
            <w:noProof/>
          </w:rPr>
          <w:t>)</w:t>
        </w:r>
      </w:p>
    </w:sdtContent>
  </w:sdt>
  <w:p w14:paraId="00643B9D" w14:textId="77777777" w:rsidR="003A0B43" w:rsidRDefault="003A0B43" w:rsidP="005941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5D6ACA" w14:textId="77777777" w:rsidR="003A0B43" w:rsidRDefault="003A0B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033846"/>
      <w:docPartObj>
        <w:docPartGallery w:val="Page Numbers (Bottom of Page)"/>
        <w:docPartUnique/>
      </w:docPartObj>
    </w:sdtPr>
    <w:sdtEndPr>
      <w:rPr>
        <w:noProof/>
      </w:rPr>
    </w:sdtEndPr>
    <w:sdtContent>
      <w:p w14:paraId="7590ED34" w14:textId="77777777" w:rsidR="003A0B43" w:rsidRDefault="003A0B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E8D93A" w14:textId="77777777" w:rsidR="003A0B43" w:rsidRDefault="003A0B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AD231" w14:textId="77777777" w:rsidR="003A0B43" w:rsidRDefault="003A0B4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3207821"/>
      <w:docPartObj>
        <w:docPartGallery w:val="Page Numbers (Bottom of Page)"/>
        <w:docPartUnique/>
      </w:docPartObj>
    </w:sdtPr>
    <w:sdtEndPr>
      <w:rPr>
        <w:noProof/>
      </w:rPr>
    </w:sdtEndPr>
    <w:sdtContent>
      <w:p w14:paraId="3955D1C3" w14:textId="036B2EAF" w:rsidR="003A0B43" w:rsidRDefault="003A0B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6BB97" w14:textId="77777777" w:rsidR="003A0B43" w:rsidRDefault="003A0B43">
    <w:pPr>
      <w:pStyle w:val="Footer"/>
      <w:spacing w:after="28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DB8852" w14:textId="77777777" w:rsidR="00034921" w:rsidRDefault="00034921" w:rsidP="001904AA">
      <w:r>
        <w:separator/>
      </w:r>
    </w:p>
  </w:footnote>
  <w:footnote w:type="continuationSeparator" w:id="0">
    <w:p w14:paraId="6FF6EB69" w14:textId="77777777" w:rsidR="00034921" w:rsidRDefault="00034921" w:rsidP="001904AA">
      <w:r>
        <w:continuationSeparator/>
      </w:r>
    </w:p>
  </w:footnote>
  <w:footnote w:type="continuationNotice" w:id="1">
    <w:p w14:paraId="40A50487" w14:textId="77777777" w:rsidR="00034921" w:rsidRDefault="000349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0A480C" w14:textId="05D345E9" w:rsidR="003A0B43" w:rsidRDefault="003A0B43" w:rsidP="00EF2474">
    <w:pPr>
      <w:pStyle w:val="Header"/>
      <w:tabs>
        <w:tab w:val="left" w:pos="982"/>
      </w:tabs>
      <w:jc w:val="center"/>
    </w:pPr>
    <w:fldSimple w:instr=" STYLEREF  &quot;Heading 2&quot;  \* MERGEFORMAT ">
      <w:r w:rsidR="00D979B8">
        <w:rPr>
          <w:noProof/>
        </w:rPr>
        <w:t>Acknowledgment</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1C7E6" w14:textId="2FFB96D9" w:rsidR="003A0B43" w:rsidRPr="00DC4331" w:rsidRDefault="003A0B43" w:rsidP="0075738B">
    <w:pPr>
      <w:pStyle w:val="Header"/>
      <w:jc w:val="center"/>
      <w:rPr>
        <w:rFonts w:ascii="Georgia" w:hAnsi="Georg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Georgia" w:hAnsi="Georgia"/>
      </w:rPr>
      <w:id w:val="-162161650"/>
      <w:docPartObj>
        <w:docPartGallery w:val="Page Numbers (Top of Page)"/>
        <w:docPartUnique/>
      </w:docPartObj>
    </w:sdtPr>
    <w:sdtEndPr>
      <w:rPr>
        <w:noProof/>
      </w:rPr>
    </w:sdtEndPr>
    <w:sdtContent>
      <w:p w14:paraId="0FB378CB" w14:textId="754003BC" w:rsidR="003A0B43" w:rsidRPr="00DC4331" w:rsidRDefault="003A0B43" w:rsidP="00B070AF">
        <w:pPr>
          <w:pStyle w:val="Header"/>
          <w:jc w:val="center"/>
          <w:rPr>
            <w:rFonts w:ascii="Georgia" w:hAnsi="Georgia"/>
          </w:rPr>
        </w:pPr>
        <w:r w:rsidRPr="00DC4331">
          <w:rPr>
            <w:rFonts w:ascii="Georgia" w:hAnsi="Georgia"/>
          </w:rPr>
          <w:fldChar w:fldCharType="begin"/>
        </w:r>
        <w:r w:rsidRPr="00DC4331">
          <w:rPr>
            <w:rFonts w:ascii="Georgia" w:hAnsi="Georgia"/>
          </w:rPr>
          <w:instrText xml:space="preserve"> STYLEREF  "Heading 2"  \* MERGEFORMAT </w:instrText>
        </w:r>
        <w:r w:rsidR="00D979B8">
          <w:rPr>
            <w:rFonts w:ascii="Georgia" w:hAnsi="Georgia"/>
          </w:rPr>
          <w:fldChar w:fldCharType="separate"/>
        </w:r>
        <w:r w:rsidR="00D979B8">
          <w:rPr>
            <w:rFonts w:ascii="Georgia" w:hAnsi="Georgia"/>
            <w:noProof/>
          </w:rPr>
          <w:t>ABSTRACT</w:t>
        </w:r>
        <w:r w:rsidRPr="00DC4331">
          <w:rPr>
            <w:rFonts w:ascii="Georgia" w:hAnsi="Georgia"/>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AC945" w14:textId="77777777" w:rsidR="003A0B43" w:rsidRDefault="003A0B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BBB39" w14:textId="76C93A4A" w:rsidR="003A0B43" w:rsidRPr="00141CD6" w:rsidRDefault="003A0B43" w:rsidP="00690F6A">
    <w:pPr>
      <w:pStyle w:val="Header"/>
      <w:jc w:val="center"/>
    </w:pPr>
    <w:fldSimple w:instr=" STYLEREF  &quot;Heading 2&quot;  \* MERGEFORMAT ">
      <w:r w:rsidR="00D979B8">
        <w:rPr>
          <w:noProof/>
        </w:rPr>
        <w:t>Thesis Overview/Organization</w:t>
      </w:r>
    </w:fldSimple>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212150" w14:textId="77777777" w:rsidR="003A0B43" w:rsidRDefault="003A0B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D8AF9" w14:textId="074D2DC1" w:rsidR="003A0B43" w:rsidRPr="00174C3B" w:rsidRDefault="003A0B43" w:rsidP="0077695B">
    <w:pPr>
      <w:pStyle w:val="Header"/>
      <w:spacing w:after="288"/>
      <w:jc w:val="center"/>
    </w:pPr>
    <w:fldSimple w:instr=" STYLEREF  &quot;Heading 2&quot;  \* MERGEFORMAT ">
      <w:r w:rsidR="00D979B8">
        <w:rPr>
          <w:noProof/>
        </w:rPr>
        <w:t>Identifying the Gaps</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B04E4" w14:textId="339162C7" w:rsidR="003A0B43" w:rsidRPr="00174C3B" w:rsidRDefault="003A0B43" w:rsidP="004F2C5B">
    <w:pPr>
      <w:pStyle w:val="Header"/>
      <w:spacing w:after="288"/>
      <w:jc w:val="center"/>
    </w:pPr>
    <w:fldSimple w:instr=" STYLEREF  &quot;Heading 2&quot;  \* MERGEFORMAT ">
      <w:r w:rsidR="00D979B8">
        <w:rPr>
          <w:noProof/>
        </w:rPr>
        <w:t>Equipment Base Size</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0A5D8" w14:textId="5BAD5FA4" w:rsidR="003A0B43" w:rsidRPr="00174C3B" w:rsidRDefault="003A0B43" w:rsidP="00225EBB">
    <w:pPr>
      <w:pStyle w:val="Header"/>
      <w:spacing w:after="288"/>
      <w:ind w:firstLine="0"/>
      <w:jc w:val="center"/>
    </w:pPr>
    <w:fldSimple w:instr=" STYLEREF  &quot;Heading 1&quot;  \* MERGEFORMAT ">
      <w:r w:rsidR="00D979B8">
        <w:rPr>
          <w:noProof/>
        </w:rPr>
        <w:t>CLOSING REMARKS</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972B7" w14:textId="353B95ED" w:rsidR="003A0B43" w:rsidRPr="00174C3B" w:rsidRDefault="003A0B43" w:rsidP="004F2C5B">
    <w:pPr>
      <w:pStyle w:val="Header"/>
      <w:spacing w:after="28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03B8D"/>
    <w:multiLevelType w:val="hybridMultilevel"/>
    <w:tmpl w:val="7AC8A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761AB7"/>
    <w:multiLevelType w:val="hybridMultilevel"/>
    <w:tmpl w:val="E60C1A12"/>
    <w:lvl w:ilvl="0" w:tplc="ACA02B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23036"/>
    <w:multiLevelType w:val="multilevel"/>
    <w:tmpl w:val="DF82349C"/>
    <w:lvl w:ilvl="0">
      <w:start w:val="1"/>
      <w:numFmt w:val="decimal"/>
      <w:lvlText w:val="%1."/>
      <w:lvlJc w:val="left"/>
      <w:pPr>
        <w:ind w:left="1440" w:hanging="360"/>
      </w:pPr>
      <w:rPr>
        <w:rFonts w:ascii="Georgia Pro" w:eastAsiaTheme="minorHAnsi" w:hAnsi="Georgia Pro" w:cstheme="minorBidi"/>
      </w:rPr>
    </w:lvl>
    <w:lvl w:ilvl="1">
      <w:start w:val="2"/>
      <w:numFmt w:val="decimal"/>
      <w:isLgl/>
      <w:lvlText w:val="%1.%2."/>
      <w:lvlJc w:val="left"/>
      <w:pPr>
        <w:ind w:left="1836" w:hanging="756"/>
      </w:pPr>
      <w:rPr>
        <w:rFonts w:hint="default"/>
        <w:b/>
      </w:rPr>
    </w:lvl>
    <w:lvl w:ilvl="2">
      <w:start w:val="1"/>
      <w:numFmt w:val="decimal"/>
      <w:isLgl/>
      <w:lvlText w:val="%1.%2.%3."/>
      <w:lvlJc w:val="left"/>
      <w:pPr>
        <w:ind w:left="216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520" w:hanging="1440"/>
      </w:pPr>
      <w:rPr>
        <w:rFonts w:hint="default"/>
        <w:b/>
      </w:rPr>
    </w:lvl>
    <w:lvl w:ilvl="5">
      <w:start w:val="1"/>
      <w:numFmt w:val="decimal"/>
      <w:isLgl/>
      <w:lvlText w:val="%1.%2.%3.%4.%5.%6."/>
      <w:lvlJc w:val="left"/>
      <w:pPr>
        <w:ind w:left="2880" w:hanging="1800"/>
      </w:pPr>
      <w:rPr>
        <w:rFonts w:hint="default"/>
        <w:b/>
      </w:rPr>
    </w:lvl>
    <w:lvl w:ilvl="6">
      <w:start w:val="1"/>
      <w:numFmt w:val="decimal"/>
      <w:isLgl/>
      <w:lvlText w:val="%1.%2.%3.%4.%5.%6.%7."/>
      <w:lvlJc w:val="left"/>
      <w:pPr>
        <w:ind w:left="2880" w:hanging="1800"/>
      </w:pPr>
      <w:rPr>
        <w:rFonts w:hint="default"/>
        <w:b/>
      </w:rPr>
    </w:lvl>
    <w:lvl w:ilvl="7">
      <w:start w:val="1"/>
      <w:numFmt w:val="decimal"/>
      <w:isLgl/>
      <w:lvlText w:val="%1.%2.%3.%4.%5.%6.%7.%8."/>
      <w:lvlJc w:val="left"/>
      <w:pPr>
        <w:ind w:left="3240" w:hanging="2160"/>
      </w:pPr>
      <w:rPr>
        <w:rFonts w:hint="default"/>
        <w:b/>
      </w:rPr>
    </w:lvl>
    <w:lvl w:ilvl="8">
      <w:start w:val="1"/>
      <w:numFmt w:val="decimal"/>
      <w:isLgl/>
      <w:lvlText w:val="%1.%2.%3.%4.%5.%6.%7.%8.%9."/>
      <w:lvlJc w:val="left"/>
      <w:pPr>
        <w:ind w:left="3600" w:hanging="2520"/>
      </w:pPr>
      <w:rPr>
        <w:rFonts w:hint="default"/>
        <w:b/>
      </w:rPr>
    </w:lvl>
  </w:abstractNum>
  <w:abstractNum w:abstractNumId="3" w15:restartNumberingAfterBreak="0">
    <w:nsid w:val="1EFC60FF"/>
    <w:multiLevelType w:val="hybridMultilevel"/>
    <w:tmpl w:val="E17C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61A05"/>
    <w:multiLevelType w:val="multilevel"/>
    <w:tmpl w:val="CD7232EE"/>
    <w:lvl w:ilvl="0">
      <w:start w:val="1"/>
      <w:numFmt w:val="decimal"/>
      <w:lvlText w:val="%1."/>
      <w:lvlJc w:val="left"/>
      <w:pPr>
        <w:ind w:left="636" w:hanging="636"/>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0C561BA"/>
    <w:multiLevelType w:val="multilevel"/>
    <w:tmpl w:val="DFF8C634"/>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2A7B601A"/>
    <w:multiLevelType w:val="multilevel"/>
    <w:tmpl w:val="0202849A"/>
    <w:lvl w:ilvl="0">
      <w:start w:val="1"/>
      <w:numFmt w:val="decimal"/>
      <w:lvlText w:val="%1."/>
      <w:lvlJc w:val="left"/>
      <w:pPr>
        <w:ind w:left="636" w:hanging="63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DA00456"/>
    <w:multiLevelType w:val="hybridMultilevel"/>
    <w:tmpl w:val="195400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4287EC3"/>
    <w:multiLevelType w:val="hybridMultilevel"/>
    <w:tmpl w:val="EC52C56E"/>
    <w:lvl w:ilvl="0" w:tplc="9CDE891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826FB8"/>
    <w:multiLevelType w:val="hybridMultilevel"/>
    <w:tmpl w:val="643A7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0E0352"/>
    <w:multiLevelType w:val="hybridMultilevel"/>
    <w:tmpl w:val="EE221182"/>
    <w:lvl w:ilvl="0" w:tplc="9B626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F9709C"/>
    <w:multiLevelType w:val="multilevel"/>
    <w:tmpl w:val="E1CCF680"/>
    <w:lvl w:ilvl="0">
      <w:start w:val="1"/>
      <w:numFmt w:val="decimal"/>
      <w:lvlText w:val="%1."/>
      <w:lvlJc w:val="left"/>
      <w:pPr>
        <w:ind w:left="636" w:hanging="636"/>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8C41A9E"/>
    <w:multiLevelType w:val="hybridMultilevel"/>
    <w:tmpl w:val="3D9047C0"/>
    <w:lvl w:ilvl="0" w:tplc="A3FEC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9AF596A"/>
    <w:multiLevelType w:val="multilevel"/>
    <w:tmpl w:val="E676C40C"/>
    <w:lvl w:ilvl="0">
      <w:start w:val="1"/>
      <w:numFmt w:val="decimal"/>
      <w:pStyle w:val="Heading1"/>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6A2C6E57"/>
    <w:multiLevelType w:val="hybridMultilevel"/>
    <w:tmpl w:val="3D2E6EE2"/>
    <w:lvl w:ilvl="0" w:tplc="7D8498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F553B1C"/>
    <w:multiLevelType w:val="multilevel"/>
    <w:tmpl w:val="CBA8A96A"/>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0"/>
  </w:num>
  <w:num w:numId="3">
    <w:abstractNumId w:val="8"/>
  </w:num>
  <w:num w:numId="4">
    <w:abstractNumId w:val="3"/>
  </w:num>
  <w:num w:numId="5">
    <w:abstractNumId w:val="2"/>
  </w:num>
  <w:num w:numId="6">
    <w:abstractNumId w:val="5"/>
  </w:num>
  <w:num w:numId="7">
    <w:abstractNumId w:val="1"/>
  </w:num>
  <w:num w:numId="8">
    <w:abstractNumId w:val="12"/>
  </w:num>
  <w:num w:numId="9">
    <w:abstractNumId w:val="10"/>
  </w:num>
  <w:num w:numId="10">
    <w:abstractNumId w:val="11"/>
  </w:num>
  <w:num w:numId="11">
    <w:abstractNumId w:val="6"/>
  </w:num>
  <w:num w:numId="12">
    <w:abstractNumId w:val="4"/>
  </w:num>
  <w:num w:numId="13">
    <w:abstractNumId w:val="13"/>
  </w:num>
  <w:num w:numId="1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5"/>
  </w:num>
  <w:num w:numId="17">
    <w:abstractNumId w:val="9"/>
  </w:num>
  <w:num w:numId="18">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activeWritingStyle w:appName="MSWord" w:lang="en-US" w:vendorID="64" w:dllVersion="0" w:nlCheck="1" w:checkStyle="0"/>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W0MDI1NzY2NDQ0NTJX0lEKTi0uzszPAykwMq0FALnc+gstAAAA"/>
  </w:docVars>
  <w:rsids>
    <w:rsidRoot w:val="00FF0CE0"/>
    <w:rsid w:val="000011D1"/>
    <w:rsid w:val="000015B0"/>
    <w:rsid w:val="00003AD6"/>
    <w:rsid w:val="00003D85"/>
    <w:rsid w:val="00006B6B"/>
    <w:rsid w:val="00006DD2"/>
    <w:rsid w:val="000077AC"/>
    <w:rsid w:val="00012B82"/>
    <w:rsid w:val="00013EAA"/>
    <w:rsid w:val="0001654E"/>
    <w:rsid w:val="00020AA2"/>
    <w:rsid w:val="0002116C"/>
    <w:rsid w:val="00021AE7"/>
    <w:rsid w:val="00026817"/>
    <w:rsid w:val="00026B40"/>
    <w:rsid w:val="000320EE"/>
    <w:rsid w:val="00032178"/>
    <w:rsid w:val="00033606"/>
    <w:rsid w:val="00033882"/>
    <w:rsid w:val="00034921"/>
    <w:rsid w:val="00034DE0"/>
    <w:rsid w:val="00035F19"/>
    <w:rsid w:val="00037B41"/>
    <w:rsid w:val="000409AD"/>
    <w:rsid w:val="00041659"/>
    <w:rsid w:val="00043EDC"/>
    <w:rsid w:val="0004454A"/>
    <w:rsid w:val="00044C63"/>
    <w:rsid w:val="00047827"/>
    <w:rsid w:val="00051CCB"/>
    <w:rsid w:val="00053343"/>
    <w:rsid w:val="00054171"/>
    <w:rsid w:val="00055D5B"/>
    <w:rsid w:val="000573B7"/>
    <w:rsid w:val="00057477"/>
    <w:rsid w:val="00057656"/>
    <w:rsid w:val="000616BD"/>
    <w:rsid w:val="00063C2C"/>
    <w:rsid w:val="000644F0"/>
    <w:rsid w:val="00064A50"/>
    <w:rsid w:val="00065364"/>
    <w:rsid w:val="00070588"/>
    <w:rsid w:val="00070C9D"/>
    <w:rsid w:val="000719CD"/>
    <w:rsid w:val="00076894"/>
    <w:rsid w:val="00076F77"/>
    <w:rsid w:val="000771B6"/>
    <w:rsid w:val="00083C10"/>
    <w:rsid w:val="000866C7"/>
    <w:rsid w:val="00086728"/>
    <w:rsid w:val="000905BD"/>
    <w:rsid w:val="0009107B"/>
    <w:rsid w:val="00091A0B"/>
    <w:rsid w:val="000950FA"/>
    <w:rsid w:val="00095850"/>
    <w:rsid w:val="000959EF"/>
    <w:rsid w:val="00096F6F"/>
    <w:rsid w:val="000A0193"/>
    <w:rsid w:val="000A3D13"/>
    <w:rsid w:val="000A404D"/>
    <w:rsid w:val="000A445F"/>
    <w:rsid w:val="000A510C"/>
    <w:rsid w:val="000A7A3B"/>
    <w:rsid w:val="000B04A9"/>
    <w:rsid w:val="000B1200"/>
    <w:rsid w:val="000B1BE9"/>
    <w:rsid w:val="000B2322"/>
    <w:rsid w:val="000B2F25"/>
    <w:rsid w:val="000B4F6A"/>
    <w:rsid w:val="000C0284"/>
    <w:rsid w:val="000C0FC1"/>
    <w:rsid w:val="000C560C"/>
    <w:rsid w:val="000C5FEC"/>
    <w:rsid w:val="000C64C2"/>
    <w:rsid w:val="000C6CEE"/>
    <w:rsid w:val="000C7020"/>
    <w:rsid w:val="000C7AFF"/>
    <w:rsid w:val="000D0157"/>
    <w:rsid w:val="000D1181"/>
    <w:rsid w:val="000D1DBD"/>
    <w:rsid w:val="000D2642"/>
    <w:rsid w:val="000D3116"/>
    <w:rsid w:val="000D3702"/>
    <w:rsid w:val="000D57C8"/>
    <w:rsid w:val="000E3BF1"/>
    <w:rsid w:val="000E58A9"/>
    <w:rsid w:val="000F149D"/>
    <w:rsid w:val="000F4A0C"/>
    <w:rsid w:val="000F7802"/>
    <w:rsid w:val="00103BD1"/>
    <w:rsid w:val="00105344"/>
    <w:rsid w:val="00105FF8"/>
    <w:rsid w:val="001103EB"/>
    <w:rsid w:val="0011683D"/>
    <w:rsid w:val="00116C1A"/>
    <w:rsid w:val="0012194A"/>
    <w:rsid w:val="001247D9"/>
    <w:rsid w:val="001256AE"/>
    <w:rsid w:val="00125BE2"/>
    <w:rsid w:val="0012610D"/>
    <w:rsid w:val="00127A15"/>
    <w:rsid w:val="00132509"/>
    <w:rsid w:val="00133AB2"/>
    <w:rsid w:val="00134961"/>
    <w:rsid w:val="001363E4"/>
    <w:rsid w:val="0013713F"/>
    <w:rsid w:val="001372E2"/>
    <w:rsid w:val="00141CD6"/>
    <w:rsid w:val="00143B45"/>
    <w:rsid w:val="001458BD"/>
    <w:rsid w:val="001466A0"/>
    <w:rsid w:val="00146D97"/>
    <w:rsid w:val="001511E6"/>
    <w:rsid w:val="00152CEB"/>
    <w:rsid w:val="0015600B"/>
    <w:rsid w:val="001562EF"/>
    <w:rsid w:val="00156457"/>
    <w:rsid w:val="00157ABD"/>
    <w:rsid w:val="00157D72"/>
    <w:rsid w:val="00160127"/>
    <w:rsid w:val="00161E69"/>
    <w:rsid w:val="0016238F"/>
    <w:rsid w:val="001649A6"/>
    <w:rsid w:val="001666F7"/>
    <w:rsid w:val="00170B0B"/>
    <w:rsid w:val="001710C7"/>
    <w:rsid w:val="001715DD"/>
    <w:rsid w:val="0017172F"/>
    <w:rsid w:val="00171B83"/>
    <w:rsid w:val="0017528A"/>
    <w:rsid w:val="001758A5"/>
    <w:rsid w:val="00176792"/>
    <w:rsid w:val="001772DB"/>
    <w:rsid w:val="001772E6"/>
    <w:rsid w:val="0018023C"/>
    <w:rsid w:val="00180F7C"/>
    <w:rsid w:val="001833A0"/>
    <w:rsid w:val="0018521E"/>
    <w:rsid w:val="0018616F"/>
    <w:rsid w:val="00186505"/>
    <w:rsid w:val="00187AB5"/>
    <w:rsid w:val="001904AA"/>
    <w:rsid w:val="00190C9E"/>
    <w:rsid w:val="00194846"/>
    <w:rsid w:val="001949AC"/>
    <w:rsid w:val="0019645D"/>
    <w:rsid w:val="001A0831"/>
    <w:rsid w:val="001A1248"/>
    <w:rsid w:val="001A18ED"/>
    <w:rsid w:val="001A2250"/>
    <w:rsid w:val="001A4E6B"/>
    <w:rsid w:val="001A663F"/>
    <w:rsid w:val="001A675E"/>
    <w:rsid w:val="001A6B8F"/>
    <w:rsid w:val="001A798E"/>
    <w:rsid w:val="001A7FB3"/>
    <w:rsid w:val="001B2803"/>
    <w:rsid w:val="001B2B1F"/>
    <w:rsid w:val="001B5339"/>
    <w:rsid w:val="001B69E2"/>
    <w:rsid w:val="001B7DC6"/>
    <w:rsid w:val="001C6656"/>
    <w:rsid w:val="001D0610"/>
    <w:rsid w:val="001D091D"/>
    <w:rsid w:val="001D15D4"/>
    <w:rsid w:val="001D2315"/>
    <w:rsid w:val="001D25F6"/>
    <w:rsid w:val="001E0E75"/>
    <w:rsid w:val="001E12AF"/>
    <w:rsid w:val="001E363B"/>
    <w:rsid w:val="001E5D8C"/>
    <w:rsid w:val="001F157D"/>
    <w:rsid w:val="001F2482"/>
    <w:rsid w:val="001F2F7F"/>
    <w:rsid w:val="001F528F"/>
    <w:rsid w:val="001F7F76"/>
    <w:rsid w:val="002042CB"/>
    <w:rsid w:val="002056EF"/>
    <w:rsid w:val="0020580C"/>
    <w:rsid w:val="002069F8"/>
    <w:rsid w:val="0020725A"/>
    <w:rsid w:val="00207ABD"/>
    <w:rsid w:val="00207E7F"/>
    <w:rsid w:val="002102D9"/>
    <w:rsid w:val="00215AE5"/>
    <w:rsid w:val="00217A4F"/>
    <w:rsid w:val="00221441"/>
    <w:rsid w:val="002226B6"/>
    <w:rsid w:val="00224071"/>
    <w:rsid w:val="00224A73"/>
    <w:rsid w:val="00225EBB"/>
    <w:rsid w:val="0022690C"/>
    <w:rsid w:val="0022746F"/>
    <w:rsid w:val="00227ADB"/>
    <w:rsid w:val="0023055E"/>
    <w:rsid w:val="00230CC3"/>
    <w:rsid w:val="0023236B"/>
    <w:rsid w:val="0023310F"/>
    <w:rsid w:val="00233CDD"/>
    <w:rsid w:val="00234BB2"/>
    <w:rsid w:val="00234C46"/>
    <w:rsid w:val="002350B7"/>
    <w:rsid w:val="00236BFF"/>
    <w:rsid w:val="00236DD4"/>
    <w:rsid w:val="002371D1"/>
    <w:rsid w:val="002427A1"/>
    <w:rsid w:val="00243005"/>
    <w:rsid w:val="002438EF"/>
    <w:rsid w:val="00247DED"/>
    <w:rsid w:val="002532AE"/>
    <w:rsid w:val="0025437B"/>
    <w:rsid w:val="00254905"/>
    <w:rsid w:val="00255FEC"/>
    <w:rsid w:val="00260302"/>
    <w:rsid w:val="002606E4"/>
    <w:rsid w:val="00263B6E"/>
    <w:rsid w:val="00264144"/>
    <w:rsid w:val="0026446A"/>
    <w:rsid w:val="00265035"/>
    <w:rsid w:val="00265E6C"/>
    <w:rsid w:val="0027259C"/>
    <w:rsid w:val="0027409C"/>
    <w:rsid w:val="002747AE"/>
    <w:rsid w:val="00275F1A"/>
    <w:rsid w:val="00276215"/>
    <w:rsid w:val="00276E3D"/>
    <w:rsid w:val="00280248"/>
    <w:rsid w:val="0028195E"/>
    <w:rsid w:val="002850A3"/>
    <w:rsid w:val="00285601"/>
    <w:rsid w:val="002868B1"/>
    <w:rsid w:val="002878D3"/>
    <w:rsid w:val="00292013"/>
    <w:rsid w:val="00293BAC"/>
    <w:rsid w:val="00294136"/>
    <w:rsid w:val="00295015"/>
    <w:rsid w:val="00295EA3"/>
    <w:rsid w:val="002962D0"/>
    <w:rsid w:val="002966E4"/>
    <w:rsid w:val="002A35CE"/>
    <w:rsid w:val="002A40FA"/>
    <w:rsid w:val="002A7339"/>
    <w:rsid w:val="002B0C19"/>
    <w:rsid w:val="002B1931"/>
    <w:rsid w:val="002B4CC5"/>
    <w:rsid w:val="002B4EF9"/>
    <w:rsid w:val="002B645E"/>
    <w:rsid w:val="002B6530"/>
    <w:rsid w:val="002B6FE3"/>
    <w:rsid w:val="002B72BE"/>
    <w:rsid w:val="002C1FD4"/>
    <w:rsid w:val="002C325D"/>
    <w:rsid w:val="002C384D"/>
    <w:rsid w:val="002C4A4D"/>
    <w:rsid w:val="002C50AC"/>
    <w:rsid w:val="002C55BD"/>
    <w:rsid w:val="002C7D2D"/>
    <w:rsid w:val="002D0BCB"/>
    <w:rsid w:val="002D5A17"/>
    <w:rsid w:val="002D65F6"/>
    <w:rsid w:val="002D676A"/>
    <w:rsid w:val="002E0952"/>
    <w:rsid w:val="002E0F04"/>
    <w:rsid w:val="002E1329"/>
    <w:rsid w:val="002E396B"/>
    <w:rsid w:val="002E3FD3"/>
    <w:rsid w:val="002E5381"/>
    <w:rsid w:val="002E5606"/>
    <w:rsid w:val="002E5CDE"/>
    <w:rsid w:val="002E6CFB"/>
    <w:rsid w:val="002F066C"/>
    <w:rsid w:val="002F0F08"/>
    <w:rsid w:val="002F2215"/>
    <w:rsid w:val="003016C2"/>
    <w:rsid w:val="00303EFE"/>
    <w:rsid w:val="003061CA"/>
    <w:rsid w:val="003073BC"/>
    <w:rsid w:val="00311704"/>
    <w:rsid w:val="00313E88"/>
    <w:rsid w:val="00314883"/>
    <w:rsid w:val="00315E85"/>
    <w:rsid w:val="00317614"/>
    <w:rsid w:val="0032026B"/>
    <w:rsid w:val="00320C24"/>
    <w:rsid w:val="0032129E"/>
    <w:rsid w:val="00326E4F"/>
    <w:rsid w:val="00330C98"/>
    <w:rsid w:val="0033270D"/>
    <w:rsid w:val="00333EFA"/>
    <w:rsid w:val="00334462"/>
    <w:rsid w:val="00335E33"/>
    <w:rsid w:val="0033699A"/>
    <w:rsid w:val="00337791"/>
    <w:rsid w:val="003379E5"/>
    <w:rsid w:val="003427DA"/>
    <w:rsid w:val="003428DC"/>
    <w:rsid w:val="00356D4B"/>
    <w:rsid w:val="00357675"/>
    <w:rsid w:val="0035767C"/>
    <w:rsid w:val="003578C1"/>
    <w:rsid w:val="003639CA"/>
    <w:rsid w:val="00363F84"/>
    <w:rsid w:val="0036434A"/>
    <w:rsid w:val="00364C8B"/>
    <w:rsid w:val="00365D1E"/>
    <w:rsid w:val="003660EF"/>
    <w:rsid w:val="00367071"/>
    <w:rsid w:val="003705BF"/>
    <w:rsid w:val="00371133"/>
    <w:rsid w:val="00374A0A"/>
    <w:rsid w:val="0037500D"/>
    <w:rsid w:val="003756EC"/>
    <w:rsid w:val="003758A4"/>
    <w:rsid w:val="003804E1"/>
    <w:rsid w:val="0038338E"/>
    <w:rsid w:val="00383543"/>
    <w:rsid w:val="003838C6"/>
    <w:rsid w:val="003842E1"/>
    <w:rsid w:val="0038591E"/>
    <w:rsid w:val="003922AF"/>
    <w:rsid w:val="00393BCE"/>
    <w:rsid w:val="003942E5"/>
    <w:rsid w:val="003947B8"/>
    <w:rsid w:val="00397544"/>
    <w:rsid w:val="00397863"/>
    <w:rsid w:val="00397B8B"/>
    <w:rsid w:val="003A0B43"/>
    <w:rsid w:val="003A0B48"/>
    <w:rsid w:val="003A2208"/>
    <w:rsid w:val="003A2A6D"/>
    <w:rsid w:val="003A6CE2"/>
    <w:rsid w:val="003A6D08"/>
    <w:rsid w:val="003A721D"/>
    <w:rsid w:val="003B0122"/>
    <w:rsid w:val="003B2083"/>
    <w:rsid w:val="003B22CA"/>
    <w:rsid w:val="003B37BE"/>
    <w:rsid w:val="003B3E61"/>
    <w:rsid w:val="003B4109"/>
    <w:rsid w:val="003B6ABF"/>
    <w:rsid w:val="003B75E7"/>
    <w:rsid w:val="003C0785"/>
    <w:rsid w:val="003C3C6E"/>
    <w:rsid w:val="003C4CF0"/>
    <w:rsid w:val="003C5CF5"/>
    <w:rsid w:val="003C7235"/>
    <w:rsid w:val="003C7BA6"/>
    <w:rsid w:val="003D1990"/>
    <w:rsid w:val="003D1B62"/>
    <w:rsid w:val="003D2804"/>
    <w:rsid w:val="003D5483"/>
    <w:rsid w:val="003D61DC"/>
    <w:rsid w:val="003D6F66"/>
    <w:rsid w:val="003E2D43"/>
    <w:rsid w:val="003E434D"/>
    <w:rsid w:val="003E4D3C"/>
    <w:rsid w:val="003E4E3C"/>
    <w:rsid w:val="003E664A"/>
    <w:rsid w:val="003F0586"/>
    <w:rsid w:val="003F1067"/>
    <w:rsid w:val="003F50C9"/>
    <w:rsid w:val="003F5A68"/>
    <w:rsid w:val="003F6887"/>
    <w:rsid w:val="004018B2"/>
    <w:rsid w:val="0040368A"/>
    <w:rsid w:val="00406D69"/>
    <w:rsid w:val="00407EAB"/>
    <w:rsid w:val="00410ACD"/>
    <w:rsid w:val="00411E57"/>
    <w:rsid w:val="00412E66"/>
    <w:rsid w:val="0041368B"/>
    <w:rsid w:val="00413EEA"/>
    <w:rsid w:val="00414001"/>
    <w:rsid w:val="00414E1E"/>
    <w:rsid w:val="00420342"/>
    <w:rsid w:val="00421527"/>
    <w:rsid w:val="004225EE"/>
    <w:rsid w:val="00422A34"/>
    <w:rsid w:val="004252B0"/>
    <w:rsid w:val="00425C73"/>
    <w:rsid w:val="004263F4"/>
    <w:rsid w:val="004362D3"/>
    <w:rsid w:val="00440077"/>
    <w:rsid w:val="00440852"/>
    <w:rsid w:val="004434D4"/>
    <w:rsid w:val="004449E1"/>
    <w:rsid w:val="00452ADC"/>
    <w:rsid w:val="00455746"/>
    <w:rsid w:val="00457AE6"/>
    <w:rsid w:val="00460AA0"/>
    <w:rsid w:val="00466C93"/>
    <w:rsid w:val="0047252C"/>
    <w:rsid w:val="00472A05"/>
    <w:rsid w:val="00473392"/>
    <w:rsid w:val="00474560"/>
    <w:rsid w:val="00477DA5"/>
    <w:rsid w:val="00482FA8"/>
    <w:rsid w:val="00485061"/>
    <w:rsid w:val="00485C05"/>
    <w:rsid w:val="00486C92"/>
    <w:rsid w:val="00487205"/>
    <w:rsid w:val="00492B5E"/>
    <w:rsid w:val="004940D1"/>
    <w:rsid w:val="00494314"/>
    <w:rsid w:val="00494FDB"/>
    <w:rsid w:val="00495C62"/>
    <w:rsid w:val="00496372"/>
    <w:rsid w:val="0049645B"/>
    <w:rsid w:val="00497494"/>
    <w:rsid w:val="004A06B4"/>
    <w:rsid w:val="004A1A0E"/>
    <w:rsid w:val="004A5C03"/>
    <w:rsid w:val="004A74BE"/>
    <w:rsid w:val="004A7EB7"/>
    <w:rsid w:val="004B198F"/>
    <w:rsid w:val="004B3121"/>
    <w:rsid w:val="004B48CB"/>
    <w:rsid w:val="004B4D42"/>
    <w:rsid w:val="004B6C34"/>
    <w:rsid w:val="004B7666"/>
    <w:rsid w:val="004B7C29"/>
    <w:rsid w:val="004C094E"/>
    <w:rsid w:val="004C1973"/>
    <w:rsid w:val="004C1B4B"/>
    <w:rsid w:val="004C2E0A"/>
    <w:rsid w:val="004C2FF7"/>
    <w:rsid w:val="004C3EF0"/>
    <w:rsid w:val="004C7673"/>
    <w:rsid w:val="004D33A7"/>
    <w:rsid w:val="004D384C"/>
    <w:rsid w:val="004D3AFF"/>
    <w:rsid w:val="004D4508"/>
    <w:rsid w:val="004D7DE5"/>
    <w:rsid w:val="004E03A8"/>
    <w:rsid w:val="004E1A99"/>
    <w:rsid w:val="004E3B47"/>
    <w:rsid w:val="004E46D8"/>
    <w:rsid w:val="004E756F"/>
    <w:rsid w:val="004E78F8"/>
    <w:rsid w:val="004F25BB"/>
    <w:rsid w:val="004F2C5B"/>
    <w:rsid w:val="004F44D7"/>
    <w:rsid w:val="004F4B9A"/>
    <w:rsid w:val="004F5F28"/>
    <w:rsid w:val="004F6B22"/>
    <w:rsid w:val="00500731"/>
    <w:rsid w:val="005021BF"/>
    <w:rsid w:val="00502DBA"/>
    <w:rsid w:val="005033EF"/>
    <w:rsid w:val="00504FA8"/>
    <w:rsid w:val="00505129"/>
    <w:rsid w:val="005060B2"/>
    <w:rsid w:val="00506469"/>
    <w:rsid w:val="00506C7D"/>
    <w:rsid w:val="00512CDA"/>
    <w:rsid w:val="00514679"/>
    <w:rsid w:val="0051596D"/>
    <w:rsid w:val="00515DD7"/>
    <w:rsid w:val="00516A17"/>
    <w:rsid w:val="00516B0E"/>
    <w:rsid w:val="0052122F"/>
    <w:rsid w:val="005218FA"/>
    <w:rsid w:val="00524EBD"/>
    <w:rsid w:val="0052571A"/>
    <w:rsid w:val="00526E0B"/>
    <w:rsid w:val="005317F8"/>
    <w:rsid w:val="00532041"/>
    <w:rsid w:val="005323FE"/>
    <w:rsid w:val="00532E1F"/>
    <w:rsid w:val="005331C3"/>
    <w:rsid w:val="005336B2"/>
    <w:rsid w:val="00533AA7"/>
    <w:rsid w:val="00540D4A"/>
    <w:rsid w:val="005413F4"/>
    <w:rsid w:val="005426F7"/>
    <w:rsid w:val="00542A0A"/>
    <w:rsid w:val="00542C61"/>
    <w:rsid w:val="00542DB2"/>
    <w:rsid w:val="00542EEA"/>
    <w:rsid w:val="00543D71"/>
    <w:rsid w:val="00545512"/>
    <w:rsid w:val="00545CDF"/>
    <w:rsid w:val="00551239"/>
    <w:rsid w:val="00551EC2"/>
    <w:rsid w:val="0055594E"/>
    <w:rsid w:val="005561C5"/>
    <w:rsid w:val="0055728F"/>
    <w:rsid w:val="0056014D"/>
    <w:rsid w:val="0056048A"/>
    <w:rsid w:val="00561516"/>
    <w:rsid w:val="0056187C"/>
    <w:rsid w:val="00561FBE"/>
    <w:rsid w:val="0056229E"/>
    <w:rsid w:val="00562485"/>
    <w:rsid w:val="00562681"/>
    <w:rsid w:val="00564711"/>
    <w:rsid w:val="00564FAB"/>
    <w:rsid w:val="00572054"/>
    <w:rsid w:val="005720A7"/>
    <w:rsid w:val="0057329F"/>
    <w:rsid w:val="00573ED2"/>
    <w:rsid w:val="005754E7"/>
    <w:rsid w:val="00577EAC"/>
    <w:rsid w:val="0058119F"/>
    <w:rsid w:val="005825D1"/>
    <w:rsid w:val="005847E6"/>
    <w:rsid w:val="00584CA5"/>
    <w:rsid w:val="00584EAA"/>
    <w:rsid w:val="00587224"/>
    <w:rsid w:val="00587480"/>
    <w:rsid w:val="00587926"/>
    <w:rsid w:val="0059220D"/>
    <w:rsid w:val="0059416C"/>
    <w:rsid w:val="00595168"/>
    <w:rsid w:val="0059632D"/>
    <w:rsid w:val="00597022"/>
    <w:rsid w:val="005A0F5B"/>
    <w:rsid w:val="005A2ACC"/>
    <w:rsid w:val="005A57D9"/>
    <w:rsid w:val="005A7239"/>
    <w:rsid w:val="005A78E5"/>
    <w:rsid w:val="005B4AF1"/>
    <w:rsid w:val="005B77D1"/>
    <w:rsid w:val="005C4048"/>
    <w:rsid w:val="005C7D28"/>
    <w:rsid w:val="005D0EFC"/>
    <w:rsid w:val="005D1D5F"/>
    <w:rsid w:val="005D2736"/>
    <w:rsid w:val="005D274C"/>
    <w:rsid w:val="005D2A1C"/>
    <w:rsid w:val="005D4E78"/>
    <w:rsid w:val="005D55D6"/>
    <w:rsid w:val="005E020B"/>
    <w:rsid w:val="005E1833"/>
    <w:rsid w:val="005E1A4C"/>
    <w:rsid w:val="005E5D7B"/>
    <w:rsid w:val="005E6B1E"/>
    <w:rsid w:val="005E791B"/>
    <w:rsid w:val="005E7FAA"/>
    <w:rsid w:val="005F0A02"/>
    <w:rsid w:val="005F1FD0"/>
    <w:rsid w:val="005F283D"/>
    <w:rsid w:val="005F2CBB"/>
    <w:rsid w:val="005F3EA8"/>
    <w:rsid w:val="005F4813"/>
    <w:rsid w:val="005F5AB1"/>
    <w:rsid w:val="005F6E01"/>
    <w:rsid w:val="00604B65"/>
    <w:rsid w:val="00604B98"/>
    <w:rsid w:val="006061DC"/>
    <w:rsid w:val="00607924"/>
    <w:rsid w:val="00607BAC"/>
    <w:rsid w:val="00610BBF"/>
    <w:rsid w:val="006110D9"/>
    <w:rsid w:val="00612F22"/>
    <w:rsid w:val="006131C3"/>
    <w:rsid w:val="00613266"/>
    <w:rsid w:val="00613F8F"/>
    <w:rsid w:val="00615B9C"/>
    <w:rsid w:val="0061667B"/>
    <w:rsid w:val="0062111D"/>
    <w:rsid w:val="0062225E"/>
    <w:rsid w:val="006229DF"/>
    <w:rsid w:val="00625978"/>
    <w:rsid w:val="00626245"/>
    <w:rsid w:val="006322EF"/>
    <w:rsid w:val="006335BB"/>
    <w:rsid w:val="0063593F"/>
    <w:rsid w:val="00635F15"/>
    <w:rsid w:val="00636D67"/>
    <w:rsid w:val="00637C6F"/>
    <w:rsid w:val="006446E7"/>
    <w:rsid w:val="00644FFF"/>
    <w:rsid w:val="006473F9"/>
    <w:rsid w:val="00651C76"/>
    <w:rsid w:val="006525BD"/>
    <w:rsid w:val="006559CB"/>
    <w:rsid w:val="00655CBC"/>
    <w:rsid w:val="00656E3A"/>
    <w:rsid w:val="00661433"/>
    <w:rsid w:val="00661B84"/>
    <w:rsid w:val="00661EC0"/>
    <w:rsid w:val="00665ABE"/>
    <w:rsid w:val="006661C8"/>
    <w:rsid w:val="00667561"/>
    <w:rsid w:val="00667ABA"/>
    <w:rsid w:val="0067016A"/>
    <w:rsid w:val="00671FEB"/>
    <w:rsid w:val="00676F6C"/>
    <w:rsid w:val="00681183"/>
    <w:rsid w:val="0068302C"/>
    <w:rsid w:val="0068334E"/>
    <w:rsid w:val="006838E4"/>
    <w:rsid w:val="006845A7"/>
    <w:rsid w:val="0068487A"/>
    <w:rsid w:val="00685D17"/>
    <w:rsid w:val="00685E4D"/>
    <w:rsid w:val="006879D4"/>
    <w:rsid w:val="00690F6A"/>
    <w:rsid w:val="006916ED"/>
    <w:rsid w:val="00692AF1"/>
    <w:rsid w:val="00693C9D"/>
    <w:rsid w:val="00694E5B"/>
    <w:rsid w:val="00695017"/>
    <w:rsid w:val="006955FF"/>
    <w:rsid w:val="00697C45"/>
    <w:rsid w:val="006A0C8C"/>
    <w:rsid w:val="006A204A"/>
    <w:rsid w:val="006A222D"/>
    <w:rsid w:val="006A3E2C"/>
    <w:rsid w:val="006A3F50"/>
    <w:rsid w:val="006A4B9C"/>
    <w:rsid w:val="006A576B"/>
    <w:rsid w:val="006A66C4"/>
    <w:rsid w:val="006A79F6"/>
    <w:rsid w:val="006A7B65"/>
    <w:rsid w:val="006B0A30"/>
    <w:rsid w:val="006B2051"/>
    <w:rsid w:val="006B26A4"/>
    <w:rsid w:val="006B2C10"/>
    <w:rsid w:val="006B307C"/>
    <w:rsid w:val="006B30E6"/>
    <w:rsid w:val="006B3D20"/>
    <w:rsid w:val="006B4324"/>
    <w:rsid w:val="006B7894"/>
    <w:rsid w:val="006C0D01"/>
    <w:rsid w:val="006C1B57"/>
    <w:rsid w:val="006C2A2C"/>
    <w:rsid w:val="006C507C"/>
    <w:rsid w:val="006D13BC"/>
    <w:rsid w:val="006D5B7C"/>
    <w:rsid w:val="006D63AD"/>
    <w:rsid w:val="006E0CB9"/>
    <w:rsid w:val="006E1BFE"/>
    <w:rsid w:val="006E211C"/>
    <w:rsid w:val="006E2F0A"/>
    <w:rsid w:val="006E4B30"/>
    <w:rsid w:val="006E52A0"/>
    <w:rsid w:val="006E55B7"/>
    <w:rsid w:val="006E5656"/>
    <w:rsid w:val="006E5659"/>
    <w:rsid w:val="006E7564"/>
    <w:rsid w:val="006E7EF4"/>
    <w:rsid w:val="006F1DDA"/>
    <w:rsid w:val="006F24DC"/>
    <w:rsid w:val="006F3EBB"/>
    <w:rsid w:val="006F4882"/>
    <w:rsid w:val="006F6125"/>
    <w:rsid w:val="006F6481"/>
    <w:rsid w:val="00701D75"/>
    <w:rsid w:val="00702B0F"/>
    <w:rsid w:val="0070573F"/>
    <w:rsid w:val="00706A1F"/>
    <w:rsid w:val="007107EF"/>
    <w:rsid w:val="00711BC5"/>
    <w:rsid w:val="00711F78"/>
    <w:rsid w:val="007128C6"/>
    <w:rsid w:val="0071502B"/>
    <w:rsid w:val="00715C2B"/>
    <w:rsid w:val="00716420"/>
    <w:rsid w:val="007174C0"/>
    <w:rsid w:val="00720F70"/>
    <w:rsid w:val="00721A9B"/>
    <w:rsid w:val="0072270C"/>
    <w:rsid w:val="00723466"/>
    <w:rsid w:val="00726215"/>
    <w:rsid w:val="00727282"/>
    <w:rsid w:val="0073524A"/>
    <w:rsid w:val="00735650"/>
    <w:rsid w:val="00735771"/>
    <w:rsid w:val="007416FA"/>
    <w:rsid w:val="00742731"/>
    <w:rsid w:val="00743899"/>
    <w:rsid w:val="007448F4"/>
    <w:rsid w:val="007455A3"/>
    <w:rsid w:val="007523BD"/>
    <w:rsid w:val="007547D7"/>
    <w:rsid w:val="00755CAB"/>
    <w:rsid w:val="00756067"/>
    <w:rsid w:val="00756B7C"/>
    <w:rsid w:val="0075725E"/>
    <w:rsid w:val="0075738B"/>
    <w:rsid w:val="00760EEB"/>
    <w:rsid w:val="007626E7"/>
    <w:rsid w:val="0077158F"/>
    <w:rsid w:val="00774BF8"/>
    <w:rsid w:val="0077516E"/>
    <w:rsid w:val="0077695B"/>
    <w:rsid w:val="0077766A"/>
    <w:rsid w:val="007808DC"/>
    <w:rsid w:val="00781107"/>
    <w:rsid w:val="00781880"/>
    <w:rsid w:val="00782E4B"/>
    <w:rsid w:val="007859AE"/>
    <w:rsid w:val="00785D59"/>
    <w:rsid w:val="00787853"/>
    <w:rsid w:val="007948C2"/>
    <w:rsid w:val="0079662F"/>
    <w:rsid w:val="0079761D"/>
    <w:rsid w:val="007A147C"/>
    <w:rsid w:val="007A56A4"/>
    <w:rsid w:val="007A5BE8"/>
    <w:rsid w:val="007A61C0"/>
    <w:rsid w:val="007A657B"/>
    <w:rsid w:val="007A67D9"/>
    <w:rsid w:val="007A71ED"/>
    <w:rsid w:val="007A7A33"/>
    <w:rsid w:val="007B43C8"/>
    <w:rsid w:val="007B4CC8"/>
    <w:rsid w:val="007B6B76"/>
    <w:rsid w:val="007B7774"/>
    <w:rsid w:val="007B78CC"/>
    <w:rsid w:val="007C0866"/>
    <w:rsid w:val="007C19DE"/>
    <w:rsid w:val="007C3DE7"/>
    <w:rsid w:val="007C4A45"/>
    <w:rsid w:val="007C624F"/>
    <w:rsid w:val="007C6AB8"/>
    <w:rsid w:val="007C6FB6"/>
    <w:rsid w:val="007D1156"/>
    <w:rsid w:val="007D1DE1"/>
    <w:rsid w:val="007D3950"/>
    <w:rsid w:val="007D4485"/>
    <w:rsid w:val="007D63A6"/>
    <w:rsid w:val="007D7CC0"/>
    <w:rsid w:val="007E1EDE"/>
    <w:rsid w:val="007E2A39"/>
    <w:rsid w:val="007E4326"/>
    <w:rsid w:val="007E64E0"/>
    <w:rsid w:val="007F03F2"/>
    <w:rsid w:val="007F127B"/>
    <w:rsid w:val="007F22AE"/>
    <w:rsid w:val="007F27F3"/>
    <w:rsid w:val="007F2B27"/>
    <w:rsid w:val="007F34F8"/>
    <w:rsid w:val="007F3F54"/>
    <w:rsid w:val="007F4593"/>
    <w:rsid w:val="007F5219"/>
    <w:rsid w:val="007F73D5"/>
    <w:rsid w:val="00802A27"/>
    <w:rsid w:val="00803090"/>
    <w:rsid w:val="0080320A"/>
    <w:rsid w:val="0080667B"/>
    <w:rsid w:val="00807013"/>
    <w:rsid w:val="0080774B"/>
    <w:rsid w:val="008120C5"/>
    <w:rsid w:val="00812405"/>
    <w:rsid w:val="008153F4"/>
    <w:rsid w:val="0081640B"/>
    <w:rsid w:val="00816C58"/>
    <w:rsid w:val="00817325"/>
    <w:rsid w:val="00820070"/>
    <w:rsid w:val="00821391"/>
    <w:rsid w:val="00821C36"/>
    <w:rsid w:val="008265A4"/>
    <w:rsid w:val="008320BB"/>
    <w:rsid w:val="0083248A"/>
    <w:rsid w:val="008324BB"/>
    <w:rsid w:val="00833529"/>
    <w:rsid w:val="00834A1C"/>
    <w:rsid w:val="008436A3"/>
    <w:rsid w:val="008462A6"/>
    <w:rsid w:val="00846E02"/>
    <w:rsid w:val="00851C71"/>
    <w:rsid w:val="00851F71"/>
    <w:rsid w:val="008530AA"/>
    <w:rsid w:val="00853CC0"/>
    <w:rsid w:val="00854005"/>
    <w:rsid w:val="00856CB4"/>
    <w:rsid w:val="00857153"/>
    <w:rsid w:val="00860C5E"/>
    <w:rsid w:val="00863F50"/>
    <w:rsid w:val="008641CA"/>
    <w:rsid w:val="008661A8"/>
    <w:rsid w:val="008664CD"/>
    <w:rsid w:val="0087024A"/>
    <w:rsid w:val="00870795"/>
    <w:rsid w:val="00880A6C"/>
    <w:rsid w:val="008820E2"/>
    <w:rsid w:val="00885285"/>
    <w:rsid w:val="0088650A"/>
    <w:rsid w:val="00890F06"/>
    <w:rsid w:val="00891BCA"/>
    <w:rsid w:val="0089220D"/>
    <w:rsid w:val="00893872"/>
    <w:rsid w:val="00893F23"/>
    <w:rsid w:val="00894CF5"/>
    <w:rsid w:val="0089584A"/>
    <w:rsid w:val="008958C9"/>
    <w:rsid w:val="008A354C"/>
    <w:rsid w:val="008A387C"/>
    <w:rsid w:val="008A4412"/>
    <w:rsid w:val="008A4612"/>
    <w:rsid w:val="008A4EEA"/>
    <w:rsid w:val="008B1F36"/>
    <w:rsid w:val="008B3654"/>
    <w:rsid w:val="008B46A8"/>
    <w:rsid w:val="008B4D02"/>
    <w:rsid w:val="008B554E"/>
    <w:rsid w:val="008C18C9"/>
    <w:rsid w:val="008C2BBC"/>
    <w:rsid w:val="008C2ED8"/>
    <w:rsid w:val="008C4207"/>
    <w:rsid w:val="008C42CA"/>
    <w:rsid w:val="008C5F27"/>
    <w:rsid w:val="008C7EB0"/>
    <w:rsid w:val="008D2979"/>
    <w:rsid w:val="008D3F0B"/>
    <w:rsid w:val="008D4EF9"/>
    <w:rsid w:val="008D78C2"/>
    <w:rsid w:val="008E1603"/>
    <w:rsid w:val="008E2763"/>
    <w:rsid w:val="008E5274"/>
    <w:rsid w:val="008F0933"/>
    <w:rsid w:val="008F0CF3"/>
    <w:rsid w:val="008F1E71"/>
    <w:rsid w:val="008F263B"/>
    <w:rsid w:val="008F4339"/>
    <w:rsid w:val="008F59F0"/>
    <w:rsid w:val="008F6532"/>
    <w:rsid w:val="009004B6"/>
    <w:rsid w:val="009017FD"/>
    <w:rsid w:val="00901DAC"/>
    <w:rsid w:val="0090249A"/>
    <w:rsid w:val="00902A07"/>
    <w:rsid w:val="00902A2B"/>
    <w:rsid w:val="00907C13"/>
    <w:rsid w:val="00912143"/>
    <w:rsid w:val="00913B16"/>
    <w:rsid w:val="00914219"/>
    <w:rsid w:val="00914E45"/>
    <w:rsid w:val="00916607"/>
    <w:rsid w:val="00922E26"/>
    <w:rsid w:val="00923924"/>
    <w:rsid w:val="00923FEC"/>
    <w:rsid w:val="009258EA"/>
    <w:rsid w:val="0093235F"/>
    <w:rsid w:val="00932808"/>
    <w:rsid w:val="0093281C"/>
    <w:rsid w:val="00932DB2"/>
    <w:rsid w:val="00933562"/>
    <w:rsid w:val="00934BCA"/>
    <w:rsid w:val="00940F4A"/>
    <w:rsid w:val="0094130F"/>
    <w:rsid w:val="00942EAA"/>
    <w:rsid w:val="009465E6"/>
    <w:rsid w:val="00947559"/>
    <w:rsid w:val="00951465"/>
    <w:rsid w:val="00951802"/>
    <w:rsid w:val="009570B8"/>
    <w:rsid w:val="009570F7"/>
    <w:rsid w:val="009600AE"/>
    <w:rsid w:val="00961B56"/>
    <w:rsid w:val="00961BF4"/>
    <w:rsid w:val="00962AA8"/>
    <w:rsid w:val="00964288"/>
    <w:rsid w:val="0096448F"/>
    <w:rsid w:val="0096592A"/>
    <w:rsid w:val="009661A6"/>
    <w:rsid w:val="009662C6"/>
    <w:rsid w:val="00966993"/>
    <w:rsid w:val="00970169"/>
    <w:rsid w:val="00970F4F"/>
    <w:rsid w:val="00971A10"/>
    <w:rsid w:val="0097220A"/>
    <w:rsid w:val="00973A1F"/>
    <w:rsid w:val="00975334"/>
    <w:rsid w:val="00976912"/>
    <w:rsid w:val="0097700A"/>
    <w:rsid w:val="009778DE"/>
    <w:rsid w:val="00980224"/>
    <w:rsid w:val="00980598"/>
    <w:rsid w:val="00980620"/>
    <w:rsid w:val="00981710"/>
    <w:rsid w:val="00981D20"/>
    <w:rsid w:val="00981FFC"/>
    <w:rsid w:val="0098272D"/>
    <w:rsid w:val="00983120"/>
    <w:rsid w:val="00983882"/>
    <w:rsid w:val="00985285"/>
    <w:rsid w:val="009856BD"/>
    <w:rsid w:val="00985AD9"/>
    <w:rsid w:val="00987AD6"/>
    <w:rsid w:val="009924B9"/>
    <w:rsid w:val="0099294B"/>
    <w:rsid w:val="00992BE3"/>
    <w:rsid w:val="00993943"/>
    <w:rsid w:val="00993A59"/>
    <w:rsid w:val="00996866"/>
    <w:rsid w:val="009A10DE"/>
    <w:rsid w:val="009A1AA1"/>
    <w:rsid w:val="009A345A"/>
    <w:rsid w:val="009A3B72"/>
    <w:rsid w:val="009A3FD9"/>
    <w:rsid w:val="009A4477"/>
    <w:rsid w:val="009A6041"/>
    <w:rsid w:val="009A650B"/>
    <w:rsid w:val="009A6AB9"/>
    <w:rsid w:val="009A7FF5"/>
    <w:rsid w:val="009B11D5"/>
    <w:rsid w:val="009B3D03"/>
    <w:rsid w:val="009B6362"/>
    <w:rsid w:val="009B6657"/>
    <w:rsid w:val="009C0A54"/>
    <w:rsid w:val="009C1ABC"/>
    <w:rsid w:val="009C1EC0"/>
    <w:rsid w:val="009C236D"/>
    <w:rsid w:val="009C2956"/>
    <w:rsid w:val="009C3160"/>
    <w:rsid w:val="009C47B0"/>
    <w:rsid w:val="009C5521"/>
    <w:rsid w:val="009C55E9"/>
    <w:rsid w:val="009C5DF0"/>
    <w:rsid w:val="009C79FD"/>
    <w:rsid w:val="009D33DE"/>
    <w:rsid w:val="009D374F"/>
    <w:rsid w:val="009D39FA"/>
    <w:rsid w:val="009D4BAD"/>
    <w:rsid w:val="009D7B75"/>
    <w:rsid w:val="009E3739"/>
    <w:rsid w:val="009E4076"/>
    <w:rsid w:val="009E5596"/>
    <w:rsid w:val="009E56DB"/>
    <w:rsid w:val="009E5EDF"/>
    <w:rsid w:val="009E72B1"/>
    <w:rsid w:val="009E78D1"/>
    <w:rsid w:val="009F024A"/>
    <w:rsid w:val="009F0407"/>
    <w:rsid w:val="009F12C0"/>
    <w:rsid w:val="009F1725"/>
    <w:rsid w:val="00A00BD3"/>
    <w:rsid w:val="00A02DD7"/>
    <w:rsid w:val="00A03155"/>
    <w:rsid w:val="00A03C9E"/>
    <w:rsid w:val="00A05C11"/>
    <w:rsid w:val="00A06B52"/>
    <w:rsid w:val="00A120C9"/>
    <w:rsid w:val="00A1281D"/>
    <w:rsid w:val="00A14DC0"/>
    <w:rsid w:val="00A16598"/>
    <w:rsid w:val="00A17CC4"/>
    <w:rsid w:val="00A2210F"/>
    <w:rsid w:val="00A22247"/>
    <w:rsid w:val="00A22A20"/>
    <w:rsid w:val="00A235DE"/>
    <w:rsid w:val="00A239C3"/>
    <w:rsid w:val="00A24C20"/>
    <w:rsid w:val="00A24D85"/>
    <w:rsid w:val="00A25562"/>
    <w:rsid w:val="00A25D72"/>
    <w:rsid w:val="00A27D36"/>
    <w:rsid w:val="00A3167C"/>
    <w:rsid w:val="00A322FE"/>
    <w:rsid w:val="00A33608"/>
    <w:rsid w:val="00A3453D"/>
    <w:rsid w:val="00A404E9"/>
    <w:rsid w:val="00A408A8"/>
    <w:rsid w:val="00A40BBE"/>
    <w:rsid w:val="00A40DEF"/>
    <w:rsid w:val="00A41532"/>
    <w:rsid w:val="00A42705"/>
    <w:rsid w:val="00A42CF5"/>
    <w:rsid w:val="00A43E0D"/>
    <w:rsid w:val="00A43EAA"/>
    <w:rsid w:val="00A45D9C"/>
    <w:rsid w:val="00A5063C"/>
    <w:rsid w:val="00A518E3"/>
    <w:rsid w:val="00A526EE"/>
    <w:rsid w:val="00A541F8"/>
    <w:rsid w:val="00A61EE5"/>
    <w:rsid w:val="00A626EF"/>
    <w:rsid w:val="00A62DAC"/>
    <w:rsid w:val="00A64AB4"/>
    <w:rsid w:val="00A661EB"/>
    <w:rsid w:val="00A67B65"/>
    <w:rsid w:val="00A70BD8"/>
    <w:rsid w:val="00A71049"/>
    <w:rsid w:val="00A71CD8"/>
    <w:rsid w:val="00A76B20"/>
    <w:rsid w:val="00A819DE"/>
    <w:rsid w:val="00A82476"/>
    <w:rsid w:val="00A8275F"/>
    <w:rsid w:val="00A829C2"/>
    <w:rsid w:val="00A85182"/>
    <w:rsid w:val="00A86197"/>
    <w:rsid w:val="00A864AD"/>
    <w:rsid w:val="00A87EC0"/>
    <w:rsid w:val="00A91ED1"/>
    <w:rsid w:val="00A933C2"/>
    <w:rsid w:val="00A9389D"/>
    <w:rsid w:val="00AA223D"/>
    <w:rsid w:val="00AA3937"/>
    <w:rsid w:val="00AA657A"/>
    <w:rsid w:val="00AA6E05"/>
    <w:rsid w:val="00AA728B"/>
    <w:rsid w:val="00AB0063"/>
    <w:rsid w:val="00AB4224"/>
    <w:rsid w:val="00AB49F3"/>
    <w:rsid w:val="00AC1CF5"/>
    <w:rsid w:val="00AC209C"/>
    <w:rsid w:val="00AC2137"/>
    <w:rsid w:val="00AC5AB2"/>
    <w:rsid w:val="00AC74A7"/>
    <w:rsid w:val="00AC75B2"/>
    <w:rsid w:val="00AD03A6"/>
    <w:rsid w:val="00AD05D0"/>
    <w:rsid w:val="00AD1773"/>
    <w:rsid w:val="00AD1FAE"/>
    <w:rsid w:val="00AD1FBF"/>
    <w:rsid w:val="00AD2113"/>
    <w:rsid w:val="00AD3716"/>
    <w:rsid w:val="00AD5231"/>
    <w:rsid w:val="00AD5C59"/>
    <w:rsid w:val="00AD682C"/>
    <w:rsid w:val="00AD7F13"/>
    <w:rsid w:val="00AE0973"/>
    <w:rsid w:val="00AE3273"/>
    <w:rsid w:val="00AE3378"/>
    <w:rsid w:val="00AE4AF5"/>
    <w:rsid w:val="00AE4EEF"/>
    <w:rsid w:val="00AE58F4"/>
    <w:rsid w:val="00AE5A05"/>
    <w:rsid w:val="00AE5C24"/>
    <w:rsid w:val="00AE64ED"/>
    <w:rsid w:val="00AE7CD5"/>
    <w:rsid w:val="00AF05DE"/>
    <w:rsid w:val="00AF2F94"/>
    <w:rsid w:val="00AF3C99"/>
    <w:rsid w:val="00AF7120"/>
    <w:rsid w:val="00B01F77"/>
    <w:rsid w:val="00B062DF"/>
    <w:rsid w:val="00B06B1B"/>
    <w:rsid w:val="00B06C1E"/>
    <w:rsid w:val="00B070AF"/>
    <w:rsid w:val="00B0745C"/>
    <w:rsid w:val="00B1091F"/>
    <w:rsid w:val="00B11453"/>
    <w:rsid w:val="00B11949"/>
    <w:rsid w:val="00B140E4"/>
    <w:rsid w:val="00B1667C"/>
    <w:rsid w:val="00B16708"/>
    <w:rsid w:val="00B17ECB"/>
    <w:rsid w:val="00B20B39"/>
    <w:rsid w:val="00B20E74"/>
    <w:rsid w:val="00B21093"/>
    <w:rsid w:val="00B2206E"/>
    <w:rsid w:val="00B2363D"/>
    <w:rsid w:val="00B238CB"/>
    <w:rsid w:val="00B2508F"/>
    <w:rsid w:val="00B2654F"/>
    <w:rsid w:val="00B27106"/>
    <w:rsid w:val="00B271AB"/>
    <w:rsid w:val="00B27EE3"/>
    <w:rsid w:val="00B30B06"/>
    <w:rsid w:val="00B30D8E"/>
    <w:rsid w:val="00B31843"/>
    <w:rsid w:val="00B31948"/>
    <w:rsid w:val="00B35DE8"/>
    <w:rsid w:val="00B378E0"/>
    <w:rsid w:val="00B400EA"/>
    <w:rsid w:val="00B4111D"/>
    <w:rsid w:val="00B4114B"/>
    <w:rsid w:val="00B43462"/>
    <w:rsid w:val="00B44ED5"/>
    <w:rsid w:val="00B45728"/>
    <w:rsid w:val="00B509D4"/>
    <w:rsid w:val="00B51F99"/>
    <w:rsid w:val="00B52A3E"/>
    <w:rsid w:val="00B559E3"/>
    <w:rsid w:val="00B60771"/>
    <w:rsid w:val="00B61734"/>
    <w:rsid w:val="00B65820"/>
    <w:rsid w:val="00B66BB9"/>
    <w:rsid w:val="00B67CC0"/>
    <w:rsid w:val="00B70A56"/>
    <w:rsid w:val="00B7102A"/>
    <w:rsid w:val="00B72561"/>
    <w:rsid w:val="00B74075"/>
    <w:rsid w:val="00B841BD"/>
    <w:rsid w:val="00B853C5"/>
    <w:rsid w:val="00B874FB"/>
    <w:rsid w:val="00B90849"/>
    <w:rsid w:val="00B90976"/>
    <w:rsid w:val="00B90FD8"/>
    <w:rsid w:val="00B92CD6"/>
    <w:rsid w:val="00B92E29"/>
    <w:rsid w:val="00B92F05"/>
    <w:rsid w:val="00B950DA"/>
    <w:rsid w:val="00B96996"/>
    <w:rsid w:val="00B97399"/>
    <w:rsid w:val="00B97486"/>
    <w:rsid w:val="00BA0BED"/>
    <w:rsid w:val="00BA0F97"/>
    <w:rsid w:val="00BA1A7C"/>
    <w:rsid w:val="00BA2BE8"/>
    <w:rsid w:val="00BA35B2"/>
    <w:rsid w:val="00BA3E11"/>
    <w:rsid w:val="00BA5599"/>
    <w:rsid w:val="00BA5FB1"/>
    <w:rsid w:val="00BB0338"/>
    <w:rsid w:val="00BB0B88"/>
    <w:rsid w:val="00BB2B68"/>
    <w:rsid w:val="00BB488A"/>
    <w:rsid w:val="00BB5401"/>
    <w:rsid w:val="00BC2BA7"/>
    <w:rsid w:val="00BC2CA0"/>
    <w:rsid w:val="00BC3493"/>
    <w:rsid w:val="00BD05DD"/>
    <w:rsid w:val="00BD087B"/>
    <w:rsid w:val="00BD14FB"/>
    <w:rsid w:val="00BD4A2E"/>
    <w:rsid w:val="00BD5341"/>
    <w:rsid w:val="00BD58D2"/>
    <w:rsid w:val="00BE1FFB"/>
    <w:rsid w:val="00BE27BE"/>
    <w:rsid w:val="00BE4404"/>
    <w:rsid w:val="00BE7BC1"/>
    <w:rsid w:val="00BF01BD"/>
    <w:rsid w:val="00BF099E"/>
    <w:rsid w:val="00BF09FB"/>
    <w:rsid w:val="00BF4C74"/>
    <w:rsid w:val="00BF7646"/>
    <w:rsid w:val="00C01247"/>
    <w:rsid w:val="00C02354"/>
    <w:rsid w:val="00C04E21"/>
    <w:rsid w:val="00C060D4"/>
    <w:rsid w:val="00C06BB1"/>
    <w:rsid w:val="00C113A9"/>
    <w:rsid w:val="00C136EE"/>
    <w:rsid w:val="00C14BA5"/>
    <w:rsid w:val="00C14D13"/>
    <w:rsid w:val="00C15089"/>
    <w:rsid w:val="00C17E89"/>
    <w:rsid w:val="00C202B9"/>
    <w:rsid w:val="00C2283B"/>
    <w:rsid w:val="00C24276"/>
    <w:rsid w:val="00C247EE"/>
    <w:rsid w:val="00C25330"/>
    <w:rsid w:val="00C26C9E"/>
    <w:rsid w:val="00C317CC"/>
    <w:rsid w:val="00C33BCC"/>
    <w:rsid w:val="00C344E4"/>
    <w:rsid w:val="00C34973"/>
    <w:rsid w:val="00C35E5B"/>
    <w:rsid w:val="00C41428"/>
    <w:rsid w:val="00C41607"/>
    <w:rsid w:val="00C43D39"/>
    <w:rsid w:val="00C44F1D"/>
    <w:rsid w:val="00C45B18"/>
    <w:rsid w:val="00C45B97"/>
    <w:rsid w:val="00C46DC4"/>
    <w:rsid w:val="00C46E7A"/>
    <w:rsid w:val="00C46F69"/>
    <w:rsid w:val="00C53277"/>
    <w:rsid w:val="00C55A61"/>
    <w:rsid w:val="00C5754C"/>
    <w:rsid w:val="00C60AA2"/>
    <w:rsid w:val="00C613B6"/>
    <w:rsid w:val="00C62111"/>
    <w:rsid w:val="00C62328"/>
    <w:rsid w:val="00C62D77"/>
    <w:rsid w:val="00C63695"/>
    <w:rsid w:val="00C667A7"/>
    <w:rsid w:val="00C672D1"/>
    <w:rsid w:val="00C67D36"/>
    <w:rsid w:val="00C70EFA"/>
    <w:rsid w:val="00C729E8"/>
    <w:rsid w:val="00C764BF"/>
    <w:rsid w:val="00C779F7"/>
    <w:rsid w:val="00C77CF6"/>
    <w:rsid w:val="00C801DC"/>
    <w:rsid w:val="00C8021F"/>
    <w:rsid w:val="00C81BCF"/>
    <w:rsid w:val="00C81E93"/>
    <w:rsid w:val="00C83276"/>
    <w:rsid w:val="00C8364F"/>
    <w:rsid w:val="00C841F7"/>
    <w:rsid w:val="00C84D7F"/>
    <w:rsid w:val="00C8566C"/>
    <w:rsid w:val="00C9099A"/>
    <w:rsid w:val="00C90ED0"/>
    <w:rsid w:val="00C924C7"/>
    <w:rsid w:val="00C92678"/>
    <w:rsid w:val="00C93496"/>
    <w:rsid w:val="00C96CC7"/>
    <w:rsid w:val="00C97852"/>
    <w:rsid w:val="00C97E3C"/>
    <w:rsid w:val="00CA385B"/>
    <w:rsid w:val="00CA6C25"/>
    <w:rsid w:val="00CA7752"/>
    <w:rsid w:val="00CB059C"/>
    <w:rsid w:val="00CB0DCD"/>
    <w:rsid w:val="00CB2CA3"/>
    <w:rsid w:val="00CB4D1B"/>
    <w:rsid w:val="00CB57E4"/>
    <w:rsid w:val="00CB6BCE"/>
    <w:rsid w:val="00CC125C"/>
    <w:rsid w:val="00CC25B6"/>
    <w:rsid w:val="00CC3593"/>
    <w:rsid w:val="00CC4608"/>
    <w:rsid w:val="00CC489E"/>
    <w:rsid w:val="00CC59CC"/>
    <w:rsid w:val="00CC60ED"/>
    <w:rsid w:val="00CC74EB"/>
    <w:rsid w:val="00CD084A"/>
    <w:rsid w:val="00CD202C"/>
    <w:rsid w:val="00CD4D2F"/>
    <w:rsid w:val="00CE0334"/>
    <w:rsid w:val="00CE5E7B"/>
    <w:rsid w:val="00CE6C50"/>
    <w:rsid w:val="00CE7C2D"/>
    <w:rsid w:val="00CF098A"/>
    <w:rsid w:val="00CF14D2"/>
    <w:rsid w:val="00CF27F2"/>
    <w:rsid w:val="00CF2F66"/>
    <w:rsid w:val="00CF3A4D"/>
    <w:rsid w:val="00CF3CCE"/>
    <w:rsid w:val="00CF3D60"/>
    <w:rsid w:val="00CF445E"/>
    <w:rsid w:val="00CF4697"/>
    <w:rsid w:val="00CF47E2"/>
    <w:rsid w:val="00CF603C"/>
    <w:rsid w:val="00CF708D"/>
    <w:rsid w:val="00D00041"/>
    <w:rsid w:val="00D0148D"/>
    <w:rsid w:val="00D020B4"/>
    <w:rsid w:val="00D043C1"/>
    <w:rsid w:val="00D05665"/>
    <w:rsid w:val="00D112F6"/>
    <w:rsid w:val="00D11450"/>
    <w:rsid w:val="00D11B1A"/>
    <w:rsid w:val="00D12DB3"/>
    <w:rsid w:val="00D13335"/>
    <w:rsid w:val="00D15437"/>
    <w:rsid w:val="00D173BC"/>
    <w:rsid w:val="00D22DE6"/>
    <w:rsid w:val="00D23E97"/>
    <w:rsid w:val="00D25297"/>
    <w:rsid w:val="00D26499"/>
    <w:rsid w:val="00D31661"/>
    <w:rsid w:val="00D318DD"/>
    <w:rsid w:val="00D327BF"/>
    <w:rsid w:val="00D36CF9"/>
    <w:rsid w:val="00D36FCD"/>
    <w:rsid w:val="00D44A4F"/>
    <w:rsid w:val="00D45693"/>
    <w:rsid w:val="00D47A63"/>
    <w:rsid w:val="00D47AA3"/>
    <w:rsid w:val="00D50524"/>
    <w:rsid w:val="00D50B09"/>
    <w:rsid w:val="00D517D7"/>
    <w:rsid w:val="00D53C89"/>
    <w:rsid w:val="00D55796"/>
    <w:rsid w:val="00D57155"/>
    <w:rsid w:val="00D6049E"/>
    <w:rsid w:val="00D61001"/>
    <w:rsid w:val="00D6130B"/>
    <w:rsid w:val="00D6331E"/>
    <w:rsid w:val="00D63F5A"/>
    <w:rsid w:val="00D666E4"/>
    <w:rsid w:val="00D66AC9"/>
    <w:rsid w:val="00D66BBD"/>
    <w:rsid w:val="00D67462"/>
    <w:rsid w:val="00D716E8"/>
    <w:rsid w:val="00D72B39"/>
    <w:rsid w:val="00D72B51"/>
    <w:rsid w:val="00D754AE"/>
    <w:rsid w:val="00D762FD"/>
    <w:rsid w:val="00D778AD"/>
    <w:rsid w:val="00D77D7B"/>
    <w:rsid w:val="00D805B0"/>
    <w:rsid w:val="00D814F3"/>
    <w:rsid w:val="00D8281E"/>
    <w:rsid w:val="00D829DC"/>
    <w:rsid w:val="00D8527F"/>
    <w:rsid w:val="00D8533F"/>
    <w:rsid w:val="00D87E85"/>
    <w:rsid w:val="00D9096F"/>
    <w:rsid w:val="00D91697"/>
    <w:rsid w:val="00D91D6F"/>
    <w:rsid w:val="00D92928"/>
    <w:rsid w:val="00D93232"/>
    <w:rsid w:val="00D9432A"/>
    <w:rsid w:val="00D94CF1"/>
    <w:rsid w:val="00D94E3B"/>
    <w:rsid w:val="00D979B8"/>
    <w:rsid w:val="00D97CB4"/>
    <w:rsid w:val="00DA026E"/>
    <w:rsid w:val="00DA21E1"/>
    <w:rsid w:val="00DA353C"/>
    <w:rsid w:val="00DA56C2"/>
    <w:rsid w:val="00DA7EE4"/>
    <w:rsid w:val="00DB1A2E"/>
    <w:rsid w:val="00DB1AA6"/>
    <w:rsid w:val="00DB1AB9"/>
    <w:rsid w:val="00DB2A4B"/>
    <w:rsid w:val="00DB318E"/>
    <w:rsid w:val="00DB3DC6"/>
    <w:rsid w:val="00DB55E3"/>
    <w:rsid w:val="00DB6CE2"/>
    <w:rsid w:val="00DB7479"/>
    <w:rsid w:val="00DB787C"/>
    <w:rsid w:val="00DC018D"/>
    <w:rsid w:val="00DC09B6"/>
    <w:rsid w:val="00DC22DE"/>
    <w:rsid w:val="00DC28C9"/>
    <w:rsid w:val="00DC4331"/>
    <w:rsid w:val="00DC4D3A"/>
    <w:rsid w:val="00DC54B5"/>
    <w:rsid w:val="00DC65E8"/>
    <w:rsid w:val="00DC72CF"/>
    <w:rsid w:val="00DD0270"/>
    <w:rsid w:val="00DD283F"/>
    <w:rsid w:val="00DD5FC1"/>
    <w:rsid w:val="00DE09F1"/>
    <w:rsid w:val="00DE1AFF"/>
    <w:rsid w:val="00DE3CE7"/>
    <w:rsid w:val="00DE7CAA"/>
    <w:rsid w:val="00DF0CEF"/>
    <w:rsid w:val="00DF3E84"/>
    <w:rsid w:val="00DF3EEA"/>
    <w:rsid w:val="00DF46DB"/>
    <w:rsid w:val="00DF5146"/>
    <w:rsid w:val="00DF5C21"/>
    <w:rsid w:val="00DF666D"/>
    <w:rsid w:val="00E01352"/>
    <w:rsid w:val="00E013A1"/>
    <w:rsid w:val="00E05D23"/>
    <w:rsid w:val="00E07DAC"/>
    <w:rsid w:val="00E12165"/>
    <w:rsid w:val="00E12784"/>
    <w:rsid w:val="00E16E27"/>
    <w:rsid w:val="00E178D8"/>
    <w:rsid w:val="00E17AA0"/>
    <w:rsid w:val="00E17B27"/>
    <w:rsid w:val="00E17BC9"/>
    <w:rsid w:val="00E17FEB"/>
    <w:rsid w:val="00E211F4"/>
    <w:rsid w:val="00E23285"/>
    <w:rsid w:val="00E23D0D"/>
    <w:rsid w:val="00E24BA0"/>
    <w:rsid w:val="00E24C98"/>
    <w:rsid w:val="00E2660B"/>
    <w:rsid w:val="00E2768B"/>
    <w:rsid w:val="00E30B9C"/>
    <w:rsid w:val="00E3194B"/>
    <w:rsid w:val="00E32DD7"/>
    <w:rsid w:val="00E377BD"/>
    <w:rsid w:val="00E40A8C"/>
    <w:rsid w:val="00E42134"/>
    <w:rsid w:val="00E43E5B"/>
    <w:rsid w:val="00E4471B"/>
    <w:rsid w:val="00E44CF1"/>
    <w:rsid w:val="00E46785"/>
    <w:rsid w:val="00E478EB"/>
    <w:rsid w:val="00E47D86"/>
    <w:rsid w:val="00E50406"/>
    <w:rsid w:val="00E5041F"/>
    <w:rsid w:val="00E50C03"/>
    <w:rsid w:val="00E52D0C"/>
    <w:rsid w:val="00E53C2E"/>
    <w:rsid w:val="00E55063"/>
    <w:rsid w:val="00E57E63"/>
    <w:rsid w:val="00E57EAF"/>
    <w:rsid w:val="00E62A2D"/>
    <w:rsid w:val="00E633E7"/>
    <w:rsid w:val="00E65F23"/>
    <w:rsid w:val="00E67D37"/>
    <w:rsid w:val="00E71741"/>
    <w:rsid w:val="00E732A6"/>
    <w:rsid w:val="00E738BF"/>
    <w:rsid w:val="00E74E5C"/>
    <w:rsid w:val="00E75E61"/>
    <w:rsid w:val="00E81EA8"/>
    <w:rsid w:val="00E81ED0"/>
    <w:rsid w:val="00E82289"/>
    <w:rsid w:val="00E82588"/>
    <w:rsid w:val="00E83178"/>
    <w:rsid w:val="00E836A0"/>
    <w:rsid w:val="00E83BE7"/>
    <w:rsid w:val="00E85195"/>
    <w:rsid w:val="00E851E7"/>
    <w:rsid w:val="00E86EA5"/>
    <w:rsid w:val="00E86F8B"/>
    <w:rsid w:val="00E87F77"/>
    <w:rsid w:val="00E903E6"/>
    <w:rsid w:val="00E92603"/>
    <w:rsid w:val="00E93FFE"/>
    <w:rsid w:val="00E95180"/>
    <w:rsid w:val="00E97789"/>
    <w:rsid w:val="00EA1374"/>
    <w:rsid w:val="00EA28AE"/>
    <w:rsid w:val="00EA2B03"/>
    <w:rsid w:val="00EA5EC8"/>
    <w:rsid w:val="00EA601F"/>
    <w:rsid w:val="00EA706B"/>
    <w:rsid w:val="00EA7088"/>
    <w:rsid w:val="00EA7231"/>
    <w:rsid w:val="00EA7982"/>
    <w:rsid w:val="00EB1119"/>
    <w:rsid w:val="00EB1DCD"/>
    <w:rsid w:val="00EB2465"/>
    <w:rsid w:val="00EB43F6"/>
    <w:rsid w:val="00EB4455"/>
    <w:rsid w:val="00EB7A99"/>
    <w:rsid w:val="00EC215D"/>
    <w:rsid w:val="00EC4744"/>
    <w:rsid w:val="00EC56D2"/>
    <w:rsid w:val="00EC614A"/>
    <w:rsid w:val="00ED09B3"/>
    <w:rsid w:val="00ED13D5"/>
    <w:rsid w:val="00ED2CEC"/>
    <w:rsid w:val="00ED5844"/>
    <w:rsid w:val="00EE1557"/>
    <w:rsid w:val="00EE1CD8"/>
    <w:rsid w:val="00EE2EE5"/>
    <w:rsid w:val="00EE3BAC"/>
    <w:rsid w:val="00EE4B96"/>
    <w:rsid w:val="00EE5520"/>
    <w:rsid w:val="00EE752C"/>
    <w:rsid w:val="00EF0776"/>
    <w:rsid w:val="00EF1574"/>
    <w:rsid w:val="00EF1EB7"/>
    <w:rsid w:val="00EF2111"/>
    <w:rsid w:val="00EF2474"/>
    <w:rsid w:val="00EF35A6"/>
    <w:rsid w:val="00EF4109"/>
    <w:rsid w:val="00EF4956"/>
    <w:rsid w:val="00EF52B4"/>
    <w:rsid w:val="00EF6113"/>
    <w:rsid w:val="00F000EB"/>
    <w:rsid w:val="00F0027A"/>
    <w:rsid w:val="00F00543"/>
    <w:rsid w:val="00F04270"/>
    <w:rsid w:val="00F058CD"/>
    <w:rsid w:val="00F060E7"/>
    <w:rsid w:val="00F1298B"/>
    <w:rsid w:val="00F1329F"/>
    <w:rsid w:val="00F1374C"/>
    <w:rsid w:val="00F157A1"/>
    <w:rsid w:val="00F16564"/>
    <w:rsid w:val="00F165CA"/>
    <w:rsid w:val="00F25101"/>
    <w:rsid w:val="00F252B9"/>
    <w:rsid w:val="00F3585F"/>
    <w:rsid w:val="00F36295"/>
    <w:rsid w:val="00F3777D"/>
    <w:rsid w:val="00F37891"/>
    <w:rsid w:val="00F379F6"/>
    <w:rsid w:val="00F40314"/>
    <w:rsid w:val="00F40C35"/>
    <w:rsid w:val="00F418E6"/>
    <w:rsid w:val="00F42A24"/>
    <w:rsid w:val="00F42DED"/>
    <w:rsid w:val="00F5232D"/>
    <w:rsid w:val="00F524A9"/>
    <w:rsid w:val="00F52954"/>
    <w:rsid w:val="00F5541F"/>
    <w:rsid w:val="00F57260"/>
    <w:rsid w:val="00F60EF7"/>
    <w:rsid w:val="00F650CE"/>
    <w:rsid w:val="00F66AC5"/>
    <w:rsid w:val="00F679DB"/>
    <w:rsid w:val="00F67C4A"/>
    <w:rsid w:val="00F67ED6"/>
    <w:rsid w:val="00F720A9"/>
    <w:rsid w:val="00F75156"/>
    <w:rsid w:val="00F76B98"/>
    <w:rsid w:val="00F8228A"/>
    <w:rsid w:val="00F85A70"/>
    <w:rsid w:val="00F85C3D"/>
    <w:rsid w:val="00F865F4"/>
    <w:rsid w:val="00F87F41"/>
    <w:rsid w:val="00F91801"/>
    <w:rsid w:val="00F92622"/>
    <w:rsid w:val="00F93466"/>
    <w:rsid w:val="00F94C50"/>
    <w:rsid w:val="00F963C8"/>
    <w:rsid w:val="00F96939"/>
    <w:rsid w:val="00FA183E"/>
    <w:rsid w:val="00FA2BA5"/>
    <w:rsid w:val="00FA2F32"/>
    <w:rsid w:val="00FA34B8"/>
    <w:rsid w:val="00FA53D1"/>
    <w:rsid w:val="00FB20FF"/>
    <w:rsid w:val="00FB4D15"/>
    <w:rsid w:val="00FB4FA0"/>
    <w:rsid w:val="00FB56A6"/>
    <w:rsid w:val="00FB580C"/>
    <w:rsid w:val="00FB685D"/>
    <w:rsid w:val="00FB6C85"/>
    <w:rsid w:val="00FB7DAA"/>
    <w:rsid w:val="00FB7DF4"/>
    <w:rsid w:val="00FC1DDE"/>
    <w:rsid w:val="00FC36B6"/>
    <w:rsid w:val="00FC6452"/>
    <w:rsid w:val="00FC6E46"/>
    <w:rsid w:val="00FD0E8F"/>
    <w:rsid w:val="00FD13CB"/>
    <w:rsid w:val="00FD2D6D"/>
    <w:rsid w:val="00FD3595"/>
    <w:rsid w:val="00FD5106"/>
    <w:rsid w:val="00FD5D55"/>
    <w:rsid w:val="00FD74E5"/>
    <w:rsid w:val="00FE02B0"/>
    <w:rsid w:val="00FE28A8"/>
    <w:rsid w:val="00FE2A6C"/>
    <w:rsid w:val="00FE38C6"/>
    <w:rsid w:val="00FE49AB"/>
    <w:rsid w:val="00FE4FE4"/>
    <w:rsid w:val="00FE52FC"/>
    <w:rsid w:val="00FF0524"/>
    <w:rsid w:val="00FF0CE0"/>
    <w:rsid w:val="00FF2658"/>
    <w:rsid w:val="00FF322A"/>
    <w:rsid w:val="00FF3916"/>
    <w:rsid w:val="00FF3A3B"/>
    <w:rsid w:val="00FF424E"/>
    <w:rsid w:val="5D0CE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B7276"/>
  <w15:chartTrackingRefBased/>
  <w15:docId w15:val="{A6E7130B-4F5D-4E9F-9A8D-3DA03DAAC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C5B"/>
    <w:pPr>
      <w:spacing w:before="60" w:after="60" w:line="480" w:lineRule="auto"/>
      <w:ind w:firstLine="720"/>
      <w:contextualSpacing/>
      <w:jc w:val="both"/>
    </w:pPr>
    <w:rPr>
      <w:rFonts w:ascii="Georgia Pro" w:hAnsi="Georgia Pro"/>
      <w:sz w:val="24"/>
    </w:rPr>
  </w:style>
  <w:style w:type="paragraph" w:styleId="Heading1">
    <w:name w:val="heading 1"/>
    <w:basedOn w:val="Normal"/>
    <w:next w:val="Normal"/>
    <w:link w:val="Heading1Char"/>
    <w:uiPriority w:val="9"/>
    <w:qFormat/>
    <w:rsid w:val="00857153"/>
    <w:pPr>
      <w:keepNext/>
      <w:keepLines/>
      <w:numPr>
        <w:numId w:val="15"/>
      </w:numPr>
      <w:suppressLineNumbers/>
      <w:spacing w:before="0" w:after="240"/>
      <w:jc w:val="left"/>
      <w:textboxTightWrap w:val="allLines"/>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8B3654"/>
    <w:pPr>
      <w:keepNext/>
      <w:keepLines/>
      <w:spacing w:before="480" w:after="120"/>
      <w:ind w:firstLine="0"/>
      <w:jc w:val="left"/>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934BCA"/>
    <w:pPr>
      <w:keepNext/>
      <w:keepLines/>
      <w:spacing w:before="240"/>
      <w:ind w:firstLine="0"/>
      <w:jc w:val="left"/>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3B7"/>
    <w:rPr>
      <w:rFonts w:ascii="Georgia Pro" w:eastAsiaTheme="majorEastAsia" w:hAnsi="Georgia Pro" w:cstheme="majorBidi"/>
      <w:b/>
      <w:caps/>
      <w:sz w:val="24"/>
      <w:szCs w:val="32"/>
    </w:rPr>
  </w:style>
  <w:style w:type="character" w:customStyle="1" w:styleId="Heading2Char">
    <w:name w:val="Heading 2 Char"/>
    <w:basedOn w:val="DefaultParagraphFont"/>
    <w:link w:val="Heading2"/>
    <w:uiPriority w:val="9"/>
    <w:rsid w:val="008B3654"/>
    <w:rPr>
      <w:rFonts w:ascii="Georgia Pro" w:eastAsiaTheme="majorEastAsia" w:hAnsi="Georgia Pro" w:cstheme="majorBidi"/>
      <w:b/>
      <w:sz w:val="24"/>
      <w:szCs w:val="26"/>
    </w:rPr>
  </w:style>
  <w:style w:type="table" w:styleId="TableGrid">
    <w:name w:val="Table Grid"/>
    <w:basedOn w:val="TableNormal"/>
    <w:uiPriority w:val="39"/>
    <w:rsid w:val="00FF0CE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F0CE0"/>
    <w:pPr>
      <w:ind w:left="720" w:right="-648"/>
    </w:pPr>
    <w:rPr>
      <w:rFonts w:ascii="Georgia" w:hAnsi="Georgia"/>
    </w:rPr>
  </w:style>
  <w:style w:type="character" w:customStyle="1" w:styleId="Heading3Char">
    <w:name w:val="Heading 3 Char"/>
    <w:basedOn w:val="DefaultParagraphFont"/>
    <w:link w:val="Heading3"/>
    <w:uiPriority w:val="9"/>
    <w:rsid w:val="00934BCA"/>
    <w:rPr>
      <w:rFonts w:ascii="Georgia Pro" w:eastAsiaTheme="majorEastAsia" w:hAnsi="Georgia Pro" w:cstheme="majorBidi"/>
      <w:b/>
      <w:sz w:val="24"/>
      <w:szCs w:val="24"/>
    </w:rPr>
  </w:style>
  <w:style w:type="character" w:styleId="Hyperlink">
    <w:name w:val="Hyperlink"/>
    <w:basedOn w:val="DefaultParagraphFont"/>
    <w:uiPriority w:val="99"/>
    <w:unhideWhenUsed/>
    <w:rsid w:val="003B37BE"/>
    <w:rPr>
      <w:color w:val="0563C1" w:themeColor="hyperlink"/>
      <w:u w:val="single"/>
    </w:rPr>
  </w:style>
  <w:style w:type="paragraph" w:styleId="NormalWeb">
    <w:name w:val="Normal (Web)"/>
    <w:basedOn w:val="Normal"/>
    <w:uiPriority w:val="99"/>
    <w:unhideWhenUsed/>
    <w:rsid w:val="003B37BE"/>
    <w:pPr>
      <w:spacing w:before="100" w:beforeAutospacing="1" w:after="100" w:afterAutospacing="1"/>
    </w:pPr>
    <w:rPr>
      <w:rFonts w:ascii="Times New Roman" w:eastAsia="Times New Roman" w:hAnsi="Times New Roman" w:cs="Times New Roman"/>
      <w:szCs w:val="24"/>
    </w:rPr>
  </w:style>
  <w:style w:type="character" w:customStyle="1" w:styleId="label">
    <w:name w:val="label"/>
    <w:basedOn w:val="DefaultParagraphFont"/>
    <w:rsid w:val="003B37BE"/>
  </w:style>
  <w:style w:type="paragraph" w:styleId="Title">
    <w:name w:val="Title"/>
    <w:basedOn w:val="Normal"/>
    <w:next w:val="Normal"/>
    <w:link w:val="TitleChar"/>
    <w:uiPriority w:val="10"/>
    <w:qFormat/>
    <w:rsid w:val="00CF4697"/>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69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595168"/>
    <w:pPr>
      <w:outlineLvl w:val="9"/>
    </w:pPr>
  </w:style>
  <w:style w:type="paragraph" w:styleId="TOC2">
    <w:name w:val="toc 2"/>
    <w:basedOn w:val="Normal"/>
    <w:next w:val="Normal"/>
    <w:autoRedefine/>
    <w:uiPriority w:val="39"/>
    <w:unhideWhenUsed/>
    <w:rsid w:val="00595168"/>
    <w:pPr>
      <w:spacing w:after="100"/>
      <w:ind w:left="220"/>
    </w:pPr>
  </w:style>
  <w:style w:type="paragraph" w:styleId="TOC3">
    <w:name w:val="toc 3"/>
    <w:basedOn w:val="Normal"/>
    <w:next w:val="Normal"/>
    <w:autoRedefine/>
    <w:uiPriority w:val="39"/>
    <w:unhideWhenUsed/>
    <w:rsid w:val="00716420"/>
    <w:pPr>
      <w:tabs>
        <w:tab w:val="left" w:pos="1980"/>
        <w:tab w:val="right" w:leader="dot" w:pos="8630"/>
      </w:tabs>
      <w:spacing w:after="100"/>
    </w:pPr>
  </w:style>
  <w:style w:type="paragraph" w:styleId="Header">
    <w:name w:val="header"/>
    <w:basedOn w:val="Normal"/>
    <w:link w:val="HeaderChar"/>
    <w:uiPriority w:val="99"/>
    <w:unhideWhenUsed/>
    <w:rsid w:val="001904AA"/>
    <w:pPr>
      <w:tabs>
        <w:tab w:val="center" w:pos="4680"/>
        <w:tab w:val="right" w:pos="9360"/>
      </w:tabs>
    </w:pPr>
  </w:style>
  <w:style w:type="character" w:customStyle="1" w:styleId="HeaderChar">
    <w:name w:val="Header Char"/>
    <w:basedOn w:val="DefaultParagraphFont"/>
    <w:link w:val="Header"/>
    <w:uiPriority w:val="99"/>
    <w:rsid w:val="001904AA"/>
  </w:style>
  <w:style w:type="paragraph" w:styleId="Footer">
    <w:name w:val="footer"/>
    <w:basedOn w:val="Normal"/>
    <w:link w:val="FooterChar"/>
    <w:uiPriority w:val="99"/>
    <w:unhideWhenUsed/>
    <w:rsid w:val="001904AA"/>
    <w:pPr>
      <w:tabs>
        <w:tab w:val="center" w:pos="4680"/>
        <w:tab w:val="right" w:pos="9360"/>
      </w:tabs>
    </w:pPr>
  </w:style>
  <w:style w:type="character" w:customStyle="1" w:styleId="FooterChar">
    <w:name w:val="Footer Char"/>
    <w:basedOn w:val="DefaultParagraphFont"/>
    <w:link w:val="Footer"/>
    <w:uiPriority w:val="99"/>
    <w:rsid w:val="001904AA"/>
  </w:style>
  <w:style w:type="character" w:styleId="FollowedHyperlink">
    <w:name w:val="FollowedHyperlink"/>
    <w:basedOn w:val="DefaultParagraphFont"/>
    <w:uiPriority w:val="99"/>
    <w:semiHidden/>
    <w:unhideWhenUsed/>
    <w:rsid w:val="00170B0B"/>
    <w:rPr>
      <w:color w:val="954F72" w:themeColor="followedHyperlink"/>
      <w:u w:val="single"/>
    </w:rPr>
  </w:style>
  <w:style w:type="paragraph" w:styleId="FootnoteText">
    <w:name w:val="footnote text"/>
    <w:basedOn w:val="Normal"/>
    <w:link w:val="FootnoteTextChar"/>
    <w:uiPriority w:val="99"/>
    <w:unhideWhenUsed/>
    <w:rsid w:val="00EA28AE"/>
    <w:rPr>
      <w:sz w:val="20"/>
      <w:szCs w:val="20"/>
    </w:rPr>
  </w:style>
  <w:style w:type="character" w:customStyle="1" w:styleId="FootnoteTextChar">
    <w:name w:val="Footnote Text Char"/>
    <w:basedOn w:val="DefaultParagraphFont"/>
    <w:link w:val="FootnoteText"/>
    <w:uiPriority w:val="99"/>
    <w:rsid w:val="00EA28AE"/>
    <w:rPr>
      <w:sz w:val="20"/>
      <w:szCs w:val="20"/>
    </w:rPr>
  </w:style>
  <w:style w:type="character" w:styleId="FootnoteReference">
    <w:name w:val="footnote reference"/>
    <w:basedOn w:val="DefaultParagraphFont"/>
    <w:uiPriority w:val="99"/>
    <w:semiHidden/>
    <w:unhideWhenUsed/>
    <w:rsid w:val="00EA28AE"/>
    <w:rPr>
      <w:vertAlign w:val="superscript"/>
    </w:rPr>
  </w:style>
  <w:style w:type="character" w:styleId="UnresolvedMention">
    <w:name w:val="Unresolved Mention"/>
    <w:basedOn w:val="DefaultParagraphFont"/>
    <w:uiPriority w:val="99"/>
    <w:semiHidden/>
    <w:unhideWhenUsed/>
    <w:rsid w:val="00DE1AFF"/>
    <w:rPr>
      <w:color w:val="605E5C"/>
      <w:shd w:val="clear" w:color="auto" w:fill="E1DFDD"/>
    </w:rPr>
  </w:style>
  <w:style w:type="paragraph" w:styleId="BalloonText">
    <w:name w:val="Balloon Text"/>
    <w:basedOn w:val="Normal"/>
    <w:link w:val="BalloonTextChar"/>
    <w:uiPriority w:val="99"/>
    <w:semiHidden/>
    <w:unhideWhenUsed/>
    <w:rsid w:val="006E52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2A0"/>
    <w:rPr>
      <w:rFonts w:ascii="Segoe UI" w:hAnsi="Segoe UI" w:cs="Segoe UI"/>
      <w:sz w:val="18"/>
      <w:szCs w:val="18"/>
    </w:rPr>
  </w:style>
  <w:style w:type="paragraph" w:styleId="NoSpacing">
    <w:name w:val="No Spacing"/>
    <w:link w:val="NoSpacingChar"/>
    <w:uiPriority w:val="1"/>
    <w:qFormat/>
    <w:rsid w:val="008462A6"/>
    <w:pPr>
      <w:spacing w:before="0" w:after="60" w:line="300" w:lineRule="auto"/>
      <w:contextualSpacing/>
    </w:pPr>
    <w:rPr>
      <w:rFonts w:ascii="Georgia" w:hAnsi="Georgia"/>
    </w:rPr>
  </w:style>
  <w:style w:type="character" w:customStyle="1" w:styleId="NoSpacingChar">
    <w:name w:val="No Spacing Char"/>
    <w:basedOn w:val="DefaultParagraphFont"/>
    <w:link w:val="NoSpacing"/>
    <w:uiPriority w:val="1"/>
    <w:rsid w:val="008462A6"/>
    <w:rPr>
      <w:rFonts w:ascii="Georgia" w:hAnsi="Georgia"/>
    </w:rPr>
  </w:style>
  <w:style w:type="paragraph" w:styleId="TOC1">
    <w:name w:val="toc 1"/>
    <w:basedOn w:val="Normal"/>
    <w:next w:val="Normal"/>
    <w:autoRedefine/>
    <w:uiPriority w:val="39"/>
    <w:unhideWhenUsed/>
    <w:rsid w:val="0080320A"/>
    <w:pPr>
      <w:spacing w:after="240" w:line="300" w:lineRule="auto"/>
      <w:ind w:right="-648"/>
    </w:pPr>
  </w:style>
  <w:style w:type="table" w:customStyle="1" w:styleId="TableGrid1">
    <w:name w:val="Table Grid1"/>
    <w:basedOn w:val="TableNormal"/>
    <w:next w:val="TableGrid"/>
    <w:uiPriority w:val="39"/>
    <w:rsid w:val="00BD14FB"/>
    <w:pPr>
      <w:spacing w:before="0" w:line="480" w:lineRule="auto"/>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2A27"/>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802A27"/>
    <w:pPr>
      <w:spacing w:before="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Text">
    <w:name w:val="annotation text"/>
    <w:basedOn w:val="Normal"/>
    <w:link w:val="CommentTextChar"/>
    <w:uiPriority w:val="99"/>
    <w:semiHidden/>
    <w:unhideWhenUsed/>
    <w:rsid w:val="00802A27"/>
    <w:rPr>
      <w:sz w:val="20"/>
      <w:szCs w:val="20"/>
    </w:rPr>
  </w:style>
  <w:style w:type="character" w:customStyle="1" w:styleId="CommentTextChar">
    <w:name w:val="Comment Text Char"/>
    <w:basedOn w:val="DefaultParagraphFont"/>
    <w:link w:val="CommentText"/>
    <w:uiPriority w:val="99"/>
    <w:semiHidden/>
    <w:rsid w:val="00802A27"/>
    <w:rPr>
      <w:sz w:val="20"/>
      <w:szCs w:val="20"/>
    </w:rPr>
  </w:style>
  <w:style w:type="table" w:customStyle="1" w:styleId="TableGrid3">
    <w:name w:val="Table Grid3"/>
    <w:basedOn w:val="TableNormal"/>
    <w:next w:val="TableGrid"/>
    <w:uiPriority w:val="39"/>
    <w:rsid w:val="00802A27"/>
    <w:pPr>
      <w:spacing w:before="0"/>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02A27"/>
    <w:rPr>
      <w:sz w:val="16"/>
      <w:szCs w:val="16"/>
    </w:rPr>
  </w:style>
  <w:style w:type="character" w:styleId="PlaceholderText">
    <w:name w:val="Placeholder Text"/>
    <w:basedOn w:val="DefaultParagraphFont"/>
    <w:uiPriority w:val="99"/>
    <w:semiHidden/>
    <w:rsid w:val="00313E88"/>
    <w:rPr>
      <w:color w:val="808080"/>
    </w:rPr>
  </w:style>
  <w:style w:type="paragraph" w:styleId="CommentSubject">
    <w:name w:val="annotation subject"/>
    <w:basedOn w:val="CommentText"/>
    <w:next w:val="CommentText"/>
    <w:link w:val="CommentSubjectChar"/>
    <w:uiPriority w:val="99"/>
    <w:semiHidden/>
    <w:unhideWhenUsed/>
    <w:rsid w:val="00420342"/>
    <w:rPr>
      <w:b/>
      <w:bCs/>
    </w:rPr>
  </w:style>
  <w:style w:type="character" w:customStyle="1" w:styleId="CommentSubjectChar">
    <w:name w:val="Comment Subject Char"/>
    <w:basedOn w:val="CommentTextChar"/>
    <w:link w:val="CommentSubject"/>
    <w:uiPriority w:val="99"/>
    <w:semiHidden/>
    <w:rsid w:val="00420342"/>
    <w:rPr>
      <w:b/>
      <w:bCs/>
      <w:sz w:val="20"/>
      <w:szCs w:val="20"/>
    </w:rPr>
  </w:style>
  <w:style w:type="paragraph" w:styleId="Revision">
    <w:name w:val="Revision"/>
    <w:hidden/>
    <w:uiPriority w:val="99"/>
    <w:semiHidden/>
    <w:rsid w:val="00D97CB4"/>
    <w:pPr>
      <w:spacing w:before="0"/>
    </w:pPr>
  </w:style>
  <w:style w:type="paragraph" w:styleId="Caption">
    <w:name w:val="caption"/>
    <w:basedOn w:val="Normal"/>
    <w:next w:val="Normal"/>
    <w:uiPriority w:val="35"/>
    <w:unhideWhenUsed/>
    <w:qFormat/>
    <w:rsid w:val="00037B41"/>
    <w:pPr>
      <w:spacing w:before="0" w:after="240" w:line="240" w:lineRule="auto"/>
      <w:ind w:firstLine="0"/>
      <w:jc w:val="center"/>
    </w:pPr>
    <w:rPr>
      <w:i/>
      <w:iCs/>
      <w:sz w:val="22"/>
    </w:rPr>
  </w:style>
  <w:style w:type="paragraph" w:styleId="TableofFigures">
    <w:name w:val="table of figures"/>
    <w:basedOn w:val="Normal"/>
    <w:next w:val="Normal"/>
    <w:uiPriority w:val="99"/>
    <w:unhideWhenUsed/>
    <w:rsid w:val="00F1374C"/>
    <w:pPr>
      <w:spacing w:after="120" w:line="300" w:lineRule="auto"/>
      <w:ind w:firstLine="0"/>
      <w:jc w:val="left"/>
    </w:pPr>
  </w:style>
  <w:style w:type="paragraph" w:customStyle="1" w:styleId="paragraph">
    <w:name w:val="paragraph"/>
    <w:basedOn w:val="Normal"/>
    <w:rsid w:val="0051596D"/>
    <w:pPr>
      <w:spacing w:before="100" w:beforeAutospacing="1" w:after="100" w:afterAutospacing="1"/>
    </w:pPr>
    <w:rPr>
      <w:rFonts w:ascii="Times New Roman" w:eastAsia="Times New Roman" w:hAnsi="Times New Roman" w:cs="Times New Roman"/>
      <w:szCs w:val="24"/>
    </w:rPr>
  </w:style>
  <w:style w:type="character" w:customStyle="1" w:styleId="ListParagraphChar">
    <w:name w:val="List Paragraph Char"/>
    <w:basedOn w:val="DefaultParagraphFont"/>
    <w:link w:val="ListParagraph"/>
    <w:uiPriority w:val="34"/>
    <w:rsid w:val="00F96939"/>
    <w:rPr>
      <w:rFonts w:ascii="Georgia" w:hAnsi="Georgia"/>
      <w:sz w:val="24"/>
    </w:rPr>
  </w:style>
  <w:style w:type="character" w:styleId="EndnoteReference">
    <w:name w:val="endnote reference"/>
    <w:basedOn w:val="DefaultParagraphFont"/>
    <w:uiPriority w:val="99"/>
    <w:semiHidden/>
    <w:unhideWhenUsed/>
    <w:rsid w:val="003D5483"/>
    <w:rPr>
      <w:vertAlign w:val="superscript"/>
    </w:rPr>
  </w:style>
  <w:style w:type="character" w:customStyle="1" w:styleId="UnresolvedMention1">
    <w:name w:val="Unresolved Mention1"/>
    <w:basedOn w:val="DefaultParagraphFont"/>
    <w:uiPriority w:val="99"/>
    <w:semiHidden/>
    <w:unhideWhenUsed/>
    <w:rsid w:val="00DB3DC6"/>
    <w:rPr>
      <w:color w:val="605E5C"/>
      <w:shd w:val="clear" w:color="auto" w:fill="E1DFDD"/>
    </w:rPr>
  </w:style>
  <w:style w:type="character" w:customStyle="1" w:styleId="mjxassistivemathml">
    <w:name w:val="mjx_assistive_mathml"/>
    <w:basedOn w:val="DefaultParagraphFont"/>
    <w:rsid w:val="00DB3DC6"/>
  </w:style>
  <w:style w:type="character" w:styleId="Emphasis">
    <w:name w:val="Emphasis"/>
    <w:basedOn w:val="DefaultParagraphFont"/>
    <w:uiPriority w:val="20"/>
    <w:qFormat/>
    <w:rsid w:val="00DB3DC6"/>
    <w:rPr>
      <w:i/>
      <w:iCs/>
    </w:rPr>
  </w:style>
  <w:style w:type="character" w:customStyle="1" w:styleId="mathjaxsvg">
    <w:name w:val="mathjax_svg"/>
    <w:basedOn w:val="DefaultParagraphFont"/>
    <w:rsid w:val="00DB3D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0208745">
      <w:bodyDiv w:val="1"/>
      <w:marLeft w:val="0"/>
      <w:marRight w:val="0"/>
      <w:marTop w:val="0"/>
      <w:marBottom w:val="0"/>
      <w:divBdr>
        <w:top w:val="none" w:sz="0" w:space="0" w:color="auto"/>
        <w:left w:val="none" w:sz="0" w:space="0" w:color="auto"/>
        <w:bottom w:val="none" w:sz="0" w:space="0" w:color="auto"/>
        <w:right w:val="none" w:sz="0" w:space="0" w:color="auto"/>
      </w:divBdr>
    </w:div>
    <w:div w:id="1112552345">
      <w:bodyDiv w:val="1"/>
      <w:marLeft w:val="0"/>
      <w:marRight w:val="0"/>
      <w:marTop w:val="0"/>
      <w:marBottom w:val="0"/>
      <w:divBdr>
        <w:top w:val="none" w:sz="0" w:space="0" w:color="auto"/>
        <w:left w:val="none" w:sz="0" w:space="0" w:color="auto"/>
        <w:bottom w:val="none" w:sz="0" w:space="0" w:color="auto"/>
        <w:right w:val="none" w:sz="0" w:space="0" w:color="auto"/>
      </w:divBdr>
    </w:div>
    <w:div w:id="1814978414">
      <w:bodyDiv w:val="1"/>
      <w:marLeft w:val="0"/>
      <w:marRight w:val="0"/>
      <w:marTop w:val="0"/>
      <w:marBottom w:val="0"/>
      <w:divBdr>
        <w:top w:val="none" w:sz="0" w:space="0" w:color="auto"/>
        <w:left w:val="none" w:sz="0" w:space="0" w:color="auto"/>
        <w:bottom w:val="none" w:sz="0" w:space="0" w:color="auto"/>
        <w:right w:val="none" w:sz="0" w:space="0" w:color="auto"/>
      </w:divBdr>
      <w:divsChild>
        <w:div w:id="1972251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jpeg"/><Relationship Id="rId26" Type="http://schemas.openxmlformats.org/officeDocument/2006/relationships/footer" Target="footer6.xml"/><Relationship Id="rId39" Type="http://schemas.openxmlformats.org/officeDocument/2006/relationships/image" Target="media/image14.png"/><Relationship Id="rId21" Type="http://schemas.openxmlformats.org/officeDocument/2006/relationships/header" Target="header4.xml"/><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6.png"/><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header" Target="header10.xml"/><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header" Target="header9.xml"/><Relationship Id="rId61" Type="http://schemas.openxmlformats.org/officeDocument/2006/relationships/image" Target="media/image34.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7.jpeg"/><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3.png"/><Relationship Id="rId65" Type="http://schemas.openxmlformats.org/officeDocument/2006/relationships/image" Target="media/image3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image" Target="media/image5.png"/><Relationship Id="rId30" Type="http://schemas.openxmlformats.org/officeDocument/2006/relationships/image" Target="media/image6.png"/><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7.png"/><Relationship Id="rId8" Type="http://schemas.openxmlformats.org/officeDocument/2006/relationships/webSettings" Target="webSettings.xml"/><Relationship Id="rId51" Type="http://schemas.openxmlformats.org/officeDocument/2006/relationships/image" Target="media/image26.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1.jpg"/><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2.png"/><Relationship Id="rId67" Type="http://schemas.openxmlformats.org/officeDocument/2006/relationships/glossaryDocument" Target="glossary/document.xml"/><Relationship Id="rId20" Type="http://schemas.openxmlformats.org/officeDocument/2006/relationships/image" Target="media/image4.png"/><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3A1EA2A2F594AF58E1903900F7B39E3"/>
        <w:category>
          <w:name w:val="General"/>
          <w:gallery w:val="placeholder"/>
        </w:category>
        <w:types>
          <w:type w:val="bbPlcHdr"/>
        </w:types>
        <w:behaviors>
          <w:behavior w:val="content"/>
        </w:behaviors>
        <w:guid w:val="{D7B1C2CA-E5FB-4940-8AF5-EA801DCBCBE8}"/>
      </w:docPartPr>
      <w:docPartBody>
        <w:p w:rsidR="00C53808" w:rsidRDefault="00C53808" w:rsidP="00C53808">
          <w:pPr>
            <w:pStyle w:val="23A1EA2A2F594AF58E1903900F7B39E3"/>
          </w:pPr>
          <w:r w:rsidRPr="001F1C68">
            <w:rPr>
              <w:rStyle w:val="PlaceholderText"/>
            </w:rPr>
            <w:t>Click here to enter text.</w:t>
          </w:r>
        </w:p>
      </w:docPartBody>
    </w:docPart>
    <w:docPart>
      <w:docPartPr>
        <w:name w:val="3DC1E22B694146769BF8B68F51C8D27A"/>
        <w:category>
          <w:name w:val="General"/>
          <w:gallery w:val="placeholder"/>
        </w:category>
        <w:types>
          <w:type w:val="bbPlcHdr"/>
        </w:types>
        <w:behaviors>
          <w:behavior w:val="content"/>
        </w:behaviors>
        <w:guid w:val="{79AD9A73-7B15-4BEC-AA1C-D51395E81E89}"/>
      </w:docPartPr>
      <w:docPartBody>
        <w:p w:rsidR="00C53808" w:rsidRDefault="00C53808" w:rsidP="00C53808">
          <w:pPr>
            <w:pStyle w:val="3DC1E22B694146769BF8B68F51C8D27A"/>
          </w:pPr>
          <w:r w:rsidRPr="00AC7F25">
            <w:rPr>
              <w:rStyle w:val="PlaceholderText"/>
            </w:rPr>
            <w:t>Choose an item.</w:t>
          </w:r>
        </w:p>
      </w:docPartBody>
    </w:docPart>
    <w:docPart>
      <w:docPartPr>
        <w:name w:val="6BBF569392B14F7C831658AF8AAB6DE1"/>
        <w:category>
          <w:name w:val="General"/>
          <w:gallery w:val="placeholder"/>
        </w:category>
        <w:types>
          <w:type w:val="bbPlcHdr"/>
        </w:types>
        <w:behaviors>
          <w:behavior w:val="content"/>
        </w:behaviors>
        <w:guid w:val="{43083D84-7977-492D-8E24-3C166BE79DE1}"/>
      </w:docPartPr>
      <w:docPartBody>
        <w:p w:rsidR="00C53808" w:rsidRDefault="00C53808" w:rsidP="00C53808">
          <w:pPr>
            <w:pStyle w:val="6BBF569392B14F7C831658AF8AAB6DE1"/>
          </w:pPr>
          <w:r w:rsidRPr="00BB1A19">
            <w:rPr>
              <w:rStyle w:val="PlaceholderText"/>
            </w:rPr>
            <w:t>Click here to enter text.</w:t>
          </w:r>
        </w:p>
      </w:docPartBody>
    </w:docPart>
    <w:docPart>
      <w:docPartPr>
        <w:name w:val="05B1570571C643C5A0F540ACCC87968D"/>
        <w:category>
          <w:name w:val="General"/>
          <w:gallery w:val="placeholder"/>
        </w:category>
        <w:types>
          <w:type w:val="bbPlcHdr"/>
        </w:types>
        <w:behaviors>
          <w:behavior w:val="content"/>
        </w:behaviors>
        <w:guid w:val="{63674B57-D771-4454-B8E0-0E12924A8B53}"/>
      </w:docPartPr>
      <w:docPartBody>
        <w:p w:rsidR="00C53808" w:rsidRDefault="00C53808" w:rsidP="00C53808">
          <w:pPr>
            <w:pStyle w:val="05B1570571C643C5A0F540ACCC87968D"/>
          </w:pPr>
          <w:r w:rsidRPr="001F1C68">
            <w:rPr>
              <w:rStyle w:val="PlaceholderText"/>
            </w:rPr>
            <w:t>Click here to enter text.</w:t>
          </w:r>
        </w:p>
      </w:docPartBody>
    </w:docPart>
    <w:docPart>
      <w:docPartPr>
        <w:name w:val="A326930D02804F3BAA7FE5851C45A4C5"/>
        <w:category>
          <w:name w:val="General"/>
          <w:gallery w:val="placeholder"/>
        </w:category>
        <w:types>
          <w:type w:val="bbPlcHdr"/>
        </w:types>
        <w:behaviors>
          <w:behavior w:val="content"/>
        </w:behaviors>
        <w:guid w:val="{4DAD6710-46F7-481F-AC3A-D99FE2212514}"/>
      </w:docPartPr>
      <w:docPartBody>
        <w:p w:rsidR="00C53808" w:rsidRDefault="00C53808" w:rsidP="00C53808">
          <w:pPr>
            <w:pStyle w:val="A326930D02804F3BAA7FE5851C45A4C5"/>
          </w:pPr>
          <w:r w:rsidRPr="001F1C68">
            <w:rPr>
              <w:rStyle w:val="PlaceholderText"/>
            </w:rPr>
            <w:t>Click here to enter text.</w:t>
          </w:r>
        </w:p>
      </w:docPartBody>
    </w:docPart>
    <w:docPart>
      <w:docPartPr>
        <w:name w:val="DB4155AC384047E5B8E527B4E792CC48"/>
        <w:category>
          <w:name w:val="General"/>
          <w:gallery w:val="placeholder"/>
        </w:category>
        <w:types>
          <w:type w:val="bbPlcHdr"/>
        </w:types>
        <w:behaviors>
          <w:behavior w:val="content"/>
        </w:behaviors>
        <w:guid w:val="{775C477E-E8A4-4884-A56B-73409F2862AF}"/>
      </w:docPartPr>
      <w:docPartBody>
        <w:p w:rsidR="00C53808" w:rsidRDefault="00C53808" w:rsidP="00C53808">
          <w:pPr>
            <w:pStyle w:val="DB4155AC384047E5B8E527B4E792CC48"/>
          </w:pPr>
          <w:r w:rsidRPr="001F1C68">
            <w:rPr>
              <w:rStyle w:val="PlaceholderText"/>
            </w:rPr>
            <w:t>Click here to enter text.</w:t>
          </w:r>
        </w:p>
      </w:docPartBody>
    </w:docPart>
    <w:docPart>
      <w:docPartPr>
        <w:name w:val="C517DEB98A044455BD8603485E964885"/>
        <w:category>
          <w:name w:val="General"/>
          <w:gallery w:val="placeholder"/>
        </w:category>
        <w:types>
          <w:type w:val="bbPlcHdr"/>
        </w:types>
        <w:behaviors>
          <w:behavior w:val="content"/>
        </w:behaviors>
        <w:guid w:val="{92A8A6E8-6310-4A6C-A595-282DA5A4060D}"/>
      </w:docPartPr>
      <w:docPartBody>
        <w:p w:rsidR="00C53808" w:rsidRDefault="00C53808" w:rsidP="00C53808">
          <w:pPr>
            <w:pStyle w:val="C517DEB98A044455BD8603485E964885"/>
          </w:pPr>
          <w:r w:rsidRPr="00DB664C">
            <w:rPr>
              <w:rStyle w:val="PlaceholderText"/>
            </w:rPr>
            <w:t>[EXACT NAME OF YOUR ACADEMIC UNIT IN ALL CAPS]</w:t>
          </w:r>
        </w:p>
      </w:docPartBody>
    </w:docPart>
    <w:docPart>
      <w:docPartPr>
        <w:name w:val="FB0DC2401F6149B3BB3313824A67B5B2"/>
        <w:category>
          <w:name w:val="General"/>
          <w:gallery w:val="placeholder"/>
        </w:category>
        <w:types>
          <w:type w:val="bbPlcHdr"/>
        </w:types>
        <w:behaviors>
          <w:behavior w:val="content"/>
        </w:behaviors>
        <w:guid w:val="{66193E40-6F0C-4B82-85B8-9C5E259B6BD8}"/>
      </w:docPartPr>
      <w:docPartBody>
        <w:p w:rsidR="00C53808" w:rsidRDefault="00C53808" w:rsidP="00C53808">
          <w:pPr>
            <w:pStyle w:val="FB0DC2401F6149B3BB3313824A67B5B2"/>
          </w:pPr>
          <w:r w:rsidRPr="00AC7F25">
            <w:rPr>
              <w:rStyle w:val="PlaceholderText"/>
            </w:rPr>
            <w:t>Choose an item.</w:t>
          </w:r>
        </w:p>
      </w:docPartBody>
    </w:docPart>
    <w:docPart>
      <w:docPartPr>
        <w:name w:val="4C94310BBAB64C31B3EB3C9AD34E1555"/>
        <w:category>
          <w:name w:val="General"/>
          <w:gallery w:val="placeholder"/>
        </w:category>
        <w:types>
          <w:type w:val="bbPlcHdr"/>
        </w:types>
        <w:behaviors>
          <w:behavior w:val="content"/>
        </w:behaviors>
        <w:guid w:val="{ECB1EC49-CE5B-4DB0-B6DC-43455B64E694}"/>
      </w:docPartPr>
      <w:docPartBody>
        <w:p w:rsidR="00C53808" w:rsidRDefault="00C53808" w:rsidP="00C53808">
          <w:pPr>
            <w:pStyle w:val="4C94310BBAB64C31B3EB3C9AD34E1555"/>
          </w:pPr>
          <w:r w:rsidRPr="00AC7F25">
            <w:rPr>
              <w:rStyle w:val="PlaceholderText"/>
            </w:rPr>
            <w:t>Choose an item.</w:t>
          </w:r>
        </w:p>
      </w:docPartBody>
    </w:docPart>
    <w:docPart>
      <w:docPartPr>
        <w:name w:val="41B80D1CD4C64B9F9264A3E720D5F37D"/>
        <w:category>
          <w:name w:val="General"/>
          <w:gallery w:val="placeholder"/>
        </w:category>
        <w:types>
          <w:type w:val="bbPlcHdr"/>
        </w:types>
        <w:behaviors>
          <w:behavior w:val="content"/>
        </w:behaviors>
        <w:guid w:val="{27F82C37-0794-46BF-AF16-35E820BCCCC3}"/>
      </w:docPartPr>
      <w:docPartBody>
        <w:p w:rsidR="00C53808" w:rsidRDefault="00C53808" w:rsidP="00C53808">
          <w:pPr>
            <w:pStyle w:val="41B80D1CD4C64B9F9264A3E720D5F37D"/>
          </w:pPr>
          <w:r w:rsidRPr="001F1C68">
            <w:rPr>
              <w:rStyle w:val="PlaceholderText"/>
            </w:rPr>
            <w:t>Click here to enter text.</w:t>
          </w:r>
        </w:p>
      </w:docPartBody>
    </w:docPart>
    <w:docPart>
      <w:docPartPr>
        <w:name w:val="82326D3F6A494E66A71E4D5F48025A9F"/>
        <w:category>
          <w:name w:val="General"/>
          <w:gallery w:val="placeholder"/>
        </w:category>
        <w:types>
          <w:type w:val="bbPlcHdr"/>
        </w:types>
        <w:behaviors>
          <w:behavior w:val="content"/>
        </w:behaviors>
        <w:guid w:val="{9F8BBE29-AF47-41DB-88EE-46FFE7A1C90D}"/>
      </w:docPartPr>
      <w:docPartBody>
        <w:p w:rsidR="00C53808" w:rsidRDefault="00C53808" w:rsidP="00C53808">
          <w:pPr>
            <w:pStyle w:val="82326D3F6A494E66A71E4D5F48025A9F"/>
          </w:pPr>
          <w:r w:rsidRPr="00AC7F25">
            <w:rPr>
              <w:rStyle w:val="PlaceholderText"/>
            </w:rPr>
            <w:t>Choose an item.</w:t>
          </w:r>
        </w:p>
      </w:docPartBody>
    </w:docPart>
    <w:docPart>
      <w:docPartPr>
        <w:name w:val="7D0A85F69E194F6A98BE984C2618212A"/>
        <w:category>
          <w:name w:val="General"/>
          <w:gallery w:val="placeholder"/>
        </w:category>
        <w:types>
          <w:type w:val="bbPlcHdr"/>
        </w:types>
        <w:behaviors>
          <w:behavior w:val="content"/>
        </w:behaviors>
        <w:guid w:val="{69B82E84-CDEA-47C7-9A10-125AD06A032D}"/>
      </w:docPartPr>
      <w:docPartBody>
        <w:p w:rsidR="00C53808" w:rsidRDefault="00C53808" w:rsidP="00C53808">
          <w:pPr>
            <w:pStyle w:val="7D0A85F69E194F6A98BE984C2618212A"/>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w:altName w:val="Georgia Pro"/>
    <w:charset w:val="00"/>
    <w:family w:val="roman"/>
    <w:pitch w:val="variable"/>
    <w:sig w:usb0="80000287" w:usb1="0000004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08"/>
    <w:rsid w:val="00030E32"/>
    <w:rsid w:val="00071878"/>
    <w:rsid w:val="00160E12"/>
    <w:rsid w:val="001969D7"/>
    <w:rsid w:val="001C1402"/>
    <w:rsid w:val="00225C23"/>
    <w:rsid w:val="002525E4"/>
    <w:rsid w:val="002A1881"/>
    <w:rsid w:val="002A569F"/>
    <w:rsid w:val="002C7B78"/>
    <w:rsid w:val="002D4F4A"/>
    <w:rsid w:val="002D710F"/>
    <w:rsid w:val="003203CE"/>
    <w:rsid w:val="00361A1D"/>
    <w:rsid w:val="00365F06"/>
    <w:rsid w:val="003919EF"/>
    <w:rsid w:val="004311D6"/>
    <w:rsid w:val="00441DBD"/>
    <w:rsid w:val="004912D3"/>
    <w:rsid w:val="004E1C8B"/>
    <w:rsid w:val="0054616D"/>
    <w:rsid w:val="00566C41"/>
    <w:rsid w:val="005675F3"/>
    <w:rsid w:val="00597640"/>
    <w:rsid w:val="005D0834"/>
    <w:rsid w:val="005E31F0"/>
    <w:rsid w:val="005F2E5F"/>
    <w:rsid w:val="006C0292"/>
    <w:rsid w:val="006C20CF"/>
    <w:rsid w:val="00703C49"/>
    <w:rsid w:val="00737B4F"/>
    <w:rsid w:val="007E0396"/>
    <w:rsid w:val="007F0CFB"/>
    <w:rsid w:val="00801E94"/>
    <w:rsid w:val="00860C52"/>
    <w:rsid w:val="008926E5"/>
    <w:rsid w:val="00895E18"/>
    <w:rsid w:val="008F2513"/>
    <w:rsid w:val="009D39CB"/>
    <w:rsid w:val="009F427A"/>
    <w:rsid w:val="00AC6C2E"/>
    <w:rsid w:val="00AE392D"/>
    <w:rsid w:val="00B41F34"/>
    <w:rsid w:val="00B64FC4"/>
    <w:rsid w:val="00BE44EF"/>
    <w:rsid w:val="00BF1C0C"/>
    <w:rsid w:val="00C136B7"/>
    <w:rsid w:val="00C53808"/>
    <w:rsid w:val="00C716DB"/>
    <w:rsid w:val="00CC1A1E"/>
    <w:rsid w:val="00D966D2"/>
    <w:rsid w:val="00E74D1E"/>
    <w:rsid w:val="00EA5F48"/>
    <w:rsid w:val="00EA735F"/>
    <w:rsid w:val="00EC5AA9"/>
    <w:rsid w:val="00ED5355"/>
    <w:rsid w:val="00FC64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6D2"/>
    <w:rPr>
      <w:color w:val="808080"/>
    </w:rPr>
  </w:style>
  <w:style w:type="paragraph" w:customStyle="1" w:styleId="23A1EA2A2F594AF58E1903900F7B39E3">
    <w:name w:val="23A1EA2A2F594AF58E1903900F7B39E3"/>
    <w:rsid w:val="00C53808"/>
  </w:style>
  <w:style w:type="paragraph" w:customStyle="1" w:styleId="3DC1E22B694146769BF8B68F51C8D27A">
    <w:name w:val="3DC1E22B694146769BF8B68F51C8D27A"/>
    <w:rsid w:val="00C53808"/>
  </w:style>
  <w:style w:type="paragraph" w:customStyle="1" w:styleId="6BBF569392B14F7C831658AF8AAB6DE1">
    <w:name w:val="6BBF569392B14F7C831658AF8AAB6DE1"/>
    <w:rsid w:val="00C53808"/>
  </w:style>
  <w:style w:type="paragraph" w:customStyle="1" w:styleId="05B1570571C643C5A0F540ACCC87968D">
    <w:name w:val="05B1570571C643C5A0F540ACCC87968D"/>
    <w:rsid w:val="00C53808"/>
  </w:style>
  <w:style w:type="paragraph" w:customStyle="1" w:styleId="A326930D02804F3BAA7FE5851C45A4C5">
    <w:name w:val="A326930D02804F3BAA7FE5851C45A4C5"/>
    <w:rsid w:val="00C53808"/>
  </w:style>
  <w:style w:type="paragraph" w:customStyle="1" w:styleId="DB4155AC384047E5B8E527B4E792CC48">
    <w:name w:val="DB4155AC384047E5B8E527B4E792CC48"/>
    <w:rsid w:val="00C53808"/>
  </w:style>
  <w:style w:type="paragraph" w:customStyle="1" w:styleId="C517DEB98A044455BD8603485E964885">
    <w:name w:val="C517DEB98A044455BD8603485E964885"/>
    <w:rsid w:val="00C53808"/>
  </w:style>
  <w:style w:type="paragraph" w:customStyle="1" w:styleId="FB0DC2401F6149B3BB3313824A67B5B2">
    <w:name w:val="FB0DC2401F6149B3BB3313824A67B5B2"/>
    <w:rsid w:val="00C53808"/>
  </w:style>
  <w:style w:type="paragraph" w:customStyle="1" w:styleId="4C94310BBAB64C31B3EB3C9AD34E1555">
    <w:name w:val="4C94310BBAB64C31B3EB3C9AD34E1555"/>
    <w:rsid w:val="00C53808"/>
  </w:style>
  <w:style w:type="paragraph" w:customStyle="1" w:styleId="41B80D1CD4C64B9F9264A3E720D5F37D">
    <w:name w:val="41B80D1CD4C64B9F9264A3E720D5F37D"/>
    <w:rsid w:val="00C53808"/>
  </w:style>
  <w:style w:type="paragraph" w:customStyle="1" w:styleId="82326D3F6A494E66A71E4D5F48025A9F">
    <w:name w:val="82326D3F6A494E66A71E4D5F48025A9F"/>
    <w:rsid w:val="00C53808"/>
  </w:style>
  <w:style w:type="paragraph" w:customStyle="1" w:styleId="7D0A85F69E194F6A98BE984C2618212A">
    <w:name w:val="7D0A85F69E194F6A98BE984C2618212A"/>
    <w:rsid w:val="00C53808"/>
  </w:style>
  <w:style w:type="paragraph" w:customStyle="1" w:styleId="5348BFAEEF904C54A08C67CC24937E73">
    <w:name w:val="5348BFAEEF904C54A08C67CC24937E73"/>
    <w:rsid w:val="005F2E5F"/>
  </w:style>
  <w:style w:type="paragraph" w:customStyle="1" w:styleId="F1D024A30E704DF6B85945F582914610">
    <w:name w:val="F1D024A30E704DF6B85945F582914610"/>
    <w:rsid w:val="002A569F"/>
  </w:style>
  <w:style w:type="paragraph" w:customStyle="1" w:styleId="02504E43D88E4633B7677C88DC3CFFCE">
    <w:name w:val="02504E43D88E4633B7677C88DC3CFFCE"/>
    <w:rsid w:val="002A569F"/>
  </w:style>
  <w:style w:type="paragraph" w:customStyle="1" w:styleId="52AFFA78D4564B61B5A0D9FDC2DA8C0B">
    <w:name w:val="52AFFA78D4564B61B5A0D9FDC2DA8C0B"/>
    <w:rsid w:val="002A56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3BA7245B663942A9AFEADA04DB6BDA" ma:contentTypeVersion="13" ma:contentTypeDescription="Create a new document." ma:contentTypeScope="" ma:versionID="bba1b741471fe48a0aa4af694a99f501">
  <xsd:schema xmlns:xsd="http://www.w3.org/2001/XMLSchema" xmlns:xs="http://www.w3.org/2001/XMLSchema" xmlns:p="http://schemas.microsoft.com/office/2006/metadata/properties" xmlns:ns3="40c1ff85-cc19-4ac2-8d8a-dea2efe1d8e8" xmlns:ns4="e39d8bc4-02b2-40b4-a810-8dd93e4ec2d5" targetNamespace="http://schemas.microsoft.com/office/2006/metadata/properties" ma:root="true" ma:fieldsID="094fcbf422be806922a9d48aad2e9cef" ns3:_="" ns4:_="">
    <xsd:import namespace="40c1ff85-cc19-4ac2-8d8a-dea2efe1d8e8"/>
    <xsd:import namespace="e39d8bc4-02b2-40b4-a810-8dd93e4ec2d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1ff85-cc19-4ac2-8d8a-dea2efe1d8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9d8bc4-02b2-40b4-a810-8dd93e4ec2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1F78B7-5640-410C-9BB0-B12354A89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1ff85-cc19-4ac2-8d8a-dea2efe1d8e8"/>
    <ds:schemaRef ds:uri="e39d8bc4-02b2-40b4-a810-8dd93e4ec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0E6128-6B9B-422C-A643-C9C8042D80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627F3F-A7F8-428A-8C7D-936F9F3692F8}">
  <ds:schemaRefs>
    <ds:schemaRef ds:uri="http://schemas.openxmlformats.org/officeDocument/2006/bibliography"/>
  </ds:schemaRefs>
</ds:datastoreItem>
</file>

<file path=customXml/itemProps4.xml><?xml version="1.0" encoding="utf-8"?>
<ds:datastoreItem xmlns:ds="http://schemas.openxmlformats.org/officeDocument/2006/customXml" ds:itemID="{E3220E75-AACE-4516-A33F-08354872B8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2013</TotalTime>
  <Pages>118</Pages>
  <Words>45067</Words>
  <Characters>256887</Characters>
  <Application>Microsoft Office Word</Application>
  <DocSecurity>0</DocSecurity>
  <Lines>2140</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Hakizimana</dc:creator>
  <cp:keywords/>
  <dc:description/>
  <cp:lastModifiedBy>Emmanuel Hakizimana</cp:lastModifiedBy>
  <cp:revision>17</cp:revision>
  <cp:lastPrinted>2020-08-06T03:29:00Z</cp:lastPrinted>
  <dcterms:created xsi:type="dcterms:W3CDTF">2020-07-27T16:47:00Z</dcterms:created>
  <dcterms:modified xsi:type="dcterms:W3CDTF">2020-08-06T03:31:00Z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0x010100773BA7245B663942A9AFEADA04DB6BDA</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http://www.zotero.org/styles/harvard-cite-them-right</vt:lpwstr>
  </property>
  <property fmtid="{D5CDD505-2E9C-101B-9397-08002B2CF9AE}" pid="8" name="Mendeley Recent Style Name 2_1">
    <vt:lpwstr>Cite Them Right 10th edition - Harvard</vt:lpwstr>
  </property>
  <property fmtid="{D5CDD505-2E9C-101B-9397-08002B2CF9AE}" pid="9" name="Mendeley Recent Style Id 3_1">
    <vt:lpwstr>http://www.zotero.org/styles/modern-humanities-research-association</vt:lpwstr>
  </property>
  <property fmtid="{D5CDD505-2E9C-101B-9397-08002B2CF9AE}" pid="10" name="Mendeley Recent Style Name 3_1">
    <vt:lpwstr>Modern Humanities Research Association 3rd edition (note with bibliography)</vt:lpwstr>
  </property>
  <property fmtid="{D5CDD505-2E9C-101B-9397-08002B2CF9AE}" pid="11" name="Mendeley Recent Style Id 4_1">
    <vt:lpwstr>http://www.zotero.org/styles/modern-language-association</vt:lpwstr>
  </property>
  <property fmtid="{D5CDD505-2E9C-101B-9397-08002B2CF9AE}" pid="12" name="Mendeley Recent Style Name 4_1">
    <vt:lpwstr>Modern Language Association 8th edition</vt:lpwstr>
  </property>
  <property fmtid="{D5CDD505-2E9C-101B-9397-08002B2CF9AE}" pid="13" name="Mendeley Recent Style Id 5_1">
    <vt:lpwstr>http://www.zotero.org/styles/national-library-of-medicine</vt:lpwstr>
  </property>
  <property fmtid="{D5CDD505-2E9C-101B-9397-08002B2CF9AE}" pid="14" name="Mendeley Recent Style Name 5_1">
    <vt:lpwstr>National Library of Medicine</vt:lpwstr>
  </property>
  <property fmtid="{D5CDD505-2E9C-101B-9397-08002B2CF9AE}" pid="15" name="Mendeley Recent Style Id 6_1">
    <vt:lpwstr>http://www.zotero.org/styles/vancouver</vt:lpwstr>
  </property>
  <property fmtid="{D5CDD505-2E9C-101B-9397-08002B2CF9AE}" pid="16" name="Mendeley Recent Style Name 6_1">
    <vt:lpwstr>Vancouver</vt:lpwstr>
  </property>
  <property fmtid="{D5CDD505-2E9C-101B-9397-08002B2CF9AE}" pid="17" name="Mendeley Recent Style Id 7_1">
    <vt:lpwstr>http://csl.mendeley.com/styles/590416281/Hakizimana</vt:lpwstr>
  </property>
  <property fmtid="{D5CDD505-2E9C-101B-9397-08002B2CF9AE}" pid="18" name="Mendeley Recent Style Name 7_1">
    <vt:lpwstr>Vancouver - Emmanuel Hakizimana</vt:lpwstr>
  </property>
  <property fmtid="{D5CDD505-2E9C-101B-9397-08002B2CF9AE}" pid="19" name="Mendeley Recent Style Id 8_1">
    <vt:lpwstr>http://csl.mendeley.com/styles/590416281/vancouver-2</vt:lpwstr>
  </property>
  <property fmtid="{D5CDD505-2E9C-101B-9397-08002B2CF9AE}" pid="20" name="Mendeley Recent Style Name 8_1">
    <vt:lpwstr>Vancouver - Emmanuel Hakizimana</vt:lpwstr>
  </property>
  <property fmtid="{D5CDD505-2E9C-101B-9397-08002B2CF9AE}" pid="21" name="Mendeley Recent Style Id 9_1">
    <vt:lpwstr>http://csl.mendeley.com/styles/590416281/Hakizimana-2</vt:lpwstr>
  </property>
  <property fmtid="{D5CDD505-2E9C-101B-9397-08002B2CF9AE}" pid="22" name="Mendeley Recent Style Name 9_1">
    <vt:lpwstr>Vancouver - Emmanuel Hakizimana</vt:lpwstr>
  </property>
  <property fmtid="{D5CDD505-2E9C-101B-9397-08002B2CF9AE}" pid="23" name="Mendeley Document_1">
    <vt:lpwstr>True</vt:lpwstr>
  </property>
  <property fmtid="{D5CDD505-2E9C-101B-9397-08002B2CF9AE}" pid="24" name="Mendeley Unique User Id_1">
    <vt:lpwstr>c404d398-1b4a-3f43-a8f5-aaa54dfa294d</vt:lpwstr>
  </property>
  <property fmtid="{D5CDD505-2E9C-101B-9397-08002B2CF9AE}" pid="25" name="Mendeley Citation Style_1">
    <vt:lpwstr>http://csl.mendeley.com/styles/590416281/Hakizimana-2</vt:lpwstr>
  </property>
</Properties>
</file>